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25,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3"/>
          </w:tcPr>
          <w:p>
            <w:pPr>
              <w:jc w:val="center"/>
              <w:ind w:right="8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required by this Item and included in Item 8.01 of this Current Report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25, 2025,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 Certificate of Amendment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the Company’s Articles of Incorporation with the Secretary of State of the State of Nevada to increase the number of authorized shares of the Company’s common stock, par value of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from 250,000,000 shares to 400,000,000 shares. The Amendment was approved by the Company’s stockholders at the Special Meeting (as defined below) and became effective upon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subject to, and is qualified in its entirety by, the full text of such document, a copy of which is filed as Exhibit 3.1 hereto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April 25, 2025, the Company held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xml:space="preserve">”). At the Special Meeting, four proposals were submitted to the Company’s stockholders. </w:t>
      </w:r>
      <w:r>
        <w:rPr>
          <w:rFonts w:ascii="Times New Roman" w:cs="Times New Roman" w:eastAsia="Times New Roman" w:hAnsi="Times New Roman"/>
          <w:sz w:val="18"/>
          <w:szCs w:val="18"/>
          <w:color w:val="212529"/>
        </w:rPr>
        <w:t>The final voting results were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 xml:space="preserve">The Company’s stockholders approved, </w:t>
      </w:r>
      <w:r>
        <w:rPr>
          <w:rFonts w:ascii="Times New Roman" w:cs="Times New Roman" w:eastAsia="Times New Roman" w:hAnsi="Times New Roman"/>
          <w:sz w:val="18"/>
          <w:szCs w:val="18"/>
          <w:color w:val="000000"/>
        </w:rPr>
        <w:t>for purposes of complying with Nasdaq Listing Rules 5635(b) and 5635(d), the issuance of more than 20%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Company’s issued and outstanding Common Stock underlying certain warrants issued or to be issued by the Company (“</w:t>
      </w:r>
      <w:r>
        <w:rPr>
          <w:rFonts w:ascii="Times New Roman" w:cs="Times New Roman" w:eastAsia="Times New Roman" w:hAnsi="Times New Roman"/>
          <w:sz w:val="18"/>
          <w:szCs w:val="18"/>
          <w:b w:val="1"/>
          <w:bCs w:val="1"/>
          <w:color w:val="000000"/>
        </w:rPr>
        <w:t>Proposal 1</w:t>
      </w:r>
      <w:r>
        <w:rPr>
          <w:rFonts w:ascii="Times New Roman" w:cs="Times New Roman" w:eastAsia="Times New Roman" w:hAnsi="Times New Roman"/>
          <w:sz w:val="18"/>
          <w:szCs w:val="18"/>
          <w:color w:val="00000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10"/>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3,865,285</w:t>
            </w: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212529"/>
              </w:rPr>
              <w:t>394,756</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212529"/>
              </w:rPr>
              <w:t>13,414</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1,288,227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The Company’s stockholders approved, </w:t>
      </w:r>
      <w:r>
        <w:rPr>
          <w:rFonts w:ascii="Times New Roman" w:cs="Times New Roman" w:eastAsia="Times New Roman" w:hAnsi="Times New Roman"/>
          <w:sz w:val="18"/>
          <w:szCs w:val="18"/>
          <w:color w:val="000000"/>
        </w:rPr>
        <w:t>for purposes of complying with Nasdaq Listing Rule 5635(d), the issuance of more than 20% of the Company’s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issued and outstanding Common Stock underlying shares of the Company’s Series A Convertible Preferred Stock, par value $0.0001 per share (the “</w:t>
      </w:r>
      <w:r>
        <w:rPr>
          <w:rFonts w:ascii="Times New Roman" w:cs="Times New Roman" w:eastAsia="Times New Roman" w:hAnsi="Times New Roman"/>
          <w:sz w:val="18"/>
          <w:szCs w:val="18"/>
          <w:b w:val="1"/>
          <w:bCs w:val="1"/>
          <w:color w:val="000000"/>
        </w:rPr>
        <w:t>Series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A Preferred Stock</w:t>
      </w:r>
      <w:r>
        <w:rPr>
          <w:rFonts w:ascii="Times New Roman" w:cs="Times New Roman" w:eastAsia="Times New Roman" w:hAnsi="Times New Roman"/>
          <w:sz w:val="18"/>
          <w:szCs w:val="18"/>
          <w:color w:val="000000"/>
        </w:rPr>
        <w:t>”), issued or to be issued by the Company pursuant to the Securities Purchase Agreement, dated February 26, 2025, by and between the</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Company and the investor named therein (“</w:t>
      </w:r>
      <w:r>
        <w:rPr>
          <w:rFonts w:ascii="Times New Roman" w:cs="Times New Roman" w:eastAsia="Times New Roman" w:hAnsi="Times New Roman"/>
          <w:sz w:val="18"/>
          <w:szCs w:val="18"/>
          <w:b w:val="1"/>
          <w:bCs w:val="1"/>
          <w:color w:val="000000"/>
        </w:rPr>
        <w:t>Proposal 2</w:t>
      </w:r>
      <w:r>
        <w:rPr>
          <w:rFonts w:ascii="Times New Roman" w:cs="Times New Roman" w:eastAsia="Times New Roman" w:hAnsi="Times New Roman"/>
          <w:sz w:val="18"/>
          <w:szCs w:val="18"/>
          <w:color w:val="000000"/>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10"/>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3,864,611</w:t>
            </w: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212529"/>
              </w:rPr>
              <w:t>394,614</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212529"/>
              </w:rPr>
              <w:t>14,230</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1,288,227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 xml:space="preserve">The Company’s stockholders approved </w:t>
      </w:r>
      <w:r>
        <w:rPr>
          <w:rFonts w:ascii="Times New Roman" w:cs="Times New Roman" w:eastAsia="Times New Roman" w:hAnsi="Times New Roman"/>
          <w:sz w:val="18"/>
          <w:szCs w:val="18"/>
          <w:color w:val="000000"/>
        </w:rPr>
        <w:t>an amendment to the Company’s Articles of Incorporation to increase the number of shares of the Common Stock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authorized for issuance thereunder from 250,000,000 to 400,000,000 (“</w:t>
      </w:r>
      <w:r>
        <w:rPr>
          <w:rFonts w:ascii="Times New Roman" w:cs="Times New Roman" w:eastAsia="Times New Roman" w:hAnsi="Times New Roman"/>
          <w:sz w:val="18"/>
          <w:szCs w:val="18"/>
          <w:b w:val="1"/>
          <w:bCs w:val="1"/>
          <w:color w:val="000000"/>
        </w:rPr>
        <w:t>Proposal 3</w:t>
      </w:r>
      <w:r>
        <w:rPr>
          <w:rFonts w:ascii="Times New Roman" w:cs="Times New Roman" w:eastAsia="Times New Roman" w:hAnsi="Times New Roman"/>
          <w:sz w:val="18"/>
          <w:szCs w:val="18"/>
          <w:color w:val="00000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10"/>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4,695,723</w:t>
            </w: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212529"/>
              </w:rPr>
              <w:t>853,394</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212529"/>
              </w:rPr>
              <w:t>12,565</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N/A</w:t>
            </w:r>
          </w:p>
        </w:tc>
      </w:tr>
      <w:tr>
        <w:trPr>
          <w:trHeight w:val="432"/>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Proposal 4</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the adjournment of the Special Meeting in the event that the number of shares of Common Stock present or represented by proxy at the Special Meeting and voting “FOR” the approval of Proposals 1, 2 and 3 are insufficient to approve such proposals. Adjournment of the Special Meeting was deemed not necessary, because there were sufficient votes at the time of the Special Meeting to approve Proposals 1, 2 and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12529"/>
                <w:w w:val="99"/>
              </w:rPr>
              <w:t>BROKER NON-VOTES</w:t>
            </w:r>
          </w:p>
        </w:tc>
      </w:tr>
      <w:tr>
        <w:trPr>
          <w:trHeight w:val="210"/>
        </w:trPr>
        <w:tc>
          <w:tcPr>
            <w:tcW w:w="282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212529"/>
              </w:rPr>
              <w:t>5,283,724</w:t>
            </w:r>
          </w:p>
        </w:tc>
        <w:tc>
          <w:tcPr>
            <w:tcW w:w="24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212529"/>
              </w:rPr>
              <w:t>231,785</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212529"/>
              </w:rPr>
              <w:t>46,173</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N/A</w:t>
            </w:r>
          </w:p>
        </w:tc>
      </w:tr>
      <w:tr>
        <w:trPr>
          <w:trHeight w:val="43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reported, on February 26, 2025, the Company entered into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with a single institutional investor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pursuant to which the Company sold in a registered direct offering (the “</w:t>
      </w:r>
      <w:r>
        <w:rPr>
          <w:rFonts w:ascii="Times New Roman" w:cs="Times New Roman" w:eastAsia="Times New Roman" w:hAnsi="Times New Roman"/>
          <w:sz w:val="18"/>
          <w:szCs w:val="18"/>
          <w:b w:val="1"/>
          <w:bCs w:val="1"/>
          <w:color w:val="auto"/>
        </w:rPr>
        <w:t>Registered Direct Offering</w:t>
      </w:r>
      <w:r>
        <w:rPr>
          <w:rFonts w:ascii="Times New Roman" w:cs="Times New Roman" w:eastAsia="Times New Roman" w:hAnsi="Times New Roman"/>
          <w:sz w:val="18"/>
          <w:szCs w:val="18"/>
          <w:color w:val="auto"/>
        </w:rPr>
        <w:t>”), 180 shares of Series A Preferred Stock, at a price of $10,000 per share, which shares are convertible into shares of Common Stock as set forth in the Certificate of Designation of the Rights and Preferences for the Series A Preferred Stock (the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Concurrently with the Registered Direct Offering and pursuant to the terms of the Purchase Agreement, the Company sold to the Purchaser, in the initial closing of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170 shares of Series A Preferred Stock at a price of $10,000 per share, which shares are convertible into shares of Common Stock as set forth in the Certificate of Designation, and warrants to purchase up to 4,000 shares of Series A Preferred Stock, with an exercise price equal to $10,000 per share. The closing of the Registered Direct Offering and the initial closing of the Private Placement occurred on February 27, 2025.</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2025, pursuant to the Purchase Agreement, the Company sold to the Purchaser, in a second and final closing of the Private Placement (the “</w:t>
      </w:r>
      <w:r>
        <w:rPr>
          <w:rFonts w:ascii="Times New Roman" w:cs="Times New Roman" w:eastAsia="Times New Roman" w:hAnsi="Times New Roman"/>
          <w:sz w:val="18"/>
          <w:szCs w:val="18"/>
          <w:b w:val="1"/>
          <w:bCs w:val="1"/>
          <w:color w:val="auto"/>
        </w:rPr>
        <w:t>Second Closing</w:t>
      </w:r>
      <w:r>
        <w:rPr>
          <w:rFonts w:ascii="Times New Roman" w:cs="Times New Roman" w:eastAsia="Times New Roman" w:hAnsi="Times New Roman"/>
          <w:sz w:val="18"/>
          <w:szCs w:val="18"/>
          <w:color w:val="auto"/>
        </w:rPr>
        <w:t>”), 450 shares of Series A Preferred Stock at a price of $10,000 per share, initially convertible into shares of Common Stock at a conversion price of $0.594 per share. The Floor Price (as defined in the Certificate of Designation) for the Series A Preferred Stock issued in the Second Closing is $0.10902.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Preferred Stock issued in the Second Closing were sold and issued without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12529"/>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212529"/>
              </w:rPr>
              <w:t>3.1</w:t>
            </w:r>
          </w:p>
        </w:tc>
        <w:tc>
          <w:tcPr>
            <w:tcW w:w="120" w:type="dxa"/>
            <w:vAlign w:val="bottom"/>
          </w:tcPr>
          <w:p>
            <w:pPr>
              <w:spacing w:after="0"/>
              <w:rPr>
                <w:sz w:val="14"/>
                <w:szCs w:val="14"/>
                <w:color w:val="auto"/>
              </w:rPr>
            </w:pPr>
          </w:p>
        </w:tc>
        <w:tc>
          <w:tcPr>
            <w:tcW w:w="850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Amendment to the Articles of Incorporation of Dragonfly Energy Holdings Corp., dated April 25, 2025.</w:t>
            </w:r>
          </w:p>
        </w:tc>
        <w:tc>
          <w:tcPr>
            <w:tcW w:w="1640" w:type="dxa"/>
            <w:vAlign w:val="bottom"/>
            <w:tcBorders>
              <w:top w:val="single" w:sz="8" w:color="auto"/>
            </w:tcBorders>
          </w:tcPr>
          <w:p>
            <w:pPr>
              <w:spacing w:after="0"/>
              <w:rPr>
                <w:sz w:val="14"/>
                <w:szCs w:val="1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212529"/>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Cover Page Interactive Date File (embedded within the Inline XRBL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2025</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20" w:type="dxa"/>
            <w:vAlign w:val="bottom"/>
          </w:tcPr>
          <w:p>
            <w:pPr>
              <w:spacing w:after="0"/>
              <w:rPr>
                <w:sz w:val="16"/>
                <w:szCs w:val="16"/>
                <w:color w:val="auto"/>
              </w:rPr>
            </w:pPr>
          </w:p>
        </w:tc>
        <w:tc>
          <w:tcPr>
            <w:tcW w:w="2580" w:type="dxa"/>
            <w:vAlign w:val="bottom"/>
          </w:tcPr>
          <w:p>
            <w:pPr>
              <w:ind w:left="20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20" w:type="dxa"/>
            <w:vAlign w:val="bottom"/>
          </w:tcPr>
          <w:p>
            <w:pPr>
              <w:spacing w:after="0"/>
              <w:rPr>
                <w:sz w:val="18"/>
                <w:szCs w:val="18"/>
                <w:color w:val="auto"/>
              </w:rPr>
            </w:pP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8298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9818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324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324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332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3324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2025-04-28T16:14:25Z</dcterms:created>
  <dcterms:modified xsi:type="dcterms:W3CDTF">2025-04-28T16:14:25Z</dcterms:modified>
</cp:coreProperties>
</file>