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2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Nevada</w:t>
            </w:r>
          </w:p>
        </w:tc>
        <w:tc>
          <w:tcPr>
            <w:tcW w:w="3160" w:type="dxa"/>
            <w:vAlign w:val="bottom"/>
            <w:gridSpan w:val="4"/>
          </w:tcPr>
          <w:p>
            <w:pPr>
              <w:jc w:val="center"/>
              <w:ind w:left="1970"/>
              <w:spacing w:after="0"/>
              <w:rPr>
                <w:sz w:val="20"/>
                <w:szCs w:val="20"/>
                <w:color w:val="auto"/>
              </w:rPr>
            </w:pPr>
            <w:r>
              <w:rPr>
                <w:rFonts w:ascii="Arial" w:cs="Arial" w:eastAsia="Arial" w:hAnsi="Arial"/>
                <w:sz w:val="18"/>
                <w:szCs w:val="18"/>
                <w:b w:val="1"/>
                <w:bCs w:val="1"/>
                <w:color w:val="auto"/>
                <w:w w:val="90"/>
              </w:rPr>
              <w:t>001-40730</w:t>
            </w: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40" w:type="dxa"/>
            <w:vAlign w:val="bottom"/>
          </w:tcPr>
          <w:p>
            <w:pPr>
              <w:jc w:val="right"/>
              <w:ind w:right="1270"/>
              <w:spacing w:after="0"/>
              <w:rPr>
                <w:sz w:val="20"/>
                <w:szCs w:val="20"/>
                <w:color w:val="auto"/>
              </w:rPr>
            </w:pPr>
            <w:r>
              <w:rPr>
                <w:rFonts w:ascii="Arial" w:cs="Arial" w:eastAsia="Arial" w:hAnsi="Arial"/>
                <w:sz w:val="18"/>
                <w:szCs w:val="18"/>
                <w:b w:val="1"/>
                <w:bCs w:val="1"/>
                <w:color w:val="auto"/>
              </w:rPr>
              <w:t>85-1873463</w:t>
            </w:r>
          </w:p>
        </w:tc>
      </w:tr>
      <w:tr>
        <w:trPr>
          <w:trHeight w:val="198"/>
        </w:trPr>
        <w:tc>
          <w:tcPr>
            <w:tcW w:w="3020" w:type="dxa"/>
            <w:vAlign w:val="bottom"/>
            <w:tcBorders>
              <w:top w:val="single" w:sz="8" w:color="auto"/>
            </w:tcBorders>
          </w:tcPr>
          <w:p>
            <w:pPr>
              <w:jc w:val="center"/>
              <w:ind w:left="51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2"/>
          </w:tcPr>
          <w:p>
            <w:pPr>
              <w:jc w:val="center"/>
              <w:ind w:right="1220"/>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tcPr>
          <w:p>
            <w:pPr>
              <w:jc w:val="center"/>
              <w:ind w:right="47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02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140" w:type="dxa"/>
            <w:vAlign w:val="bottom"/>
            <w:gridSpan w:val="4"/>
          </w:tcPr>
          <w:p>
            <w:pPr>
              <w:jc w:val="center"/>
              <w:ind w:right="1980"/>
              <w:spacing w:after="0"/>
              <w:rPr>
                <w:sz w:val="20"/>
                <w:szCs w:val="20"/>
                <w:color w:val="auto"/>
              </w:rPr>
            </w:pPr>
            <w:r>
              <w:rPr>
                <w:rFonts w:ascii="Arial" w:cs="Arial" w:eastAsia="Arial" w:hAnsi="Arial"/>
                <w:sz w:val="18"/>
                <w:szCs w:val="18"/>
                <w:b w:val="1"/>
                <w:bCs w:val="1"/>
                <w:color w:val="auto"/>
                <w:w w:val="94"/>
              </w:rPr>
              <w:t>File Number)</w:t>
            </w:r>
          </w:p>
        </w:tc>
        <w:tc>
          <w:tcPr>
            <w:tcW w:w="3040" w:type="dxa"/>
            <w:vAlign w:val="bottom"/>
          </w:tcPr>
          <w:p>
            <w:pPr>
              <w:jc w:val="center"/>
              <w:ind w:right="4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8200" w:type="dxa"/>
            <w:vAlign w:val="bottom"/>
            <w:gridSpan w:val="8"/>
          </w:tcPr>
          <w:p>
            <w:pPr>
              <w:jc w:val="center"/>
              <w:ind w:right="760"/>
              <w:spacing w:after="0"/>
              <w:rPr>
                <w:sz w:val="20"/>
                <w:szCs w:val="20"/>
                <w:color w:val="auto"/>
              </w:rPr>
            </w:pPr>
            <w:r>
              <w:rPr>
                <w:rFonts w:ascii="Arial" w:cs="Arial" w:eastAsia="Arial" w:hAnsi="Arial"/>
                <w:sz w:val="18"/>
                <w:szCs w:val="18"/>
                <w:b w:val="1"/>
                <w:bCs w:val="1"/>
                <w:color w:val="auto"/>
                <w:w w:val="92"/>
              </w:rPr>
              <w:t>1190 Trademark Drive, #108</w:t>
            </w:r>
          </w:p>
        </w:tc>
        <w:tc>
          <w:tcPr>
            <w:tcW w:w="3040" w:type="dxa"/>
            <w:vAlign w:val="bottom"/>
          </w:tcPr>
          <w:p>
            <w:pPr>
              <w:spacing w:after="0"/>
              <w:rPr>
                <w:sz w:val="24"/>
                <w:szCs w:val="24"/>
                <w:color w:val="auto"/>
              </w:rPr>
            </w:pPr>
          </w:p>
        </w:tc>
      </w:tr>
      <w:tr>
        <w:trPr>
          <w:trHeight w:val="255"/>
        </w:trPr>
        <w:tc>
          <w:tcPr>
            <w:tcW w:w="3020" w:type="dxa"/>
            <w:vAlign w:val="bottom"/>
          </w:tcPr>
          <w:p>
            <w:pPr>
              <w:spacing w:after="0"/>
              <w:rPr>
                <w:sz w:val="22"/>
                <w:szCs w:val="22"/>
                <w:color w:val="auto"/>
              </w:rPr>
            </w:pPr>
          </w:p>
        </w:tc>
        <w:tc>
          <w:tcPr>
            <w:tcW w:w="5180" w:type="dxa"/>
            <w:vAlign w:val="bottom"/>
            <w:gridSpan w:val="7"/>
          </w:tcPr>
          <w:p>
            <w:pPr>
              <w:jc w:val="center"/>
              <w:ind w:right="3780"/>
              <w:spacing w:after="0"/>
              <w:rPr>
                <w:sz w:val="20"/>
                <w:szCs w:val="20"/>
                <w:color w:val="auto"/>
              </w:rPr>
            </w:pPr>
            <w:r>
              <w:rPr>
                <w:rFonts w:ascii="Arial" w:cs="Arial" w:eastAsia="Arial" w:hAnsi="Arial"/>
                <w:sz w:val="18"/>
                <w:szCs w:val="18"/>
                <w:b w:val="1"/>
                <w:bCs w:val="1"/>
                <w:color w:val="auto"/>
                <w:w w:val="90"/>
              </w:rPr>
              <w:t>Reno, Nevada</w:t>
            </w:r>
          </w:p>
        </w:tc>
        <w:tc>
          <w:tcPr>
            <w:tcW w:w="3040" w:type="dxa"/>
            <w:vAlign w:val="bottom"/>
          </w:tcPr>
          <w:p>
            <w:pPr>
              <w:jc w:val="right"/>
              <w:ind w:right="1490"/>
              <w:spacing w:after="0"/>
              <w:rPr>
                <w:sz w:val="20"/>
                <w:szCs w:val="20"/>
                <w:color w:val="auto"/>
              </w:rPr>
            </w:pPr>
            <w:r>
              <w:rPr>
                <w:rFonts w:ascii="Arial" w:cs="Arial" w:eastAsia="Arial" w:hAnsi="Arial"/>
                <w:sz w:val="18"/>
                <w:szCs w:val="18"/>
                <w:b w:val="1"/>
                <w:bCs w:val="1"/>
                <w:color w:val="auto"/>
              </w:rPr>
              <w:t>89521</w:t>
            </w:r>
          </w:p>
        </w:tc>
      </w:tr>
      <w:tr>
        <w:trPr>
          <w:trHeight w:val="234"/>
        </w:trPr>
        <w:tc>
          <w:tcPr>
            <w:tcW w:w="74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3020" w:type="dxa"/>
            <w:vAlign w:val="bottom"/>
          </w:tcPr>
          <w:p>
            <w:pPr>
              <w:spacing w:after="0"/>
              <w:rPr>
                <w:sz w:val="24"/>
                <w:szCs w:val="24"/>
                <w:color w:val="auto"/>
              </w:rPr>
            </w:pPr>
          </w:p>
        </w:tc>
        <w:tc>
          <w:tcPr>
            <w:tcW w:w="204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(775) 622-3448</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51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0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52"/>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4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Common stock, par value $0.0001</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DFLI</w:t>
            </w:r>
          </w:p>
        </w:tc>
        <w:tc>
          <w:tcPr>
            <w:tcW w:w="220" w:type="dxa"/>
            <w:vAlign w:val="bottom"/>
          </w:tcPr>
          <w:p>
            <w:pPr>
              <w:spacing w:after="0"/>
              <w:rPr>
                <w:sz w:val="17"/>
                <w:szCs w:val="17"/>
                <w:color w:val="auto"/>
              </w:rPr>
            </w:pPr>
          </w:p>
        </w:tc>
        <w:tc>
          <w:tcPr>
            <w:tcW w:w="4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The Nasdaq Global Market</w:t>
            </w:r>
          </w:p>
        </w:tc>
      </w:tr>
      <w:tr>
        <w:trPr>
          <w:trHeight w:val="216"/>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Redeemable warrants, exercisable for common stock at an</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DFLIW</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Capital Market</w:t>
            </w:r>
          </w:p>
        </w:tc>
      </w:tr>
      <w:tr>
        <w:trPr>
          <w:trHeight w:val="234"/>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exercise price of $11.50 per share, subject to adjustment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August 21, 2023, Dragonfly Energy Holdings Corp. (the “</w:t>
      </w:r>
      <w:r>
        <w:rPr>
          <w:rFonts w:ascii="Arial" w:cs="Arial" w:eastAsia="Arial" w:hAnsi="Arial"/>
          <w:sz w:val="17"/>
          <w:szCs w:val="17"/>
          <w:b w:val="1"/>
          <w:bCs w:val="1"/>
          <w:color w:val="auto"/>
        </w:rPr>
        <w:t>Company</w:t>
      </w:r>
      <w:r>
        <w:rPr>
          <w:rFonts w:ascii="Arial" w:cs="Arial" w:eastAsia="Arial" w:hAnsi="Arial"/>
          <w:sz w:val="17"/>
          <w:szCs w:val="17"/>
          <w:color w:val="auto"/>
        </w:rPr>
        <w:t>”) issued an earnings disclosing certain information regarding its results of operations for the second quarter ended June 30, 2023. Following the publication of the press release, the Company will host an earnings call at 5:00 p.m. (Eastern Time) on August 21, 2023, via a webcast. During the webcast, the Company’s financial results for the second quarter ended June 30, 2023 will be discussed. A copy of the press release is attached as Exhibit 99.1 to this Current Report on Form 8-K.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2.02 Results of Operation and Financial Condition” above.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under Items 2.02 and 7.01, including the information contained in Exhibit 99.1, is being furnished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shall not be deemed to be “filed” for the purposes of Section 18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41"/>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40" w:type="dxa"/>
            <w:vAlign w:val="bottom"/>
            <w:tcBorders>
              <w:bottom w:val="single" w:sz="8" w:color="auto"/>
            </w:tcBorders>
            <w:gridSpan w:val="2"/>
          </w:tcPr>
          <w:p>
            <w:pPr>
              <w:ind w:left="476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66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40" w:type="dxa"/>
            <w:vAlign w:val="bottom"/>
            <w:gridSpan w:val="2"/>
          </w:tcPr>
          <w:p>
            <w:pPr>
              <w:spacing w:after="0" w:line="176" w:lineRule="exact"/>
              <w:rPr>
                <w:sz w:val="20"/>
                <w:szCs w:val="20"/>
                <w:color w:val="auto"/>
              </w:rPr>
            </w:pPr>
            <w:r>
              <w:rPr>
                <w:rFonts w:ascii="Arial" w:cs="Arial" w:eastAsia="Arial" w:hAnsi="Arial"/>
                <w:sz w:val="18"/>
                <w:szCs w:val="18"/>
                <w:color w:val="0000EE"/>
              </w:rPr>
              <w:t>Press Release of Dragonfly Energy Holdings Corp., dated August 21, 2023</w:t>
            </w:r>
            <w:r>
              <w:rPr>
                <w:rFonts w:ascii="Arial" w:cs="Arial" w:eastAsia="Arial" w:hAnsi="Arial"/>
                <w:sz w:val="18"/>
                <w:szCs w:val="18"/>
                <w:color w:val="000000"/>
              </w:rPr>
              <w:t>.</w:t>
            </w: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gridSpan w:val="2"/>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4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154305</wp:posOffset>
            </wp:positionV>
            <wp:extent cx="1285875"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Reports Second Quarter 2023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lithium battery cell pilot program complete; full cell production expected by year end</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RENO, NEVADA (August 21, 2023) </w:t>
      </w:r>
      <w:r>
        <w:rPr>
          <w:rFonts w:ascii="Arial" w:cs="Arial" w:eastAsia="Arial" w:hAnsi="Arial"/>
          <w:sz w:val="18"/>
          <w:szCs w:val="18"/>
          <w:color w:val="auto"/>
        </w:rPr>
        <w:t>— Dragonfly Energy Holdings Corp. (“Dragonfly Energy” or the “Company”) (Nasdaq: DFLI), an industry leader in</w:t>
      </w:r>
      <w:r>
        <w:rPr>
          <w:rFonts w:ascii="Arial" w:cs="Arial" w:eastAsia="Arial" w:hAnsi="Arial"/>
          <w:sz w:val="18"/>
          <w:szCs w:val="18"/>
          <w:b w:val="1"/>
          <w:bCs w:val="1"/>
          <w:color w:val="auto"/>
        </w:rPr>
        <w:t xml:space="preserve"> </w:t>
      </w:r>
      <w:r>
        <w:rPr>
          <w:rFonts w:ascii="Arial" w:cs="Arial" w:eastAsia="Arial" w:hAnsi="Arial"/>
          <w:sz w:val="18"/>
          <w:szCs w:val="18"/>
          <w:color w:val="auto"/>
        </w:rPr>
        <w:t>energy storage and producer of deep cycle lithium-ion storage batteries, today reported its financial and operational results for the second quarter ended June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Sales were $19.3 million, compared to $21.6 million in Q2 2022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was $4.1 million, compared to $7.0 million in Q2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were $(12.5) million, compared to $(7.6) million in Q2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of $(11.7) million, compared to a Net Loss of $(1.5) million in Q2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Loss per share was $(0.25) compared to $(0.04) in Q2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of $(7.3) million, compared to $(0.3) million in Q2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Business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completion of U.S. lithium battery cell pilot line and beginning of anode manufacturing at scale, using patented deposition process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U.S. Patent for innovative battery pack assembly design, enabling flexible custom installation solutions and increased energy density</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partnership with nuCamp, the world’s largest teardrop trailer and small camper manufacturers, to provide full lithium power systems as standard equipment on 2024 model year products</w:t>
      </w:r>
    </w:p>
    <w:p>
      <w:pPr>
        <w:ind w:left="660" w:hanging="328"/>
        <w:spacing w:after="0" w:line="219"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Dragonfly Energy joined the Russell 2000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achieved a number of important milestones since our last call, with our patent pertaining to preparation and powder film deposition of pre-coated powders and completion of our lithium battery cell pilot program,” said Denis Phares, CEO of Dragonfly Energy. “While the business continues to experience some near-term market headwinds, Dragonfly Energy is executing our plan; growing our market share in our core markets, addressing new growth opportunities, and making significant progress on our cell manufacturing goals. We are excited for what lies ahead and sharing that with you in the coming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and Operating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Dragonfly generated net sales of $19.3 million in the second quarter, in line with the Company’s $18.0 to $22.0 million revenue guidance. Our revenue declined by $2.3 million from $21.6 million in the second quarter of 2022 as growth from our OEM customers was offset by declines in our direct-to-consumer (“DTC”)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 the quarter was $4.1 million, compared to $7.0 million in the second quarter of 2022. The decrease in gross profit was primarily due to the change in revenue mix that included a larger percentage of lower margin OEM sales and a lower percentage of higher margin DTC sales, as well as an increase in material costs.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Second quarter 2023 operating expenses of $(12.5) million, were higher compared to $(7.6) million in the second quarter of 2022. Higher professional services, compliance, and insurance, as well as higher personnel, severance, stock-based compensation and materials costs drove the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The Company had a net loss of $(11.7) million, or $(0.25) per diluted share in the second quarter of 2023, compared to a net loss of $(1.5) million or $(0.04) per diluted share in the second quarter of 2022. Net income in the second quarter of 2023 was primarily impacted by lower DTC segment sales, increased cost of goods sold, higher operating expenses, and increased other expenses.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Second quarter 2023 EBITDA was $(7.3) million, compared to EBITDA of $(0.3) million in the second quarter of 2022. Second quarter 2023 Adjusted EBITDA, excluding stock-based compensation, costs associated with our offering in June, and the impact of a separation agreement and changes in fair market value of the Company’s warrants was $(5.5) million in the quarter, compared to $0.2 million in the same quarter a year ago.</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ended the second quarter of 2023 with $33.0 million in cash. Dragonfly Energy retains strong financial flexibility with access to a $150 million equity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2023 Outlook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continues to face headwinds in its core markets, which are dominated by consumer discretionary spending. The RV industry, in particular, is undergoing more severe unit declines than previously expected, with deliveries expected to fall to volumes not seen in a decade. As a result of this industry weakness, we were informed in July 2023 that our largest RV customer has instituted a de-contenting strategy that ultimately changed our storage offering from a standard installation to a dealer option. While this customer is not moving to a different solution or competitor, we do expect this change in strategy to have a material limiting effect on our revenue throughout the remainder of 2023. In light of this change, we have removed all previously forecasted revenue from this customer for the remainder of the year.</w:t>
      </w:r>
    </w:p>
    <w:p>
      <w:pPr>
        <w:spacing w:after="0" w:line="17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are expected to range between $16.0 - $20.0 million, impacted by overall softer demand from the RV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is expected to improve modestly on a sequential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are expected to be in a range of $(10.0) - $(13.0)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Income (Expense) is expected be an expense in the range of $(4.0) - $(4.5) million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Losses are expected to be between $(10.0) - $(13.0) million for the quarter, or $(0.21) - $(0.27) per share based on 48.0 million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Dragonfly Energy management team will host a conference call to discuss its first quarter 2023 financial results this afternoon, Monday, August 21, 2023, at 5:00 pm ET. The call can also be accessed live via telephone by dialing (888) 259-6580 or for international callers (416) 764-8624, and referencing Dragonfly Energy. Please log in to the webcast or dial in to the call at least 10 minutes prior to the start of the event. The live webcast of the conference will also be available at </w:t>
      </w:r>
      <w:r>
        <w:rPr>
          <w:rFonts w:ascii="Arial" w:cs="Arial" w:eastAsia="Arial" w:hAnsi="Arial"/>
          <w:sz w:val="18"/>
          <w:szCs w:val="18"/>
          <w:u w:val="single" w:color="auto"/>
          <w:color w:val="auto"/>
        </w:rPr>
        <w:t>https://investors.dragonflyenergy.com/events-and-presentations/default.aspx</w:t>
      </w:r>
      <w:r>
        <w:rPr>
          <w:rFonts w:ascii="Arial" w:cs="Arial" w:eastAsia="Arial" w:hAnsi="Arial"/>
          <w:sz w:val="18"/>
          <w:szCs w:val="18"/>
          <w:color w:val="auto"/>
        </w:rPr>
        <w:t xml:space="preserve"> on the Events and Presentations page on the Investor Relations section of Dragonfly’s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Dragonfly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Dragonfly Energy Holdings Corp. (Nasdaq: DFLI) headquartered in Reno, Nevada, is a leading supplier of deep cycle lithium-ion batteries. Dragonfly Energy’s research and development initiatives are revolutionizing the energy storage industry through innovative technologies and manufacturing processes. Today, Dragonfly Energy’s non-toxic deep cycle lithium-ion batteries are displacing lead-acid batteries across a wide range of end-markets, including RVs, marine vessels, off-grid installations, and other storage applications. Dragonfly Energy is also focused on delivering an energy storage solution to enable a more sustainable and reliable smart grid through the future deployment of the Company’s proprietary and patented solid-state cell technology. To learn more, visit </w:t>
      </w:r>
      <w:r>
        <w:rPr>
          <w:rFonts w:ascii="Arial" w:cs="Arial" w:eastAsia="Arial" w:hAnsi="Arial"/>
          <w:sz w:val="18"/>
          <w:szCs w:val="18"/>
          <w:u w:val="single" w:color="auto"/>
          <w:color w:val="auto"/>
        </w:rPr>
        <w:t>www.dragonflyenergy.com/investors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2023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7"/>
          <w:szCs w:val="17"/>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headwinds in the Company’s core markets, including the RV market, the Company’s ability to successfully increase market penetration into target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optimize solid state cells and to produce commercially viable solid state cells in a timely manner or at all, and to scale to mass production; the Company’s ability to achieve the anticipated benefits of its customer arrangements with THOR Industries and THOR Industries’ affiliated brands (including Keystone RV Company);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2022 and in the Company’s subsequent filings with the SEC available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Sioban Hickie, 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DragonflyIR@icrinc.com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7"/>
          </w:tcPr>
          <w:p>
            <w:pPr>
              <w:jc w:val="right"/>
              <w:ind w:right="13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jc w:val="right"/>
              <w:ind w:right="561"/>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19,274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15,176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7,614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3,808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12,489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(8,391)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3"/>
        </w:trPr>
        <w:tc>
          <w:tcPr>
            <w:tcW w:w="5280" w:type="dxa"/>
            <w:vAlign w:val="bottom"/>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(11,700)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1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(0.25)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Diluted</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Shares- Basic</w:t>
            </w:r>
          </w:p>
        </w:tc>
        <w:tc>
          <w:tcPr>
            <w:tcW w:w="1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47,418,269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36,616,430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47,418,269</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36,616,430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7"/>
          </w:tcPr>
          <w:p>
            <w:pPr>
              <w:jc w:val="right"/>
              <w:ind w:right="1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gridSpan w:val="2"/>
          </w:tcPr>
          <w:p>
            <w:pPr>
              <w:jc w:val="right"/>
              <w:ind w:right="561"/>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38,065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29,224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8,841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17,109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7,992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27,048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14,613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(18,207)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(7,928)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19,327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(6,808)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1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Diluted</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Basic</w:t>
            </w:r>
          </w:p>
        </w:tc>
        <w:tc>
          <w:tcPr>
            <w:tcW w:w="1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46,263,591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36,579,990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46,263,591</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36,579,990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2022</w:t>
            </w: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Cash</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32,952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17,781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credit losses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44,198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49,846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Vehicle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0"/>
                <w:szCs w:val="20"/>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(1,633)</w:t>
            </w:r>
          </w:p>
        </w:tc>
      </w:tr>
      <w:tr>
        <w:trPr>
          <w:trHeight w:val="216"/>
        </w:trPr>
        <w:tc>
          <w:tcPr>
            <w:tcW w:w="6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Operating lease right of use asset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3,912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4,513</w:t>
            </w:r>
          </w:p>
        </w:tc>
        <w:tc>
          <w:tcPr>
            <w:tcW w:w="80" w:type="dxa"/>
            <w:vAlign w:val="bottom"/>
          </w:tcPr>
          <w:p>
            <w:pPr>
              <w:spacing w:after="0"/>
              <w:rPr>
                <w:sz w:val="20"/>
                <w:szCs w:val="20"/>
                <w:color w:val="auto"/>
              </w:rPr>
            </w:pPr>
          </w:p>
        </w:tc>
      </w:tr>
      <w:tr>
        <w:trPr>
          <w:trHeight w:val="23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19,990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13,475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Notes payable, current portion, net of deferred financing fees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22,372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19,242</w:t>
            </w:r>
          </w:p>
        </w:tc>
        <w:tc>
          <w:tcPr>
            <w:tcW w:w="80" w:type="dxa"/>
            <w:vAlign w:val="bottom"/>
          </w:tcPr>
          <w:p>
            <w:pPr>
              <w:spacing w:after="0"/>
              <w:rPr>
                <w:sz w:val="18"/>
                <w:szCs w:val="18"/>
                <w:color w:val="auto"/>
              </w:rPr>
            </w:pPr>
          </w:p>
        </w:tc>
      </w:tr>
      <w:tr>
        <w:trPr>
          <w:trHeight w:val="25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21"/>
                <w:szCs w:val="21"/>
                <w:color w:val="auto"/>
              </w:rPr>
            </w:pPr>
          </w:p>
        </w:tc>
      </w:tr>
      <w:tr>
        <w:trPr>
          <w:trHeight w:val="210"/>
        </w:trPr>
        <w:tc>
          <w:tcPr>
            <w:tcW w:w="67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53,639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40,566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14,637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32,831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long-term</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3,541</w:t>
            </w:r>
          </w:p>
        </w:tc>
        <w:tc>
          <w:tcPr>
            <w:tcW w:w="80" w:type="dxa"/>
            <w:vAlign w:val="bottom"/>
          </w:tcPr>
          <w:p>
            <w:pPr>
              <w:spacing w:after="0"/>
              <w:rPr>
                <w:sz w:val="20"/>
                <w:szCs w:val="20"/>
                <w:color w:val="auto"/>
              </w:rPr>
            </w:pPr>
          </w:p>
        </w:tc>
      </w:tr>
      <w:tr>
        <w:trPr>
          <w:trHeight w:val="236"/>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7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71,717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77,430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170,000,000 shares at $0.0001 par value, authorized, 58,504,541 and</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43,272,728 shares issued and outstanding as of June 30, 2023 and December 31, 2022,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r>
      <w:tr>
        <w:trPr>
          <w:trHeight w:val="202"/>
        </w:trPr>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5,000,000 shares at $0.0001 par value, authorized, no shares issued and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outstanding as of June 30, 2023 and December 31, 2022, respectively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38,461</w:t>
            </w:r>
          </w:p>
        </w:tc>
        <w:tc>
          <w:tcPr>
            <w:tcW w:w="80" w:type="dxa"/>
            <w:vAlign w:val="bottom"/>
            <w:shd w:val="clear" w:color="auto" w:fill="CCEEFF"/>
          </w:tcPr>
          <w:p>
            <w:pPr>
              <w:spacing w:after="0"/>
              <w:rPr>
                <w:sz w:val="18"/>
                <w:szCs w:val="18"/>
                <w:color w:val="auto"/>
              </w:rPr>
            </w:pPr>
          </w:p>
        </w:tc>
      </w:tr>
      <w:tr>
        <w:trPr>
          <w:trHeight w:val="236"/>
        </w:trPr>
        <w:tc>
          <w:tcPr>
            <w:tcW w:w="6760" w:type="dxa"/>
            <w:vAlign w:val="bottom"/>
          </w:tcPr>
          <w:p>
            <w:pPr>
              <w:spacing w:after="0"/>
              <w:rPr>
                <w:sz w:val="20"/>
                <w:szCs w:val="20"/>
                <w:color w:val="auto"/>
              </w:rPr>
            </w:pPr>
            <w:r>
              <w:rPr>
                <w:rFonts w:ascii="Arial" w:cs="Arial" w:eastAsia="Arial" w:hAnsi="Arial"/>
                <w:sz w:val="18"/>
                <w:szCs w:val="18"/>
                <w:color w:val="auto"/>
              </w:rPr>
              <w:t>Retained deficit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(33,941)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(27,133)</w:t>
            </w: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32,213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103,930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9"/>
        </w:trPr>
        <w:tc>
          <w:tcPr>
            <w:tcW w:w="6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7"/>
          </w:tcPr>
          <w:p>
            <w:pPr>
              <w:jc w:val="right"/>
              <w:ind w:right="148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jc w:val="right"/>
              <w:ind w:right="681"/>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gridSpan w:val="2"/>
          </w:tcPr>
          <w:p>
            <w:pPr>
              <w:spacing w:after="0"/>
              <w:rPr>
                <w:sz w:val="19"/>
                <w:szCs w:val="19"/>
                <w:color w:val="auto"/>
              </w:rPr>
            </w:pPr>
          </w:p>
        </w:tc>
      </w:tr>
      <w:tr>
        <w:trPr>
          <w:trHeight w:val="216"/>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81"/>
              <w:spacing w:after="0"/>
              <w:rPr>
                <w:sz w:val="20"/>
                <w:szCs w:val="20"/>
                <w:color w:val="auto"/>
              </w:rPr>
            </w:pPr>
            <w:r>
              <w:rPr>
                <w:rFonts w:ascii="Arial" w:cs="Arial" w:eastAsia="Arial" w:hAnsi="Arial"/>
                <w:sz w:val="18"/>
                <w:szCs w:val="18"/>
                <w:color w:val="auto"/>
              </w:rPr>
              <w:t>(6,808)</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(3,767)</w:t>
            </w:r>
          </w:p>
        </w:tc>
      </w:tr>
      <w:tr>
        <w:trPr>
          <w:trHeight w:val="216"/>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w:t>
            </w: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Used in Operating Activities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(819)</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 (paid-in-kind)</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181"/>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(3,876)</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5,648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(15,141)</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(1,236)</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(1,962)</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18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(973)</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6,272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r>
      <w:tr>
        <w:trPr>
          <w:trHeight w:val="223"/>
        </w:trPr>
        <w:tc>
          <w:tcPr>
            <w:tcW w:w="528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181"/>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(183)</w:t>
            </w:r>
          </w:p>
        </w:tc>
      </w:tr>
      <w:tr>
        <w:trPr>
          <w:trHeight w:val="236"/>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(5,639</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(19,912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(2,571)</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(4,819)</w:t>
            </w:r>
          </w:p>
        </w:tc>
      </w:tr>
      <w:tr>
        <w:trPr>
          <w:trHeight w:val="210"/>
        </w:trPr>
        <w:tc>
          <w:tcPr>
            <w:tcW w:w="52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17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(2,571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(4,819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public offering, net</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22,002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Payment of offering costs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181"/>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public offering (ATM), net</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Proceeds from note payable, related party</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 payable, related party</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Proceeds from exercise of public warrants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0"/>
        </w:trPr>
        <w:tc>
          <w:tcPr>
            <w:tcW w:w="52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17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23,381</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15,171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(24,531)</w:t>
            </w:r>
          </w:p>
        </w:tc>
      </w:tr>
      <w:tr>
        <w:trPr>
          <w:trHeight w:val="23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Beginning cash</w:t>
            </w: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17,781</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28,630</w:t>
            </w:r>
          </w:p>
        </w:tc>
      </w:tr>
      <w:tr>
        <w:trPr>
          <w:trHeight w:val="203"/>
        </w:trPr>
        <w:tc>
          <w:tcPr>
            <w:tcW w:w="5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Ending cash</w:t>
            </w:r>
          </w:p>
        </w:tc>
        <w:tc>
          <w:tcPr>
            <w:tcW w:w="170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32,952</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4,099</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9"/>
        </w:trPr>
        <w:tc>
          <w:tcPr>
            <w:tcW w:w="5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is considered a non-GAAP financial measure under the rules of the SEC because it excludes certain amounts included in net loss calculated in accordance with GAAP. Specifically, the Company calculates Adjusted EBITDA by GAAP net loss adjusted to exclude stock-based compensation expense, business combination related expenses and other one-time, non-recurring items.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has limitations as an analytical tool, and it should not be considered in isolation or as a substitute for analysis of net loss or other results as reported under GAAP. Some of these limitations are:</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does not reflect the Company’s cash expenditures, future requirements for capital expenditures, or contractual commitments;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the Company’s working capital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the Company’s tax expense or the cash requirements to pay taxes;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amortization and depreciation are non-cash charges, the assets being amortized and depreciated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should not be construed as an inference that the Company’s future results will be unaffected by unusual or non-recurring items for which the Company may adjust in historical periods;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 the industry may calculate Adjusted EBITDA differently than the Company does, limiting its usefulness as a comparative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reconciliations of EBITDA and Adjusted EBITDA to the most directly comparable GAAP financial measure for each of the periods indicated.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Measures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5"/>
          </w:tcPr>
          <w:p>
            <w:pPr>
              <w:jc w:val="right"/>
              <w:ind w:right="1360"/>
              <w:spacing w:after="0"/>
              <w:rPr>
                <w:sz w:val="20"/>
                <w:szCs w:val="20"/>
                <w:color w:val="auto"/>
              </w:rPr>
            </w:pPr>
            <w:r>
              <w:rPr>
                <w:rFonts w:ascii="Arial" w:cs="Arial" w:eastAsia="Arial" w:hAnsi="Arial"/>
                <w:sz w:val="18"/>
                <w:szCs w:val="18"/>
                <w:b w:val="1"/>
                <w:bCs w:val="1"/>
                <w:color w:val="auto"/>
              </w:rPr>
              <w:t>Three Months Ended</w:t>
            </w:r>
          </w:p>
        </w:tc>
      </w:tr>
      <w:tr>
        <w:trPr>
          <w:trHeight w:val="237"/>
        </w:trPr>
        <w:tc>
          <w:tcPr>
            <w:tcW w:w="6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June 30, 2023</w:t>
            </w: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20"/>
                <w:szCs w:val="20"/>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4,113</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6980" w:type="dxa"/>
            <w:vAlign w:val="bottom"/>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954</w:t>
            </w:r>
          </w:p>
        </w:tc>
        <w:tc>
          <w:tcPr>
            <w:tcW w:w="260" w:type="dxa"/>
            <w:vAlign w:val="bottom"/>
          </w:tcPr>
          <w:p>
            <w:pPr>
              <w:spacing w:after="0"/>
              <w:rPr>
                <w:sz w:val="22"/>
                <w:szCs w:val="22"/>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57"/>
        </w:trPr>
        <w:tc>
          <w:tcPr>
            <w:tcW w:w="69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(2)</w:t>
            </w:r>
          </w:p>
        </w:tc>
        <w:tc>
          <w:tcPr>
            <w:tcW w:w="2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6980" w:type="dxa"/>
            <w:vAlign w:val="bottom"/>
          </w:tcPr>
          <w:p>
            <w:pPr>
              <w:ind w:left="180"/>
              <w:spacing w:after="0" w:line="256" w:lineRule="exact"/>
              <w:rPr>
                <w:sz w:val="20"/>
                <w:szCs w:val="20"/>
                <w:color w:val="auto"/>
              </w:rPr>
            </w:pPr>
            <w:r>
              <w:rPr>
                <w:rFonts w:ascii="Arial" w:cs="Arial" w:eastAsia="Arial" w:hAnsi="Arial"/>
                <w:sz w:val="18"/>
                <w:szCs w:val="18"/>
                <w:color w:val="auto"/>
              </w:rPr>
              <w:t>June Offering Costs</w:t>
            </w:r>
            <w:r>
              <w:rPr>
                <w:rFonts w:ascii="Arial" w:cs="Arial" w:eastAsia="Arial" w:hAnsi="Arial"/>
                <w:sz w:val="29"/>
                <w:szCs w:val="29"/>
                <w:color w:val="auto"/>
                <w:vertAlign w:val="superscript"/>
              </w:rPr>
              <w:t>(3)</w:t>
            </w:r>
          </w:p>
        </w:tc>
        <w:tc>
          <w:tcPr>
            <w:tcW w:w="280" w:type="dxa"/>
            <w:vAlign w:val="bottom"/>
          </w:tcPr>
          <w:p>
            <w:pPr>
              <w:spacing w:after="0"/>
              <w:rPr>
                <w:sz w:val="22"/>
                <w:szCs w:val="22"/>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904</w:t>
            </w:r>
          </w:p>
        </w:tc>
        <w:tc>
          <w:tcPr>
            <w:tcW w:w="260" w:type="dxa"/>
            <w:vAlign w:val="bottom"/>
          </w:tcPr>
          <w:p>
            <w:pPr>
              <w:spacing w:after="0"/>
              <w:rPr>
                <w:sz w:val="22"/>
                <w:szCs w:val="22"/>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(4)</w:t>
            </w:r>
          </w:p>
        </w:tc>
        <w:tc>
          <w:tcPr>
            <w:tcW w:w="2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6980" w:type="dxa"/>
            <w:vAlign w:val="bottom"/>
          </w:tcPr>
          <w:p>
            <w:pPr>
              <w:ind w:left="180"/>
              <w:spacing w:after="0" w:line="270" w:lineRule="exact"/>
              <w:rPr>
                <w:sz w:val="20"/>
                <w:szCs w:val="20"/>
                <w:color w:val="auto"/>
              </w:rPr>
            </w:pPr>
            <w:r>
              <w:rPr>
                <w:rFonts w:ascii="Arial" w:cs="Arial" w:eastAsia="Arial" w:hAnsi="Arial"/>
                <w:sz w:val="18"/>
                <w:szCs w:val="18"/>
                <w:color w:val="auto"/>
              </w:rPr>
              <w:t>Change in Fair Market Value of Warrant Liability</w:t>
            </w:r>
            <w:r>
              <w:rPr>
                <w:rFonts w:ascii="Arial" w:cs="Arial" w:eastAsia="Arial" w:hAnsi="Arial"/>
                <w:sz w:val="29"/>
                <w:szCs w:val="29"/>
                <w:color w:val="auto"/>
                <w:vertAlign w:val="superscript"/>
              </w:rPr>
              <w:t>(5)</w:t>
            </w:r>
          </w:p>
        </w:tc>
        <w:tc>
          <w:tcPr>
            <w:tcW w:w="280" w:type="dxa"/>
            <w:vAlign w:val="bottom"/>
          </w:tcPr>
          <w:p>
            <w:pPr>
              <w:spacing w:after="0"/>
              <w:rPr>
                <w:sz w:val="24"/>
                <w:szCs w:val="24"/>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(804)</w:t>
            </w:r>
          </w:p>
        </w:tc>
        <w:tc>
          <w:tcPr>
            <w:tcW w:w="260" w:type="dxa"/>
            <w:vAlign w:val="bottom"/>
          </w:tcPr>
          <w:p>
            <w:pPr>
              <w:spacing w:after="0"/>
              <w:rPr>
                <w:sz w:val="24"/>
                <w:szCs w:val="2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Measures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5"/>
          </w:tcPr>
          <w:p>
            <w:pPr>
              <w:jc w:val="right"/>
              <w:ind w:right="1480"/>
              <w:spacing w:after="0"/>
              <w:rPr>
                <w:sz w:val="20"/>
                <w:szCs w:val="20"/>
                <w:color w:val="auto"/>
              </w:rPr>
            </w:pPr>
            <w:r>
              <w:rPr>
                <w:rFonts w:ascii="Arial" w:cs="Arial" w:eastAsia="Arial" w:hAnsi="Arial"/>
                <w:sz w:val="18"/>
                <w:szCs w:val="18"/>
                <w:b w:val="1"/>
                <w:bCs w:val="1"/>
                <w:color w:val="auto"/>
              </w:rPr>
              <w:t>Six Months Ended</w:t>
            </w:r>
          </w:p>
        </w:tc>
      </w:tr>
      <w:tr>
        <w:trPr>
          <w:trHeight w:val="237"/>
        </w:trPr>
        <w:tc>
          <w:tcPr>
            <w:tcW w:w="6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June 30, 2023</w:t>
            </w: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20"/>
                <w:szCs w:val="20"/>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7,928</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2,491</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r>
      <w:tr>
        <w:trPr>
          <w:trHeight w:val="236"/>
        </w:trPr>
        <w:tc>
          <w:tcPr>
            <w:tcW w:w="6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6980" w:type="dxa"/>
            <w:vAlign w:val="bottom"/>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5,441</w:t>
            </w:r>
          </w:p>
        </w:tc>
        <w:tc>
          <w:tcPr>
            <w:tcW w:w="260" w:type="dxa"/>
            <w:vAlign w:val="bottom"/>
          </w:tcPr>
          <w:p>
            <w:pPr>
              <w:spacing w:after="0"/>
              <w:rPr>
                <w:sz w:val="22"/>
                <w:szCs w:val="22"/>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r>
      <w:tr>
        <w:trPr>
          <w:trHeight w:val="256"/>
        </w:trPr>
        <w:tc>
          <w:tcPr>
            <w:tcW w:w="69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(2)</w:t>
            </w:r>
          </w:p>
        </w:tc>
        <w:tc>
          <w:tcPr>
            <w:tcW w:w="2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tcPr>
          <w:p>
            <w:pPr>
              <w:ind w:left="180"/>
              <w:spacing w:after="0" w:line="256" w:lineRule="exact"/>
              <w:rPr>
                <w:sz w:val="20"/>
                <w:szCs w:val="20"/>
                <w:color w:val="auto"/>
              </w:rPr>
            </w:pPr>
            <w:r>
              <w:rPr>
                <w:rFonts w:ascii="Arial" w:cs="Arial" w:eastAsia="Arial" w:hAnsi="Arial"/>
                <w:sz w:val="18"/>
                <w:szCs w:val="18"/>
                <w:color w:val="auto"/>
              </w:rPr>
              <w:t>June Offering Costs</w:t>
            </w:r>
            <w:r>
              <w:rPr>
                <w:rFonts w:ascii="Arial" w:cs="Arial" w:eastAsia="Arial" w:hAnsi="Arial"/>
                <w:sz w:val="29"/>
                <w:szCs w:val="29"/>
                <w:color w:val="auto"/>
                <w:vertAlign w:val="superscript"/>
              </w:rPr>
              <w:t>(3)</w:t>
            </w:r>
          </w:p>
        </w:tc>
        <w:tc>
          <w:tcPr>
            <w:tcW w:w="280" w:type="dxa"/>
            <w:vAlign w:val="bottom"/>
          </w:tcPr>
          <w:p>
            <w:pPr>
              <w:spacing w:after="0"/>
              <w:rPr>
                <w:sz w:val="22"/>
                <w:szCs w:val="22"/>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904</w:t>
            </w:r>
          </w:p>
        </w:tc>
        <w:tc>
          <w:tcPr>
            <w:tcW w:w="260" w:type="dxa"/>
            <w:vAlign w:val="bottom"/>
          </w:tcPr>
          <w:p>
            <w:pPr>
              <w:spacing w:after="0"/>
              <w:rPr>
                <w:sz w:val="22"/>
                <w:szCs w:val="22"/>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(4)</w:t>
            </w:r>
          </w:p>
        </w:tc>
        <w:tc>
          <w:tcPr>
            <w:tcW w:w="2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77"/>
        </w:trPr>
        <w:tc>
          <w:tcPr>
            <w:tcW w:w="6980" w:type="dxa"/>
            <w:vAlign w:val="bottom"/>
          </w:tcPr>
          <w:p>
            <w:pPr>
              <w:ind w:left="180"/>
              <w:spacing w:after="0" w:line="270" w:lineRule="exact"/>
              <w:rPr>
                <w:sz w:val="20"/>
                <w:szCs w:val="20"/>
                <w:color w:val="auto"/>
              </w:rPr>
            </w:pPr>
            <w:r>
              <w:rPr>
                <w:rFonts w:ascii="Arial" w:cs="Arial" w:eastAsia="Arial" w:hAnsi="Arial"/>
                <w:sz w:val="18"/>
                <w:szCs w:val="18"/>
                <w:color w:val="auto"/>
              </w:rPr>
              <w:t>Change in Fair Market Value of Warrant Liability</w:t>
            </w:r>
            <w:r>
              <w:rPr>
                <w:rFonts w:ascii="Arial" w:cs="Arial" w:eastAsia="Arial" w:hAnsi="Arial"/>
                <w:sz w:val="29"/>
                <w:szCs w:val="29"/>
                <w:color w:val="auto"/>
                <w:vertAlign w:val="superscript"/>
              </w:rPr>
              <w:t>(5)</w:t>
            </w:r>
          </w:p>
        </w:tc>
        <w:tc>
          <w:tcPr>
            <w:tcW w:w="280" w:type="dxa"/>
            <w:vAlign w:val="bottom"/>
          </w:tcPr>
          <w:p>
            <w:pPr>
              <w:spacing w:after="0"/>
              <w:rPr>
                <w:sz w:val="24"/>
                <w:szCs w:val="24"/>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(19,327)</w:t>
            </w:r>
          </w:p>
        </w:tc>
        <w:tc>
          <w:tcPr>
            <w:tcW w:w="260" w:type="dxa"/>
            <w:vAlign w:val="bottom"/>
          </w:tcPr>
          <w:p>
            <w:pPr>
              <w:spacing w:after="0"/>
              <w:rPr>
                <w:sz w:val="24"/>
                <w:szCs w:val="2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Stock-Based Compensation is comprised of costs associated with option and RSU grants made to our employees, consultants and board members.</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Separation Agreement is comprised of $720 in cash severance associated with the separation agreement dated April 26, 2023 between us and our former Chief Legal Officer.</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June Offering Costs is comprised of fees and expenses, including legal, accounting, and other expenses associated with our secondary offering.</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former Chief Financial Officer.</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in fair market value of warrant liability represents the change in fair value January 1, 2023 through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2023-08-21T15:36:52Z</dcterms:created>
  <dcterms:modified xsi:type="dcterms:W3CDTF">2023-08-21T15:36:52Z</dcterms:modified>
</cp:coreProperties>
</file>