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29,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8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6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46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7"/>
                <w:szCs w:val="17"/>
                <w:color w:val="auto"/>
              </w:rPr>
            </w:pPr>
          </w:p>
        </w:tc>
        <w:tc>
          <w:tcPr>
            <w:tcW w:w="1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7"/>
                <w:szCs w:val="17"/>
                <w:color w:val="auto"/>
              </w:rPr>
            </w:pP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1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 at an</w:t>
            </w: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 price of $11.50 per share, subject to adjustment</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December 29, 2023,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received a waiver (the “</w:t>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from the lenders its Term Loan, Guarantee and Security Agreement (as amended,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in regards to its compliance with the Senior Leverage Ratio and Fixed Charge Coverage Ratio tests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as of the last day of the quarter ending December 31, 2023. The Waiver provided for a one-time issuance of penny warrants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to purchase up to 1,286,671 shares of the Company’s common stock, par value $0.0001 per share (the “</w:t>
      </w:r>
      <w:r>
        <w:rPr>
          <w:rFonts w:ascii="Times New Roman" w:cs="Times New Roman" w:eastAsia="Times New Roman" w:hAnsi="Times New Roman"/>
          <w:sz w:val="18"/>
          <w:szCs w:val="18"/>
          <w:b w:val="1"/>
          <w:bCs w:val="1"/>
          <w:color w:val="auto"/>
        </w:rPr>
        <w:t>Penny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an exercise price of $0.01 per share, in connection with the lenders’ agreement to waive the Tests under the Loan Agreement for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2023. The Penny Warrants are immediately exercisable upon issuance and will expire ten years from the date of issuance.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and description of the provisions of the Waiver and the Penny Warrants does not purport to be complete and is qualified in its entirety by reference to the full text of the Waiver and form of Penny Warrant, copies of which are filed as Exhibits 4.1 and 10.1, respectively to this Current Report on Form 8-K and are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above in Item 1.01 related to the Waiver, Penny Warrant and Penny Warrant Shares is hereby incorporated by reference into this Item 3.02. The Penny Warrant and the Penny Warrant Shares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are instead being offered pursuant to the exemption provided in Section 4(a)(2) under the Securities Act.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20" w:type="dxa"/>
            <w:vAlign w:val="bottom"/>
            <w:tcBorders>
              <w:top w:val="single" w:sz="8" w:color="auto"/>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Form of Penny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Limited Waiver, dated as of December 29, 2023, to the Term Loan, Guarantee and Security Agreement, dated as of October 7, 2022, by and</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among Dragonfly Energy Holdings Corp., Dragonfly Energy Corp., the lenders from time to time party thereto and Alter Domus (US) LLC.</w:t>
            </w:r>
          </w:p>
        </w:tc>
        <w:tc>
          <w:tcPr>
            <w:tcW w:w="20" w:type="dxa"/>
            <w:vAlign w:val="bottom"/>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0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 w:type="dxa"/>
            <w:vAlign w:val="bottom"/>
            <w:gridSpan w:val="2"/>
          </w:tcPr>
          <w:p>
            <w:pPr>
              <w:spacing w:after="0"/>
              <w:rPr>
                <w:sz w:val="20"/>
                <w:szCs w:val="20"/>
                <w:color w:val="auto"/>
              </w:rPr>
            </w:pP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Dated: December 29,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7" w:lineRule="exact"/>
        <w:rPr>
          <w:sz w:val="20"/>
          <w:szCs w:val="20"/>
          <w:color w:val="auto"/>
        </w:rPr>
      </w:pPr>
    </w:p>
    <w:p>
      <w:pPr>
        <w:ind w:left="5640"/>
        <w:spacing w:after="0"/>
        <w:tabs>
          <w:tab w:leader="none" w:pos="6180" w:val="left"/>
          <w:tab w:leader="none" w:pos="7580" w:val="left"/>
          <w:tab w:leader="none" w:pos="8260" w:val="left"/>
          <w:tab w:leader="none" w:pos="8940" w:val="left"/>
          <w:tab w:leader="none" w:pos="9480" w:val="left"/>
          <w:tab w:leader="none" w:pos="10300" w:val="left"/>
          <w:tab w:leader="none" w:pos="10940" w:val="left"/>
        </w:tabs>
        <w:rPr>
          <w:sz w:val="20"/>
          <w:szCs w:val="20"/>
          <w:color w:val="auto"/>
        </w:rPr>
      </w:pPr>
      <w:r>
        <w:rPr>
          <w:rFonts w:ascii="Times New Roman" w:cs="Times New Roman" w:eastAsia="Times New Roman" w:hAnsi="Times New Roman"/>
          <w:sz w:val="18"/>
          <w:szCs w:val="18"/>
          <w:color w:val="auto"/>
        </w:rPr>
        <w:t>Title:</w:t>
        <w:tab/>
        <w:t>Chief  Executive</w:t>
        <w:tab/>
        <w:t>Officer,</w:t>
        <w:tab/>
        <w:t>Interim</w:t>
        <w:tab/>
        <w:t>Chief</w:t>
        <w:tab/>
        <w:t>Financial</w:t>
        <w:tab/>
        <w:t>Officer</w:t>
        <w:tab/>
        <w:t>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PENNY WARRANT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REGISTRATION IS AVAILABLE. THIS WARRANT MUST BE SURRENDERED TO THE COMPANY OR ITS TRANSFER AGENT AS A CONDITION PRECEDENT TO THE SALE, TRANSFER, PLEDGE OR HYPOTHECATION OF ANY INTEREST IN ANY OF THE SECURITIES REPRESENTED HEREBY.</w:t>
      </w:r>
    </w:p>
    <w:p>
      <w:pPr>
        <w:spacing w:after="0" w:line="182" w:lineRule="exact"/>
        <w:rPr>
          <w:sz w:val="20"/>
          <w:szCs w:val="20"/>
          <w:color w:val="auto"/>
        </w:rPr>
      </w:pPr>
    </w:p>
    <w:p>
      <w:pPr>
        <w:spacing w:after="0"/>
        <w:tabs>
          <w:tab w:leader="none" w:pos="9660" w:val="left"/>
        </w:tabs>
        <w:rPr>
          <w:sz w:val="20"/>
          <w:szCs w:val="20"/>
          <w:color w:val="auto"/>
        </w:rPr>
      </w:pPr>
      <w:r>
        <w:rPr>
          <w:rFonts w:ascii="Times New Roman" w:cs="Times New Roman" w:eastAsia="Times New Roman" w:hAnsi="Times New Roman"/>
          <w:sz w:val="18"/>
          <w:szCs w:val="18"/>
          <w:b w:val="1"/>
          <w:bCs w:val="1"/>
          <w:color w:val="auto"/>
        </w:rPr>
        <w:t>NUMBER [____]</w:t>
      </w:r>
      <w:r>
        <w:rPr>
          <w:sz w:val="20"/>
          <w:szCs w:val="20"/>
          <w:color w:val="auto"/>
        </w:rPr>
        <w:tab/>
      </w:r>
      <w:r>
        <w:rPr>
          <w:rFonts w:ascii="Times New Roman" w:cs="Times New Roman" w:eastAsia="Times New Roman" w:hAnsi="Times New Roman"/>
          <w:sz w:val="17"/>
          <w:szCs w:val="17"/>
          <w:b w:val="1"/>
          <w:bCs w:val="1"/>
          <w:color w:val="auto"/>
        </w:rPr>
        <w:t>[____] WARRANTS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WARRANT WILL BE VOID IF NOT EXERCISED PRIOR TO THE EXPIRATION DATE (DEFINED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CERTIFIES THAT, for value received ________________, is the registered holder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of a warrant or warrants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is entitled to purchase up to _____________ fully paid and non-assessable shares of common stock, par value $0.0001 per share</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Dragonfly Energy Holdings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at a purchase price per Share (the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of $0.01 per share (as adjusted from time to time in accordance with this Warrant). This Warrant is issued in connection with that certain (i) term loan, guarantee and security agreement among Alter Domus (US) LLC, Dragonfly Energy Corp., EICF Agent LLC and the other credit parties signatory thereto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(ii) limited waiver among Alter Domus (US) LLC, Dragonfly Energy Corp., EICF Agent LLC and the other credit parties signatory thereto (the “</w:t>
      </w:r>
      <w:r>
        <w:rPr>
          <w:rFonts w:ascii="Times New Roman" w:cs="Times New Roman" w:eastAsia="Times New Roman" w:hAnsi="Times New Roman"/>
          <w:sz w:val="18"/>
          <w:szCs w:val="18"/>
          <w:u w:val="single" w:color="auto"/>
          <w:color w:val="auto"/>
        </w:rPr>
        <w:t>Limited Waiver</w:t>
      </w:r>
      <w:r>
        <w:rPr>
          <w:rFonts w:ascii="Times New Roman" w:cs="Times New Roman" w:eastAsia="Times New Roman" w:hAnsi="Times New Roman"/>
          <w:sz w:val="18"/>
          <w:szCs w:val="18"/>
          <w:color w:val="auto"/>
        </w:rPr>
        <w:t>”). The Warrant represented by this certificate is referred to herein as the “</w:t>
      </w:r>
      <w:r>
        <w:rPr>
          <w:rFonts w:ascii="Times New Roman" w:cs="Times New Roman" w:eastAsia="Times New Roman" w:hAnsi="Times New Roman"/>
          <w:sz w:val="18"/>
          <w:szCs w:val="18"/>
          <w:u w:val="single" w:color="auto"/>
          <w:color w:val="auto"/>
        </w:rPr>
        <w:t>Warrant Certificate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Exercise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this Warrant shall be exercisable, in whole or in part, commencing the date hereof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and ending on the ten-year anniversary of the issuance date of this Warrant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entitles the holder thereof to purchase Shares from the Company, commencing on the Issuance Date upon surrender of this Warrant, delivery of the Notice of Exercise form attached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duly executed to the office of the Company, Dragonfly Energy Holdings Corp., Attention: Chief Financial Officer, 1190 Trademark Dr. #108, Reno, NV 89521 legal@dragflyenergy.com (or such other office or agency of the Company as it may designate by notice in writing to the Holder at the address of the Holder appearing on the books of the Company) and payment of the Warrant Price (by cash or by check or bank draft payable to the order of the Company or pursuant to Section 1(d) below) whereupon the Holder shall be entitled to receive from the Company a stock certificate representing the number of Shares so purchased. In no event will the Company be required to net cash settle any warrant exercise.</w:t>
      </w:r>
    </w:p>
    <w:p>
      <w:pPr>
        <w:spacing w:after="0" w:line="188"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have the right, in lieu of paying the Warrant Price in cash, to surrender a number of Warrants having a Fair Market Value equal to the aggregate Warrant Price (a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particular date of determination, (i) if the Shares are then traded or quoted on a nationally recognized securities exchange, inter-dealer quotation system or over-the-counter market (a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determine the fair market value of a Share in its reasonable, good faith judgment, subject to the Holder’s right to dispute such determination as provided in Section 1(d)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972"/>
        <w:spacing w:after="0"/>
        <w:rPr>
          <w:sz w:val="20"/>
          <w:szCs w:val="20"/>
          <w:color w:val="auto"/>
        </w:rPr>
      </w:pPr>
      <w:r>
        <w:rPr>
          <w:rFonts w:ascii="Times New Roman" w:cs="Times New Roman" w:eastAsia="Times New Roman" w:hAnsi="Times New Roman"/>
          <w:sz w:val="18"/>
          <w:szCs w:val="18"/>
          <w:color w:val="auto"/>
        </w:rPr>
        <w:t>In the event of such a Cashless Exercise, the number of Shares to be issued to the Holder shall be determined as follows:</w:t>
      </w:r>
    </w:p>
    <w:p>
      <w:pPr>
        <w:spacing w:after="0" w:line="225"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jc w:val="both"/>
        <w:ind w:left="972" w:hanging="324"/>
        <w:spacing w:after="0" w:line="255" w:lineRule="auto"/>
        <w:tabs>
          <w:tab w:leader="none" w:pos="97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183"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No Fractional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three business days after the exercise of this Warrant and the clearance of the funds in payment of the applicable Warrant Price (if any) (the “</w:t>
      </w:r>
      <w:r>
        <w:rPr>
          <w:rFonts w:ascii="Times New Roman" w:cs="Times New Roman" w:eastAsia="Times New Roman" w:hAnsi="Times New Roman"/>
          <w:sz w:val="18"/>
          <w:szCs w:val="18"/>
          <w:u w:val="single" w:color="auto"/>
          <w:color w:val="auto"/>
        </w:rPr>
        <w:t>Delivery Deadline</w:t>
      </w:r>
      <w:r>
        <w:rPr>
          <w:rFonts w:ascii="Times New Roman" w:cs="Times New Roman" w:eastAsia="Times New Roman" w:hAnsi="Times New Roman"/>
          <w:sz w:val="18"/>
          <w:szCs w:val="18"/>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exercise, the Company has a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Agent is participating in the DTC Fast Automated Securities Transfer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5" w:name="page6"/>
    <w:bookmarkEnd w:id="5"/>
    <w:p>
      <w:pPr>
        <w:ind w:left="972" w:hanging="324"/>
        <w:spacing w:after="0" w:line="282"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fails to transmit, or cause the Transfer Agent to transmit, to the Holder the Shares by the Delivery Deadline, then the Holder will have the right to rescind such Warrant exercise.</w:t>
      </w:r>
    </w:p>
    <w:p>
      <w:pPr>
        <w:spacing w:after="0" w:line="161"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Times New Roman" w:cs="Times New Roman" w:eastAsia="Times New Roman" w:hAnsi="Times New Roman"/>
          <w:sz w:val="18"/>
          <w:szCs w:val="18"/>
          <w:u w:val="single" w:color="auto"/>
          <w:color w:val="auto"/>
        </w:rPr>
        <w:t>Delivery Failure</w:t>
      </w:r>
      <w:r>
        <w:rPr>
          <w:rFonts w:ascii="Times New Roman" w:cs="Times New Roman" w:eastAsia="Times New Roman" w:hAnsi="Times New Roman"/>
          <w:sz w:val="18"/>
          <w:szCs w:val="18"/>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Times New Roman" w:cs="Times New Roman" w:eastAsia="Times New Roman" w:hAnsi="Times New Roman"/>
          <w:sz w:val="18"/>
          <w:szCs w:val="18"/>
          <w:u w:val="single" w:color="auto"/>
          <w:color w:val="auto"/>
        </w:rPr>
        <w:t>Anticipated Sale</w:t>
      </w:r>
      <w:r>
        <w:rPr>
          <w:rFonts w:ascii="Times New Roman" w:cs="Times New Roman" w:eastAsia="Times New Roman" w:hAnsi="Times New Roman"/>
          <w:sz w:val="18"/>
          <w:szCs w:val="18"/>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189"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and Registry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7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6" w:name="page7"/>
    <w:bookmarkEnd w:id="6"/>
    <w:p>
      <w:pPr>
        <w:ind w:left="332" w:hanging="332"/>
        <w:spacing w:after="0"/>
        <w:tabs>
          <w:tab w:leader="none" w:pos="3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 in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12" w:hanging="316"/>
        <w:spacing w:after="0" w:line="254" w:lineRule="auto"/>
        <w:tabs>
          <w:tab w:leader="none" w:pos="161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as determined in good faith by the Board, which determination shall be final and binding on the Holders absent manifest error.</w:t>
      </w:r>
    </w:p>
    <w:p>
      <w:pPr>
        <w:spacing w:after="0" w:line="191" w:lineRule="exact"/>
        <w:rPr>
          <w:rFonts w:ascii="Times New Roman" w:cs="Times New Roman" w:eastAsia="Times New Roman" w:hAnsi="Times New Roman"/>
          <w:sz w:val="18"/>
          <w:szCs w:val="18"/>
          <w:color w:val="auto"/>
        </w:rPr>
      </w:pPr>
    </w:p>
    <w:p>
      <w:pPr>
        <w:jc w:val="both"/>
        <w:ind w:left="1612" w:hanging="316"/>
        <w:spacing w:after="0" w:line="256" w:lineRule="auto"/>
        <w:tabs>
          <w:tab w:leader="none" w:pos="161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for Issuance of Applicable Shares</w:t>
      </w:r>
      <w:r>
        <w:rPr>
          <w:rFonts w:ascii="Times New Roman" w:cs="Times New Roman" w:eastAsia="Times New Roman" w:hAnsi="Times New Roman"/>
          <w:sz w:val="18"/>
          <w:szCs w:val="18"/>
          <w:color w:val="auto"/>
        </w:rPr>
        <w:t>. If, after the Issuance Date, the Company shall issue or sell any Shares (other than shares included in the Excluded Issuances, as defined below) (the “</w:t>
      </w:r>
      <w:r>
        <w:rPr>
          <w:rFonts w:ascii="Times New Roman" w:cs="Times New Roman" w:eastAsia="Times New Roman" w:hAnsi="Times New Roman"/>
          <w:sz w:val="18"/>
          <w:szCs w:val="18"/>
          <w:u w:val="single" w:color="auto"/>
          <w:color w:val="auto"/>
        </w:rPr>
        <w:t>Applicable Shares</w:t>
      </w:r>
      <w:r>
        <w:rPr>
          <w:rFonts w:ascii="Times New Roman" w:cs="Times New Roman" w:eastAsia="Times New Roman" w:hAnsi="Times New Roman"/>
          <w:sz w:val="18"/>
          <w:szCs w:val="18"/>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[$10] (as proportionately adjusted to account for stock splits, stock combinations, stock dividends or other distributions and recapitalizations affecting the Common Stock) (the “</w:t>
      </w:r>
      <w:r>
        <w:rPr>
          <w:rFonts w:ascii="Times New Roman" w:cs="Times New Roman" w:eastAsia="Times New Roman" w:hAnsi="Times New Roman"/>
          <w:sz w:val="18"/>
          <w:szCs w:val="18"/>
          <w:u w:val="single" w:color="auto"/>
          <w:color w:val="auto"/>
        </w:rPr>
        <w:t>Original Price</w:t>
      </w:r>
      <w:r>
        <w:rPr>
          <w:rFonts w:ascii="Times New Roman" w:cs="Times New Roman" w:eastAsia="Times New Roman" w:hAnsi="Times New Roman"/>
          <w:sz w:val="18"/>
          <w:szCs w:val="18"/>
          <w:color w:val="auto"/>
        </w:rPr>
        <w:t>”), then effective immediately upon such issuance or sale, the number of Shares issuable upon exercise of this Warrant immediately prior to any such issuance or sale shall be increased, and shall not be reduced, in accordance with the following formula:</w:t>
      </w:r>
    </w:p>
    <w:p>
      <w:pPr>
        <w:spacing w:after="0" w:line="59" w:lineRule="exact"/>
        <w:rPr>
          <w:sz w:val="20"/>
          <w:szCs w:val="20"/>
          <w:color w:val="auto"/>
        </w:rPr>
      </w:pPr>
    </w:p>
    <w:p>
      <w:pPr>
        <w:ind w:left="495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S x [(OS + D) / (OS + PS)]</w:t>
      </w:r>
    </w:p>
    <w:p>
      <w:pPr>
        <w:spacing w:after="0" w:line="11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29"/>
          <w:szCs w:val="29"/>
          <w:color w:val="auto"/>
          <w:vertAlign w:val="subscript"/>
        </w:rPr>
        <w:t>1</w:t>
      </w:r>
      <w:r>
        <w:rPr>
          <w:rFonts w:ascii="Times New Roman" w:cs="Times New Roman" w:eastAsia="Times New Roman" w:hAnsi="Times New Roman"/>
          <w:sz w:val="18"/>
          <w:szCs w:val="18"/>
          <w:color w:val="auto"/>
        </w:rPr>
        <w:t xml:space="preserve"> = new number of Shares issuable upon exercise of this Warrant</w:t>
      </w:r>
    </w:p>
    <w:p>
      <w:pPr>
        <w:spacing w:after="0" w:line="4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S = then applicable number of Shares issuable upon exercise of this Warrant immediately prior to the issuance or sale</w:t>
      </w:r>
    </w:p>
    <w:p>
      <w:pPr>
        <w:spacing w:after="0" w:line="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OS = the number of Shares outstanding immediately prior to the issuance of such securities</w:t>
      </w:r>
    </w:p>
    <w:p>
      <w:pPr>
        <w:spacing w:after="0" w:line="9"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D = the maximum number of Shares deliverable upon issuance of such securities</w:t>
      </w:r>
    </w:p>
    <w:p>
      <w:pPr>
        <w:spacing w:after="0" w:line="9" w:lineRule="exact"/>
        <w:rPr>
          <w:sz w:val="20"/>
          <w:szCs w:val="20"/>
          <w:color w:val="auto"/>
        </w:rPr>
      </w:pPr>
    </w:p>
    <w:p>
      <w:pPr>
        <w:ind w:left="972"/>
        <w:spacing w:after="0" w:line="260" w:lineRule="auto"/>
        <w:rPr>
          <w:sz w:val="20"/>
          <w:szCs w:val="20"/>
          <w:color w:val="auto"/>
        </w:rPr>
      </w:pPr>
      <w:r>
        <w:rPr>
          <w:rFonts w:ascii="Times New Roman" w:cs="Times New Roman" w:eastAsia="Times New Roman" w:hAnsi="Times New Roman"/>
          <w:sz w:val="18"/>
          <w:szCs w:val="18"/>
          <w:color w:val="auto"/>
        </w:rPr>
        <w:t>PS = the aggregate number of Shares which the aggregate amount of consideration received by the Company upon such issuance or sale would have purchased at the Original Price</w:t>
      </w:r>
    </w:p>
    <w:p>
      <w:pPr>
        <w:spacing w:after="0" w:line="181" w:lineRule="exact"/>
        <w:rPr>
          <w:sz w:val="20"/>
          <w:szCs w:val="20"/>
          <w:color w:val="auto"/>
        </w:rPr>
      </w:pPr>
    </w:p>
    <w:p>
      <w:pPr>
        <w:jc w:val="both"/>
        <w:ind w:left="972" w:hanging="324"/>
        <w:spacing w:after="0" w:line="253" w:lineRule="auto"/>
        <w:tabs>
          <w:tab w:leader="none" w:pos="9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Dividends and Distributions</w:t>
      </w:r>
      <w:r>
        <w:rPr>
          <w:rFonts w:ascii="Times New Roman" w:cs="Times New Roman" w:eastAsia="Times New Roman" w:hAnsi="Times New Roman"/>
          <w:sz w:val="18"/>
          <w:szCs w:val="18"/>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7" w:name="page8"/>
    <w:bookmarkEnd w:id="7"/>
    <w:p>
      <w:pPr>
        <w:jc w:val="both"/>
        <w:ind w:left="324" w:hanging="324"/>
        <w:spacing w:after="0" w:line="258"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number of the Shares issuable upon exercise of this Warrant so as to protect the rights of the Holder in a manner consistent with the provisions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such adjustment pursuant to this Section 4(d) shall increase the Warrant Price or decrease the number of the Shares issuable hereunder.</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Adjustments</w:t>
      </w:r>
      <w:r>
        <w:rPr>
          <w:rFonts w:ascii="Times New Roman" w:cs="Times New Roman" w:eastAsia="Times New Roman" w:hAnsi="Times New Roman"/>
          <w:sz w:val="18"/>
          <w:szCs w:val="18"/>
          <w:color w:val="auto"/>
        </w:rPr>
        <w:t>. Except as specifically provided for herein, there shall be no adjustment or readjustment to the number of Shares issuable in the following circumstances (each of the following, an “</w:t>
      </w:r>
      <w:r>
        <w:rPr>
          <w:rFonts w:ascii="Times New Roman" w:cs="Times New Roman" w:eastAsia="Times New Roman" w:hAnsi="Times New Roman"/>
          <w:sz w:val="18"/>
          <w:szCs w:val="18"/>
          <w:u w:val="single" w:color="auto"/>
          <w:color w:val="auto"/>
        </w:rPr>
        <w:t>Excluded Issuance</w:t>
      </w:r>
      <w:r>
        <w:rPr>
          <w:rFonts w:ascii="Times New Roman" w:cs="Times New Roman" w:eastAsia="Times New Roman" w:hAnsi="Times New Roman"/>
          <w:sz w:val="18"/>
          <w:szCs w:val="18"/>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at least $5 per share (as proportionately adjusted to account for stock splits, stock combinations, stock dividends or other distributions or recapitalizations affecting the Common Stock). For example (x) if the Company issues equity securities in a PIPE Transaction or pursuant to the Committed Equity Facility, and the consideration paid for those equity securities is $4 per equity security, then such issuance shall not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apply, and (y) if the Company issues equity securities in a PIPE Transaction or pursuant to the Committed Equity Facility, and the consideration paid for those equity securities is $5 per equity security, then such issuance shall be an Excluded Issuance and the adjustment set forth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apply. As used herein, “</w:t>
      </w:r>
      <w:r>
        <w:rPr>
          <w:rFonts w:ascii="Times New Roman" w:cs="Times New Roman" w:eastAsia="Times New Roman" w:hAnsi="Times New Roman"/>
          <w:sz w:val="18"/>
          <w:szCs w:val="18"/>
          <w:u w:val="single" w:color="auto"/>
          <w:color w:val="auto"/>
        </w:rPr>
        <w:t>Committed Equity Facility</w:t>
      </w:r>
      <w:r>
        <w:rPr>
          <w:rFonts w:ascii="Times New Roman" w:cs="Times New Roman" w:eastAsia="Times New Roman" w:hAnsi="Times New Roman"/>
          <w:sz w:val="18"/>
          <w:szCs w:val="18"/>
          <w:color w:val="auto"/>
        </w:rPr>
        <w:t>” means the ChEF Purchase Agreement by and between Chardan Capital Markets LLC and Dragonfly Energy Holdings Corp., including any modification, amendment or replacement thereof.</w:t>
      </w:r>
    </w:p>
    <w:p>
      <w:pPr>
        <w:spacing w:after="0" w:line="190"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Upon the occurrence of each adjustment or readjustment of the number of Shares issuable on the exercise of each Warrant, the Company (at its expense) shall promptly compute such adjustment or readjustment in accordance with the terms hereof and furnish to the Holder a notice setting forth (1) such adjustment or readjustment and showing in detail the facts upon which such adjustment or readjustment is based and (2) the number of Shares issuable on the exercise of each Warrant at the time in effect.</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other than in the ordinary course,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All calculations hereunder shall be made to the nearest cent or to the nearest twentieth decimal place of a fractional Share,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251460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8" w:name="page9"/>
    <w:bookmarkEnd w:id="8"/>
    <w:p>
      <w:pPr>
        <w:ind w:left="332" w:hanging="332"/>
        <w:spacing w:after="0"/>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on any form of registration statement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91"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9" w:name="page10"/>
    <w:bookmarkEnd w:id="9"/>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the Company shall:</w:t>
      </w:r>
    </w:p>
    <w:p>
      <w:pPr>
        <w:spacing w:after="0" w:line="225" w:lineRule="exact"/>
        <w:rPr>
          <w:rFonts w:ascii="Times New Roman" w:cs="Times New Roman" w:eastAsia="Times New Roman" w:hAnsi="Times New Roman"/>
          <w:sz w:val="18"/>
          <w:szCs w:val="18"/>
          <w:color w:val="auto"/>
        </w:rPr>
      </w:pPr>
    </w:p>
    <w:p>
      <w:pPr>
        <w:jc w:val="both"/>
        <w:ind w:left="964" w:hanging="316"/>
        <w:spacing w:after="0" w:line="256"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187"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(x) prevent the issuance of any stop order or other suspension of effectiveness and (y) if such order is issued, obtain the withdrawal of any such order as soon as practicable;</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19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or warrant agent, if any, as applicable, and registrar for all such Registrable Securities no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jc w:val="both"/>
        <w:ind w:left="964" w:hanging="316"/>
        <w:spacing w:after="0" w:line="254"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 w:cs="Times New Roman" w:eastAsia="Times New Roman" w:hAnsi="Times New Roman"/>
          <w:sz w:val="18"/>
          <w:szCs w:val="18"/>
          <w:u w:val="single" w:color="auto"/>
          <w:color w:val="auto"/>
        </w:rPr>
        <w:t>Misstatement</w:t>
      </w:r>
      <w:r>
        <w:rPr>
          <w:rFonts w:ascii="Times New Roman" w:cs="Times New Roman" w:eastAsia="Times New Roman" w:hAnsi="Times New Roman"/>
          <w:sz w:val="18"/>
          <w:szCs w:val="18"/>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9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comply with all applicable rules and regulations of the SEC under the Securities Act and the Exchange Act; and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in good faith, cooperate reasonably with, and take such customary actions as may reasonably be requested by the Holder, consistent with the terms of this Warrant, in connection with such registration.</w:t>
      </w:r>
    </w:p>
    <w:p>
      <w:pPr>
        <w:spacing w:after="0" w:line="188"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0" w:name="page11"/>
    <w:bookmarkEnd w:id="10"/>
    <w:p>
      <w:pPr>
        <w:jc w:val="both"/>
        <w:ind w:left="324" w:hanging="324"/>
        <w:spacing w:after="0" w:line="258"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53"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 (3) use commercially reasonable efforts to terminate an Allowed Delay as promptly as reasonably practicable.</w:t>
      </w:r>
    </w:p>
    <w:p>
      <w:pPr>
        <w:spacing w:after="0" w:line="18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Holder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269875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1" w:name="page12"/>
    <w:bookmarkEnd w:id="11"/>
    <w:p>
      <w:pPr>
        <w:jc w:val="both"/>
        <w:ind w:left="972" w:hanging="324"/>
        <w:spacing w:after="0" w:line="253"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Compliance with Securities Laws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188"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183" w:lineRule="exact"/>
        <w:rPr>
          <w:rFonts w:ascii="Times New Roman" w:cs="Times New Roman" w:eastAsia="Times New Roman" w:hAnsi="Times New Roman"/>
          <w:sz w:val="18"/>
          <w:szCs w:val="18"/>
          <w:color w:val="auto"/>
        </w:rPr>
      </w:pPr>
    </w:p>
    <w:p>
      <w:pPr>
        <w:jc w:val="both"/>
        <w:ind w:left="97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EVIDENCED HEREBY HAVE NOT BEEN REGISTERED UNDER THE SECURITIES ACT OF 1933, AS AMENDED (THE “SECURITIES ACT”), OR ANY 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2" w:name="page13"/>
    <w:bookmarkEnd w:id="12"/>
    <w:p>
      <w:pPr>
        <w:jc w:val="both"/>
        <w:ind w:left="332" w:hanging="332"/>
        <w:spacing w:after="0" w:line="253" w:lineRule="auto"/>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Restrictive Legends</w:t>
      </w:r>
      <w:r>
        <w:rPr>
          <w:rFonts w:ascii="Times New Roman" w:cs="Times New Roman" w:eastAsia="Times New Roman" w:hAnsi="Times New Roman"/>
          <w:sz w:val="18"/>
          <w:szCs w:val="18"/>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Times New Roman" w:cs="Times New Roman" w:eastAsia="Times New Roman" w:hAnsi="Times New Roman"/>
          <w:sz w:val="18"/>
          <w:szCs w:val="18"/>
          <w:u w:val="single" w:color="auto"/>
          <w:color w:val="auto"/>
        </w:rPr>
        <w:t>Unrestricted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94" w:lineRule="exact"/>
        <w:rPr>
          <w:rFonts w:ascii="Times New Roman" w:cs="Times New Roman" w:eastAsia="Times New Roman" w:hAnsi="Times New Roman"/>
          <w:sz w:val="18"/>
          <w:szCs w:val="18"/>
          <w:color w:val="auto"/>
        </w:rPr>
      </w:pPr>
    </w:p>
    <w:p>
      <w:pPr>
        <w:ind w:left="332" w:right="20" w:hanging="332"/>
        <w:spacing w:after="0" w:line="282" w:lineRule="auto"/>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79" w:lineRule="exact"/>
        <w:rPr>
          <w:rFonts w:ascii="Times New Roman" w:cs="Times New Roman" w:eastAsia="Times New Roman" w:hAnsi="Times New Roman"/>
          <w:sz w:val="18"/>
          <w:szCs w:val="18"/>
          <w:color w:val="auto"/>
        </w:rPr>
      </w:pPr>
    </w:p>
    <w:p>
      <w:pPr>
        <w:jc w:val="both"/>
        <w:ind w:left="972" w:hanging="324"/>
        <w:spacing w:after="0" w:line="253"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Binding Obligation</w:t>
      </w:r>
      <w:r>
        <w:rPr>
          <w:rFonts w:ascii="Times New Roman" w:cs="Times New Roman" w:eastAsia="Times New Roman" w:hAnsi="Times New Roman"/>
          <w:sz w:val="18"/>
          <w:szCs w:val="18"/>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 (i) the execution or enforceability of this Warrant or (ii) the consummation of any of the transactions contemplated hereby, including the issuance of the Shares upon exercise of this Warrant.</w:t>
      </w:r>
    </w:p>
    <w:p>
      <w:pPr>
        <w:spacing w:after="0" w:line="194" w:lineRule="exact"/>
        <w:rPr>
          <w:rFonts w:ascii="Times New Roman" w:cs="Times New Roman" w:eastAsia="Times New Roman" w:hAnsi="Times New Roman"/>
          <w:sz w:val="18"/>
          <w:szCs w:val="18"/>
          <w:color w:val="auto"/>
        </w:rPr>
      </w:pPr>
    </w:p>
    <w:p>
      <w:pPr>
        <w:jc w:val="both"/>
        <w:ind w:left="972" w:hanging="324"/>
        <w:spacing w:after="0" w:line="266"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Other Instruments</w:t>
      </w:r>
      <w:r>
        <w:rPr>
          <w:rFonts w:ascii="Times New Roman" w:cs="Times New Roman" w:eastAsia="Times New Roman" w:hAnsi="Times New Roman"/>
          <w:sz w:val="18"/>
          <w:szCs w:val="18"/>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3" w:name="page14"/>
    <w:bookmarkEnd w:id="13"/>
    <w:p>
      <w:pPr>
        <w:jc w:val="both"/>
        <w:ind w:left="972" w:hanging="324"/>
        <w:spacing w:after="0" w:line="254"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Company’s summary capitalization table attached hereto as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is true and complete, in all material respects, as of the Issuance Date. Except as described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Times New Roman" w:cs="Times New Roman" w:eastAsia="Times New Roman" w:hAnsi="Times New Roman"/>
          <w:sz w:val="18"/>
          <w:szCs w:val="18"/>
          <w:b w:val="1"/>
          <w:bCs w:val="1"/>
          <w:color w:val="auto"/>
        </w:rPr>
        <w:t>Schedule 1</w:t>
      </w:r>
      <w:r>
        <w:rPr>
          <w:rFonts w:ascii="Times New Roman" w:cs="Times New Roman" w:eastAsia="Times New Roman" w:hAnsi="Times New Roman"/>
          <w:sz w:val="18"/>
          <w:szCs w:val="18"/>
          <w:color w:val="auto"/>
        </w:rPr>
        <w:t>) under which the Company and any of its subsidiaries is or may be obligated to issue any equity securities of any kind, and neither the Company nor any of its subsidiaries is currently in negotiations for the issuance of any equity securities of any kind.</w:t>
      </w:r>
    </w:p>
    <w:p>
      <w:pPr>
        <w:spacing w:after="0" w:line="186" w:lineRule="exact"/>
        <w:rPr>
          <w:rFonts w:ascii="Times New Roman" w:cs="Times New Roman" w:eastAsia="Times New Roman" w:hAnsi="Times New Roman"/>
          <w:sz w:val="18"/>
          <w:szCs w:val="18"/>
          <w:color w:val="auto"/>
        </w:rPr>
      </w:pPr>
    </w:p>
    <w:p>
      <w:pPr>
        <w:jc w:val="both"/>
        <w:ind w:left="972" w:hanging="324"/>
        <w:spacing w:after="0" w:line="255"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Registration</w:t>
      </w:r>
      <w:r>
        <w:rPr>
          <w:rFonts w:ascii="Times New Roman" w:cs="Times New Roman" w:eastAsia="Times New Roman" w:hAnsi="Times New Roman"/>
          <w:sz w:val="18"/>
          <w:szCs w:val="18"/>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188"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 No Liability</w:t>
      </w:r>
      <w:r>
        <w:rPr>
          <w:rFonts w:ascii="Times New Roman" w:cs="Times New Roman" w:eastAsia="Times New Roman" w:hAnsi="Times New Roman"/>
          <w:sz w:val="18"/>
          <w:szCs w:val="18"/>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18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p>
    <w:p>
      <w:pPr>
        <w:spacing w:after="0" w:line="225" w:lineRule="exact"/>
        <w:rPr>
          <w:rFonts w:ascii="Times New Roman" w:cs="Times New Roman" w:eastAsia="Times New Roman" w:hAnsi="Times New Roman"/>
          <w:sz w:val="18"/>
          <w:szCs w:val="18"/>
          <w:color w:val="auto"/>
        </w:rPr>
      </w:pPr>
    </w:p>
    <w:p>
      <w:pPr>
        <w:jc w:val="both"/>
        <w:ind w:left="972" w:hanging="324"/>
        <w:spacing w:after="0" w:line="254" w:lineRule="auto"/>
        <w:tabs>
          <w:tab w:leader="none" w:pos="9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4" w:name="page15"/>
    <w:bookmarkEnd w:id="14"/>
    <w:p>
      <w:pPr>
        <w:jc w:val="both"/>
        <w:ind w:left="972" w:hanging="324"/>
        <w:spacing w:after="0" w:line="253" w:lineRule="auto"/>
        <w:tabs>
          <w:tab w:leader="none" w:pos="97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r>
        <w:rPr>
          <w:rFonts w:ascii="Times New Roman" w:cs="Times New Roman" w:eastAsia="Times New Roman" w:hAnsi="Times New Roman"/>
          <w:sz w:val="18"/>
          <w:szCs w:val="18"/>
          <w:u w:val="single" w:color="auto"/>
          <w:color w:val="auto"/>
        </w:rPr>
        <w:t>.</w:t>
      </w:r>
    </w:p>
    <w:p>
      <w:pPr>
        <w:spacing w:after="0" w:line="19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and shall not affect the interpretation thereof.</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notice, request or other document required or permitted to be given or delivered to the Holder or the Company shall be delivered through email, or shall be sent by certified or registered mail, postage prepaid, to the Holder at its address as shown on the books of the Company or to the Company at the address indicated therefor in the first paragraph of this Warrant.</w:t>
      </w:r>
    </w:p>
    <w:p>
      <w:pPr>
        <w:spacing w:after="0" w:line="17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construed and enforced in accordance with, and the rights of the parties shall be governed by, the laws of the State of New York.</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58"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3"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3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duly authorized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[___],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[Signature Page to Penny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Accepted and 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color w:val="auto"/>
        </w:rPr>
        <w:t>[Signature Page to Penny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301625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the Shares issuable upon the exercise of such Warrants, and requests that Certificates for such shares shall be issued in the name 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 at the address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Registered Holder irrevocably elects to exercise ______________ Warrants represented by this Warrant Certificate, and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purchase the Shares issuable upon the exercise of such Warrants, </w:t>
      </w:r>
      <w:r>
        <w:rPr>
          <w:rFonts w:ascii="Times New Roman" w:cs="Times New Roman" w:eastAsia="Times New Roman" w:hAnsi="Times New Roman"/>
          <w:sz w:val="18"/>
          <w:szCs w:val="18"/>
          <w:b w:val="1"/>
          <w:bCs w:val="1"/>
          <w:color w:val="auto"/>
        </w:rPr>
        <w:t>using the Cashless Exercise method, resulting in the issuance of ______ Shares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undersigned.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undersigned has calculated the number of Shares to be issued to it in accordance with the following formula set forth in Section 1(d)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X = Y[(A - B)/A]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 the Fair Market Value of one Share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Where the Fair Market Value of one Share is $[__], being the [average closing price or last sale price of the Shares reported for the five (5) business days prior to the applicable date of determination][last sale price of the Shares for the business day immediately prior to the applicable date of determination]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requests that Certificates for such shares shall be issued in the name 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288925</wp:posOffset>
            </wp:positionV>
            <wp:extent cx="35572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 AND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291465</wp:posOffset>
            </wp:positionV>
            <wp:extent cx="35572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FORM OF TRANSFER</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To Be Executed by the Registered Holder in Order to Transfer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_______________________ hereby sell, assign, and transfer unto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TYPE OR PRINT NAME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(SOCIAL SECURITY OR TAX IDENTIFICATION 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 _______________________________________________________________________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 NAME AND ADDRESS)</w:t>
      </w:r>
    </w:p>
    <w:p>
      <w:pPr>
        <w:spacing w:after="0" w:line="207" w:lineRule="exact"/>
        <w:rPr>
          <w:sz w:val="20"/>
          <w:szCs w:val="20"/>
          <w:color w:val="auto"/>
        </w:rPr>
      </w:pPr>
    </w:p>
    <w:p>
      <w:pPr>
        <w:spacing w:after="0"/>
        <w:tabs>
          <w:tab w:leader="none" w:pos="2140" w:val="left"/>
          <w:tab w:leader="none" w:pos="2480" w:val="left"/>
          <w:tab w:leader="none" w:pos="2880" w:val="left"/>
          <w:tab w:leader="none" w:pos="3700" w:val="left"/>
          <w:tab w:leader="none" w:pos="4720" w:val="left"/>
          <w:tab w:leader="none" w:pos="5080" w:val="left"/>
          <w:tab w:leader="none" w:pos="5520" w:val="left"/>
          <w:tab w:leader="none" w:pos="6260" w:val="left"/>
          <w:tab w:leader="none" w:pos="7260" w:val="left"/>
          <w:tab w:leader="none" w:pos="7680" w:val="left"/>
          <w:tab w:leader="none" w:pos="8360" w:val="left"/>
          <w:tab w:leader="none" w:pos="9360" w:val="left"/>
          <w:tab w:leader="none" w:pos="10240" w:val="left"/>
          <w:tab w:leader="none" w:pos="10680" w:val="left"/>
        </w:tabs>
        <w:rPr>
          <w:sz w:val="20"/>
          <w:szCs w:val="20"/>
          <w:color w:val="auto"/>
        </w:rPr>
      </w:pPr>
      <w:r>
        <w:rPr>
          <w:rFonts w:ascii="Times New Roman" w:cs="Times New Roman" w:eastAsia="Times New Roman" w:hAnsi="Times New Roman"/>
          <w:sz w:val="18"/>
          <w:szCs w:val="18"/>
          <w:color w:val="auto"/>
        </w:rPr>
        <w:t>______________________</w:t>
        <w:tab/>
        <w:t>of</w:t>
        <w:tab/>
        <w:t>the</w:t>
        <w:tab/>
        <w:t>Warrants</w:t>
        <w:tab/>
        <w:t>represented</w:t>
        <w:tab/>
        <w:t>by</w:t>
        <w:tab/>
        <w:t>this</w:t>
        <w:tab/>
        <w:t>Warrant</w:t>
        <w:tab/>
        <w:t>Certificate,</w:t>
        <w:tab/>
        <w:t>and</w:t>
        <w:tab/>
        <w:t>hereby</w:t>
        <w:tab/>
        <w:t>irrevocably</w:t>
        <w:tab/>
        <w:t>constitute</w:t>
        <w:tab/>
        <w:t>and</w:t>
        <w:tab/>
        <w:t>appoint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 Attorney to transfer this Warrant Certificate on the books of the Company, with full power of substitution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291465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he signature to the assignment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ubscription</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orm must correspond to the name written upon the face of this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ertificate in every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particular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without alteration or enlargement or any change whatsoever</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and must be guaranteed by a commercial bank or trust company or a member firm of the </w:t>
      </w:r>
      <w:r>
        <w:rPr>
          <w:rFonts w:ascii="Times New Roman" w:cs="Times New Roman" w:eastAsia="Times New Roman" w:hAnsi="Times New Roman"/>
          <w:sz w:val="17"/>
          <w:szCs w:val="17"/>
          <w:color w:val="auto"/>
        </w:rPr>
        <w:t>NYSE A</w:t>
      </w:r>
      <w:r>
        <w:rPr>
          <w:rFonts w:ascii="Times New Roman" w:cs="Times New Roman" w:eastAsia="Times New Roman" w:hAnsi="Times New Roman"/>
          <w:sz w:val="12"/>
          <w:szCs w:val="12"/>
          <w:color w:val="auto"/>
        </w:rPr>
        <w:t>merican</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asdaq</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 xml:space="preserve">ew </w:t>
      </w:r>
      <w:r>
        <w:rPr>
          <w:rFonts w:ascii="Times New Roman" w:cs="Times New Roman" w:eastAsia="Times New Roman" w:hAnsi="Times New Roman"/>
          <w:sz w:val="17"/>
          <w:szCs w:val="17"/>
          <w:color w:val="auto"/>
        </w:rPr>
        <w:t>Y</w:t>
      </w:r>
      <w:r>
        <w:rPr>
          <w:rFonts w:ascii="Times New Roman" w:cs="Times New Roman" w:eastAsia="Times New Roman" w:hAnsi="Times New Roman"/>
          <w:sz w:val="12"/>
          <w:szCs w:val="12"/>
          <w:color w:val="auto"/>
        </w:rPr>
        <w:t xml:space="preserve">ork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 P</w:t>
      </w:r>
      <w:r>
        <w:rPr>
          <w:rFonts w:ascii="Times New Roman" w:cs="Times New Roman" w:eastAsia="Times New Roman" w:hAnsi="Times New Roman"/>
          <w:sz w:val="12"/>
          <w:szCs w:val="12"/>
          <w:color w:val="auto"/>
        </w:rPr>
        <w:t xml:space="preserve">acific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7"/>
          <w:szCs w:val="17"/>
          <w:color w:val="auto"/>
        </w:rPr>
        <w:t>C</w:t>
      </w:r>
      <w:r>
        <w:rPr>
          <w:rFonts w:ascii="Times New Roman" w:cs="Times New Roman" w:eastAsia="Times New Roman" w:hAnsi="Times New Roman"/>
          <w:sz w:val="12"/>
          <w:szCs w:val="12"/>
          <w:color w:val="auto"/>
        </w:rPr>
        <w:t xml:space="preserve">hicago </w:t>
      </w:r>
      <w:r>
        <w:rPr>
          <w:rFonts w:ascii="Times New Roman" w:cs="Times New Roman" w:eastAsia="Times New Roman" w:hAnsi="Times New Roman"/>
          <w:sz w:val="17"/>
          <w:szCs w:val="17"/>
          <w:color w:val="auto"/>
        </w:rPr>
        <w:t>S</w:t>
      </w:r>
      <w:r>
        <w:rPr>
          <w:rFonts w:ascii="Times New Roman" w:cs="Times New Roman" w:eastAsia="Times New Roman" w:hAnsi="Times New Roman"/>
          <w:sz w:val="12"/>
          <w:szCs w:val="12"/>
          <w:color w:val="auto"/>
        </w:rPr>
        <w:t xml:space="preserve">tock </w:t>
      </w:r>
      <w:r>
        <w:rPr>
          <w:rFonts w:ascii="Times New Roman" w:cs="Times New Roman" w:eastAsia="Times New Roman" w:hAnsi="Times New Roman"/>
          <w:sz w:val="17"/>
          <w:szCs w:val="17"/>
          <w:color w:val="auto"/>
        </w:rPr>
        <w:t>E</w:t>
      </w:r>
      <w:r>
        <w:rPr>
          <w:rFonts w:ascii="Times New Roman" w:cs="Times New Roman" w:eastAsia="Times New Roman" w:hAnsi="Times New Roman"/>
          <w:sz w:val="12"/>
          <w:szCs w:val="12"/>
          <w:color w:val="auto"/>
        </w:rPr>
        <w:t>xchange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WAIVER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LIMITED WAIVER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is made as of December 29, 2023, by and among DRAGONFLY ENERGY CORP.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DRAGONFLY ENERGY HOLDINGS CORP. (F/K/A CHARDAN NEXTECH ACQUISITION 2 CORP)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the Lenders signatory hereto (the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and ALTER DOMUS (US) LLC, as agent on behalf of the Lenders under the Loan Agreement (as hereinafter defined) (in such capacity,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Borrower, Holdings, the Required Lenders and the Agent are parties to that certain Term Loan, Guarantee and Security Agreement, dated as of October 7, 2022 (as amended, modified, extended, restated, replaced, and/or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Loan Agreement, the Credit Parties are required to measure the Senior Leverage Ratio as of the last day of the Fiscal Quarter ending December 31, 2023 (the “</w:t>
      </w:r>
      <w:r>
        <w:rPr>
          <w:rFonts w:ascii="Times New Roman" w:cs="Times New Roman" w:eastAsia="Times New Roman" w:hAnsi="Times New Roman"/>
          <w:sz w:val="18"/>
          <w:szCs w:val="18"/>
          <w:u w:val="single" w:color="auto"/>
          <w:color w:val="auto"/>
        </w:rPr>
        <w:t>Senior Leverage Ratio Test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Loan Agreement, the Credit Parties are required to measure the Fixed Charge Coverage Ratio for the trailing four (4) Fiscal Quarter period ending on December 31, 2023 if Liquidity is less than $15,000,000 as of the last day of the Fiscal Quarter ending December 31, 2023 (the “</w:t>
      </w:r>
      <w:r>
        <w:rPr>
          <w:rFonts w:ascii="Times New Roman" w:cs="Times New Roman" w:eastAsia="Times New Roman" w:hAnsi="Times New Roman"/>
          <w:sz w:val="18"/>
          <w:szCs w:val="18"/>
          <w:u w:val="single" w:color="auto"/>
          <w:color w:val="auto"/>
        </w:rPr>
        <w:t>Fixed Charge Coverage Ratio Test</w:t>
      </w:r>
      <w:r>
        <w:rPr>
          <w:rFonts w:ascii="Times New Roman" w:cs="Times New Roman" w:eastAsia="Times New Roman" w:hAnsi="Times New Roman"/>
          <w:sz w:val="18"/>
          <w:szCs w:val="18"/>
          <w:color w:val="auto"/>
        </w:rPr>
        <w:t>” and together with the Senior Leverage Ratio Test, the “</w:t>
      </w:r>
      <w:r>
        <w:rPr>
          <w:rFonts w:ascii="Times New Roman" w:cs="Times New Roman" w:eastAsia="Times New Roman" w:hAnsi="Times New Roman"/>
          <w:sz w:val="18"/>
          <w:szCs w:val="18"/>
          <w:u w:val="single" w:color="auto"/>
          <w:color w:val="auto"/>
        </w:rPr>
        <w:t>Tests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Credit Parties have requested that the Agent and the Required Lenders waive the Tests for the Fiscal Quarter ending December 31, 2023 and, subject to the satisfaction of the conditions set forth below, each of the Agent and the Required Lenders are willing to waive the Tests for the Fiscal Quarter ending December 31, 2023 on the terms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Credit Parties, the Required Lenders and the Agent each hereby agrees as follows:</w:t>
      </w:r>
    </w:p>
    <w:p>
      <w:pPr>
        <w:spacing w:after="0" w:line="225" w:lineRule="exact"/>
        <w:rPr>
          <w:sz w:val="20"/>
          <w:szCs w:val="20"/>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All terms used but not otherwise defined herein have the meanings assigned to them in the Loan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Waiver</w:t>
      </w:r>
      <w:r>
        <w:rPr>
          <w:rFonts w:ascii="Times New Roman" w:cs="Times New Roman" w:eastAsia="Times New Roman" w:hAnsi="Times New Roman"/>
          <w:sz w:val="18"/>
          <w:szCs w:val="18"/>
          <w:color w:val="auto"/>
        </w:rPr>
        <w:t xml:space="preserve">. Subject to the satisfaction of the conditions to effectiveness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each of the Agent and the Required Lenders hereby waives the Tests for the Fiscal Quarter ending December 31, 2023;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is applicable only to the Tests for the Fiscal Quarter ending December 31, 2023 and to no other current or prospective financial covenants under the Loan Agreement.</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Waiver shall become effective as of the date first written above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upon the satisfaction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below:</w:t>
      </w:r>
    </w:p>
    <w:p>
      <w:pPr>
        <w:spacing w:after="0" w:line="207" w:lineRule="exact"/>
        <w:rPr>
          <w:sz w:val="20"/>
          <w:szCs w:val="20"/>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Waiver shall have been executed and delivered by the Credit Parties, the Agent and the Required Lenders;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have issued to the Lenders, on or about the date of this Waiver, penny warrants exercisable to purchase 1,286,671 shares of Holdings’ common stock, which penny warrants shall be in form and substance satisfactory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ind w:firstLine="656"/>
        <w:spacing w:after="0" w:line="266" w:lineRule="auto"/>
        <w:tabs>
          <w:tab w:leader="none" w:pos="89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invoiced prior to execution of this Waiver, the Borrower shall have paid the legal fees and expenses of Chapman and Cutler LLP, counsel for the Required Lenders, incurred in connection with the preparation, negotiation, execution and delivery of this Waiver and other services rendered in connection with the Loan Agreement prior to the date hereof;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invoiced prior to execution of this Waiver, the Borrower shall have paid the legal fees and expenses of Holland &amp; Knight LLP, counsel for the Agent, incurred in connection with the preparation, negotiation, execution and delivery of this Waiver and other services rendered in connection with the Loan Agreement prior to the date hereof.</w:t>
      </w:r>
    </w:p>
    <w:p>
      <w:pPr>
        <w:spacing w:after="0" w:line="176" w:lineRule="exact"/>
        <w:rPr>
          <w:sz w:val="20"/>
          <w:szCs w:val="20"/>
          <w:color w:val="auto"/>
        </w:rPr>
      </w:pPr>
    </w:p>
    <w:p>
      <w:pPr>
        <w:ind w:left="840" w:hanging="184"/>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Waiver, the representations and warranties contained in the Loan Agreement are true and correct in all material respects on and as of the date hereof as if such representations and warranties had been made on and as of the date hereof (except to the extent that any such representations and warranties specifically relate to an earlier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represent and warrant that after giving effect to this Waiver, no Default or Event of Default will have occurred and be continuing on and as of the Effective Date.</w:t>
      </w:r>
    </w:p>
    <w:p>
      <w:pPr>
        <w:spacing w:after="0" w:line="162" w:lineRule="exact"/>
        <w:rPr>
          <w:sz w:val="20"/>
          <w:szCs w:val="20"/>
          <w:color w:val="auto"/>
        </w:rPr>
      </w:pPr>
    </w:p>
    <w:p>
      <w:pPr>
        <w:ind w:left="840" w:hanging="184"/>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1" w:lineRule="auto"/>
        <w:tabs>
          <w:tab w:leader="none" w:pos="9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invoiced prior to execution of this Waiver and not paid prior to effectiveness of this Waiver, within 5 Business Days after presentation of an invoice from Chapman and Cutler LLP, counsel for the Required Lenders, the Borrower shall pay to Chapman and Cutler LLP its reasonable and documented fees and expenses in connection with this Waiver and other matters relating to the administration of the Loan Agreement through the date of presentation of such invoice.</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invoiced prior to execution of this Waiver and not paid prior to effectiveness of this Waiver, within 5 Business Days after presentation of an invoice from Holland &amp; Knight LLP, counsel for the Agent, the Borrower shall pay to Holland &amp; Knight LLP its reasonable and documented fees and expenses in connection with this Waiver and other matters relating to the administration of the Loan Agreement through the date of presentation of such invoice.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shall deliver to the Lenders (or their counsel) by no later than Friday, January 5, 2023, original, wet ink signed pages (signed by Holdings) to the warrants referred to in Section 3(b) above. It shall be an immediate Event of Default under the Loan Agreement if the Lenders (or their counsel) have not received such signed pages by January 5, 2023.</w:t>
      </w:r>
    </w:p>
    <w:p>
      <w:pPr>
        <w:spacing w:after="0" w:line="176" w:lineRule="exact"/>
        <w:rPr>
          <w:sz w:val="20"/>
          <w:szCs w:val="20"/>
          <w:color w:val="auto"/>
        </w:rPr>
      </w:pPr>
    </w:p>
    <w:p>
      <w:pPr>
        <w:ind w:left="840" w:hanging="184"/>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This Waiver is designated a Loan Document by the Agent.</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Waiver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Waiver.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right="20" w:firstLine="656"/>
        <w:spacing w:after="0" w:line="262"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THIS WAIVER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Waiver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Waiver are for the purposes of reference only and shall not affect the construction of this Waiver.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Waiver shall be binding upon and inure to the benefit of the parties hereto and their respective successors and assigns; provided that none of the Credit Parties may assign or transfer any of its rights or obligations under this Waiver without the prior written consent of the Agent.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illegality or unenforceability of any provision of this Waiver or any instrument or agreement required hereunder shall not in any way affect or impair the legality or enforceability of the remaining provisions of this Amendment or any instrument or agreement required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of the Required Lenders’ and the Agent’s agreements contained in this Waiver, the Borrower and Guarantor hereby irrevocably release and forever discharge the Lenders and the Agent and their affiliates, subsidiaries, successors, assigns, directors, officers, employees, agents, consultants and attorneys (each, a “</w:t>
      </w:r>
      <w:r>
        <w:rPr>
          <w:rFonts w:ascii="Times New Roman" w:cs="Times New Roman" w:eastAsia="Times New Roman" w:hAnsi="Times New Roman"/>
          <w:sz w:val="18"/>
          <w:szCs w:val="18"/>
          <w:u w:val="single" w:color="auto"/>
          <w:color w:val="auto"/>
        </w:rPr>
        <w:t>Released Person</w:t>
      </w:r>
      <w:r>
        <w:rPr>
          <w:rFonts w:ascii="Times New Roman" w:cs="Times New Roman" w:eastAsia="Times New Roman" w:hAnsi="Times New Roman"/>
          <w:sz w:val="18"/>
          <w:szCs w:val="18"/>
          <w:color w:val="auto"/>
        </w:rPr>
        <w:t>”) of and from any and all claims, suits, actions, investigations, proceedings or demands, whether based in contract, tort, implied or express warranty, strict liability, criminal or civil statute or common law of any kind or character, known or unknown, which such Borrower and Guarantor ever had or now has against Agent, any Lender or any other Released Person which relates, directly or indirectly, to any acts or omissions of Agent, any Lender or any other Released Person relating to the Loan Agreement or any other Loan Document on or prior to the date 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Each of the Credit Parties as debtor, grantor, pledgor, guarantor, assignor, or in other any other similar capacity in which such Credit Party grants liens or security interests in its property or otherwise acts as accommodation party or guarantor, as the case may be, hereby (i) ratifies and reaffirms all of its payment and performance obligations, contingent or otherwise, under each of the Loan Documents to which it is a party (after giving effect hereto) and (ii) to the extent such Credit Party granted liens on or security interests in any of its property pursuant to any such Loan Document as security for or otherwise guaranteed the Borrower’s Obligations under or with respect to the Loan Documents, ratifies and reaffirms such guarantee and grant of security interests and liens and confirms and agrees that such security interests and liens hereafter secure all of the Obligations as amended hereby. Each of the Credit Parties hereby consents to this Waiver and acknowledges that each of the Loan Documents remains in full force and effect and is hereby ratified and reaffirmed. The execution of this Waiver shall not operate as a waiver of any right, power or remedy of the Agent or Lenders, constitute a waiver of any provision of any of the Loan Documents or serve to effect a novation of the Obligations.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Limited Waiver to be duly executed by their duly authorized officers, all as of the date and year first above written.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78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DRAGONFLY ENERGY CORP.</w:t>
            </w:r>
          </w:p>
        </w:tc>
      </w:tr>
      <w:tr>
        <w:trPr>
          <w:trHeight w:val="473"/>
        </w:trPr>
        <w:tc>
          <w:tcPr>
            <w:tcW w:w="110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11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0" w:type="dxa"/>
            <w:vAlign w:val="bottom"/>
          </w:tcPr>
          <w:p>
            <w:pPr>
              <w:ind w:left="2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1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&amp; CEO</w:t>
            </w:r>
          </w:p>
        </w:tc>
      </w:tr>
    </w:tbl>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HOLDINGS :</w:t>
            </w: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DRAGONFLY ENERGY HOLDINGS CORP. (F/K/A CHARDAN</w:t>
            </w:r>
          </w:p>
        </w:tc>
      </w:tr>
      <w:tr>
        <w:trPr>
          <w:trHeight w:val="237"/>
        </w:trPr>
        <w:tc>
          <w:tcPr>
            <w:tcW w:w="1020" w:type="dxa"/>
            <w:vAlign w:val="bottom"/>
            <w:tcBorders>
              <w:top w:val="single" w:sz="8" w:color="auto"/>
            </w:tcBorders>
          </w:tcPr>
          <w:p>
            <w:pPr>
              <w:spacing w:after="0"/>
              <w:rPr>
                <w:sz w:val="20"/>
                <w:szCs w:val="20"/>
                <w:color w:val="auto"/>
              </w:rPr>
            </w:pPr>
          </w:p>
        </w:tc>
        <w:tc>
          <w:tcPr>
            <w:tcW w:w="234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NEXTECH ACQUISITION 2 CORP.)</w:t>
            </w:r>
          </w:p>
        </w:tc>
      </w:tr>
      <w:tr>
        <w:trPr>
          <w:trHeight w:val="453"/>
        </w:trPr>
        <w:tc>
          <w:tcPr>
            <w:tcW w:w="1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8"/>
        </w:trPr>
        <w:tc>
          <w:tcPr>
            <w:tcW w:w="1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40" w:type="dxa"/>
            <w:vAlign w:val="bottom"/>
          </w:tcPr>
          <w:p>
            <w:pPr>
              <w:ind w:left="22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10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Chairman &amp; CEO</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tabs>
          <w:tab w:leader="none" w:pos="5620" w:val="left"/>
        </w:tabs>
        <w:rPr>
          <w:sz w:val="20"/>
          <w:szCs w:val="20"/>
          <w:color w:val="auto"/>
        </w:rPr>
      </w:pP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ALTER DOMUS (US) LLC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Pinju Chiu</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Pinju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Associate Counsel</w:t>
      </w:r>
    </w:p>
    <w:p>
      <w:pPr>
        <w:spacing w:after="0" w:line="2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6" w:name="page27"/>
    <w:bookmarkEnd w:id="26"/>
    <w:p>
      <w:pPr>
        <w:spacing w:after="0"/>
        <w:tabs>
          <w:tab w:leader="none" w:pos="5620" w:val="left"/>
        </w:tabs>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ENERGY IMPACT CREDIT FUND 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Energy Impact Credit Fund I GP LLC, its general partner</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Harry Giovani</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Harry Giovani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ENERGY IMPACT CREDIT FUND 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Energy Impact Credit Fund II GP LLC, its general partner</w:t>
      </w:r>
    </w:p>
    <w:p>
      <w:pPr>
        <w:spacing w:after="0" w:line="23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Harry Giovani</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Harry Giovani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7" w:name="page28"/>
    <w:bookmarkEnd w:id="27"/>
    <w:p>
      <w:pPr>
        <w:ind w:left="4520"/>
        <w:spacing w:after="0"/>
        <w:rPr>
          <w:sz w:val="20"/>
          <w:szCs w:val="20"/>
          <w:color w:val="auto"/>
        </w:rPr>
      </w:pPr>
      <w:r>
        <w:rPr>
          <w:rFonts w:ascii="Times New Roman" w:cs="Times New Roman" w:eastAsia="Times New Roman" w:hAnsi="Times New Roman"/>
          <w:sz w:val="18"/>
          <w:szCs w:val="18"/>
          <w:b w:val="1"/>
          <w:bCs w:val="1"/>
          <w:color w:val="auto"/>
        </w:rPr>
        <w:t>BP HOLDINGS XVII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BPC AS Cayman LLC, its General Partner</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BPC AS LLC, its Manager</w:t>
      </w:r>
    </w:p>
    <w:p>
      <w:pPr>
        <w:spacing w:after="0" w:line="20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Haynes</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-127635</wp:posOffset>
            </wp:positionV>
            <wp:extent cx="32061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Portfolio 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6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lvl w:ilvl="1">
      <w:lvlJc w:val="left"/>
      <w:lvlText w:val="(%2)"/>
      <w:numFmt w:val="lowerLetter"/>
      <w:start w:val="1"/>
    </w:lvl>
  </w:abstractNum>
  <w:abstractNum w:abstractNumId="2">
    <w:nsid w:val="41A7C4C9"/>
    <w:multiLevelType w:val="hybridMultilevel"/>
    <w:lvl w:ilvl="0">
      <w:lvlJc w:val="left"/>
      <w:lvlText w:val="%1"/>
      <w:numFmt w:val="decimal"/>
      <w:start w:val="1"/>
    </w:lvl>
    <w:lvl w:ilvl="1">
      <w:lvlJc w:val="left"/>
      <w:lvlText w:val="(%2)"/>
      <w:numFmt w:val="lowerLetter"/>
      <w:start w:val="4"/>
    </w:lvl>
  </w:abstractNum>
  <w:abstractNum w:abstractNumId="3">
    <w:nsid w:val="6B68079A"/>
    <w:multiLevelType w:val="hybridMultilevel"/>
    <w:lvl w:ilvl="0">
      <w:lvlJc w:val="left"/>
      <w:lvlText w:val="%1."/>
      <w:numFmt w:val="decimal"/>
      <w:start w:val="2"/>
    </w:lvl>
    <w:lvl w:ilvl="1">
      <w:lvlJc w:val="left"/>
      <w:lvlText w:val="(%2)"/>
      <w:numFmt w:val="lowerLetter"/>
      <w:start w:val="1"/>
    </w:lvl>
  </w:abstractNum>
  <w:abstractNum w:abstractNumId="4">
    <w:nsid w:val="4E6AFB66"/>
    <w:multiLevelType w:val="hybridMultilevel"/>
    <w:lvl w:ilvl="0">
      <w:lvlJc w:val="left"/>
      <w:lvlText w:val="%1"/>
      <w:numFmt w:val="decimal"/>
      <w:start w:val="1"/>
    </w:lvl>
    <w:lvl w:ilvl="1">
      <w:lvlJc w:val="left"/>
      <w:lvlText w:val="(%2)"/>
      <w:numFmt w:val="lowerLetter"/>
      <w:start w:val="4"/>
    </w:lvl>
  </w:abstractNum>
  <w:abstractNum w:abstractNumId="5">
    <w:nsid w:val="25E45D32"/>
    <w:multiLevelType w:val="hybridMultilevel"/>
    <w:lvl w:ilvl="0">
      <w:lvlJc w:val="left"/>
      <w:lvlText w:val="%1."/>
      <w:numFmt w:val="decimal"/>
      <w:start w:val="3"/>
    </w:lvl>
    <w:lvl w:ilvl="1">
      <w:lvlJc w:val="left"/>
      <w:lvlText w:val="(%2)"/>
      <w:numFmt w:val="lowerLetter"/>
      <w:start w:val="1"/>
    </w:lvl>
  </w:abstractNum>
  <w:abstractNum w:abstractNumId="6">
    <w:nsid w:val="519B50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
    <w:nsid w:val="431BD7B7"/>
    <w:multiLevelType w:val="hybridMultilevel"/>
    <w:lvl w:ilvl="0">
      <w:lvlJc w:val="left"/>
      <w:lvlText w:val="(%1)"/>
      <w:numFmt w:val="lowerLetter"/>
      <w:start w:val="3"/>
    </w:lvl>
  </w:abstractNum>
  <w:abstractNum w:abstractNumId="8">
    <w:nsid w:val="3F2DBA31"/>
    <w:multiLevelType w:val="hybridMultilevel"/>
    <w:lvl w:ilvl="0">
      <w:lvlJc w:val="left"/>
      <w:lvlText w:val="(%1)"/>
      <w:numFmt w:val="lowerLetter"/>
      <w:start w:val="4"/>
    </w:lvl>
  </w:abstractNum>
  <w:abstractNum w:abstractNumId="9">
    <w:nsid w:val="7C83E458"/>
    <w:multiLevelType w:val="hybridMultilevel"/>
    <w:lvl w:ilvl="0">
      <w:lvlJc w:val="left"/>
      <w:lvlText w:val="%1."/>
      <w:numFmt w:val="decimal"/>
      <w:start w:val="5"/>
    </w:lvl>
    <w:lvl w:ilvl="1">
      <w:lvlJc w:val="left"/>
      <w:lvlText w:val="(%2)"/>
      <w:numFmt w:val="lowerLetter"/>
      <w:start w:val="1"/>
    </w:lvl>
  </w:abstractNum>
  <w:abstractNum w:abstractNumId="10">
    <w:nsid w:val="257130A3"/>
    <w:multiLevelType w:val="hybridMultilevel"/>
    <w:lvl w:ilvl="0">
      <w:lvlJc w:val="left"/>
      <w:lvlText w:val="(%1)"/>
      <w:numFmt w:val="lowerLetter"/>
      <w:start w:val="4"/>
    </w:lvl>
    <w:lvl w:ilvl="1">
      <w:lvlJc w:val="left"/>
      <w:lvlText w:val="%2."/>
      <w:numFmt w:val="lowerRoman"/>
      <w:start w:val="1"/>
    </w:lvl>
  </w:abstractNum>
  <w:abstractNum w:abstractNumId="11">
    <w:nsid w:val="62BBD95A"/>
    <w:multiLevelType w:val="hybridMultilevel"/>
    <w:lvl w:ilvl="0">
      <w:lvlJc w:val="left"/>
      <w:lvlText w:val="(%1)"/>
      <w:numFmt w:val="lowerLetter"/>
      <w:start w:val="6"/>
    </w:lvl>
  </w:abstractNum>
  <w:abstractNum w:abstractNumId="12">
    <w:nsid w:val="436C6125"/>
    <w:multiLevelType w:val="hybridMultilevel"/>
    <w:lvl w:ilvl="0">
      <w:lvlJc w:val="left"/>
      <w:lvlText w:val="%1"/>
      <w:numFmt w:val="decimal"/>
      <w:start w:val="1"/>
    </w:lvl>
    <w:lvl w:ilvl="1">
      <w:lvlJc w:val="left"/>
      <w:lvlText w:val="(%2)"/>
      <w:numFmt w:val="lowerLetter"/>
      <w:start w:val="11"/>
    </w:lvl>
  </w:abstractNum>
  <w:abstractNum w:abstractNumId="13">
    <w:nsid w:val="628C895D"/>
    <w:multiLevelType w:val="hybridMultilevel"/>
    <w:lvl w:ilvl="0">
      <w:lvlJc w:val="left"/>
      <w:lvlText w:val="%1."/>
      <w:numFmt w:val="decimal"/>
      <w:start w:val="6"/>
    </w:lvl>
    <w:lvl w:ilvl="1">
      <w:lvlJc w:val="left"/>
      <w:lvlText w:val="(%2)"/>
      <w:numFmt w:val="lowerLetter"/>
      <w:start w:val="1"/>
    </w:lvl>
  </w:abstractNum>
  <w:abstractNum w:abstractNumId="14">
    <w:nsid w:val="333AB105"/>
    <w:multiLevelType w:val="hybridMultilevel"/>
    <w:lvl w:ilvl="0">
      <w:lvlJc w:val="left"/>
      <w:lvlText w:val="%1."/>
      <w:numFmt w:val="decimal"/>
      <w:start w:val="7"/>
    </w:lvl>
    <w:lvl w:ilvl="1">
      <w:lvlJc w:val="left"/>
      <w:lvlText w:val="(%2)"/>
      <w:numFmt w:val="lowerLetter"/>
      <w:start w:val="1"/>
    </w:lvl>
  </w:abstractNum>
  <w:abstractNum w:abstractNumId="15">
    <w:nsid w:val="721DA317"/>
    <w:multiLevelType w:val="hybridMultilevel"/>
    <w:lvl w:ilvl="0">
      <w:lvlJc w:val="left"/>
      <w:lvlText w:val="%1"/>
      <w:numFmt w:val="decimal"/>
      <w:start w:val="1"/>
    </w:lvl>
    <w:lvl w:ilvl="1">
      <w:lvlJc w:val="left"/>
      <w:lvlText w:val="(%2)"/>
      <w:numFmt w:val="lowerLetter"/>
      <w:start w:val="4"/>
    </w:lvl>
  </w:abstractNum>
  <w:abstractNum w:abstractNumId="16">
    <w:nsid w:val="2443A858"/>
    <w:multiLevelType w:val="hybridMultilevel"/>
    <w:lvl w:ilvl="0">
      <w:lvlJc w:val="left"/>
      <w:lvlText w:val="%1."/>
      <w:numFmt w:val="decimal"/>
      <w:start w:val="10"/>
    </w:lvl>
    <w:lvl w:ilvl="1">
      <w:lvlJc w:val="left"/>
      <w:lvlText w:val="(%2)"/>
      <w:numFmt w:val="lowerLetter"/>
      <w:start w:val="1"/>
    </w:lvl>
  </w:abstractNum>
  <w:abstractNum w:abstractNumId="17">
    <w:nsid w:val="2D1D5AE9"/>
    <w:multiLevelType w:val="hybridMultilevel"/>
    <w:lvl w:ilvl="0">
      <w:lvlJc w:val="left"/>
      <w:lvlText w:val="%1"/>
      <w:numFmt w:val="decimal"/>
      <w:start w:val="1"/>
    </w:lvl>
    <w:lvl w:ilvl="1">
      <w:lvlJc w:val="left"/>
      <w:lvlText w:val="(%2)"/>
      <w:numFmt w:val="lowerLetter"/>
      <w:start w:val="2"/>
    </w:lvl>
  </w:abstractNum>
  <w:abstractNum w:abstractNumId="18">
    <w:nsid w:val="6763845E"/>
    <w:multiLevelType w:val="hybridMultilevel"/>
    <w:lvl w:ilvl="0">
      <w:lvlJc w:val="left"/>
      <w:lvlText w:val="%1."/>
      <w:numFmt w:val="decimal"/>
      <w:start w:val="12"/>
    </w:lvl>
    <w:lvl w:ilvl="1">
      <w:lvlJc w:val="left"/>
      <w:lvlText w:val="%2"/>
      <w:numFmt w:val="lowerLetter"/>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3"/>
    </w:lvl>
  </w:abstractNum>
  <w:abstractNum w:abstractNumId="22">
    <w:nsid w:val="4353D0CD"/>
    <w:multiLevelType w:val="hybridMultilevel"/>
    <w:lvl w:ilvl="0">
      <w:lvlJc w:val="left"/>
      <w:lvlText w:val="%1."/>
      <w:numFmt w:val="decimal"/>
      <w:start w:val="4"/>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6"/>
    </w:lvl>
  </w:abstractNum>
  <w:abstractNum w:abstractNumId="27">
    <w:nsid w:val="2CA8861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2023-12-29T16:32:54Z</dcterms:created>
  <dcterms:modified xsi:type="dcterms:W3CDTF">2023-12-29T16:32:54Z</dcterms:modified>
</cp:coreProperties>
</file>