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9,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333-272401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4"/>
        </w:rPr>
      </w:pPr>
      <w:bookmarkStart w:id="2" w:name="xdx_90C_edei--AmendmentDescription_c2023"/>
      <w:bookmarkEnd w:id="2"/>
      <w:r>
        <w:rPr>
          <w:rFonts w:ascii="Times New Roman;Times;Serif" w:hAnsi="Times New Roman;Times;Serif"/>
          <w:b/>
          <w:i w:val="false"/>
          <w:caps w:val="false"/>
          <w:smallCaps w:val="false"/>
          <w:sz w:val="24"/>
        </w:rPr>
        <w:t>Amendment No. 1</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B_edei--DocumentType_dxL_c20230101"/>
      <w:bookmarkEnd w:id="3"/>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495"/>
        <w:gridCol w:w="60"/>
        <w:gridCol w:w="237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TaxIdentificationNum"/>
            <w:bookmarkEnd w:id="6"/>
            <w:r>
              <w:rPr>
                <w:rFonts w:ascii="Times New Roman;Times;Serif" w:hAnsi="Times New Roman;Times;Serif"/>
                <w:b/>
                <w:i w:val="false"/>
                <w:caps w:val="false"/>
                <w:smallCaps w:val="false"/>
                <w:sz w:val="20"/>
              </w:rPr>
              <w:t>85-1873463</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7_edei--EntityAddressAddressLine1_"/>
      <w:bookmarkEnd w:id="7"/>
      <w:r>
        <w:rPr>
          <w:rFonts w:ascii="Times New Roman;Times;Serif" w:hAnsi="Times New Roman;Times;Serif"/>
          <w:b/>
          <w:i w:val="false"/>
          <w:caps w:val="false"/>
          <w:smallCaps w:val="false"/>
          <w:sz w:val="20"/>
        </w:rPr>
        <w:t xml:space="preserve">1190 Trademark Drive </w:t>
      </w:r>
      <w:bookmarkStart w:id="8" w:name="xdx_90F_edei--EntityAddressAddressLine2_"/>
      <w:bookmarkEnd w:id="8"/>
      <w:r>
        <w:rPr>
          <w:rFonts w:ascii="Times New Roman;Times;Serif" w:hAnsi="Times New Roman;Times;Serif"/>
          <w:b/>
          <w:i w:val="false"/>
          <w:caps w:val="false"/>
          <w:smallCaps w:val="false"/>
          <w:sz w:val="20"/>
        </w:rPr>
        <w:t>#108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Reno, </w:t>
      </w:r>
      <w:bookmarkStart w:id="10" w:name="xdx_909_edei--EntityAddressStateOrProvin"/>
      <w:bookmarkEnd w:id="10"/>
      <w:r>
        <w:rPr>
          <w:rFonts w:ascii="Times New Roman;Times;Serif" w:hAnsi="Times New Roman;Times;Serif"/>
          <w:b/>
          <w:i w:val="false"/>
          <w:caps w:val="false"/>
          <w:smallCaps w:val="false"/>
          <w:sz w:val="20"/>
        </w:rPr>
        <w:t xml:space="preserve">Nevada </w:t>
      </w:r>
      <w:bookmarkStart w:id="11" w:name="xdx_909_edei--EntityAddressPostalZipCode"/>
      <w:bookmarkEnd w:id="11"/>
      <w:r>
        <w:rPr>
          <w:rFonts w:ascii="Times New Roman;Times;Serif" w:hAnsi="Times New Roman;Times;Serif"/>
          <w:b/>
          <w:i w:val="false"/>
          <w:caps w:val="false"/>
          <w:smallCaps w:val="false"/>
          <w:sz w:val="20"/>
        </w:rPr>
        <w:t>89521</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CityAreaCode_c20230101__20"/>
      <w:bookmarkEnd w:id="12"/>
      <w:r>
        <w:rPr>
          <w:rFonts w:ascii="Times New Roman;Times;Serif" w:hAnsi="Times New Roman;Times;Serif"/>
          <w:b/>
          <w:i w:val="false"/>
          <w:caps w:val="false"/>
          <w:smallCaps w:val="false"/>
          <w:sz w:val="20"/>
        </w:rPr>
        <w:t xml:space="preserve">(775) </w:t>
      </w:r>
      <w:bookmarkStart w:id="13" w:name="xdx_904_edei--LocalPhoneNumber_c20230101"/>
      <w:bookmarkEnd w:id="13"/>
      <w:r>
        <w:rPr>
          <w:rFonts w:ascii="Times New Roman;Times;Serif" w:hAnsi="Times New Roman;Times;Serif"/>
          <w:b/>
          <w:i w:val="false"/>
          <w:caps w:val="false"/>
          <w:smallCaps w:val="false"/>
          <w:sz w:val="20"/>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Denis Phares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 622-3488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495"/>
        <w:gridCol w:w="60"/>
        <w:gridCol w:w="2300"/>
      </w:tblGrid>
      <w:tr>
        <w:trPr/>
        <w:tc>
          <w:tcPr>
            <w:tcW w:w="24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br/>
              <w:t>1251 Avenue of the Americas</w:t>
              <w:br/>
              <w:t>New York, NY 10020</w:t>
              <w:br/>
              <w:t>Telephone: (212) 262-6700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T. Seery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Duane Morris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1540 Broadway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692-1000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 w:name="xdx_903_edei--EntityFilerCategory_c20230"/>
            <w:bookmarkEnd w:id="14"/>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right"/>
              <w:rPr>
                <w:caps w:val="false"/>
                <w:smallCaps w:val="false"/>
              </w:rPr>
            </w:pPr>
            <w:bookmarkStart w:id="15" w:name="xdx_90A_edei--EntitySmallBusiness_c20230"/>
            <w:bookmarkEnd w:id="15"/>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right"/>
              <w:rPr>
                <w:caps w:val="false"/>
                <w:smallCaps w:val="false"/>
              </w:rPr>
            </w:pPr>
            <w:bookmarkStart w:id="16" w:name="xdx_909_edei--EntityEmergingGrowthCompan"/>
            <w:bookmarkEnd w:id="16"/>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17" w:name="xdx_902_edei--EntityExTransitionPeriod_c"/>
      <w:bookmarkEnd w:id="17"/>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2750"/>
        <w:gridCol w:w="2630"/>
        <w:gridCol w:w="1925"/>
      </w:tblGrid>
      <w:tr>
        <w:trPr/>
        <w:tc>
          <w:tcPr>
            <w:tcW w:w="2750" w:type="dxa"/>
            <w:tcBorders/>
            <w:vAlign w:val="center"/>
          </w:tcPr>
          <w:p>
            <w:pPr>
              <w:pStyle w:val="TableContents"/>
              <w:bidi w:val="0"/>
              <w:spacing w:before="0" w:after="283"/>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Subject to Completion</w:t>
            </w:r>
          </w:p>
        </w:tc>
        <w:tc>
          <w:tcPr>
            <w:tcW w:w="1925" w:type="dxa"/>
            <w:tcBorders/>
            <w:vAlign w:val="center"/>
          </w:tcPr>
          <w:p>
            <w:pPr>
              <w:pStyle w:val="TableContents"/>
              <w:bidi w:val="0"/>
              <w:spacing w:before="0" w:after="283"/>
              <w:jc w:val="center"/>
              <w:rPr>
                <w:rFonts w:ascii="Times New Roman;Times;Serif" w:hAnsi="Times New Roman;Times;Serif"/>
                <w:b/>
                <w:i w:val="false"/>
                <w:caps/>
                <w:color w:val="FF0000"/>
                <w:sz w:val="20"/>
              </w:rPr>
            </w:pPr>
            <w:r>
              <w:rPr>
                <w:rFonts w:ascii="Times New Roman;Times;Serif" w:hAnsi="Times New Roman;Times;Serif"/>
                <w:b/>
                <w:i w:val="false"/>
                <w:caps/>
                <w:color w:val="FF0000"/>
                <w:sz w:val="20"/>
              </w:rPr>
              <w:t>Dated JUNE 9,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57325"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7,168,458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7,168,458 shares of our common stock. Our common stock is currently listed on The Nasdaq Global Market, or Nasdaq, under the symbol “DFLI”. As of June 6, 2023, the closing price of our common stock was $2.79.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You should read this prospectus carefully, together with additional information described under the heading “</w:t>
      </w:r>
      <w:hyperlink w:anchor="a_16">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 before you invest in any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applicable federal securities laws and are be subject to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i w:val="false"/>
          <w:caps w:val="false"/>
          <w:smallCaps w:val="false"/>
          <w:sz w:val="20"/>
        </w:rPr>
        <w:t>Investing in our securities involves a high degree of risk. See the section entitled “</w:t>
      </w:r>
      <w:hyperlink w:anchor="a_3">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5 of this prospectus for a discussion of risks that should be considered in connection with an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5489" w:type="dxa"/>
        <w:jc w:val="left"/>
        <w:tblInd w:w="0" w:type="dxa"/>
        <w:tblLayout w:type="fixed"/>
        <w:tblCellMar>
          <w:top w:w="0" w:type="dxa"/>
          <w:left w:w="0" w:type="dxa"/>
          <w:bottom w:w="0" w:type="dxa"/>
          <w:right w:w="0" w:type="dxa"/>
        </w:tblCellMar>
      </w:tblPr>
      <w:tblGrid>
        <w:gridCol w:w="3635"/>
        <w:gridCol w:w="60"/>
        <w:gridCol w:w="290"/>
        <w:gridCol w:w="749"/>
        <w:gridCol w:w="60"/>
        <w:gridCol w:w="60"/>
        <w:gridCol w:w="178"/>
        <w:gridCol w:w="382"/>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both"/>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3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Underwriting discounts and commissions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7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3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3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reimburse the underwriters for certain expenses. See “Underwriting” on page 99 of this prospectus for additional information.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to the underwriters, or their permitted designees warrants (the “Underwriters’ Warrants”) to purchase up to an aggregate number of shares of common stock representing five (5%) of the common stock offered hereby, including any shares of common stock issued if the underwriters option to purchase additional shares of common stock is exercised. The Underwriters’ Warrants will have an exercise price of 125% of the per share public offering price, will have a cashless exercise provision and will terminate on the fifth anniversary of the effective date of the registration statement of which this prospectus is a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 45-day over-allotment option to purchase up to an additional 1,075,268 shares of common stock from us at the public offering price above, less the underwriting discounts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shares of common stock on or about           , 2023.</w:t>
      </w:r>
    </w:p>
    <w:p>
      <w:pPr>
        <w:pStyle w:val="TextBody"/>
        <w:bidi w:val="0"/>
        <w:spacing w:before="0" w:after="0"/>
        <w:ind w:left="0" w:right="0" w:firstLine="72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035"/>
        <w:gridCol w:w="1250"/>
      </w:tblGrid>
      <w:tr>
        <w:trPr/>
        <w:tc>
          <w:tcPr>
            <w:tcW w:w="3035" w:type="dxa"/>
            <w:tcBorders/>
            <w:vAlign w:val="center"/>
          </w:tcPr>
          <w:p>
            <w:pPr>
              <w:pStyle w:val="TableContents"/>
              <w:bidi w:val="0"/>
              <w:spacing w:before="0" w:after="283"/>
              <w:jc w:val="center"/>
              <w:rPr>
                <w:rFonts w:ascii="Times New Roman;Times;Serif" w:hAnsi="Times New Roman;Times;Serif"/>
                <w:b/>
                <w:sz w:val="32"/>
              </w:rPr>
            </w:pPr>
            <w:r>
              <w:rPr>
                <w:rFonts w:ascii="Times New Roman;Times;Serif" w:hAnsi="Times New Roman;Times;Serif"/>
                <w:b/>
                <w:sz w:val="32"/>
              </w:rPr>
              <w:t>Roth Capital Partners</w:t>
            </w:r>
          </w:p>
        </w:tc>
        <w:tc>
          <w:tcPr>
            <w:tcW w:w="1250" w:type="dxa"/>
            <w:tcBorders/>
            <w:vAlign w:val="center"/>
          </w:tcPr>
          <w:p>
            <w:pPr>
              <w:pStyle w:val="TableContents"/>
              <w:bidi w:val="0"/>
              <w:spacing w:before="0" w:after="283"/>
              <w:jc w:val="center"/>
              <w:rPr>
                <w:b/>
                <w:sz w:val="32"/>
              </w:rPr>
            </w:pPr>
            <w:r>
              <w:rPr>
                <w:b/>
                <w:sz w:val="32"/>
              </w:rPr>
              <w:t>Chardan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shd w:fill="CCEEFF" w:val="clear"/>
            <w:vAlign w:val="center"/>
          </w:tcPr>
          <w:p>
            <w:pPr>
              <w:pStyle w:val="TableContents"/>
              <w:bidi w:val="0"/>
              <w:spacing w:before="0" w:after="283"/>
              <w:jc w:val="left"/>
              <w:rPr/>
            </w:pPr>
            <w:hyperlink w:anchor="a_1">
              <w:r>
                <w:rPr>
                  <w:rStyle w:val="InternetLink"/>
                  <w:rFonts w:ascii="Times New Roman;Times;Serif" w:hAnsi="Times New Roman;Times;Serif"/>
                  <w:b w:val="false"/>
                  <w:i w:val="false"/>
                  <w:caps w:val="false"/>
                  <w:smallCaps w:val="false"/>
                  <w:sz w:val="20"/>
                </w:rPr>
                <w:t>ABOUT THIS PROSPECTUS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855" w:type="dxa"/>
            <w:tcBorders/>
            <w:shd w:fill="FFFFFF" w:val="clear"/>
            <w:vAlign w:val="center"/>
          </w:tcPr>
          <w:p>
            <w:pPr>
              <w:pStyle w:val="TableContents"/>
              <w:bidi w:val="0"/>
              <w:spacing w:before="0" w:after="283"/>
              <w:jc w:val="left"/>
              <w:rPr/>
            </w:pPr>
            <w:hyperlink w:anchor="a_2">
              <w:r>
                <w:rPr>
                  <w:rStyle w:val="InternetLink"/>
                  <w:rFonts w:ascii="Times New Roman;Times;Serif" w:hAnsi="Times New Roman;Times;Serif"/>
                  <w:b w:val="false"/>
                  <w:i w:val="false"/>
                  <w:caps w:val="false"/>
                  <w:smallCaps w:val="false"/>
                  <w:sz w:val="20"/>
                </w:rPr>
                <w:t>PROSPECTUS SUMMARY</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55" w:type="dxa"/>
            <w:tcBorders/>
            <w:shd w:fill="CCEEFF" w:val="clear"/>
            <w:vAlign w:val="center"/>
          </w:tcPr>
          <w:p>
            <w:pPr>
              <w:pStyle w:val="TableContents"/>
              <w:bidi w:val="0"/>
              <w:spacing w:before="0" w:after="283"/>
              <w:jc w:val="left"/>
              <w:rPr/>
            </w:pPr>
            <w:hyperlink w:anchor="a_3">
              <w:r>
                <w:rPr>
                  <w:rStyle w:val="InternetLink"/>
                  <w:rFonts w:ascii="Times New Roman;Times;Serif" w:hAnsi="Times New Roman;Times;Serif"/>
                  <w:b w:val="false"/>
                  <w:i w:val="false"/>
                  <w:caps w:val="false"/>
                  <w:smallCaps w:val="false"/>
                  <w:sz w:val="20"/>
                </w:rPr>
                <w:t>RISK FACTORS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855" w:type="dxa"/>
            <w:tcBorders/>
            <w:shd w:fill="FFFFFF" w:val="clear"/>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CAUTIONARY STATEMENT REGARDING FORWARD-LOOKING STATEMENTS AND INFORMATION</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855" w:type="dxa"/>
            <w:tcBorders/>
            <w:shd w:fill="CCEEFF" w:val="clear"/>
            <w:vAlign w:val="center"/>
          </w:tcPr>
          <w:p>
            <w:pPr>
              <w:pStyle w:val="TableContents"/>
              <w:bidi w:val="0"/>
              <w:spacing w:before="0" w:after="283"/>
              <w:jc w:val="left"/>
              <w:rPr/>
            </w:pPr>
            <w:hyperlink w:anchor="a_4">
              <w:r>
                <w:rPr>
                  <w:rStyle w:val="InternetLink"/>
                  <w:rFonts w:ascii="Times New Roman;Times;Serif" w:hAnsi="Times New Roman;Times;Serif"/>
                  <w:b w:val="false"/>
                  <w:i w:val="false"/>
                  <w:caps w:val="false"/>
                  <w:smallCaps w:val="false"/>
                  <w:sz w:val="20"/>
                </w:rPr>
                <w:t>USE OF PROCEEDS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855" w:type="dxa"/>
            <w:tcBorders/>
            <w:shd w:fill="FFFFFF" w:val="clear"/>
            <w:vAlign w:val="center"/>
          </w:tcPr>
          <w:p>
            <w:pPr>
              <w:pStyle w:val="TableContents"/>
              <w:bidi w:val="0"/>
              <w:spacing w:before="0" w:after="283"/>
              <w:jc w:val="left"/>
              <w:rPr/>
            </w:pPr>
            <w:hyperlink w:anchor="a_5">
              <w:r>
                <w:rPr>
                  <w:rStyle w:val="InternetLink"/>
                  <w:rFonts w:ascii="Times New Roman;Times;Serif" w:hAnsi="Times New Roman;Times;Serif"/>
                  <w:b w:val="false"/>
                  <w:i w:val="false"/>
                  <w:caps w:val="false"/>
                  <w:smallCaps w:val="false"/>
                  <w:sz w:val="20"/>
                </w:rPr>
                <w:t>MARKET PRICE AND DIVIDEND INFORMATION</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855" w:type="dxa"/>
            <w:tcBorders/>
            <w:shd w:fill="CCEEFF" w:val="clear"/>
            <w:vAlign w:val="center"/>
          </w:tcPr>
          <w:p>
            <w:pPr>
              <w:pStyle w:val="TableContents"/>
              <w:bidi w:val="0"/>
              <w:spacing w:before="0" w:after="283"/>
              <w:jc w:val="left"/>
              <w:rPr/>
            </w:pPr>
            <w:hyperlink w:anchor="a_6">
              <w:r>
                <w:rPr>
                  <w:rStyle w:val="InternetLink"/>
                  <w:rFonts w:ascii="Times New Roman;Times;Serif" w:hAnsi="Times New Roman;Times;Serif"/>
                  <w:b w:val="false"/>
                  <w:i w:val="false"/>
                  <w:caps w:val="false"/>
                  <w:smallCaps w:val="false"/>
                  <w:sz w:val="20"/>
                </w:rPr>
                <w:t>DILUTION</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855" w:type="dxa"/>
            <w:tcBorders/>
            <w:shd w:fill="FFFFFF" w:val="clear"/>
            <w:vAlign w:val="center"/>
          </w:tcPr>
          <w:p>
            <w:pPr>
              <w:pStyle w:val="TableContents"/>
              <w:bidi w:val="0"/>
              <w:spacing w:before="0" w:after="283"/>
              <w:jc w:val="left"/>
              <w:rPr/>
            </w:pPr>
            <w:hyperlink w:anchor="a_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855" w:type="dxa"/>
            <w:tcBorders/>
            <w:shd w:fill="CCEEFF" w:val="clear"/>
            <w:vAlign w:val="center"/>
          </w:tcPr>
          <w:p>
            <w:pPr>
              <w:pStyle w:val="TableContents"/>
              <w:bidi w:val="0"/>
              <w:spacing w:before="0" w:after="283"/>
              <w:jc w:val="left"/>
              <w:rPr/>
            </w:pPr>
            <w:hyperlink w:anchor="a_8">
              <w:r>
                <w:rPr>
                  <w:rStyle w:val="InternetLink"/>
                  <w:rFonts w:ascii="Times New Roman;Times;Serif" w:hAnsi="Times New Roman;Times;Serif"/>
                  <w:b w:val="false"/>
                  <w:i w:val="false"/>
                  <w:caps w:val="false"/>
                  <w:smallCaps w:val="false"/>
                  <w:sz w:val="20"/>
                </w:rPr>
                <w:t>OUR BUSINESS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855" w:type="dxa"/>
            <w:tcBorders/>
            <w:shd w:fill="FFFFFF" w:val="clear"/>
            <w:vAlign w:val="center"/>
          </w:tcPr>
          <w:p>
            <w:pPr>
              <w:pStyle w:val="TableContents"/>
              <w:bidi w:val="0"/>
              <w:spacing w:before="0" w:after="283"/>
              <w:jc w:val="left"/>
              <w:rPr/>
            </w:pPr>
            <w:hyperlink w:anchor="a_9">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855" w:type="dxa"/>
            <w:tcBorders/>
            <w:shd w:fill="CCEEFF" w:val="clear"/>
            <w:vAlign w:val="center"/>
          </w:tcPr>
          <w:p>
            <w:pPr>
              <w:pStyle w:val="TableContents"/>
              <w:bidi w:val="0"/>
              <w:spacing w:before="0" w:after="283"/>
              <w:jc w:val="left"/>
              <w:rPr/>
            </w:pPr>
            <w:hyperlink w:anchor="a_10">
              <w:r>
                <w:rPr>
                  <w:rStyle w:val="InternetLink"/>
                  <w:rFonts w:ascii="Times New Roman;Times;Serif" w:hAnsi="Times New Roman;Times;Serif"/>
                  <w:b w:val="false"/>
                  <w:i w:val="false"/>
                  <w:caps w:val="false"/>
                  <w:smallCaps w:val="false"/>
                  <w:sz w:val="20"/>
                </w:rPr>
                <w:t>EXECUTIVE COMPENSATION</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855" w:type="dxa"/>
            <w:tcBorders/>
            <w:shd w:fill="FFFFFF" w:val="clear"/>
            <w:vAlign w:val="center"/>
          </w:tcPr>
          <w:p>
            <w:pPr>
              <w:pStyle w:val="TableContents"/>
              <w:bidi w:val="0"/>
              <w:spacing w:before="0" w:after="283"/>
              <w:jc w:val="left"/>
              <w:rPr/>
            </w:pPr>
            <w:hyperlink w:anchor="a_11">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855" w:type="dxa"/>
            <w:tcBorders/>
            <w:shd w:fill="CCEEFF" w:val="clear"/>
            <w:vAlign w:val="center"/>
          </w:tcPr>
          <w:p>
            <w:pPr>
              <w:pStyle w:val="TableContents"/>
              <w:bidi w:val="0"/>
              <w:spacing w:before="0" w:after="283"/>
              <w:jc w:val="left"/>
              <w:rPr/>
            </w:pPr>
            <w:hyperlink w:anchor="a_1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855" w:type="dxa"/>
            <w:tcBorders/>
            <w:shd w:fill="FFFFFF" w:val="clear"/>
            <w:vAlign w:val="center"/>
          </w:tcPr>
          <w:p>
            <w:pPr>
              <w:pStyle w:val="TableContents"/>
              <w:bidi w:val="0"/>
              <w:spacing w:before="0" w:after="283"/>
              <w:jc w:val="left"/>
              <w:rPr/>
            </w:pPr>
            <w:hyperlink w:anchor="a_13">
              <w:r>
                <w:rPr>
                  <w:rStyle w:val="InternetLink"/>
                  <w:rFonts w:ascii="Times New Roman;Times;Serif" w:hAnsi="Times New Roman;Times;Serif"/>
                  <w:b w:val="false"/>
                  <w:i w:val="false"/>
                  <w:caps w:val="false"/>
                  <w:smallCaps w:val="false"/>
                  <w:sz w:val="20"/>
                </w:rPr>
                <w:t>DESCRIPTION OF SECURITIES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9855" w:type="dxa"/>
            <w:tcBorders/>
            <w:shd w:fill="CCEEFF" w:val="clear"/>
            <w:vAlign w:val="center"/>
          </w:tcPr>
          <w:p>
            <w:pPr>
              <w:pStyle w:val="TableContents"/>
              <w:bidi w:val="0"/>
              <w:spacing w:before="0" w:after="283"/>
              <w:jc w:val="left"/>
              <w:rPr/>
            </w:pPr>
            <w:hyperlink w:anchor="a_14">
              <w:r>
                <w:rPr>
                  <w:rStyle w:val="InternetLink"/>
                  <w:rFonts w:ascii="Times New Roman;Times;Serif" w:hAnsi="Times New Roman;Times;Serif"/>
                  <w:b w:val="false"/>
                  <w:i w:val="false"/>
                  <w:caps w:val="false"/>
                  <w:smallCaps w:val="false"/>
                  <w:sz w:val="20"/>
                </w:rPr>
                <w:t>UNDERWRITING</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55" w:type="dxa"/>
            <w:tcBorders/>
            <w:shd w:fill="FFFFFF" w:val="clear"/>
            <w:vAlign w:val="center"/>
          </w:tcPr>
          <w:p>
            <w:pPr>
              <w:pStyle w:val="TableContents"/>
              <w:bidi w:val="0"/>
              <w:spacing w:before="0" w:after="283"/>
              <w:jc w:val="left"/>
              <w:rPr/>
            </w:pPr>
            <w:hyperlink w:anchor="a_15">
              <w:r>
                <w:rPr>
                  <w:rStyle w:val="InternetLink"/>
                  <w:rFonts w:ascii="Times New Roman;Times;Serif" w:hAnsi="Times New Roman;Times;Serif"/>
                  <w:b w:val="false"/>
                  <w:i w:val="false"/>
                  <w:caps w:val="false"/>
                  <w:smallCaps w:val="false"/>
                  <w:sz w:val="20"/>
                </w:rPr>
                <w:t>NOTICE TO INVESTORS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55" w:type="dxa"/>
            <w:tcBorders/>
            <w:shd w:fill="CCEEFF" w:val="clear"/>
            <w:vAlign w:val="center"/>
          </w:tcPr>
          <w:p>
            <w:pPr>
              <w:pStyle w:val="TableContents"/>
              <w:bidi w:val="0"/>
              <w:spacing w:before="0" w:after="283"/>
              <w:jc w:val="left"/>
              <w:rPr/>
            </w:pPr>
            <w:hyperlink w:anchor="a_16">
              <w:r>
                <w:rPr>
                  <w:rStyle w:val="InternetLink"/>
                  <w:rFonts w:ascii="Times New Roman;Times;Serif" w:hAnsi="Times New Roman;Times;Serif"/>
                  <w:b w:val="false"/>
                  <w:i w:val="false"/>
                  <w:caps w:val="false"/>
                  <w:smallCaps w:val="false"/>
                  <w:sz w:val="20"/>
                </w:rPr>
                <w:t>WHERE YOU CAN FIND MORE INFORMATION</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55" w:type="dxa"/>
            <w:tcBorders/>
            <w:shd w:fill="FFFFFF" w:val="clear"/>
            <w:vAlign w:val="center"/>
          </w:tcPr>
          <w:p>
            <w:pPr>
              <w:pStyle w:val="TableContents"/>
              <w:bidi w:val="0"/>
              <w:spacing w:before="0" w:after="283"/>
              <w:jc w:val="left"/>
              <w:rPr/>
            </w:pPr>
            <w:hyperlink w:anchor="a_17">
              <w:r>
                <w:rPr>
                  <w:rStyle w:val="InternetLink"/>
                  <w:rFonts w:ascii="Times New Roman;Times;Serif" w:hAnsi="Times New Roman;Times;Serif"/>
                  <w:b w:val="false"/>
                  <w:i w:val="false"/>
                  <w:caps w:val="false"/>
                  <w:smallCaps w:val="false"/>
                  <w:sz w:val="20"/>
                </w:rPr>
                <w:t>LEGAL MATTERS</w:t>
              </w:r>
            </w:hyperlink>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55" w:type="dxa"/>
            <w:tcBorders/>
            <w:shd w:fill="CCEEFF" w:val="clear"/>
            <w:vAlign w:val="center"/>
          </w:tcPr>
          <w:p>
            <w:pPr>
              <w:pStyle w:val="TableContents"/>
              <w:bidi w:val="0"/>
              <w:spacing w:before="0" w:after="283"/>
              <w:jc w:val="left"/>
              <w:rPr/>
            </w:pPr>
            <w:hyperlink w:anchor="a_18">
              <w:r>
                <w:rPr>
                  <w:rStyle w:val="InternetLink"/>
                  <w:rFonts w:ascii="Times New Roman;Times;Serif" w:hAnsi="Times New Roman;Times;Serif"/>
                  <w:b w:val="false"/>
                  <w:i w:val="false"/>
                  <w:caps w:val="false"/>
                  <w:smallCaps w:val="false"/>
                  <w:sz w:val="20"/>
                </w:rPr>
                <w:t>EXPERTS</w:t>
              </w:r>
            </w:hyperlink>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USED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 “Dragonfly,” the “Company,” “us,” “we,” “our” and any related terms are intended to mean Dragonfly Energy Holdings Corp.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means warrants to initially acquire 1,600,000 shares of common stock at an initial $10.00 per share exercise price issued at Closing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Merger and the other transactions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that certain Agreement and Plan of Merger, dated May 15, 2022, as amended on July 12, 2022, by and among CNTQ, Merger Sub and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means Chardan Capital Markets LLC, a New York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October 7,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means Chardan NexTech Acquisition 2 Corp., a Delaware corporation, which was renamed “Dragonfly Energy Holdings Corp.” in connection with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means, prior to consummation of the Business Combination, CNTQ common stock, par value $0.0001 per share, and, following consummation of the Business Combination, the common stock, par value $0.001 per share, of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means the initial public offering by CNTQ, which closed on August 13,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Lender</w:t>
      </w:r>
      <w:r>
        <w:rPr>
          <w:rFonts w:ascii="Times New Roman;Times;Serif" w:hAnsi="Times New Roman;Times;Serif"/>
          <w:b w:val="false"/>
          <w:i w:val="false"/>
          <w:caps w:val="false"/>
          <w:smallCaps w:val="false"/>
          <w:sz w:val="20"/>
        </w:rPr>
        <w:t>” means CCM Investments 5 LLC, a Delaware limited liability company, and an affiliate of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Dragonfly</w:t>
      </w:r>
      <w:r>
        <w:rPr>
          <w:rFonts w:ascii="Times New Roman;Times;Serif" w:hAnsi="Times New Roman;Times;Serif"/>
          <w:b w:val="false"/>
          <w:i w:val="false"/>
          <w:caps w:val="false"/>
          <w:smallCaps w:val="false"/>
          <w:sz w:val="20"/>
        </w:rPr>
        <w:t>” means Dragonfly Energy Holdings Corp., a Nevada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means up to an additional 40,000,000 shares of Company common stock that may be issued to the Legacy Dragonfly stockholders at Closing if certain financial metrics or trading price metrics are achieved and other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means EICF Agent LLC with the CNTQ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means Dragonfly Energy Corp., a Nevada corporation, and includes the surviving corporation after the Merger. References herein to Dragonfly will include its subsidiaries, including Legacy Dragonfly, to the extent reasonably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means Bronco Merger Sub, Inc., a Nevada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means the Nevada Revised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means warrants to initially acquire 2,593,056 shares of common stock at an exercise price of $0.01 per share issued at Closing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warrants to acquire shares of common stock at an $11.50 per share exercise price issued to an affiliate of the Sponsor in a private placement simultaneously with the closing of the CNTQ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warrants to acquire shares of common stock at an $11.50 per share exercise price sold as part of the units in the CNTQ IPO (whether they were purchased in the CNTQ IPO or thereafter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Chardan NexTech Investments 2 LLC, a Delaware limited liability company and an affiliate of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means the $75 million aggregate principal amount senior secured term loan facility entered into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means a certain third-party financing source collectively with EICF Agent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the Public Warrants, the Private Warrants and the Penny Warrants of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Holdings</w:t>
      </w:r>
      <w:r>
        <w:rPr>
          <w:rFonts w:ascii="Times New Roman;Times;Serif" w:hAnsi="Times New Roman;Times;Serif"/>
          <w:b w:val="false"/>
          <w:i w:val="false"/>
          <w:caps w:val="false"/>
          <w:smallCaps w:val="false"/>
          <w:sz w:val="20"/>
        </w:rPr>
        <w:t>” means Chardan NexTech 2 Warrant Holdings LLC, a Delaware limited liability company.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1"/>
      <w:bookmarkEnd w:id="1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underwriters have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dealer,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other statistical data made by independent parties and by us relating to market size and growth and other data about our industry. We obtained the industry and market data in this prospectus from our own research as well as from industry and general publications, surveys and studies conducted by third parties. This data involves a number of assumptions and limitations and contains projections and estimates of the future performance of the industries in which we operate that are subject to a high degree of uncertainty. We caution you not to give undue weight to such projections, assumptions and estimates.</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2"/>
      <w:bookmarkEnd w:id="19"/>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summary highlights information contained elsewhere in this prospectus. This summary does not contain all of the information that you should consider before deciding to invest in our securities. You should read this entire prospectus carefully, including the “Risk Factors” and “Management’s Discussion and Analysis of Financial Condition and Results of Operations,” sections in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(including the recreational vehicle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(“Dragonfly Energy”) and Battle Born Batteries (“Battle Born”). Battle Born branded products are primarily sold direct to consumers, while the Dragonfly Energy brand is primarily sold to original equipment manufacturers (“OEMs”). 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In 2022, we also acquired the assets, including the Wakespeed Offshore brand (“Wakespeed”) of Thomason Jones Company,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lithium iron phosphate (“LFP”) batteries, our experienced research and development team, headed by our founder and Chief Executive Officer, is currently developing the next generation of LFP solid-state cells.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Additionally, our internal production of solid-state cells will streamline our supply chain, allowing us to vertically integrate our cells into our batteries, thereby lowering our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1190 Trademark Dr. #108, Reno, Nevada 89521, and our telephone number is (775) 622-3448.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us, see the sections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all the information contained in this prospectus before making a decision to invest in our common stock or warrants. In particular, you should consider the risk factors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5. Such risks include, but are not limited to, the following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experience immediate and substantial dilution in net tangible book value of the shares you purchase in this offering.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have broad discretion as to the use of the proceeds from this offering, and may not use the proceeds effectively.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sales of our common stock may impact the market price of our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any cash dividends on our shares of common stock in the near future, so our shareholders will not be able to receive a return on their shares unless they sell their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 price fluctuates after the offering, you could lose a significant part of your investment.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ownership may be diluted if additional capital stock is issued to raise capital, to finance acquisitions or in connection with strategic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Existing Lithium-Ion Battery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If our facility becomes inoperable for any reason, or our automation and expansion plans do not yield the desired effects, our ability to manufacture our products could be negatively impacted.</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Solid-State Technology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economic conditions, including the Russia-Ukraine conflict, could reduce consumer spending and disrupt our supply chain which could negatively affect our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Financial Position and Capital Requirements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7" w:color="000000"/>
        </w:rPr>
      </w:pPr>
      <w:r>
        <w:rPr>
          <w:rFonts w:ascii="Times New Roman;Times;Serif" w:hAnsi="Times New Roman;Times;Serif"/>
          <w:b/>
          <w:i w:val="false"/>
          <w:caps w:val="false"/>
          <w:smallCaps w:val="false"/>
          <w:sz w:val="20"/>
          <w:bdr w:val="single" w:sz="12" w:space="7" w:color="000000"/>
        </w:rPr>
        <w:t>The Offering</w:t>
      </w:r>
    </w:p>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1651"/>
        <w:gridCol w:w="60"/>
        <w:gridCol w:w="8494"/>
      </w:tblGrid>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we are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7,168,458 shares (or 8,243,726 shares if the underwriters’ option to purchase additional shares of common stock is exercised in full) based on the sale of our common stock at an assumed public offering price of $2.79 per share, which is equal to the last reported sales price of our common stock on the Nasdaq on June 6, 2023.</w:t>
            </w:r>
          </w:p>
        </w:tc>
      </w:tr>
      <w:tr>
        <w:trPr/>
        <w:tc>
          <w:tcPr>
            <w:tcW w:w="1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before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45,885,513 shares</w:t>
            </w:r>
          </w:p>
        </w:tc>
      </w:tr>
      <w:tr>
        <w:trPr/>
        <w:tc>
          <w:tcPr>
            <w:tcW w:w="1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53,053,971 shares (or 54,129,239 shares if the underwriters’ option to purchase additional shares of common stock is exercised in full).</w:t>
            </w:r>
          </w:p>
        </w:tc>
      </w:tr>
      <w:tr>
        <w:trPr/>
        <w:tc>
          <w:tcPr>
            <w:tcW w:w="165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to the underwriters, or their permitted designees warrants (the “Underwriters’ Warrants”) to purchase up to an aggregate amount of shares of common stock representing five (5%) of the common stock offered hereby, including any shares of common stock issued if the underwriters option to purchase additional shares of common stock is exercised. The Underwriters’ Warrants will have an exercise price of 125% of the per share public offering price, will have a cashless exercise provision and will terminate on the fifth anniversary of the effective date of the registration statement of which this prospectus is a part.</w:t>
            </w:r>
          </w:p>
          <w:p>
            <w:pPr>
              <w:pStyle w:val="TableContents"/>
              <w:bidi w:val="0"/>
              <w:spacing w:before="0" w:after="0"/>
              <w:ind w:left="0" w:right="0" w:hanging="0"/>
              <w:jc w:val="both"/>
              <w:rPr>
                <w:caps w:val="false"/>
                <w:smallCaps w:val="false"/>
              </w:rPr>
            </w:pPr>
            <w:r>
              <w:rPr>
                <w:caps w:val="false"/>
                <w:smallCaps w:val="false"/>
              </w:rPr>
              <w:t> </w:t>
            </w:r>
          </w:p>
        </w:tc>
      </w:tr>
      <w:tr>
        <w:trPr/>
        <w:tc>
          <w:tcPr>
            <w:tcW w:w="1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$18.2 million (based on the sale of our common stock at an assumed public offering price of $2.79 per share, which is equal to the last reported sales price of our common stock on the Nasdaq on June 6, 2023) after deducting underwriting discount and commissions and estimated offering expenses payable by us. If the underwriters’ option to purchase additional shares of common stock is exercised in full, we estimate that the net proceeds from this offering will be approximately $21.0 million after deducting underwriting discount and commissions and estimated offering expenses payable by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We intend to use the proceeds from this offering primarily for working capital and general corporate purposes. See “</w:t>
            </w:r>
            <w:hyperlink w:anchor="a_4">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821"/>
        <w:gridCol w:w="60"/>
        <w:gridCol w:w="9324"/>
      </w:tblGrid>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An investment in our securities involves a high degree of risk. See “</w:t>
            </w:r>
            <w:hyperlink w:anchor="a_3">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beginning on page 5 of this prospectus for a discussion of the risk factors you should carefully consider before deciding to invest in our securities.</w:t>
            </w:r>
          </w:p>
        </w:tc>
      </w:tr>
    </w:tbl>
    <w:p>
      <w:pPr>
        <w:pStyle w:val="TextBody"/>
        <w:bidi w:val="0"/>
        <w:spacing w:before="0" w:after="0"/>
        <w:ind w:left="0" w:right="0" w:hanging="0"/>
        <w:jc w:val="left"/>
        <w:rPr>
          <w:caps w:val="false"/>
          <w:smallCaps w:val="false"/>
          <w:bdr w:val="single" w:sz="12" w:space="7" w:color="000000"/>
        </w:rPr>
      </w:pPr>
      <w:r>
        <w:rPr>
          <w:caps w:val="false"/>
          <w:smallCaps w:val="false"/>
          <w:bdr w:val="single" w:sz="12" w:space="7" w:color="000000"/>
        </w:rPr>
        <w:t> </w:t>
      </w:r>
    </w:p>
    <w:tbl>
      <w:tblPr>
        <w:tblW w:w="7495" w:type="dxa"/>
        <w:jc w:val="left"/>
        <w:tblInd w:w="0" w:type="dxa"/>
        <w:tblLayout w:type="fixed"/>
        <w:tblCellMar>
          <w:top w:w="0" w:type="dxa"/>
          <w:left w:w="0" w:type="dxa"/>
          <w:bottom w:w="0" w:type="dxa"/>
          <w:right w:w="0" w:type="dxa"/>
        </w:tblCellMar>
      </w:tblPr>
      <w:tblGrid>
        <w:gridCol w:w="1850"/>
        <w:gridCol w:w="60"/>
        <w:gridCol w:w="558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under the symbol “DFLI.”</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The number of shares of common stock to be outstanding after this offering is based on 45,885,513 shares outstanding as of May 24, 2023, including any shares of common stock issued pursuant to the Underwriters’ exercise of the over-allotment option, and does not include, as of such date:</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9,422,529 shares of common stock (the “Public Warrant Shares”) issuable upon the exercise of outstanding Public Warrants at an exercise price of $11.50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shares of common stock (the “Private Warrant Shares”) issuable upon the exercise of outstanding Private Warrants at an exercise price of $11.50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843,056 shares of common stock (the “Penny Warrant Shares”) issuable upon exercise of outstanding Penny Warrants at an exercise price of $0.01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Earnout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$150.0 million of shares of common stock we may sell to CCM pursuant to a purchase agreement between us and CCM, dated October 7, 2022 (the “Purchase Agreement”) establishing an equity facility (the “ChEF Equity Facility”);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3,739,614 shares of common stock underlying outstanding options;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358,422 shares (412,186 shares if the underwriter exercises its option to purchase additional shares in full) of common stock issuable upon the exercise of warrants to be issued to the underwriter upon the completion of this offering in an amount equal to 5% of the shares sold in this offering, with an exercise price equal to 125% of the public offering price per share, as described in “Underwriting.”</w:t>
            </w:r>
          </w:p>
        </w:tc>
      </w:tr>
    </w:tbl>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Unless otherwise indicated, the information in this supplement assumes no exercise of the underwriters’ over-allotment option.</w:t>
      </w:r>
    </w:p>
    <w:p>
      <w:pPr>
        <w:pStyle w:val="TextBody"/>
        <w:bidi w:val="0"/>
        <w:spacing w:before="0" w:after="0"/>
        <w:ind w:left="0" w:right="0" w:hanging="0"/>
        <w:jc w:val="both"/>
        <w:rPr>
          <w:caps w:val="false"/>
          <w:smallCaps w:val="false"/>
          <w:bdr w:val="single" w:sz="12" w:space="7" w:color="000000"/>
        </w:rPr>
      </w:pPr>
      <w:r>
        <w:rPr>
          <w:caps w:val="false"/>
          <w:smallCaps w:val="false"/>
          <w:bdr w:val="single" w:sz="12"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7" w:color="000000"/>
        </w:rPr>
      </w:pPr>
      <w:r>
        <w:rPr>
          <w:rFonts w:ascii="Times New Roman;Times;Serif" w:hAnsi="Times New Roman;Times;Serif"/>
          <w:b w:val="false"/>
          <w:i w:val="false"/>
          <w:caps w:val="false"/>
          <w:smallCaps w:val="false"/>
          <w:sz w:val="20"/>
          <w:bdr w:val="single" w:sz="12" w:space="7" w:color="000000"/>
        </w:rPr>
        <w:t>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pStyle w:val="TextBody"/>
        <w:bidi w:val="0"/>
        <w:spacing w:before="0" w:after="0"/>
        <w:jc w:val="center"/>
        <w:rPr>
          <w:caps w:val="false"/>
          <w:smallCaps w:val="false"/>
          <w:bdr w:val="single" w:sz="12" w:space="7" w:color="000000"/>
        </w:rPr>
      </w:pPr>
      <w:r>
        <w:rPr>
          <w:caps w:val="false"/>
          <w:smallCaps w:val="false"/>
          <w:bdr w:val="single" w:sz="12"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3"/>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Cautionary Note Regarding Forward-Looking Statement.”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net tangible book value of the shares you purchase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public offering price per share of common stock will be substantially higher than the as adjusted net tangible book value per share of our common stock after giving effect to this offering. Assuming the sale of shares of our common stock at an assumed public offering price of $2.79 per share, which is equal to the last reported sale price per share of our common stock on the Nasdaq on June 6, 2023, after deducting estimated underwriting discounts and commissions and estimated offering expenses payable by us, you will incur immediate dilution in as adjusted net tangible book value of approximately $1.84 per share. As a result of the dilution to investors purchasing securities in this offering, investors may receive significantly less than the purchase price paid in this offering, if anything, in the event of the liquidation of our company. See the section entitled “</w:t>
      </w:r>
      <w:hyperlink w:anchor="a_6">
        <w:r>
          <w:rPr>
            <w:rStyle w:val="InternetLink"/>
            <w:rFonts w:ascii="Times New Roman;Times;Serif" w:hAnsi="Times New Roman;Times;Serif"/>
            <w:b w:val="false"/>
            <w:i w:val="false"/>
            <w:caps w:val="false"/>
            <w:smallCaps w:val="false"/>
            <w:sz w:val="20"/>
          </w:rPr>
          <w:t>Dilution</w:t>
        </w:r>
      </w:hyperlink>
      <w:r>
        <w:rPr>
          <w:rFonts w:ascii="Times New Roman;Times;Serif" w:hAnsi="Times New Roman;Times;Serif"/>
          <w:b w:val="false"/>
          <w:i w:val="false"/>
          <w:caps w:val="false"/>
          <w:smallCaps w:val="false"/>
          <w:sz w:val="20"/>
        </w:rPr>
        <w:t>” below for a more detailed discussion of the dilution you will incur if you participate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use of the proceeds from this offering, and may not use the proceeds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and could spend the proceeds in ways that may not improve our results of operations or enhance the value of our common stock. Our failure to apply these funds effectively could have a material adverse effect on our business and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sales of our stock may impact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any cash dividends on our shares of common stock in the near future, so our shareholders will not be able to receive a return on their shares unless they sell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stock price fluctuates after the offering, you could lose a significant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be subject to wide fluctuations in response to, among other things, the risk factors described in this prospectus,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ownership may be diluted if additional capital stock is issued to raise capital, to finance acquisitions or in connection with strategic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funds for our operations, to finance acquisitions or to develop strategic relationships by issuing equity or convertible debt securities in addition to the securities issued in this offering, which would reduce the percentage ownership of our existing stockholders. Our board of directors has the authority, without action or vote of the stockholders, to issue all or any part of our authorized but unissued shares of common or preferred stock. Our Articles of Incorporation authorize us to issue up to 170,000,000 shares of common stock and 5,000,000 shares of preferred stock. Any additional common stock so authorized will be available for issuance by the board for stock splits or stock dividends, acquisitions, raising additional capital, conversion of our debt into equity, or other corporate purposes, and any such issuances may be dilutive to current stockholders. Future issuances of common or preferred stock would reduce your influence over matters on which stockholders vote and would be dilutive to earnings per share. In addition, any newly issued preferred stock could have rights, preferences and privileges senior to those of the common stock. Those rights, preferences and privileges could include, among other things, the establishment of dividends that must be paid prior to declaring or paying dividends or other distributions to holders of our common stock or providing for preferential liquidation rights. These rights, preferences and privileges could negatively affect the rights of holders of our common stock, and the right to convert such preferred stock into shares of our common stock at a rate or price that would have a dilutive effect on the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funding to fund our working capital needs or consummate potential future acquisitions. Additional financing may not be available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net proceeds of this offering may not be sufficient for us to fund the working capital needs of our business or potential strategic acquisitions we may pursue in the future. We may continue to seek funds through equity or debt financings, collaborative or other arrangements with corporate sources, or through other sources of financing. Additional funding may not be available to us on acceptable terms, or at all. Any failure to raise capital as and when needed could have a negative impact on our financial condition and on our ability to pursue our business plans and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(“EV”) to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bidi w:val="0"/>
        <w:spacing w:before="0" w:after="0"/>
        <w:ind w:left="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bl>
    <w:p>
      <w:pPr>
        <w:pStyle w:val="TextBody"/>
        <w:bidi w:val="0"/>
        <w:spacing w:before="0" w:after="0"/>
        <w:ind w:left="0" w:right="0" w:firstLine="5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bl>
    <w:p>
      <w:pPr>
        <w:pStyle w:val="TextBody"/>
        <w:bidi w:val="0"/>
        <w:spacing w:before="0" w:after="0"/>
        <w:ind w:left="0" w:right="0" w:firstLine="5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bl>
    <w:p>
      <w:pPr>
        <w:pStyle w:val="TextBody"/>
        <w:bidi w:val="0"/>
        <w:spacing w:before="0" w:after="0"/>
        <w:ind w:left="0" w:right="0" w:firstLine="5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which could harm our financial condition and liquidity if we are not able to successfully defend or insure against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(“FTO”)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bl>
    <w:p>
      <w:pPr>
        <w:pStyle w:val="TextBody"/>
        <w:bidi w:val="0"/>
        <w:spacing w:before="0" w:after="0"/>
        <w:ind w:left="0" w:right="0" w:firstLine="5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economic conditions, including the Russia-Ukraine conflict, could reduce consumer spending and disrupt our supply chain which could negatively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(“ESG”) disclosure or performance. For example, the United States Securities and Exchange Commission (the “SEC”)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increased expenses and administrative burdens as a public company, which could have an adverse effect on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have created new board committees,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transition to a public company subjects us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former shell company, we face certain disadvantages relative to companies that pursued a traditional initial public offering.</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was a special purpose acquisition company (a “SPAC”), a form of shell company under the rules of the SEC. Shell companies are more highly regulated than non-shell operating companies and face significant additional restrictions on their activities under federal securities laws. As a result of the Business Combination, we ceased to be a shell company. However, companies that were formerly shell companies continue to face disadvantages under SEC rules, including (a) the inability to use Form S-3 until at least one year after the filing of information equivalent to that required by Form 10 after ceasing to be a shell company,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(e) the inability to use Form S-8 to register shares issuable in connection with certain compensatory plans and arrangements until 60 days after the filing of information equivalent to that required by Form 10, (f) the inability of stockholders to rely on Rule 144 for resales of securities until at least one year after the filing of information equivalent to that required by Form 10 and the provision of current public information, and (g) exclusion from certain safe harbors for offering-related communications under the Securities Act for three years after ceasing to be a shell company, including for research reports and certain communications in connection with business combinations. We expect that these disadvantages will make it more challenging and expensive, and create greater risks and delays, for both us and our stockholders to offer securities. These challenges may make our securities less attractive than those of companies that are not former shell companies and may raise our relative cost of capital.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Business Combination with a special purpose acquisition company, regulatory obligations may impact us differently than other publicly traded companies.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publicly traded company by completing the Business Combination with CNTQ,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cash totaling $15.8 million. Our net income for the quarter ended March 31, 2023 was $4.9 million, our net loss for the quarter ended March 31, 2022 was $2.3 million and our accumulated deficit as of March 31, 2023 was approximately $22.2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for us to pay other obligations;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cost of borrowing from other sources;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to obtain favorable terms for any necessary future financing for working capital, capital expenditures, investments, acquisitions, debt service requirements, or other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us from making acquisitions or causing us to make divestitures or similar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substantial portion of our cash flow from operations to service and repay our indebtedness, reducing the amount of cash flow available for other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competitive disadvantage compared to our less leveraged competitors;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approximately $15.8 million in cash and cash equivalents and working capital of $24.5 million and an accumulated deficit of approximately $22.2 million.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(as defined below),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below) and Term Loan Lenders (as defined below)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or incur encumbrances or liens;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consolidations, amalgamations, mergers, acquisitions, liquidations, dissolutions or dispositions;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or otherwise dispose of assets;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on, or purchase, redeem, defease, or otherwise acquire or retire for value,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(“U.S.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 we are an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the continued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bl>
    <w:p>
      <w:pPr>
        <w:pStyle w:val="TextBody"/>
        <w:bidi w:val="0"/>
        <w:spacing w:before="0" w:after="0"/>
        <w:ind w:left="0" w:right="0" w:firstLine="5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ind w:left="0" w:right="0" w:firstLine="5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bl>
    <w:p>
      <w:pPr>
        <w:pStyle w:val="TextBody"/>
        <w:bidi w:val="0"/>
        <w:spacing w:before="0" w:after="0"/>
        <w:ind w:left="0" w:right="0" w:firstLine="5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bl>
    <w:p>
      <w:pPr>
        <w:pStyle w:val="TextBody"/>
        <w:bidi w:val="0"/>
        <w:spacing w:before="0" w:after="0"/>
        <w:ind w:left="0" w:right="0" w:firstLine="5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bl>
    <w:p>
      <w:pPr>
        <w:pStyle w:val="TextBody"/>
        <w:bidi w:val="0"/>
        <w:spacing w:before="0" w:after="0"/>
        <w:ind w:left="0" w:right="0" w:firstLine="5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bl>
    <w:p>
      <w:pPr>
        <w:pStyle w:val="TextBody"/>
        <w:bidi w:val="0"/>
        <w:spacing w:before="0" w:after="0"/>
        <w:ind w:left="0" w:right="0" w:firstLine="5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bl>
    <w:p>
      <w:pPr>
        <w:pStyle w:val="TextBody"/>
        <w:bidi w:val="0"/>
        <w:spacing w:before="0" w:after="0"/>
        <w:ind w:left="0" w:right="0" w:firstLine="5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ind w:left="0" w:right="0" w:firstLine="5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bl>
    <w:p>
      <w:pPr>
        <w:pStyle w:val="TextBody"/>
        <w:bidi w:val="0"/>
        <w:spacing w:before="0" w:after="0"/>
        <w:ind w:left="0" w:right="0" w:firstLine="5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ind w:left="0" w:right="0" w:firstLine="5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ind w:left="0" w:right="0" w:firstLine="50"/>
        <w:jc w:val="both"/>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ind w:left="0" w:right="0" w:firstLine="5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bl>
    <w:p>
      <w:pPr>
        <w:pStyle w:val="TextBody"/>
        <w:bidi w:val="0"/>
        <w:spacing w:before="0" w:after="0"/>
        <w:ind w:left="0" w:right="0" w:firstLine="5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to acquire our common stock would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to acquire our common stock will increase the number of shares eligible for future resale in the public market and result in dilution to our stockholders. As of May 24, 2023, there were (i) 9,422,529 shares of common stock issuable upon the exercise of outstanding Public Warrants at an exercise price of $11.50 per share; (ii) 1,501,386 shares of common stock issuable upon the exercise of outstanding Private Warrants at an exercise price of $11.50 per share; and (iii) 843,056 shares of common stock issuable upon exercise of outstanding Penny Warrants at an exercise price of $0.01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185"/>
        <w:gridCol w:w="966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85"/>
        <w:gridCol w:w="998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could discourage another company from acquiring us and may prevent attempts by our stockholders to replace or remove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with each class serving staggered three-year terms, which may delay the ability of stockholders to change the membership of a majority of our board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bl>
    <w:p>
      <w:pPr>
        <w:pStyle w:val="TextBody"/>
        <w:bidi w:val="0"/>
        <w:spacing w:before="0" w:after="0"/>
        <w:ind w:left="0" w:right="0" w:firstLine="5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bl>
    <w:p>
      <w:pPr>
        <w:pStyle w:val="TextBody"/>
        <w:bidi w:val="0"/>
        <w:spacing w:before="0" w:after="0"/>
        <w:ind w:left="0" w:right="0" w:firstLine="5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bl>
    <w:p>
      <w:pPr>
        <w:pStyle w:val="TextBody"/>
        <w:bidi w:val="0"/>
        <w:spacing w:before="0" w:after="0"/>
        <w:ind w:left="0" w:right="0" w:firstLine="5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bl>
    <w:p>
      <w:pPr>
        <w:pStyle w:val="TextBody"/>
        <w:bidi w:val="0"/>
        <w:spacing w:before="0" w:after="0"/>
        <w:ind w:left="0" w:right="0" w:firstLine="5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comply with the requirements of the Sarbanes-Oxley Act, including, among other things, that we maintain effective disclosure controls and procedures and internal control over financial reporting. See “</w:t>
      </w:r>
      <w:r>
        <w:rPr>
          <w:rFonts w:ascii="Times New Roman;Times;Serif" w:hAnsi="Times New Roman;Times;Serif"/>
          <w:b w:val="false"/>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r>
        <w:rPr>
          <w:rFonts w:ascii="Times New Roman;Times;Serif" w:hAnsi="Times New Roman;Times;Serif"/>
          <w:b w:val="false"/>
          <w:i w:val="false"/>
          <w:caps w:val="false"/>
          <w:smallCaps w:val="false"/>
          <w:sz w:val="20"/>
        </w:rPr>
        <w:t>.”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management, including our principal executive and financial officers.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than anticipated future earnings in jurisdictions where we have lower statutory tax rates and higher than anticipated future earnings in jurisdictions where we have higher statutory tax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s_001"/>
      <w:bookmarkEnd w:id="21"/>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prospectus may constitute “forward-looking statements” within the meaning of the “safe harbor” provisions of the United States Private Securities Litigation Reform Act of 1995, Section 27A of the Securities Act and Section 21E of the Exchange Act.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recent Business Combination (as defined herein), which may be affected by, among other things, the factors listed below;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and Public Warrants (as defined herein) on the Nasdaq Capital Market;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including any mutations or variants thereof, and its effect on business and financial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4"/>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offering will be approximately $18.2 million, or $21.0 million if the underwriters exercise their over-allotment option in full, assuming the sale of 7,168,458 shares of common stock at an offering price per share of common stock of $2.79, which is equal to the last reported sales price of our common stock on the Nasdaq on June 6, 2023, after deducting estimated underwriting discounts and commissions and estimated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in the event that the actual public offering per share is more or less than the assumed public offering price of $2.79 per share (the last reported sale price of our common stock Nasdaq on June 6, 2023), the number of shares we sell may be decreased or increased so long as the aggregate offering amount does not exceed the total amount registered on the registration statement of which this prospectus forms a part. Assuming a total offering amount of $20,000,000, for every $0.10 increase in the assumed public offering price per share, we would sell fewer shares of common stock and for every $0.10 decrease in the assumed public offering price per share, we would sell additional shares of common stock. Each $0.10 increase in the assumed public offering price per share would increase the as adjusted net tangible book value per share by $0.01 per share and increase the dilution per share to investors participating in this offering by $0.10 per share after deducting estimated underwriting discounts and commissions and estimated offering expenses payable by us. Each $0.10 decrease in the assumed public offering price per share would decrease the as adjusted net tangible book value per share by $(0.01) per share and decrease the dilution per share to investors participating in this offering by $(0.10) per share, after deducting estimated underwriting discounts and commissions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cannot specify with certainty all of the particular uses for the net proceeds to us from this offering. Accordingly, our management will have broad discretion in the application of these proceeds.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5"/>
      <w:bookmarkEnd w:id="23"/>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under the symbol “DFLI” and our Public Warrants are currently listed on the Nasdaq Capital Market under the symbol “DFLIW”. As of June 6, 2023, the closing price of our common stock and Public Warrants was $2.79 and $0.14, respectively. As of May 24, 2023, there were 189 holders of record of our common stock and 35 holders of record of our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6"/>
      <w:bookmarkEnd w:id="24"/>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interest will be diluted immediately to the extent of the difference between the offering price per share and the as adjusted net tangible book value per shares of common stock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our net tangible book value was $32.3 million, or $0.71 per share of common stock. Net tangible book value per share represents our total tangible assets, less our total liabilities, divided by the number of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assumed sale of shares of common stock in this offering at an assumed public offering price of $2.79 per share, which is equal to the last reported sales price of our common stock on the Nasdaq on June 6, 2023, and after deducting estimated underwriting discounts and commissions and estimated offering expenses payable by us, our as adjusted net tangible book value as of March 31, 2023 would have been approximately $50.5 million, or approximately $0.95 per share of common stock. This amount represents an immediate increase in as adjusted net tangible book value of $0.40 per share to our existing stockholders and an immediate dilution of $1.84 per share to investors participating in this offering. We determine dilution per share to investors participating in this offering by subtracting as adjusted net tangible book value per share after giving effect to this offering from the assumed public offering price per share paid by investors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to new investors on a per share basis:</w:t>
      </w:r>
    </w:p>
    <w:p>
      <w:pPr>
        <w:pStyle w:val="TextBody"/>
        <w:bidi w:val="0"/>
        <w:spacing w:before="0" w:after="0"/>
        <w:ind w:left="0" w:right="0" w:hanging="0"/>
        <w:jc w:val="both"/>
        <w:rPr>
          <w:caps w:val="false"/>
          <w:smallCaps w:val="false"/>
        </w:rPr>
      </w:pPr>
      <w:r>
        <w:rPr>
          <w:caps w:val="false"/>
          <w:smallCaps w:val="false"/>
        </w:rPr>
        <w:t> </w:t>
      </w:r>
    </w:p>
    <w:tbl>
      <w:tblPr>
        <w:tblW w:w="10125" w:type="dxa"/>
        <w:jc w:val="left"/>
        <w:tblInd w:w="0" w:type="dxa"/>
        <w:tblLayout w:type="fixed"/>
        <w:tblCellMar>
          <w:top w:w="0" w:type="dxa"/>
          <w:left w:w="0" w:type="dxa"/>
          <w:bottom w:w="0" w:type="dxa"/>
          <w:right w:w="0" w:type="dxa"/>
        </w:tblCellMar>
      </w:tblPr>
      <w:tblGrid>
        <w:gridCol w:w="9410"/>
        <w:gridCol w:w="60"/>
        <w:gridCol w:w="140"/>
        <w:gridCol w:w="440"/>
        <w:gridCol w:w="75"/>
      </w:tblGrid>
      <w:tr>
        <w:trPr/>
        <w:tc>
          <w:tcPr>
            <w:tcW w:w="9410" w:type="dxa"/>
            <w:tcBorders/>
            <w:shd w:fill="CCEEFF" w:val="clear"/>
            <w:vAlign w:val="center"/>
          </w:tcPr>
          <w:p>
            <w:pPr>
              <w:pStyle w:val="TableContents"/>
              <w:bidi w:val="0"/>
              <w:spacing w:before="0" w:after="283"/>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75" w:type="dxa"/>
            <w:tcBorders/>
            <w:shd w:fill="CCEEFF" w:val="clear"/>
            <w:vAlign w:val="center"/>
          </w:tcPr>
          <w:p>
            <w:pPr>
              <w:pStyle w:val="TableContents"/>
              <w:bidi w:val="0"/>
              <w:spacing w:before="0" w:after="283"/>
              <w:jc w:val="left"/>
              <w:rPr/>
            </w:pPr>
            <w:r>
              <w:rPr/>
              <w:t> </w:t>
            </w:r>
          </w:p>
        </w:tc>
      </w:tr>
      <w:tr>
        <w:trPr/>
        <w:tc>
          <w:tcPr>
            <w:tcW w:w="9410" w:type="dxa"/>
            <w:tcBorders/>
            <w:shd w:fill="FFFFFF" w:val="clear"/>
            <w:vAlign w:val="center"/>
          </w:tcPr>
          <w:p>
            <w:pPr>
              <w:pStyle w:val="TableContents"/>
              <w:bidi w:val="0"/>
              <w:spacing w:before="0" w:after="283"/>
              <w:jc w:val="left"/>
              <w:rPr/>
            </w:pPr>
            <w:r>
              <w:rPr/>
              <w:t>Historical net tangible book value per share at March 31,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0.71</w:t>
            </w:r>
          </w:p>
        </w:tc>
        <w:tc>
          <w:tcPr>
            <w:tcW w:w="75" w:type="dxa"/>
            <w:tcBorders/>
            <w:shd w:fill="FFFFFF" w:val="clear"/>
            <w:vAlign w:val="center"/>
          </w:tcPr>
          <w:p>
            <w:pPr>
              <w:pStyle w:val="TableContents"/>
              <w:bidi w:val="0"/>
              <w:spacing w:before="0" w:after="283"/>
              <w:jc w:val="left"/>
              <w:rPr/>
            </w:pPr>
            <w:r>
              <w:rPr/>
              <w:t> </w:t>
            </w:r>
          </w:p>
        </w:tc>
      </w:tr>
      <w:tr>
        <w:trPr/>
        <w:tc>
          <w:tcPr>
            <w:tcW w:w="9410" w:type="dxa"/>
            <w:tcBorders/>
            <w:shd w:fill="CCEEFF" w:val="clear"/>
            <w:vAlign w:val="center"/>
          </w:tcPr>
          <w:p>
            <w:pPr>
              <w:pStyle w:val="TableContents"/>
              <w:bidi w:val="0"/>
              <w:spacing w:before="0" w:after="283"/>
              <w:jc w:val="left"/>
              <w:rPr/>
            </w:pPr>
            <w:r>
              <w:rPr/>
              <w:t>Increase in net tangible book value per share to the existing stockholders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w:t>
            </w:r>
          </w:p>
        </w:tc>
        <w:tc>
          <w:tcPr>
            <w:tcW w:w="75" w:type="dxa"/>
            <w:tcBorders/>
            <w:shd w:fill="CCEEFF" w:val="clear"/>
            <w:vAlign w:val="center"/>
          </w:tcPr>
          <w:p>
            <w:pPr>
              <w:pStyle w:val="TableContents"/>
              <w:bidi w:val="0"/>
              <w:spacing w:before="0" w:after="283"/>
              <w:jc w:val="left"/>
              <w:rPr/>
            </w:pPr>
            <w:r>
              <w:rPr/>
              <w:t> </w:t>
            </w:r>
          </w:p>
        </w:tc>
      </w:tr>
      <w:tr>
        <w:trPr/>
        <w:tc>
          <w:tcPr>
            <w:tcW w:w="9410" w:type="dxa"/>
            <w:tcBorders/>
            <w:shd w:fill="FFFFFF" w:val="clear"/>
            <w:vAlign w:val="center"/>
          </w:tcPr>
          <w:p>
            <w:pPr>
              <w:pStyle w:val="TableContents"/>
              <w:bidi w:val="0"/>
              <w:spacing w:before="0" w:after="283"/>
              <w:jc w:val="left"/>
              <w:rPr/>
            </w:pPr>
            <w:r>
              <w:rPr/>
              <w:t>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75" w:type="dxa"/>
            <w:tcBorders/>
            <w:shd w:fill="FFFFFF" w:val="clear"/>
            <w:vAlign w:val="center"/>
          </w:tcPr>
          <w:p>
            <w:pPr>
              <w:pStyle w:val="TableContents"/>
              <w:bidi w:val="0"/>
              <w:spacing w:before="0" w:after="283"/>
              <w:jc w:val="left"/>
              <w:rPr/>
            </w:pPr>
            <w:r>
              <w:rPr/>
              <w:t> </w:t>
            </w:r>
          </w:p>
        </w:tc>
      </w:tr>
      <w:tr>
        <w:trPr/>
        <w:tc>
          <w:tcPr>
            <w:tcW w:w="9410" w:type="dxa"/>
            <w:tcBorders/>
            <w:shd w:fill="CCEEFF" w:val="clear"/>
            <w:vAlign w:val="center"/>
          </w:tcPr>
          <w:p>
            <w:pPr>
              <w:pStyle w:val="TableContents"/>
              <w:bidi w:val="0"/>
              <w:spacing w:before="0" w:after="283"/>
              <w:jc w:val="left"/>
              <w:rPr/>
            </w:pPr>
            <w:r>
              <w:rPr/>
              <w:t>Dilution in net tangible book value per share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in the event that the actual public offering per share is more or less than the assumed public offering price of $2.79 per share (the last reported sale price of our common stock Nasdaq on June 6, 2023), the number of shares we sell may be decreased or increased so long as the aggregate offering amount does not exceed the total amount registered on the registration statement of which this prospectus forms a part. Assuming a total offering amount of $20,000,000, for every $0.10 increase in the assumed public offering price per share, we would sell 248,043 fewer shares of common stock and for every $0.10 decrease in the assumed public offering price per share, we would sell 266,486 additional shares of common stock. Each $0.10 increase in the assumed public offering price per share would increase the as adjusted net tangible book value per share by $0.01 per share and increase the dilution per share to investors participating in this offering by $0.10 per share after deducting estimated underwriting discounts and commissions and estimated offering expenses payable by us. Each $0.10 decrease in the assumed public offering price per share would decrease the as adjusted net tangible book value per share by $(0.01) per share and decrease the dilution per share to investors participating in this offering by $(0.10) per share, after deducting estimated underwriting discounts and commissions and estimated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underwriters exercise their over-allotment option in full, the as adjusted net tangible book value per share after giving effect to this offering would be approximately $0.99 per share, which represents an immediate increase in the as adjusted net tangible book value of $0.28 per share of our common stock to existing stockholders and an immediate dilution in the as adjusted net tangible book value of $1.80 per share of our common stock to new investors participating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45,795,502 shares outstanding as of March 31, 2023, and does not include, as of such date:</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9,422,529 Public Warrant Shares;</w:t>
            </w:r>
          </w:p>
        </w:tc>
      </w:tr>
    </w:tbl>
    <w:p>
      <w:pPr>
        <w:pStyle w:val="TextBody"/>
        <w:bidi w:val="0"/>
        <w:spacing w:before="0" w:after="0"/>
        <w:ind w:left="0" w:right="0" w:hanging="741"/>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1,501,386 Private Warrant Shares;</w:t>
            </w:r>
          </w:p>
        </w:tc>
      </w:tr>
    </w:tbl>
    <w:p>
      <w:pPr>
        <w:pStyle w:val="TextBody"/>
        <w:bidi w:val="0"/>
        <w:spacing w:before="0" w:after="0"/>
        <w:ind w:left="0" w:right="0" w:hanging="741"/>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1,343,557 Penny Warrant Shares;</w:t>
            </w:r>
          </w:p>
        </w:tc>
      </w:tr>
    </w:tbl>
    <w:p>
      <w:pPr>
        <w:pStyle w:val="TextBody"/>
        <w:bidi w:val="0"/>
        <w:spacing w:before="0" w:after="0"/>
        <w:ind w:left="0" w:right="0" w:firstLine="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70"/>
        <w:gridCol w:w="2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40,000,000 Earnout Shares;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$150.0 million of shares of common stock we may sell to CCM pursuant to the Purchase Agreement establishing the ChEF Equity Facility; and</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3,731,392 shares of common stock underlying outstanding options.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above is illustrative only and will be adjusted based on the actual public offering price, the actual number of shares that we offer in this offering, and other terms of this offering determined at pricing. 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7"/>
      <w:bookmarkEnd w:id="25"/>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246,000 batteries. For the quarter ended March 31, 2023 and 2022, we sold 20,331 and 19,664 batteries, respectively, and had $18.8 million and $18.3 million in net sales, respectively.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LFP solid-state cell technology and manufacturing processes. Our solid-state technology design allows for a much safer, more efficient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CNTQ was treated as the acquired company for financial statement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cash totaling $15.8 million. Our net income for the quarter ended March 31, 2023 was $4.9 million and our net loss for the quarter ended March 31, 2022 was $2.3 million. As a result of becoming a publicly traded company, we continue to need to hire additional personnel and implement procedures and processes to address public company regulatory requirements and customary practices. We expect to continue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is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quarters ended March 31, 2023, and March 31, 2022. This data should be read together with our financial statements and related notes included elsewhere in this Quarterly Report, and is qualified in its entirety by reference to such financial statements and related notes.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460"/>
        <w:gridCol w:w="60"/>
        <w:gridCol w:w="140"/>
        <w:gridCol w:w="680"/>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53" w:type="dxa"/>
        <w:jc w:val="left"/>
        <w:tblInd w:w="0" w:type="dxa"/>
        <w:tblLayout w:type="fixed"/>
        <w:tblCellMar>
          <w:top w:w="0" w:type="dxa"/>
          <w:left w:w="0" w:type="dxa"/>
          <w:bottom w:w="0" w:type="dxa"/>
          <w:right w:w="0" w:type="dxa"/>
        </w:tblCellMar>
      </w:tblPr>
      <w:tblGrid>
        <w:gridCol w:w="1190"/>
        <w:gridCol w:w="60"/>
        <w:gridCol w:w="269"/>
        <w:gridCol w:w="1307"/>
        <w:gridCol w:w="115"/>
        <w:gridCol w:w="115"/>
        <w:gridCol w:w="115"/>
        <w:gridCol w:w="1307"/>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7,069</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13,035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2,969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2,087</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10,038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15,122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53.4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82.6</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8,754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3,181</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46.6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$0.5 million, or 2.7%, to $18.8 million for the quarter ended March 31, 2023, as compared to $18.3 million for the quarter ended March 31, 2022. This increase was primarily due to higher OEM battery and accessory sales partially offset by lower DTC sales. For the quarter ended March 31, 2023, OEM revenue increased by $5.6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$5.1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$1.2 million, or 9.7%, to $14.0 million for the quarter ended March 31, 2023, as compared to $12.8 million for the quarter ended March 31, 2022. This increase was primarily due to higher material costs associated with growth in the number of units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$0.8 million, or 13.7%, to $4.7 million for the quarter ended March 31, 2023, as compared to $5.5 million for the quarter ended March 31, 2022. The decrease in gross profit was primarily due to a change in revenue mix that included a larger percentage of lower margin OEM sales and a lower percentage of higher margin DTC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$0.6 million or 159.6%, to $0.9 million for the quarter ended March 31, 2023, as compared to $0.3 million for the quarter ended March 31, 2022. The increase was primarily due to higher wage expense of $0.4 million associated with increased headcount, higher materials and supply costs associated with development work and increased patent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$5.9 million, or 161.8%, to $9.5 million for the quarter ended March 31, 2023, as compared to $3.6 million for the quarter ended March 31, 2022. This increase was primarily due to a $3.5 million increase in stock-based compensation costs and a $2.1 million increase in professional fees, compliance, and insurance costs.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$1.1 million, or 35.3%, to $4.2 million for the quarter ended March 31, 2023, as compared to $3.1 million for the quarter ended March 31, 2022. This increase was primarily due to a $1.6 million increase in wage-related expenses primarily due to the addition of sales and marketing personnel to support growth in our existing end markets, as well as to drive growth in the new, adjacent end markets we are targeting. This increase was partially offset by lower spending in outsourced advertising costs along with lower shipping costs, due to the change in revenue mix.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totaled $14.7 million for the quarter ended March 31, 2023 as compared to total other expense of $1.3 million for the quarter ended March 31, 2022. Other income in quarter ended March 31, 2023 is comprised of a change in fair market value of our warrants in the amount of $18.5 million offset by $3.8 million in interest expense related to the debt securities of $75 million. The $1.3 million expense in the quarter ended March 31, 2022 was comprised of interest expense related to the senior secured notes of $45 million which were retired as a result of the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quarter ended March 31, 2023, as compared to $0.5 million benefit for the quarter ended March 31, 2022. No tax expense was recorded in the quarter ended March 31, 2023 due to utilization of a portion of the $10.6 million valuation allowance. The income tax benefit of $0.5 million for the quarter ended March 31, 2022 was expected to be used against future tax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net income of $4.9 million for the quarter ended March 31, 2023, as compared to net loss of $2.3 million for the quarter ended March 31, 2022. As described above, this result was driven primarily by higher sales offset by increased cost of goods sold, higher operating expenses, and increased other income (primarily as a result of a change in fair market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58" w:type="dxa"/>
        <w:jc w:val="left"/>
        <w:tblInd w:w="0" w:type="dxa"/>
        <w:tblLayout w:type="fixed"/>
        <w:tblCellMar>
          <w:top w:w="0" w:type="dxa"/>
          <w:left w:w="0" w:type="dxa"/>
          <w:bottom w:w="0" w:type="dxa"/>
          <w:right w:w="0" w:type="dxa"/>
        </w:tblCellMar>
      </w:tblPr>
      <w:tblGrid>
        <w:gridCol w:w="3845"/>
        <w:gridCol w:w="60"/>
        <w:gridCol w:w="125"/>
        <w:gridCol w:w="650"/>
        <w:gridCol w:w="80"/>
        <w:gridCol w:w="60"/>
        <w:gridCol w:w="112"/>
        <w:gridCol w:w="912"/>
        <w:gridCol w:w="80"/>
        <w:gridCol w:w="60"/>
        <w:gridCol w:w="125"/>
        <w:gridCol w:w="590"/>
        <w:gridCol w:w="80"/>
        <w:gridCol w:w="60"/>
        <w:gridCol w:w="112"/>
        <w:gridCol w:w="912"/>
        <w:gridCol w:w="95"/>
      </w:tblGrid>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8"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382" w:type="dxa"/>
        <w:jc w:val="left"/>
        <w:tblInd w:w="0" w:type="dxa"/>
        <w:tblLayout w:type="fixed"/>
        <w:tblCellMar>
          <w:top w:w="0" w:type="dxa"/>
          <w:left w:w="0" w:type="dxa"/>
          <w:bottom w:w="0" w:type="dxa"/>
          <w:right w:w="0" w:type="dxa"/>
        </w:tblCellMar>
      </w:tblPr>
      <w:tblGrid>
        <w:gridCol w:w="995"/>
        <w:gridCol w:w="60"/>
        <w:gridCol w:w="181"/>
        <w:gridCol w:w="858"/>
        <w:gridCol w:w="87"/>
        <w:gridCol w:w="87"/>
        <w:gridCol w:w="181"/>
        <w:gridCol w:w="858"/>
        <w:gridCol w:w="75"/>
      </w:tblGrid>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52,446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33,805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86,251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income (loss) for the quarters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897" w:type="dxa"/>
        <w:jc w:val="left"/>
        <w:tblInd w:w="0" w:type="dxa"/>
        <w:tblLayout w:type="fixed"/>
        <w:tblCellMar>
          <w:top w:w="0" w:type="dxa"/>
          <w:left w:w="0" w:type="dxa"/>
          <w:bottom w:w="0" w:type="dxa"/>
          <w:right w:w="0" w:type="dxa"/>
        </w:tblCellMar>
      </w:tblPr>
      <w:tblGrid>
        <w:gridCol w:w="4100"/>
        <w:gridCol w:w="60"/>
        <w:gridCol w:w="208"/>
        <w:gridCol w:w="1084"/>
        <w:gridCol w:w="133"/>
        <w:gridCol w:w="100"/>
        <w:gridCol w:w="208"/>
        <w:gridCol w:w="909"/>
        <w:gridCol w:w="95"/>
      </w:tblGrid>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9,004</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(18,523</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27"/>
        <w:gridCol w:w="9978"/>
      </w:tblGrid>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7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ERP system in anticipation of the Business Combination and becoming a public company.</w:t>
            </w:r>
          </w:p>
        </w:tc>
      </w:tr>
      <w:tr>
        <w:trPr/>
        <w:tc>
          <w:tcPr>
            <w:tcW w:w="2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7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 is comprised of the loan that was forgiven, prior to the Business Combination, in connection with the promissory note, with a maturity date of March 1, 2026, between us and John Marchetti, our Chief Financial Officer.</w:t>
            </w:r>
          </w:p>
        </w:tc>
      </w:tr>
      <w:tr>
        <w:trPr/>
        <w:tc>
          <w:tcPr>
            <w:tcW w:w="2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7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March 31, 2023.</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tbl>
      <w:tblPr>
        <w:tblW w:w="6487" w:type="dxa"/>
        <w:jc w:val="left"/>
        <w:tblInd w:w="0" w:type="dxa"/>
        <w:tblLayout w:type="fixed"/>
        <w:tblCellMar>
          <w:top w:w="0" w:type="dxa"/>
          <w:left w:w="0" w:type="dxa"/>
          <w:bottom w:w="0" w:type="dxa"/>
          <w:right w:w="0" w:type="dxa"/>
        </w:tblCellMar>
      </w:tblPr>
      <w:tblGrid>
        <w:gridCol w:w="4100"/>
        <w:gridCol w:w="60"/>
        <w:gridCol w:w="184"/>
        <w:gridCol w:w="961"/>
        <w:gridCol w:w="118"/>
        <w:gridCol w:w="88"/>
        <w:gridCol w:w="184"/>
        <w:gridCol w:w="717"/>
        <w:gridCol w:w="75"/>
      </w:tblGrid>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(39,571</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(32,444</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21,337</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extinguishment </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(7,540</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Enterprise Resource Planning (ERP) system in anticipation of the Business Combination and becoming a public company.</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 is comprised of the loan that was forgiven, prior to the Business Combination, in connection with the promissory note, with a maturity date of March 1, 2026, between us and John Marchetti, our Chief Financial Officer.</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$1.2 million in cash severance associated with the Separation Agreement, dated October 25, 2022, as amended on November 14, 2022, between us and Sean Nichols, our former Chief Operating Officer.</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 is comprised of fees and expenses, including legal, accounting, and others associated with the Business Combination.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 expenses are comprised of expenses incurred in connection with the early debt repayment of the Series 2021-6 Notes that occurred in conjunction with the Business Combination.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2022.</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2023, we had cash totaling $15.8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March 31, 2023 increased by $1.9 million to $51.8 million, compared to $49.9 million at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which represents approximately 50% of the shares of our common stock outstanding as of December 31, 2022. During the year ended December 31, 2023, we did not sell any shares of our common stock under the ChEF Equity Facility. From January 1, 2023 to May 24,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we incurred losses and had a negative cash flow from operations. As of December 31, 2022, we had approximately $17.8 million in cash and cash equivalents and working capital of $32.9 million. For the quarter ended March 31, 2023, we generated net income of $4.9 million but had a negative cash flow from operations. As of March 31, 2023, we had approximately $15.8 million in cash and cash equivalents and working capital of $24.5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72" w:type="dxa"/>
        <w:jc w:val="left"/>
        <w:tblInd w:w="0" w:type="dxa"/>
        <w:tblLayout w:type="fixed"/>
        <w:tblCellMar>
          <w:top w:w="0" w:type="dxa"/>
          <w:left w:w="0" w:type="dxa"/>
          <w:bottom w:w="0" w:type="dxa"/>
          <w:right w:w="0" w:type="dxa"/>
        </w:tblCellMar>
      </w:tblPr>
      <w:tblGrid>
        <w:gridCol w:w="2675"/>
        <w:gridCol w:w="60"/>
        <w:gridCol w:w="208"/>
        <w:gridCol w:w="909"/>
        <w:gridCol w:w="133"/>
        <w:gridCol w:w="100"/>
        <w:gridCol w:w="208"/>
        <w:gridCol w:w="1084"/>
        <w:gridCol w:w="95"/>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2,437</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$3.8 million for three months ended March 31, 2023, primarily due to a net operating loss of $9.8 million during the period offset by an increase in accounts payable and accrued expenses as a result of extended payments for the large influx of cells received late in 2022 and early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$11.1 million for the three months ended March 31, 2022, primarily due to a net loss during the period in addition to an increase in inventory and reduction of accounts payable and accrued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$0.6 million for the three months ended March 31, 2023, as compared to net cash used in investing activities of $4.5 million for the three months ended March 31, 2022. The decrease in cash used in investing activities was primarily due to a decrease in capital equipment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$2.4 million for the three months ended March 31, 2023, as compared to net cash provided by financing activities of $0.1 million for the three months ended March 31, 2022, and was primarily due to proceeds from a $1.0 million note payable and proceeds from public offering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tbl>
      <w:tblPr>
        <w:tblW w:w="5082" w:type="dxa"/>
        <w:jc w:val="left"/>
        <w:tblInd w:w="0" w:type="dxa"/>
        <w:tblLayout w:type="fixed"/>
        <w:tblCellMar>
          <w:top w:w="0" w:type="dxa"/>
          <w:left w:w="0" w:type="dxa"/>
          <w:bottom w:w="0" w:type="dxa"/>
          <w:right w:w="0" w:type="dxa"/>
        </w:tblCellMar>
      </w:tblPr>
      <w:tblGrid>
        <w:gridCol w:w="2675"/>
        <w:gridCol w:w="60"/>
        <w:gridCol w:w="166"/>
        <w:gridCol w:w="867"/>
        <w:gridCol w:w="106"/>
        <w:gridCol w:w="80"/>
        <w:gridCol w:w="166"/>
        <w:gridCol w:w="867"/>
        <w:gridCol w:w="95"/>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(45,696</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41,674</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$38.9 million for the year ended December 31, 2021, primarily as a result of $45.0 million in proceeds from the senior secured notes, partially offset by associated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March 31, 2023, we had $1.2 million in short-term operating lease liabilities and $3.2 million in long-term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March 31, 2023, the principal amount outstanding under the Term Loan was $77.4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8"/>
      <w:bookmarkEnd w:id="26"/>
      <w:r>
        <w:rPr>
          <w:rFonts w:ascii="Times New Roman;Times;Serif" w:hAnsi="Times New Roman;Times;Serif"/>
          <w:b/>
          <w:i w:val="false"/>
          <w:caps w:val="false"/>
          <w:smallCaps w:val="false"/>
          <w:sz w:val="20"/>
        </w:rPr>
        <w:t>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Registration Statement to “Dragonfly,” the “Company,” “we,” “us,” or “our” mean Dragonfly Energy Holdings Corp. and its subsidiaries unless stated otherwise or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(including the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246,000 batteries. For the quarters ended March 31, 2023 and 2022, we sold 20,331 and 19,664 batteries, respectively, and had $18.8 million and $18.3 million in net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fulfills certain of its LFP battery requirements exclusively through us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a line of batteries across our “Battle Born” and “Dragonfly”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(“AGM”) lead-acid battery in the mid-1970s, the technological advancements in lead-acid battery technology have been limited. LFP batteries have numerous advantages over the incumbent lead-acid batteries used in today’s markets: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Longer Lifespan. </w:t>
            </w:r>
            <w:r>
              <w:rPr>
                <w:rFonts w:ascii="Times New Roman;Times;Serif" w:hAnsi="Times New Roman;Times;Serif"/>
                <w:b w:val="false"/>
                <w:i w:val="false"/>
                <w:caps w:val="false"/>
                <w:smallCaps w:val="false"/>
                <w:sz w:val="20"/>
              </w:rPr>
              <w:t>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Power and Performance. </w:t>
            </w:r>
            <w:r>
              <w:rPr>
                <w:rFonts w:ascii="Times New Roman;Times;Serif" w:hAnsi="Times New Roman;Times;Serif"/>
                <w:b w:val="false"/>
                <w:i w:val="false"/>
                <w:caps w:val="false"/>
                <w:smallCaps w:val="false"/>
                <w:sz w:val="20"/>
              </w:rPr>
              <w:t>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Frost and Sullivan report commissioned by us (“Frost &amp; Sullivan”), the total addressable market (“TAM”) of our three current end markets is estimated to be approximately $12 billion by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Recreational Vehicles. </w:t>
            </w:r>
            <w:r>
              <w:rPr>
                <w:rFonts w:ascii="Times New Roman;Times;Serif" w:hAnsi="Times New Roman;Times;Serif"/>
                <w:b w:val="false"/>
                <w:i w:val="false"/>
                <w:caps w:val="false"/>
                <w:smallCaps w:val="false"/>
                <w:sz w:val="20"/>
              </w:rPr>
              <w:t>The growth of the RV market is expected to continue to drive demand for LFP storage batteries. According to the 2022 RV Industry Association (“RVIA”)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(“CAGR”)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Off-Grid Residences. </w:t>
            </w:r>
            <w:r>
              <w:rPr>
                <w:rFonts w:ascii="Times New Roman;Times;Serif" w:hAnsi="Times New Roman;Times;Serif"/>
                <w:b w:val="false"/>
                <w:i w:val="false"/>
                <w:caps w:val="false"/>
                <w:smallCaps w:val="false"/>
                <w:sz w:val="20"/>
              </w:rPr>
              <w:t>Many people are turning to off-grid housing and, as individuals and 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(“SEIA”),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 Material Handlings / Work Truck.</w:t>
            </w:r>
            <w:r>
              <w:rPr>
                <w:rFonts w:ascii="Times New Roman;Times;Serif" w:hAnsi="Times New Roman;Times;Serif"/>
                <w:b w:val="false"/>
                <w:i w:val="false"/>
                <w:caps w:val="false"/>
                <w:smallCaps w:val="false"/>
                <w:sz w:val="20"/>
              </w:rPr>
              <w:t xml:space="preserve"> The industrial vehicle market includes work trucks, material handling and warehousing equipment 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Specialty Vehicles. </w:t>
            </w:r>
            <w:r>
              <w:rPr>
                <w:rFonts w:ascii="Times New Roman;Times;Serif" w:hAnsi="Times New Roman;Times;Serif"/>
                <w:b w:val="false"/>
                <w:i w:val="false"/>
                <w:caps w:val="false"/>
                <w:smallCaps w:val="false"/>
                <w:sz w:val="20"/>
              </w:rPr>
              <w:t>According to Mordor Intelligence, as of 2019, approximately 40% of the specialty 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Telecom. </w:t>
            </w:r>
            <w:r>
              <w:rPr>
                <w:rFonts w:ascii="Times New Roman;Times;Serif" w:hAnsi="Times New Roman;Times;Serif"/>
                <w:b w:val="false"/>
                <w:i w:val="false"/>
                <w:caps w:val="false"/>
                <w:smallCaps w:val="false"/>
                <w:sz w:val="20"/>
              </w:rPr>
              <w:t>Demand for mobile data continues to increase and network providers are investing heavily in 5G networks, 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Rail. </w:t>
            </w:r>
            <w:r>
              <w:rPr>
                <w:rFonts w:ascii="Times New Roman;Times;Serif" w:hAnsi="Times New Roman;Times;Serif"/>
                <w:b w:val="false"/>
                <w:i w:val="false"/>
                <w:caps w:val="false"/>
                <w:smallCaps w:val="false"/>
                <w:sz w:val="20"/>
              </w:rPr>
              <w:t>Rail transportation is a large potential market, with an estimated U.S. market size of $110.1 billion in 2023,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2,700 data centers in the United States as of 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On-grid Storage. </w:t>
            </w:r>
            <w:r>
              <w:rPr>
                <w:rFonts w:ascii="Times New Roman;Times;Serif" w:hAnsi="Times New Roman;Times;Serif"/>
                <w:b w:val="false"/>
                <w:i w:val="false"/>
                <w:caps w:val="false"/>
                <w:smallCaps w:val="false"/>
                <w:sz w:val="20"/>
              </w:rPr>
              <w:t>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450 MWh in 2020.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26 issued patents, with an additional 22 patent applications pending, in the United States, China, Europe, Australia, Canada and other regions.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successfully established a direct-to-consumer platform and have developed strong 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a growing customer base of more than 15,000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Drop-in Replacement. </w:t>
            </w:r>
            <w:r>
              <w:rPr>
                <w:rFonts w:ascii="Times New Roman;Times;Serif" w:hAnsi="Times New Roman;Times;Serif"/>
                <w:b w:val="false"/>
                <w:i w:val="false"/>
                <w:caps w:val="false"/>
                <w:smallCaps w:val="false"/>
                <w:sz w:val="20"/>
              </w:rPr>
              <w:t>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Product Offerings. </w:t>
            </w:r>
            <w:r>
              <w:rPr>
                <w:rFonts w:ascii="Times New Roman;Times;Serif" w:hAnsi="Times New Roman;Times;Serif"/>
                <w:b w:val="false"/>
                <w:i w:val="false"/>
                <w:caps w:val="false"/>
                <w:smallCaps w:val="false"/>
                <w:sz w:val="20"/>
              </w:rPr>
              <w:t>In the short-term, our aim is to further diversify our product offerings to give consumers, as 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End Markets. </w:t>
            </w:r>
            <w:r>
              <w:rPr>
                <w:rFonts w:ascii="Times New Roman;Times;Serif" w:hAnsi="Times New Roman;Times;Serif"/>
                <w:b w:val="false"/>
                <w:i w:val="false"/>
                <w:caps w:val="false"/>
                <w:smallCaps w:val="false"/>
                <w:sz w:val="20"/>
              </w:rPr>
              <w:t>We have identified additional end markets that we believe in the medium- to longer-term will 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(“NMC”), and nickel cobalt aluminum (“NCA”).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1438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1438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Times;Serif" w:hAnsi="Times New Roman;Times;Serif"/>
          <w:b w:val="false"/>
          <w:i/>
          <w:caps w:val="false"/>
          <w:smallCaps w:val="false"/>
          <w:sz w:val="20"/>
        </w:rPr>
        <w:t>Lithium and Cobalt: A tale of two commodities</w:t>
      </w:r>
      <w:r>
        <w:rPr>
          <w:rFonts w:ascii="Times New Roman;Times;Serif" w:hAnsi="Times New Roman;Times;Serif"/>
          <w:b w:val="false"/>
          <w:i w:val="false"/>
          <w:caps w:val="false"/>
          <w:smallCaps w:val="false"/>
          <w:sz w:val="20"/>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compared to NMC and NCA batteries, making LFP batteries less flammable and safer.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drawing>
          <wp:inline distT="0" distB="0" distL="0" distR="0">
            <wp:extent cx="594360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7527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customers a full suite of accessories and components to facilitate the installation of our products. These include plugs, fuses, cables, adapters, sensors and interfaces pictured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2343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2343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specially designed bundled packages of battery modules and accessories tailored to specific applications for both RVs, marine vessels and off-grid residences, ranging in price from $675 to over $19,000, as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2124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2124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draw power under 135 degrees Fahrenheit, and is designed to cut off charging at 24 degrees Fahrenheit to protect cells;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actively monitors the rate of change of currents to detect and prevent short circuiting, and also protects against potential ground faults;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allows for up to an average of 300 amps continuously, 500 amp surges for 30 seconds, and momentary, half second maximum capacity surges;</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recharge even if completely drained;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utilizes larger resistors to ensure balanced loads to improve performance and extend useful life;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facilitates scalability by enabling batteries to be combined in parallel and in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second half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manufacturing facility will allow us to add production capacity and increase product offerings and scale based on demand.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System Integrator. </w:t>
            </w:r>
            <w:r>
              <w:rPr>
                <w:rFonts w:ascii="Times New Roman;Times;Serif" w:hAnsi="Times New Roman;Times;Serif"/>
                <w:b w:val="false"/>
                <w:i w:val="false"/>
                <w:caps w:val="false"/>
                <w:smallCaps w:val="false"/>
                <w:sz w:val="20"/>
              </w:rPr>
              <w:t>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38500" cy="2190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38500" cy="2190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24250" cy="2533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24250" cy="2533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in our 99,000 square foot manufacturing facility in Reno, Nevada. The lease for this building was entered into on March 1, 2021 and expires on April 30, 2026. We do not own any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1038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1038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which, once built, we intend to utilize for the manufacture of our solid-state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solid-state cells, we have signed a non-binding Memorandum of Understanding with a lithium mining company and a lithium recycling company, both located in Nevada for the supply of lithium.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long-standing relationship with Keystone.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have 173 employees; 171 full-time, 1 part-time and 1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“Closing Date”), CNTQ and Legacy Dragonfly consummated the merger (the “Closing”) pursuant to the Agreement and Plan of Merger, dated as of May 15, 2022 (as amended, the “Business Combination Agreement”), by and among CNTQ, Bronco Merger Sub, Inc., a Delaware corporation and wholly-owned subsidiary of CNTQ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CNTQ changed its name to Dragonfly Energy Holdings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CNTQ was a shell company. CNTQ was incorporated in the state of Delaware on June 23, 2020. CNTQ consummated its initial public offering at a price of $10 per unit on August 13, 2021 (the “CNTQ IPO”).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by virtue of the Merger and without any action on the part of CNTQ, Merger Sub, Legacy Dragonfly or the holders of any of the following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outstanding share of Legacy Dragonfly’s common stock, par value $0.001 per share (“Legacy Dragonfly Common Stock”), converted into (i) a certain number of shares of our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our common stock in three tranches.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2022 (the “Subscription Agreement”), by and between CNTQ and the Sponsor, the Sponsor agreed to purchase, and CNTQ agreed to sell to the Sponsor, an aggregate of 500,000 shares of CNTQ Common Stock for gross proceeds to CNTQ of $5 million in a private placement (the “PIPE Investment”). On September 28, 2022, the Sponsor and CCM, entered into an assignment, assumption and joinder agreement, pursuant to which the Sponsor assigned all of the Sponsor’s rights, benefits and obligations under the Subscription Agreement to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“Offset”). During the week of September 26, 2022 CCM acquired in the open market in total 485,000 shares of our common stock at purchase prices per share ranging from $10.33 to $10.38 (such shares, the “Purchased Shares”).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“Debt Commitment Letter”) dated May 15, 2022 by and between CNTQ and Legacy Dragonfly, CCM Investments 5 LLC, an affiliate of CCM (“CCM 5”, and in connection with the Term Loan, the “CNTQ Lender”), and EICF Agent LLC (“EIP” and, collectively with the CNTQ Lender, the “Initial Term Loan Lenders”), in connection with the Closing, CNTQ, Legacy Dragonfly and the Initial Term Loan Lenders entered into the Term Loan, Guarantee and Security Agreement (the “Term Loan Agreement”) setting forth the terms of a senior secured term loan facility in an aggregate principal amount of $75 million (the “Term Loan”). The CNTQ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CNTQ Lender the aggregate amount of the Term Loan held by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Alter Domus (US) LLC, as administrative agent for the lenders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“Pledge Agreement”) pursuant to which we pledged to the Administrative Agent our equity interests in Legacy Dragonfly as further collateral security for the obligations under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“Penny Warrants”), and (ii) warrants to the Term Loan Lenders under the Term Loan exercisable to purchase 1,600,000 shares of our common stock at an exercise price of $10.00 per share (the “$10 Warrants” and, together with the Penny Warrants,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 exercise period of 10 years from the date of issuance. As of May 24, 2023, 1,750,000 shares of common stock have been issued upon the exercise of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Warrants had an exercise period of five years from the date of issuance and had customary cashless exercise provisions. As of December 31, 2022, the $10 Warrants have been exercised in full and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Purchase Agreement and a Registration Rights Agreement (the “ChEF RRA”)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May 24, 2023, 98,500 shares have been issued pursuant to the Purchase Agreement with CCM for aggregate net proceeds to us of $670,593.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we have agreed to provide CCM with certain registration rights with respect to the shares of common stock issued subject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CNTQ, Legacy Dragonfly and the Sponsor entered into a sponsor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Agreement, we entered into the Amended and Restated Registration Rights Agreement (the “Insider Registration Rights Agreement”) with the Sponsor, CNTQ’s officers, directors, initial stockholders, CCM and Warrant Holdings, an affiliate of the Sponsor (collectively, the “Insiders”) and certain Legacy Dragonfly stockholders for the registration of certain securities held by the Insiders.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we entered into an asset purchase agreement (the “Bourns APA”) with Bourns Productions, Inc., a Nevada corporation (“Bourns Production”), pursuant to which we acquired machinery, equipment and a lease for a podcast studio from Bourns Production as set forth in the Bourns APA for a purchase price of approximately $197,000, which was the approximated fair market value. Tyler Bourns, who has served as our Chief Marketing Officer since November 2022, is the owner and president of Bourns Productions.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we entered into an asset purchase agreement (the “TJC APA”) with Thomason Jones Company, LLC, a Washington limited liability company (“TJC”), pursuant to which we acquired intellectual property rights and inventory for a purchase price of approximately $444,000 which was the approximated fair market value. William Thomason and Richard Jones, our engineer and sales representatives, each of whom were hired in connection with the entry into the TJC APA, are the managing members of TJC.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former Chief Operating Officer, would be leaving the Company to pursue other interests. His last day of employment was November 7, 2022 (the “Separation Date”). On October 25, 2022, we entered into a separation and release agreement with Mr. Nichols that became effective and fully irrevocable on November 2, 2022, which was subsequently amended on November 14, 2022 (as amended, the “Separation Agreement”).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the First Amended and Restated Employment Agreement (the “Restated Agreement”) with John Marchetti, our Chief Financial Officer. The Restated Agreement amended and restated the employment agreement, dated October 11, 2022, by and between us and Mr. Marchetti (the “Original Agreement”). The Restated Agreement provides that Mr. Marchetti will receive a minimum annual bonus of $175,000 for the fiscal year ending December 31, 2023. All other terms of the Restated Agreement remain the same as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an unsecured convertible promissory note (the “Note”) in the principal amount of $1.0 million (the “Principal Amount”) to Brian Nelson, one of our directors, in a private placement in exchange for cash in an equal amount. The Note became due and payable in full on April 1, 2023. We were also obligated to pay $100,000 (the “Loan Fee”) to Mr. Nelson on April 4, 2023. We paid the Principal Amount and the Loan Fee in full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“Effective Date”), we changed our state of incorporation from the State of Delaware to the State of Nevada (the “Reincorporation”) pursuant to a plan of conversion dated March 30, 2023 (the “Plan of Conversion”). The Reincorporation was accomplished by filing: (i) a certificate of conversion with the Secretary of State of the State of Delaware; (ii) articles of conversion with the Secretary of State of the State of Nevada; and (iii) articles of incorporation (the “Articles of Incorporation”) with the Secretary of State of the State of Nevada. In connection with the Reincorporation, our board of directors adopted new bylaws in the form attached to the Plan of Conversion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Reincorporation was previously submitted to a vote of, and approved by, the Company’s stockholders at a special meeting of stockholders held on February 28, 2023 (the “Special Meeting”).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was deemed terminated as of that date by us without cause for purposes of determining severance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24, 2023, 98,500 shares have been issued under the ChEF Equity Facility for aggregate net proceeds to us of $670,593.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1190 Trademark Dr. #108, Reno, Nevada 89521, and our telephone number is (775) 622-3448. On March 31, 2023, we effected the Reincorporation from the State of Delaware into the State of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9"/>
      <w:bookmarkEnd w:id="27"/>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and directors as of the date of this prospectus.</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2150"/>
        <w:gridCol w:w="60"/>
        <w:gridCol w:w="350"/>
        <w:gridCol w:w="60"/>
        <w:gridCol w:w="4955"/>
      </w:tblGrid>
      <w:tr>
        <w:trPr/>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and Chairman of the Board</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of directors since October 2022.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John Marchetti</w:t>
      </w:r>
      <w:r>
        <w:rPr>
          <w:rFonts w:ascii="Times New Roman;Times;Serif" w:hAnsi="Times New Roman;Times;Serif"/>
          <w:b w:val="false"/>
          <w:i w:val="false"/>
          <w:caps w:val="false"/>
          <w:smallCaps w:val="false"/>
          <w:sz w:val="20"/>
        </w:rPr>
        <w:t xml:space="preserve"> has served as our Chief Financial Officer since October 2022. Mr. Marchetti has also served as the Chief Financial Officer of Legacy 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Tyler Bourns </w:t>
      </w:r>
      <w:r>
        <w:rPr>
          <w:rFonts w:ascii="Times New Roman;Times;Serif" w:hAnsi="Times New Roman;Times;Serif"/>
          <w:b w:val="false"/>
          <w:i w:val="false"/>
          <w:caps w:val="false"/>
          <w:smallCaps w:val="false"/>
          <w:sz w:val="20"/>
        </w:rPr>
        <w:t>has served as our Chief Marketing Officer since November 2022. Prior to the Business Combination, Mr. Bourns served as the 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Luisa Ingargiola</w:t>
      </w:r>
      <w:r>
        <w:rPr>
          <w:rFonts w:ascii="Times New Roman;Times;Serif" w:hAnsi="Times New Roman;Times;Serif"/>
          <w:b w:val="false"/>
          <w:i w:val="false"/>
          <w:caps w:val="false"/>
          <w:smallCaps w:val="false"/>
          <w:sz w:val="20"/>
        </w:rPr>
        <w:t xml:space="preserve"> 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Nelson</w:t>
      </w:r>
      <w:r>
        <w:rPr>
          <w:rFonts w:ascii="Times New Roman;Times;Serif" w:hAnsi="Times New Roman;Times;Serif"/>
          <w:b w:val="false"/>
          <w:i w:val="false"/>
          <w:caps w:val="false"/>
          <w:smallCaps w:val="false"/>
          <w:sz w:val="20"/>
        </w:rPr>
        <w:t xml:space="preserve"> 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Perry Boyle </w:t>
      </w:r>
      <w:r>
        <w:rPr>
          <w:rFonts w:ascii="Times New Roman;Times;Serif" w:hAnsi="Times New Roman;Times;Serif"/>
          <w:b w:val="false"/>
          <w:i w:val="false"/>
          <w:caps w:val="false"/>
          <w:smallCaps w:val="false"/>
          <w:sz w:val="20"/>
        </w:rPr>
        <w:t>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Jonathan Bellows</w:t>
      </w:r>
      <w:r>
        <w:rPr>
          <w:rFonts w:ascii="Times New Roman;Times;Serif" w:hAnsi="Times New Roman;Times;Serif"/>
          <w:b w:val="false"/>
          <w:i w:val="false"/>
          <w:caps w:val="false"/>
          <w:smallCaps w:val="false"/>
          <w:sz w:val="20"/>
        </w:rPr>
        <w:t xml:space="preserve"> 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Rick Parod</w:t>
      </w:r>
      <w:r>
        <w:rPr>
          <w:rFonts w:ascii="Times New Roman;Times;Serif" w:hAnsi="Times New Roman;Times;Serif"/>
          <w:b w:val="false"/>
          <w:i w:val="false"/>
          <w:caps w:val="false"/>
          <w:smallCaps w:val="false"/>
          <w:sz w:val="20"/>
        </w:rPr>
        <w:t xml:space="preserve"> 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Karina Montilla Edmonds, Ph.D</w:t>
      </w:r>
      <w:r>
        <w:rPr>
          <w:rFonts w:ascii="Times New Roman;Times;Serif" w:hAnsi="Times New Roman;Times;Serif"/>
          <w:b w:val="false"/>
          <w:i w:val="false"/>
          <w:caps w:val="false"/>
          <w:smallCaps w:val="false"/>
          <w:sz w:val="20"/>
        </w:rPr>
        <w:t>. 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by or under the direction of our board. Our Articles of Incorporation provide for a staggered, or classified, board of directors consisting of three classes of directors, each serving a staggered three-year term and with one class being elected at each year’s annual meeting of stockholders,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2023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2024 annual meeting of stockholders;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Oversight/Risk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monitors compliance with legal and regulatory requirements. Our compensation committee also assess and monitors whether our compensation plans, policies and programs comply with applicable legal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 an audit committee, a compensation committee, and a nominating and corporate governance committee. Copies of the charters for each committee are available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and all applicable SEC rules and regulations.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our compensation committee complies with all applicable requirements of the Sarbanes-Oxley Act and all applicable SEC and the Nasdaq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Brian Nelson, Jonathan Bellows and Karina Edmonds. Karina Edmonds serves as the chair of the nominating and corporate governance committee. Our board determined that each of the members of the nominating and corporate governance committee satisfies the independence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comply with all applicable requirements of the Sarbanes-Oxley Act and all applicable SEC and Nasdaq’s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 and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adopted a code of conduct (“Code of Conduct”) and a code of ethics (“Code of Ethics”) that applies to all of our directors, officers and employees. The full text of the Code of Conduct and Code of Ethics is posted on the investor relations page on our website at </w:t>
      </w:r>
      <w:r>
        <w:rPr>
          <w:rFonts w:ascii="Times New Roman;Times;Serif" w:hAnsi="Times New Roman;Times;Serif"/>
          <w:b w:val="false"/>
          <w:i/>
          <w:caps w:val="false"/>
          <w:smallCaps w:val="false"/>
          <w:sz w:val="20"/>
        </w:rPr>
        <w:t>https://dragonflyenergy.com/investors/</w:t>
      </w:r>
      <w:r>
        <w:rPr>
          <w:rFonts w:ascii="Times New Roman;Times;Serif" w:hAnsi="Times New Roman;Times;Serif"/>
          <w:b w:val="false"/>
          <w:i w:val="false"/>
          <w:caps w:val="false"/>
          <w:smallCaps w:val="false"/>
          <w:sz w:val="20"/>
        </w:rPr>
        <w:t>. We will disclose any amendments to our Code of Conduct and Code of Ethics, or waivers of its requirements on our website identified above, or in filings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our Articles of Incorporation and the Bylaws and these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10"/>
      <w:bookmarkEnd w:id="28"/>
      <w:r>
        <w:rPr>
          <w:rFonts w:ascii="Times New Roman;Times;Serif" w:hAnsi="Times New Roman;Times;Serif"/>
          <w:b/>
          <w:i w:val="false"/>
          <w:caps w:val="false"/>
          <w:smallCaps w:val="false"/>
          <w:sz w:val="20"/>
        </w:rPr>
        <w:t>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compensation earned by, or awarded to, our NEOs for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 Fiscal 2022</w:t>
      </w:r>
    </w:p>
    <w:p>
      <w:pPr>
        <w:pStyle w:val="TextBody"/>
        <w:bidi w:val="0"/>
        <w:spacing w:before="0" w:after="0"/>
        <w:ind w:left="0" w:right="0" w:hanging="0"/>
        <w:jc w:val="both"/>
        <w:rPr>
          <w:caps w:val="false"/>
          <w:smallCaps w:val="false"/>
        </w:rPr>
      </w:pPr>
      <w:r>
        <w:rPr>
          <w:caps w:val="false"/>
          <w:smallCaps w:val="false"/>
        </w:rPr>
        <w:t> </w:t>
      </w:r>
    </w:p>
    <w:tbl>
      <w:tblPr>
        <w:tblW w:w="10265" w:type="dxa"/>
        <w:jc w:val="left"/>
        <w:tblInd w:w="0" w:type="dxa"/>
        <w:tblLayout w:type="fixed"/>
        <w:tblCellMar>
          <w:top w:w="0" w:type="dxa"/>
          <w:left w:w="0" w:type="dxa"/>
          <w:bottom w:w="0" w:type="dxa"/>
          <w:right w:w="0" w:type="dxa"/>
        </w:tblCellMar>
      </w:tblPr>
      <w:tblGrid>
        <w:gridCol w:w="890"/>
        <w:gridCol w:w="60"/>
        <w:gridCol w:w="60"/>
        <w:gridCol w:w="440"/>
        <w:gridCol w:w="60"/>
        <w:gridCol w:w="60"/>
        <w:gridCol w:w="60"/>
        <w:gridCol w:w="695"/>
        <w:gridCol w:w="60"/>
        <w:gridCol w:w="60"/>
        <w:gridCol w:w="60"/>
        <w:gridCol w:w="695"/>
        <w:gridCol w:w="60"/>
        <w:gridCol w:w="60"/>
        <w:gridCol w:w="60"/>
        <w:gridCol w:w="845"/>
        <w:gridCol w:w="60"/>
        <w:gridCol w:w="60"/>
        <w:gridCol w:w="60"/>
        <w:gridCol w:w="695"/>
        <w:gridCol w:w="60"/>
        <w:gridCol w:w="60"/>
        <w:gridCol w:w="98"/>
        <w:gridCol w:w="1137"/>
        <w:gridCol w:w="60"/>
        <w:gridCol w:w="60"/>
        <w:gridCol w:w="230"/>
        <w:gridCol w:w="1005"/>
        <w:gridCol w:w="60"/>
        <w:gridCol w:w="60"/>
        <w:gridCol w:w="98"/>
        <w:gridCol w:w="1137"/>
        <w:gridCol w:w="60"/>
        <w:gridCol w:w="60"/>
        <w:gridCol w:w="60"/>
        <w:gridCol w:w="845"/>
        <w:gridCol w:w="75"/>
      </w:tblGrid>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xml:space="preserve"> 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3,019,752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963,964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Nichols(5)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598,462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1,411,742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Operating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1,742,574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Nicole Harvey(7)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883,461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Chief Legal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341,621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2022 and December 31,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 ended December 31, 2022 under the 2022 Plan (as defined herein)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reflects our matching contribution to the executive’s account under our 401(k)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Harvey’s employment with us ended on April 26, 2023.</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pStyle w:val="TextBody"/>
        <w:bidi w:val="0"/>
        <w:spacing w:before="0" w:after="0"/>
        <w:ind w:left="0" w:right="0" w:hanging="0"/>
        <w:jc w:val="both"/>
        <w:rPr>
          <w:caps w:val="false"/>
          <w:smallCaps w:val="false"/>
        </w:rPr>
      </w:pPr>
      <w:r>
        <w:rPr>
          <w:caps w:val="false"/>
          <w:smallCaps w:val="false"/>
        </w:rPr>
        <w:t> </w:t>
      </w:r>
    </w:p>
    <w:tbl>
      <w:tblPr>
        <w:tblW w:w="7389" w:type="dxa"/>
        <w:jc w:val="left"/>
        <w:tblInd w:w="0" w:type="dxa"/>
        <w:tblLayout w:type="fixed"/>
        <w:tblCellMar>
          <w:top w:w="0" w:type="dxa"/>
          <w:left w:w="0" w:type="dxa"/>
          <w:bottom w:w="0" w:type="dxa"/>
          <w:right w:w="0" w:type="dxa"/>
        </w:tblCellMar>
      </w:tblPr>
      <w:tblGrid>
        <w:gridCol w:w="1355"/>
        <w:gridCol w:w="60"/>
        <w:gridCol w:w="90"/>
        <w:gridCol w:w="965"/>
        <w:gridCol w:w="245"/>
        <w:gridCol w:w="60"/>
        <w:gridCol w:w="104"/>
        <w:gridCol w:w="1116"/>
        <w:gridCol w:w="245"/>
        <w:gridCol w:w="60"/>
        <w:gridCol w:w="204"/>
        <w:gridCol w:w="895"/>
        <w:gridCol w:w="60"/>
        <w:gridCol w:w="60"/>
        <w:gridCol w:w="102"/>
        <w:gridCol w:w="653"/>
        <w:gridCol w:w="60"/>
        <w:gridCol w:w="60"/>
        <w:gridCol w:w="995"/>
      </w:tblGrid>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9" w:type="dxa"/>
            <w:gridSpan w:val="1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Unearned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12/5/2029</w:t>
            </w:r>
          </w:p>
        </w:tc>
      </w:tr>
      <w:tr>
        <w:trPr/>
        <w:tc>
          <w:tcPr>
            <w:tcW w:w="1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Nichols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177,316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11/7/2023</w:t>
            </w:r>
          </w:p>
        </w:tc>
      </w:tr>
      <w:tr>
        <w:trPr/>
        <w:tc>
          <w:tcPr>
            <w:tcW w:w="13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93,587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142,831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9/13/2031</w:t>
            </w:r>
          </w:p>
        </w:tc>
      </w:tr>
      <w:tr>
        <w:trPr/>
        <w:tc>
          <w:tcPr>
            <w:tcW w:w="1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Nicole Harvey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51,497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57,257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10/22/2031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in 20 monthly installments from January 12, 2022 and August 12,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as to 25% of the option on September 10, 2022 and as to 75% of the option in 36 monthly installments from October 10, 2022 through September 10,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restricted stock units (“RSUs”), Mr. Marchetti was granted 86,133 RSUs, and Ms. Harvey was granted 74,800 RSUs. Each grant vested in full on the date of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our employees, consultants and directors held outstanding stock options for the purchase of up to 3,100,524 shares of our common stock. Those options were granted under the Dragonfly Energy Corp. 2019 Stock Incentive Plan (the “2019 Plan”) and the Dragonfly Energy Corp. 2021 Stock Incentive Plan (the “2021 Plan”).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Plan and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2019 Plan and the 2021 Plan at any time. The plans require that certain amendments specified in the plan be submitted to stockholders for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2022 Equity Incentive Plan (the “2022 Plan”) for purposes of granting equity-based awards to attract, motivate, retain and reward selected employees and other eligible persons. Our board of directors administers the 2022 Plan. The plan administrator has broad authority to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participants and determine the types of awards that they are to receive;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number of shares that are to be subject to awards and the terms and conditions of awards, including the price (if any) to be paid for the shares or the award and establish the vesting conditions (if applicable) of such shares or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modify or waive our rights with respect to, or modify, discontinue, suspend or terminate any or all outstanding awards, subject to any required consents;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construe and interpret the terms of the 2022 Plan and any agreements relating to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or extend the vesting or exercisability or extend the term of any or all outstanding awards subject to any required consent;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2022 Plan, make certain adjustments to an outstanding award and authorize the termination, conversion, substitution or succession of an award;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May 24, 2023, 787,434 awards have been granted under the 2022 Plan, and 4,179,110 shares authorized under the 2022 Plan are available for award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will terminate on May 13, 2032. However, the plan administrator will retain its authority until all outstanding awards are exercised or terminated.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Employee Stock Purchase Plan (the “ESPP”)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A total of 2,464,400 shares of our common stock have been initially authorized for 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Offering Periods</w:t>
      </w:r>
      <w:r>
        <w:rPr>
          <w:rFonts w:ascii="Times New Roman;Times;Serif" w:hAnsi="Times New Roman;Times;Serif"/>
          <w:b w:val="false"/>
          <w:i w:val="false"/>
          <w:caps w:val="false"/>
          <w:smallCaps w:val="false"/>
          <w:sz w:val="20"/>
        </w:rPr>
        <w:t>. We currently expect the ESPP will have a series of successive six-month offering 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Eligible Employees</w:t>
      </w:r>
      <w:r>
        <w:rPr>
          <w:rFonts w:ascii="Times New Roman;Times;Serif" w:hAnsi="Times New Roman;Times;Serif"/>
          <w:b w:val="false"/>
          <w:i w:val="false"/>
          <w:caps w:val="false"/>
          <w:smallCaps w:val="false"/>
          <w:sz w:val="20"/>
        </w:rPr>
        <w:t>. Individuals scheduled to work more than 20 hours per week for more than five calendar months per year may join an offering period on the start date of that period. Employees may participate in only one offering period at a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Payroll deductions</w:t>
      </w:r>
      <w:r>
        <w:rPr>
          <w:rFonts w:ascii="Times New Roman;Times;Serif" w:hAnsi="Times New Roman;Times;Serif"/>
          <w:b w:val="false"/>
          <w:i w:val="false"/>
          <w:caps w:val="false"/>
          <w:smallCaps w:val="false"/>
          <w:sz w:val="20"/>
        </w:rPr>
        <w:t>. A participant may contribute up to 15% of his or her cash earnings through 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plan provisions</w:t>
      </w:r>
      <w:r>
        <w:rPr>
          <w:rFonts w:ascii="Times New Roman;Times;Serif" w:hAnsi="Times New Roman;Times;Serif"/>
          <w:b w:val="false"/>
          <w:i w:val="false"/>
          <w:caps w:val="false"/>
          <w:smallCaps w:val="false"/>
          <w:sz w:val="20"/>
        </w:rPr>
        <w:t>. No new offering periods will commence on or after May 13, 2032. The board of directors may at any time amend, suspend or discontinue the ESPP. However, certain amendments may require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his or her providing a release of claims to us and his or her continued compliance with the restrictive covenants in favor of us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“Separation Agreement”)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was deemed terminated as of that date by us without cause for purposes of determining severance thereunder. As a result, Ms. Harvey is entitled to receive (i) cash severance equal to 1.5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Contribution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adopted a policy that provides for cash and equity compensation for members of our board of directors who are not employed by us or any of our subsidiaries (our “Non-Employee Directors”). The policy provides that each Non-Employee Director is entitled to receive the following cash compensation for board service, as applicable:</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9121" w:type="dxa"/>
        <w:jc w:val="left"/>
        <w:tblInd w:w="0" w:type="dxa"/>
        <w:tblLayout w:type="fixed"/>
        <w:tblCellMar>
          <w:top w:w="0" w:type="dxa"/>
          <w:left w:w="0" w:type="dxa"/>
          <w:bottom w:w="28" w:type="dxa"/>
          <w:right w:w="0" w:type="dxa"/>
        </w:tblCellMar>
      </w:tblPr>
      <w:tblGrid>
        <w:gridCol w:w="2675"/>
        <w:gridCol w:w="60"/>
        <w:gridCol w:w="98"/>
        <w:gridCol w:w="971"/>
        <w:gridCol w:w="60"/>
        <w:gridCol w:w="60"/>
        <w:gridCol w:w="92"/>
        <w:gridCol w:w="1067"/>
        <w:gridCol w:w="60"/>
        <w:gridCol w:w="60"/>
        <w:gridCol w:w="92"/>
        <w:gridCol w:w="1067"/>
        <w:gridCol w:w="245"/>
        <w:gridCol w:w="60"/>
        <w:gridCol w:w="281"/>
        <w:gridCol w:w="1223"/>
        <w:gridCol w:w="60"/>
        <w:gridCol w:w="60"/>
        <w:gridCol w:w="60"/>
        <w:gridCol w:w="695"/>
        <w:gridCol w:w="75"/>
      </w:tblGrid>
      <w:tr>
        <w:trPr/>
        <w:tc>
          <w:tcPr>
            <w:tcW w:w="26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br/>
              <w:t>or Paid in</w:t>
              <w:br/>
              <w:t>Cash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Awards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 ($)(1)</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433,741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436,078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443,089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245,401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682,648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433,741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this amount. As of December 31, 2022, each Non-Employee Director held 30,000 unvested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underlying stock options and unvested RSUs outstanding as of December 31, 2022 held by Ms. Ingargiola was 127,521.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 awards to purchase 70,925 shares of our common stock were granted to Mr. Nelson on May 9, 2022 and vest in 36 equal monthly installments beginning on May 15, 2022.</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11"/>
      <w:bookmarkEnd w:id="29"/>
      <w:r>
        <w:rPr>
          <w:rFonts w:ascii="Times New Roman;Times;Serif" w:hAnsi="Times New Roman;Times;Serif"/>
          <w:b/>
          <w:i w:val="false"/>
          <w:caps w:val="false"/>
          <w:smallCaps w:val="false"/>
          <w:sz w:val="20"/>
        </w:rPr>
        <w:t>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we describe below each transaction or series of similar transactions, since January 1, 2021, to which we were a party or will be a party, in which: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named executive officers and directors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 with John Marchetti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 with Sean Nichols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with Brian Nelson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Articles of Incorporation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the Business Combination Agreement but does not purport to describe all of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CNTQ, the Sponsor and certain other CNTQ shareholders parties thereto (collectively, the “Insiders”), Legacy Dragonfly, and certain Legacy Dragonfly stockholders entered into an Amended and Restated Registration Rights Agreement (the “Amended Registration Rights Agreement”).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“Purchased Shares”).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May 24, 2023, we have sold 98,500 shares under the ChEF Equity Facility for aggregate net proceeds to us of $670,593.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by our audit committee.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12"/>
      <w:bookmarkEnd w:id="30"/>
      <w:r>
        <w:rPr>
          <w:rFonts w:ascii="Times New Roman;Times;Serif" w:hAnsi="Times New Roman;Times;Serif"/>
          <w:b/>
          <w:i w:val="false"/>
          <w:caps w:val="false"/>
          <w:smallCaps w:val="false"/>
          <w:sz w:val="20"/>
        </w:rPr>
        <w:t>SECURITY OWNERSHIP OF CERTAIN BENEFICIAL OWNERS AND MANAGEMENT AND RELATED STOCKHOLDER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May 24, 2023,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May 24, 2023 (“Presently Exercisable Securities”),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common stock is based on 45,885,513 shares of common stock issued and outstanding as of May 24, 2023. The percentage of beneficial ownership after this offering assumes the sale and issuance of shares of common stock in this offering (based upon the assumed sale of 7,168,458 shares of common stock in this offering at an assumed public offering price of $2.79 per share, the last reported sale price of our common stock on the Nasdaq Global Market on June 6, 2023) and assuming no exercise by the underwriters of their option to purchase additional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for persons listed in the table is c/o Dragonfly Energy Holdings Corp., 1190 Trademark Drive #108, Reno, Nevada 89521.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5"/>
        <w:gridCol w:w="60"/>
        <w:gridCol w:w="149"/>
        <w:gridCol w:w="2771"/>
        <w:gridCol w:w="60"/>
        <w:gridCol w:w="60"/>
        <w:gridCol w:w="166"/>
        <w:gridCol w:w="1253"/>
        <w:gridCol w:w="455"/>
        <w:gridCol w:w="126"/>
        <w:gridCol w:w="165"/>
        <w:gridCol w:w="1241"/>
        <w:gridCol w:w="234"/>
      </w:tblGrid>
      <w:tr>
        <w:trPr/>
        <w:tc>
          <w:tcPr>
            <w:tcW w:w="3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20" w:type="dxa"/>
            <w:gridSpan w:val="2"/>
            <w:tcBorders/>
            <w:vAlign w:val="center"/>
          </w:tcPr>
          <w:p>
            <w:pPr>
              <w:pStyle w:val="TableContents"/>
              <w:bidi w:val="0"/>
              <w:spacing w:before="0" w:after="283"/>
              <w:jc w:val="center"/>
              <w:rPr>
                <w:b/>
              </w:rPr>
            </w:pPr>
            <w:r>
              <w:rPr>
                <w:b/>
              </w:rPr>
              <w:t>Number of Shares Beneficially Owned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Shares Beneficially Owned</w:t>
            </w:r>
          </w:p>
        </w:tc>
        <w:tc>
          <w:tcPr>
            <w:tcW w:w="234" w:type="dxa"/>
            <w:tcBorders/>
            <w:vAlign w:val="center"/>
          </w:tcPr>
          <w:p>
            <w:pPr>
              <w:pStyle w:val="TableContents"/>
              <w:bidi w:val="0"/>
              <w:spacing w:before="0" w:after="283"/>
              <w:jc w:val="center"/>
              <w:rPr/>
            </w:pPr>
            <w:r>
              <w:rPr/>
              <w:t> </w:t>
            </w:r>
          </w:p>
        </w:tc>
      </w:tr>
      <w:tr>
        <w:trPr/>
        <w:tc>
          <w:tcPr>
            <w:tcW w:w="3465" w:type="dxa"/>
            <w:tcBorders>
              <w:bottom w:val="single" w:sz="12"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center"/>
              <w:rPr/>
            </w:pPr>
            <w:r>
              <w:rPr/>
              <w:t> </w:t>
            </w:r>
          </w:p>
        </w:tc>
        <w:tc>
          <w:tcPr>
            <w:tcW w:w="2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Prior to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Prior to Offering</w:t>
            </w:r>
          </w:p>
        </w:tc>
        <w:tc>
          <w:tcPr>
            <w:tcW w:w="455" w:type="dxa"/>
            <w:tcBorders/>
            <w:vAlign w:val="center"/>
          </w:tcPr>
          <w:p>
            <w:pPr>
              <w:pStyle w:val="TableContents"/>
              <w:bidi w:val="0"/>
              <w:spacing w:before="0" w:after="283"/>
              <w:jc w:val="center"/>
              <w:rPr/>
            </w:pPr>
            <w:r>
              <w:rPr/>
              <w:t> </w:t>
            </w:r>
          </w:p>
        </w:tc>
        <w:tc>
          <w:tcPr>
            <w:tcW w:w="126" w:type="dxa"/>
            <w:tcBorders/>
            <w:vAlign w:val="center"/>
          </w:tcPr>
          <w:p>
            <w:pPr>
              <w:pStyle w:val="TableContents"/>
              <w:bidi w:val="0"/>
              <w:spacing w:before="0" w:after="283"/>
              <w:jc w:val="center"/>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After Offering</w:t>
            </w:r>
          </w:p>
        </w:tc>
        <w:tc>
          <w:tcPr>
            <w:tcW w:w="234" w:type="dxa"/>
            <w:tcBorders/>
            <w:vAlign w:val="center"/>
          </w:tcPr>
          <w:p>
            <w:pPr>
              <w:pStyle w:val="TableContents"/>
              <w:bidi w:val="0"/>
              <w:spacing w:before="0" w:after="283"/>
              <w:jc w:val="center"/>
              <w:rPr/>
            </w:pPr>
            <w:r>
              <w:rPr/>
              <w:t> </w:t>
            </w:r>
          </w:p>
        </w:tc>
      </w:tr>
      <w:tr>
        <w:trPr/>
        <w:tc>
          <w:tcPr>
            <w:tcW w:w="3465" w:type="dxa"/>
            <w:tcBorders/>
            <w:shd w:fill="CCEEFF" w:val="clear"/>
            <w:vAlign w:val="center"/>
          </w:tcPr>
          <w:p>
            <w:pPr>
              <w:pStyle w:val="TableContents"/>
              <w:bidi w:val="0"/>
              <w:spacing w:before="0" w:after="283"/>
              <w:jc w:val="left"/>
              <w:rPr>
                <w:b/>
                <w:i/>
              </w:rPr>
            </w:pPr>
            <w:r>
              <w:rPr>
                <w:b/>
                <w:i/>
              </w:rPr>
              <w:t>5% Holders:</w:t>
            </w:r>
          </w:p>
        </w:tc>
        <w:tc>
          <w:tcPr>
            <w:tcW w:w="60" w:type="dxa"/>
            <w:tcBorders/>
            <w:shd w:fill="CCEEFF" w:val="clear"/>
            <w:vAlign w:val="center"/>
          </w:tcPr>
          <w:p>
            <w:pPr>
              <w:pStyle w:val="TableContents"/>
              <w:bidi w:val="0"/>
              <w:spacing w:before="0" w:after="283"/>
              <w:jc w:val="left"/>
              <w:rPr/>
            </w:pPr>
            <w:r>
              <w:rPr/>
              <w:t> </w:t>
            </w:r>
          </w:p>
        </w:tc>
        <w:tc>
          <w:tcPr>
            <w:tcW w:w="29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9" w:type="dxa"/>
            <w:gridSpan w:val="2"/>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06" w:type="dxa"/>
            <w:gridSpan w:val="2"/>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Dynavolt Technology (HK) Ltd.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11,820,900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25.80</w:t>
            </w:r>
          </w:p>
        </w:tc>
        <w:tc>
          <w:tcPr>
            <w:tcW w:w="455"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22.28</w:t>
            </w:r>
          </w:p>
        </w:tc>
        <w:tc>
          <w:tcPr>
            <w:tcW w:w="2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Gong</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3,073,434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6.60</w:t>
            </w:r>
          </w:p>
        </w:tc>
        <w:tc>
          <w:tcPr>
            <w:tcW w:w="45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5.72</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5" w:type="dxa"/>
            <w:tcBorders/>
            <w:shd w:fill="FFFFFF" w:val="clear"/>
            <w:vAlign w:val="center"/>
          </w:tcPr>
          <w:p>
            <w:pPr>
              <w:pStyle w:val="TableContents"/>
              <w:bidi w:val="0"/>
              <w:spacing w:before="0" w:after="283"/>
              <w:jc w:val="left"/>
              <w:rPr>
                <w:b/>
                <w:i/>
              </w:rPr>
            </w:pPr>
            <w:r>
              <w:rPr>
                <w:b/>
                <w:i/>
              </w:rPr>
              <w:t>Named Executive Officers and Directors: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16,277,124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35.33</w:t>
            </w:r>
          </w:p>
        </w:tc>
        <w:tc>
          <w:tcPr>
            <w:tcW w:w="45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31.58</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Sean Nichols</w:t>
            </w:r>
            <w:r>
              <w:rPr>
                <w:rFonts w:ascii="Times New Roman;Times;Serif" w:hAnsi="Times New Roman;Times;Serif"/>
                <w:position w:val="7"/>
                <w:sz w:val="16"/>
                <w:sz w:val="20"/>
              </w:rPr>
              <w:t>(3)(5)</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3,735,999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8.12</w:t>
            </w:r>
          </w:p>
        </w:tc>
        <w:tc>
          <w:tcPr>
            <w:tcW w:w="455"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7.02</w:t>
            </w:r>
          </w:p>
        </w:tc>
        <w:tc>
          <w:tcPr>
            <w:tcW w:w="2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Nicole Harvey</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195,372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45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vAlign w:val="center"/>
          </w:tcPr>
          <w:p>
            <w:pPr>
              <w:pStyle w:val="TableContents"/>
              <w:bidi w:val="0"/>
              <w:spacing w:before="0" w:after="283"/>
              <w:jc w:val="left"/>
              <w:rPr/>
            </w:pPr>
            <w:r>
              <w:rPr/>
              <w:t> </w:t>
            </w:r>
          </w:p>
        </w:tc>
      </w:tr>
      <w:tr>
        <w:trPr/>
        <w:tc>
          <w:tcPr>
            <w:tcW w:w="3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Marchetti</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194,157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5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vAlign w:val="center"/>
          </w:tcPr>
          <w:p>
            <w:pPr>
              <w:pStyle w:val="TableContents"/>
              <w:bidi w:val="0"/>
              <w:spacing w:before="0" w:after="283"/>
              <w:jc w:val="left"/>
              <w:rPr/>
            </w:pPr>
            <w:r>
              <w:rPr/>
              <w:t> </w:t>
            </w:r>
          </w:p>
        </w:tc>
      </w:tr>
      <w:tr>
        <w:trPr/>
        <w:tc>
          <w:tcPr>
            <w:tcW w:w="3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Tyler Bourns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60,490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5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vAlign w:val="center"/>
          </w:tcPr>
          <w:p>
            <w:pPr>
              <w:pStyle w:val="TableContents"/>
              <w:bidi w:val="0"/>
              <w:spacing w:before="0" w:after="283"/>
              <w:jc w:val="left"/>
              <w:rPr/>
            </w:pPr>
            <w:r>
              <w:rPr/>
              <w:t> </w:t>
            </w:r>
          </w:p>
        </w:tc>
      </w:tr>
      <w:tr>
        <w:trPr/>
        <w:tc>
          <w:tcPr>
            <w:tcW w:w="3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62,307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5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vAlign w:val="center"/>
          </w:tcPr>
          <w:p>
            <w:pPr>
              <w:pStyle w:val="TableContents"/>
              <w:bidi w:val="0"/>
              <w:spacing w:before="0" w:after="283"/>
              <w:jc w:val="left"/>
              <w:rPr/>
            </w:pPr>
            <w:r>
              <w:rPr/>
              <w:t> </w:t>
            </w:r>
          </w:p>
        </w:tc>
      </w:tr>
      <w:tr>
        <w:trPr/>
        <w:tc>
          <w:tcPr>
            <w:tcW w:w="3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29,565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5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vAlign w:val="center"/>
          </w:tcPr>
          <w:p>
            <w:pPr>
              <w:pStyle w:val="TableContents"/>
              <w:bidi w:val="0"/>
              <w:spacing w:before="0" w:after="283"/>
              <w:jc w:val="left"/>
              <w:rPr/>
            </w:pPr>
            <w:r>
              <w:rPr/>
              <w:t> </w:t>
            </w:r>
          </w:p>
        </w:tc>
      </w:tr>
      <w:tr>
        <w:trPr/>
        <w:tc>
          <w:tcPr>
            <w:tcW w:w="3465" w:type="dxa"/>
            <w:tcBorders/>
            <w:shd w:fill="FFFFFF" w:val="clear"/>
            <w:vAlign w:val="center"/>
          </w:tcPr>
          <w:p>
            <w:pPr>
              <w:pStyle w:val="TableContents"/>
              <w:bidi w:val="0"/>
              <w:spacing w:before="0" w:after="283"/>
              <w:jc w:val="left"/>
              <w:rPr/>
            </w:pPr>
            <w:r>
              <w:rPr/>
              <w:t>Perry Boyle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5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vAlign w:val="center"/>
          </w:tcPr>
          <w:p>
            <w:pPr>
              <w:pStyle w:val="TableContents"/>
              <w:bidi w:val="0"/>
              <w:spacing w:before="0" w:after="283"/>
              <w:jc w:val="left"/>
              <w:rPr/>
            </w:pPr>
            <w:r>
              <w:rPr/>
              <w:t> </w:t>
            </w:r>
          </w:p>
        </w:tc>
      </w:tr>
      <w:tr>
        <w:trPr/>
        <w:tc>
          <w:tcPr>
            <w:tcW w:w="3465" w:type="dxa"/>
            <w:tcBorders/>
            <w:shd w:fill="CCEEFF" w:val="clear"/>
            <w:vAlign w:val="center"/>
          </w:tcPr>
          <w:p>
            <w:pPr>
              <w:pStyle w:val="TableContents"/>
              <w:bidi w:val="0"/>
              <w:spacing w:before="0" w:after="283"/>
              <w:jc w:val="left"/>
              <w:rPr/>
            </w:pPr>
            <w:r>
              <w:rPr/>
              <w:t>Jonathan Bellows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0</w:t>
            </w:r>
          </w:p>
        </w:tc>
        <w:tc>
          <w:tcPr>
            <w:tcW w:w="45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0</w:t>
            </w:r>
          </w:p>
        </w:tc>
        <w:tc>
          <w:tcPr>
            <w:tcW w:w="234" w:type="dxa"/>
            <w:tcBorders/>
            <w:shd w:fill="CCEEFF" w:val="clear"/>
            <w:vAlign w:val="center"/>
          </w:tcPr>
          <w:p>
            <w:pPr>
              <w:pStyle w:val="TableContents"/>
              <w:bidi w:val="0"/>
              <w:spacing w:before="0" w:after="283"/>
              <w:jc w:val="left"/>
              <w:rPr/>
            </w:pPr>
            <w:r>
              <w:rPr/>
              <w:t> </w:t>
            </w:r>
          </w:p>
        </w:tc>
      </w:tr>
      <w:tr>
        <w:trPr/>
        <w:tc>
          <w:tcPr>
            <w:tcW w:w="3465" w:type="dxa"/>
            <w:tcBorders/>
            <w:shd w:fill="FFFFFF" w:val="clear"/>
            <w:vAlign w:val="center"/>
          </w:tcPr>
          <w:p>
            <w:pPr>
              <w:pStyle w:val="TableContents"/>
              <w:bidi w:val="0"/>
              <w:spacing w:before="0" w:after="283"/>
              <w:jc w:val="left"/>
              <w:rPr/>
            </w:pPr>
            <w:r>
              <w:rPr/>
              <w:t>Rick Parod</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0</w:t>
            </w:r>
          </w:p>
        </w:tc>
        <w:tc>
          <w:tcPr>
            <w:tcW w:w="45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0</w:t>
            </w:r>
          </w:p>
        </w:tc>
        <w:tc>
          <w:tcPr>
            <w:tcW w:w="234" w:type="dxa"/>
            <w:tcBorders/>
            <w:shd w:fill="FFFFFF" w:val="clear"/>
            <w:vAlign w:val="center"/>
          </w:tcPr>
          <w:p>
            <w:pPr>
              <w:pStyle w:val="TableContents"/>
              <w:bidi w:val="0"/>
              <w:spacing w:before="0" w:after="283"/>
              <w:jc w:val="left"/>
              <w:rPr/>
            </w:pPr>
            <w:r>
              <w:rPr/>
              <w:t> </w:t>
            </w:r>
          </w:p>
        </w:tc>
      </w:tr>
      <w:tr>
        <w:trPr/>
        <w:tc>
          <w:tcPr>
            <w:tcW w:w="3465" w:type="dxa"/>
            <w:tcBorders/>
            <w:shd w:fill="CCEEFF" w:val="clear"/>
            <w:vAlign w:val="center"/>
          </w:tcPr>
          <w:p>
            <w:pPr>
              <w:pStyle w:val="TableContents"/>
              <w:bidi w:val="0"/>
              <w:spacing w:before="0" w:after="283"/>
              <w:jc w:val="left"/>
              <w:rPr/>
            </w:pPr>
            <w:r>
              <w:rPr/>
              <w:t>Karina Montilla Edmonds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77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0</w:t>
            </w:r>
          </w:p>
        </w:tc>
        <w:tc>
          <w:tcPr>
            <w:tcW w:w="45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0</w:t>
            </w:r>
          </w:p>
        </w:tc>
        <w:tc>
          <w:tcPr>
            <w:tcW w:w="234" w:type="dxa"/>
            <w:tcBorders/>
            <w:shd w:fill="CCEEFF" w:val="clear"/>
            <w:vAlign w:val="center"/>
          </w:tcPr>
          <w:p>
            <w:pPr>
              <w:pStyle w:val="TableContents"/>
              <w:bidi w:val="0"/>
              <w:spacing w:before="0" w:after="283"/>
              <w:jc w:val="left"/>
              <w:rPr/>
            </w:pPr>
            <w:r>
              <w:rPr/>
              <w:t> </w:t>
            </w:r>
          </w:p>
        </w:tc>
      </w:tr>
      <w:tr>
        <w:trPr/>
        <w:tc>
          <w:tcPr>
            <w:tcW w:w="3465" w:type="dxa"/>
            <w:tcBorders/>
            <w:shd w:fill="FFFFFF" w:val="clear"/>
            <w:vAlign w:val="center"/>
          </w:tcPr>
          <w:p>
            <w:pPr>
              <w:pStyle w:val="TableContents"/>
              <w:bidi w:val="0"/>
              <w:spacing w:before="0" w:after="283"/>
              <w:jc w:val="left"/>
              <w:rPr>
                <w:b/>
                <w:i/>
              </w:rPr>
            </w:pPr>
            <w:r>
              <w:rPr>
                <w:b/>
                <w:i/>
              </w:rPr>
              <w:t>All Directors and Officers as a Group (9 persons)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771" w:type="dxa"/>
            <w:tcBorders/>
            <w:shd w:fill="FFFFFF" w:val="clear"/>
            <w:vAlign w:val="center"/>
          </w:tcPr>
          <w:p>
            <w:pPr>
              <w:pStyle w:val="TableContents"/>
              <w:bidi w:val="0"/>
              <w:spacing w:before="0" w:after="283"/>
              <w:jc w:val="right"/>
              <w:rPr/>
            </w:pPr>
            <w:r>
              <w:rPr/>
              <w:t>16,645,643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36.28</w:t>
            </w:r>
          </w:p>
        </w:tc>
        <w:tc>
          <w:tcPr>
            <w:tcW w:w="455"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1" w:type="dxa"/>
            <w:tcBorders/>
            <w:shd w:fill="FFFFFF" w:val="clear"/>
            <w:vAlign w:val="center"/>
          </w:tcPr>
          <w:p>
            <w:pPr>
              <w:pStyle w:val="TableContents"/>
              <w:bidi w:val="0"/>
              <w:spacing w:before="0" w:after="283"/>
              <w:jc w:val="right"/>
              <w:rPr/>
            </w:pPr>
            <w:r>
              <w:rPr/>
              <w:t>30.76</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(“Dynavolt”) on October 12, 2022. The business address of Dynavolt is Flat/Room 02-03 26/F, Bea Tower Millennium City 5, 418 Kwun Tong Road, Kwun Tong,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May 24, 2023. The business address of Mr. Gong is 930 Tahoe Blvd. Suite 802, PMB 860, Incline Village, Nevada 89451.</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shares of common stock not yet payable as the earnout contingencies have not yet been met and will not be met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173,748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108,751 shares of common stock issuable upon exercise of outstanding stock options exercisable within 60 days of May 24, 2023. On April 26, 2023, Ms. Harvey’s employment with us ended.</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Includes 107,024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Includes 21,931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62,307 shares of common stock issuable upon exercise of outstanding stock options exercisable within 60 days of May 24,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29,565 shares of common stock issuable upon exercise of outstanding stock options exercisable within 60 days of May 24, 2023.</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13"/>
      <w:bookmarkEnd w:id="31"/>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You are encouraged to read the applicable provisions of the NRS, our Articles of Incorporation and our Bylaws in their entirety for a complete description of the rights and preferences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175,000,000 shares of capital stock authorized under our Articles of Incorporation, which consists of 170,000,000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24, 2023 there were 45,885,513 shares of common stock outstanding and no shares of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have certain anti-dilution and adjustment rights upon certain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Private Warrants are entitled to certain registration rights. The Private Warrants purchased by Sponsor will not be exercisable on or after August 10, 2026, in accordance with the Financial Industry Regulatory Authority, Inc. (“FINRA”) Rule 5110(g), as long as Sponsor or any of its related persons beneficially own the Private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our Warrants is American Stock Transfer &amp;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authorizes a total of 5,000,000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the Bylaws and Nevada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Articles of Incorporation, we have not opted out of the business combination provisions of NRS 78.411 to 78.444, inclusive.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for 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“DFLI” and our Public Warrants are currently listed on The Nasdaq Capital Market under the symbol “DFLIW”.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14"/>
      <w:bookmarkEnd w:id="32"/>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Roth Capital Partners, LLC, as representative of the underwriters, with respect to the shares of common stock subject to this offering. Subject to certain conditions, we have agreed to sell to the underwriters, and the underwriters have severally agreed to purchase, the number of shares of common stock provided below opposite their names.</w:t>
      </w:r>
    </w:p>
    <w:p>
      <w:pPr>
        <w:pStyle w:val="TextBody"/>
        <w:bidi w:val="0"/>
        <w:spacing w:before="0" w:after="0"/>
        <w:ind w:left="0" w:right="0" w:firstLine="720"/>
        <w:jc w:val="both"/>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40"/>
        <w:gridCol w:w="60"/>
        <w:gridCol w:w="1535"/>
        <w:gridCol w:w="75"/>
      </w:tblGrid>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Capital Markets,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common stock subject to their acceptance of the shares of common stock from us and subject to prior sale. The underwriting agreement provides that the obligations of the underwriters to pay for and accept delivery of the shares of common stock offered by this prospectus are subject to the approval of certain legal matters by their counsel and to certain other conditions. The underwriters are obligated, severally and not jointly, to take and pay for all of the shares of common stock if any such shares are taken. However, the underwriters are not required to take or pay for the shares of common stock covered by the underwriters’ over-allotment option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Over-Allotment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exercisable for 45 days from the date of this prospectus, to purchase up to an aggregate of additional shares of common stock to cover over-allotments, if any, at the public offering price set forth on the cover page of this prospectus, less the underwriting discount. The underwriters may exercise this option solely for the purpose of covering over-allotments, if any, made in connection with the offering of the shares of common stock offered by this prospectus. If the underwriters exercise this option, the underwriters will be obligated, severally and not jointly, subject to certain conditions, to purchase the additional shares for which the option has been exercised in approximately the same proportion as shown in the table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 Commissions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shares of common stock to the public at the public offering price set forth on the cover page of this prospectus and to certain dealers at that price less a concession not in excess of $       per share. After this offering, the public offering price, concession and reallowance to dealers may be changed by the underwriters. No such change will change the amount of proceeds to be received by us as set forth on the cover page of this prospectus. The shares of common stock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underwriting discount payable to the underwriters by us in connection with this offering. Such amounts are shown assuming both no exercise and full exercise of the underwriters’ over-allotment option to purchase additional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9"/>
        <w:gridCol w:w="60"/>
        <w:gridCol w:w="179"/>
        <w:gridCol w:w="519"/>
        <w:gridCol w:w="60"/>
        <w:gridCol w:w="60"/>
        <w:gridCol w:w="975"/>
        <w:gridCol w:w="2829"/>
        <w:gridCol w:w="60"/>
        <w:gridCol w:w="60"/>
        <w:gridCol w:w="916"/>
        <w:gridCol w:w="2660"/>
        <w:gridCol w:w="78"/>
      </w:tblGrid>
      <w:tr>
        <w:trPr/>
        <w:tc>
          <w:tcPr>
            <w:tcW w:w="17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Without Exercise of Over- Allotment Option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With Exercise of Over- Allotment Option (1)</w:t>
            </w:r>
          </w:p>
        </w:tc>
        <w:tc>
          <w:tcPr>
            <w:tcW w:w="7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Does not include the Underwriters’ Warrants as described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underwriters for reasonable out-of-pocket expenses, including the fees and disbursements of their counsel, up to an aggregate of $100,000, plus up to $10,000 for counsel fees related to FINRA clearance of the offering. We estimate that the total expenses payable by us in connection with this offering, other than the underwriting discount and commissions referred to above, will be approximately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issue to the Underwriters the Underwriters’ Warrants to purchase a number of shares of our common stock equal to an aggregate of 5% of the common stock sold in this offering. The Underwriters’ Warrants will have an exercise price equal to 125% of the public offering price of the common stock sold in this offering and may be exercised on a cashless basis. The Underwriters’ Warrants are not redeemable by us, and will expire on the fifth anniversary of the effectiveness of the registration statement of which this prospectus is a part. The Underwriters’ Warrants will provide for adjustment in the number and price of the Underwriters’ Warrants (and the shares of common stock underlying the Underwriters’ Warrants) in the event of recapitalization, merger or other fundamental transaction. The Underwriters’ Warrants and the underlying shares of common stock have been deemed compensation by FINRA and are therefore subject to FINRA Rule 5110(g)(1). In accordance with FINRA Rule 5110(g)(1), neither the Underwriters’ Warrants nor any shares of common stock issued upon exercise of the Underwriters’ Warrants may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the Underwriters’ Warrants are being issued, except the transfer of any security:</w:t>
      </w:r>
    </w:p>
    <w:p>
      <w:pPr>
        <w:pStyle w:val="TextBody"/>
        <w:bidi w:val="0"/>
        <w:spacing w:before="0" w:after="0"/>
        <w:ind w:left="0" w:right="0" w:firstLine="72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law or by reason of reorganization of the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FINRA member firm participating in this offering and the officers or partners thereof, if all securities so transferred remain subject to the lock-up restriction described above for the remainder of the time period;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aggregate amount of securities of the Company held by either an underwriter or a related person do not exceed 1% of the securities being offered;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or conversion of any security, if all securities received remain subject to the lock-up restriction set forth above for the remainder of the time period.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will contain provisions for registration rights for a period of five years at the Company’s expense. The registration rights relating to Underwriters’ Warrants shall comply with the requirements of FINRA Rule 5110(g)(8).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officers and directors and have agreed, subject to limited exceptions, for a period of 90 days after the date of the underwriting agreement, not to offer, sell, contract to sell, pledge, grant any option to purchase, make any short sale or otherwise dispose of, directly or indirectly any shares of common stock or any securities convertible into or exchangeable for our common stock either owned as of the date of the underwriting agreement or thereafter acquired without the prior written consent of the representative. The representative may, in its sole discretion and at any time or from time to time before the termination of the lock-up period, without notice, release all or any portion of the securities subject to lock-up agreements.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permit bids to purchase the underlying security so long as the stabilizing bids do not exceed a specified maximum.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shares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representative to reclaim a selling concession from a syndicate member when the common stock originally sold by the syndicate member is purchased in a stabilizing or syndicate covering transaction to cover syndicate short positions.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may also engage in passive market making transactions in our common stock. Passive market making may stabilize the market price of the common stock at a level above that which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Neither we nor the underwriters make any representation or prediction as to the direction or magnitude of any effect that the transactions described above may have on the price of the common stock. In addition, neither we nor the underwriters make any representations that the underwriters will engage in these stabilizing transactions or that any transaction, once commenced, will not be discontinued without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 electronic format may be made available on websites or through other online services maintained by an underwriter, or by their affiliates. Other than this prospectus in electronic format, the information on each underwriter’s website and any information contained in any other website maintained by an underwriter is not part of this prospectus or the registration statement of which this prospectus form a part, has not been approved and/or endorsed by us or any of the underwriters in their capacity as underwriters, and should not be relied upon by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each underwriter and/or their respective affiliates have provided, and may in the future provide, various investment banking and other financial services for us for which services they have received and, may in the future receive, customary fees. In the course of their businesses, each underwriter and their respective affiliates may actively trade our securities or loans for their own account or for the accounts of customers, and, accordingly, an underwriter and its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15"/>
      <w:bookmarkEnd w:id="33"/>
      <w:r>
        <w:rPr>
          <w:rFonts w:ascii="Times New Roman;Times;Serif" w:hAnsi="Times New Roman;Times;Serif"/>
          <w:b/>
          <w:i w:val="false"/>
          <w:caps w:val="false"/>
          <w:smallCaps w:val="false"/>
          <w:sz w:val="20"/>
        </w:rPr>
        <w:t>NOTICE TO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common stock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legal entity which is a qualified investor as defined under Article 2 of the UK Prospectus Regulation;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fewer than 150 natural or legal persons (other than qualified investors as defined under Article 2 of the UK Prospectus Regulation), subject to obtaining the prior consent of the representatives for any such offer;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falling within Section 86 of the FSMA,</w:t>
            </w:r>
          </w:p>
        </w:tc>
      </w:tr>
    </w:tbl>
    <w:p>
      <w:pPr>
        <w:pStyle w:val="TextBody"/>
        <w:bidi w:val="0"/>
        <w:spacing w:before="0" w:after="0"/>
        <w:ind w:left="77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Economic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this document does not constitute an approved prospectus in accordance with European Commission’s Regulation on Prospectuses no. 809/2004 and no such prospectus is to be prepared and approved in connection with this offering. Accordingly, in relation to each Member State of the European Economic Area which has implemented the Prospectus Directive (being the Directive of the European Parliament and of the Council 2003/71/EC and including any relevant implementing measure in each Relevant Member State) (each, a Relevant Member State),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such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securities to the public in that Relevant Member State at any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legal entities which are authorized or regulated to operate in the financial markets or, if not so authorized or regulated, whose corporate purpose is solely to invest in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legal entity which has two or more of (1) an average of at least 250 employees during the last financial year; (2) a total balance sheet of more than €43,000,000; and (3) an annual net turnover of more than €50,000,000, as shown in the last annual or consolidated accounts;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which do not require the publication by the Issuer of a prospectus pursuant to Article 3 of the Prospectus Directive.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of securities to the public” in relation to any of the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For these purposes the shares offered hereby are “securities.”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16"/>
      <w:bookmarkEnd w:id="3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17"/>
      <w:bookmarkEnd w:id="35"/>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Parsons Behle &amp; Latimer, Reno, Nevada. The underwriters are being represented by Duane Morris LLP, New York, New York,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18"/>
      <w:bookmarkEnd w:id="36"/>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2021 and for each of the two years in the period ended December 31, 2022 included in this Prospectus and in the Registration Statement have been so included in reliance on the report of BDO USA,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3"/>
        <w:gridCol w:w="402"/>
      </w:tblGrid>
      <w:tr>
        <w:trPr/>
        <w:tc>
          <w:tcPr>
            <w:tcW w:w="9803" w:type="dxa"/>
            <w:tcBorders/>
            <w:shd w:fill="CCEC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w:t>
            </w:r>
          </w:p>
        </w:tc>
        <w:tc>
          <w:tcPr>
            <w:tcW w:w="402" w:type="dxa"/>
            <w:tcBorders/>
            <w:shd w:fill="CCEC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03" w:type="dxa"/>
            <w:tcBorders/>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4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03" w:type="dxa"/>
            <w:tcBorders/>
            <w:shd w:fill="CCEC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Consolidated Statements of Operations for the years ended December 31, 2022 and 2021</w:t>
              </w:r>
            </w:hyperlink>
          </w:p>
        </w:tc>
        <w:tc>
          <w:tcPr>
            <w:tcW w:w="402" w:type="dxa"/>
            <w:tcBorders/>
            <w:shd w:fill="CCEC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03" w:type="dxa"/>
            <w:tcBorders/>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Consolidated Statements of Changes in Stockholders’ Equity for the years ended December 31, 2022 and 2021</w:t>
              </w:r>
            </w:hyperlink>
          </w:p>
        </w:tc>
        <w:tc>
          <w:tcPr>
            <w:tcW w:w="4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03"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Statements of Cash Flows for the years ended December 31, 2022 and 2021</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803"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Notes to Financial Statements</w:t>
              </w:r>
            </w:hyperlink>
          </w:p>
        </w:tc>
        <w:tc>
          <w:tcPr>
            <w:tcW w:w="4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803" w:type="dxa"/>
            <w:tcBorders/>
            <w:shd w:fill="CCEEFF" w:val="clear"/>
            <w:vAlign w:val="center"/>
          </w:tcPr>
          <w:p>
            <w:pPr>
              <w:pStyle w:val="TableContents"/>
              <w:bidi w:val="0"/>
              <w:spacing w:before="0" w:after="283"/>
              <w:jc w:val="left"/>
              <w:rPr/>
            </w:pPr>
            <w:hyperlink w:anchor="fs_001">
              <w:r>
                <w:rPr>
                  <w:rStyle w:val="InternetLink"/>
                  <w:rFonts w:ascii="Times New Roman;Times;Serif" w:hAnsi="Times New Roman;Times;Serif"/>
                  <w:b w:val="false"/>
                  <w:i w:val="false"/>
                  <w:caps w:val="false"/>
                  <w:smallCaps w:val="false"/>
                  <w:sz w:val="20"/>
                </w:rPr>
                <w:t>Unaudited Consolidated Balance Sheets as of March 31, 2023 (unaudited) and December 31, 2022</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803" w:type="dxa"/>
            <w:tcBorders/>
            <w:shd w:fill="FFFFFF" w:val="clear"/>
            <w:vAlign w:val="center"/>
          </w:tcPr>
          <w:p>
            <w:pPr>
              <w:pStyle w:val="TableContents"/>
              <w:bidi w:val="0"/>
              <w:spacing w:before="0" w:after="283"/>
              <w:jc w:val="left"/>
              <w:rPr/>
            </w:pPr>
            <w:hyperlink w:anchor="fs_002">
              <w:r>
                <w:rPr>
                  <w:rStyle w:val="InternetLink"/>
                  <w:rFonts w:ascii="Times New Roman;Times;Serif" w:hAnsi="Times New Roman;Times;Serif"/>
                  <w:b w:val="false"/>
                  <w:i w:val="false"/>
                  <w:caps w:val="false"/>
                  <w:smallCaps w:val="false"/>
                  <w:sz w:val="20"/>
                </w:rPr>
                <w:t>Unaudited Consolidated Statements of Operations for the three months ended March 31, 2023 and 2022</w:t>
              </w:r>
            </w:hyperlink>
          </w:p>
        </w:tc>
        <w:tc>
          <w:tcPr>
            <w:tcW w:w="4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803" w:type="dxa"/>
            <w:tcBorders/>
            <w:shd w:fill="CCEEFF" w:val="clear"/>
            <w:vAlign w:val="center"/>
          </w:tcPr>
          <w:p>
            <w:pPr>
              <w:pStyle w:val="TableContents"/>
              <w:bidi w:val="0"/>
              <w:spacing w:before="0" w:after="283"/>
              <w:jc w:val="left"/>
              <w:rPr/>
            </w:pPr>
            <w:hyperlink w:anchor="fs_003">
              <w:r>
                <w:rPr>
                  <w:rStyle w:val="InternetLink"/>
                  <w:rFonts w:ascii="Times New Roman;Times;Serif" w:hAnsi="Times New Roman;Times;Serif"/>
                  <w:b w:val="false"/>
                  <w:i w:val="false"/>
                  <w:caps w:val="false"/>
                  <w:smallCaps w:val="false"/>
                  <w:sz w:val="20"/>
                </w:rPr>
                <w:t>Unaudited Consolidated Statements of Changes in Stockholders’ Equity for the three months ended March 31, 2023 and 2022</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803" w:type="dxa"/>
            <w:tcBorders/>
            <w:shd w:fill="FFFFFF" w:val="clear"/>
            <w:vAlign w:val="center"/>
          </w:tcPr>
          <w:p>
            <w:pPr>
              <w:pStyle w:val="TableContents"/>
              <w:bidi w:val="0"/>
              <w:spacing w:before="0" w:after="283"/>
              <w:jc w:val="left"/>
              <w:rPr/>
            </w:pPr>
            <w:hyperlink w:anchor="fs_004">
              <w:r>
                <w:rPr>
                  <w:rStyle w:val="InternetLink"/>
                  <w:rFonts w:ascii="Times New Roman;Times;Serif" w:hAnsi="Times New Roman;Times;Serif"/>
                  <w:b w:val="false"/>
                  <w:i w:val="false"/>
                  <w:caps w:val="false"/>
                  <w:smallCaps w:val="false"/>
                  <w:sz w:val="20"/>
                </w:rPr>
                <w:t>Unaudited Statements of Cash Flows for the three months ended March 31, 2023 and 2022</w:t>
              </w:r>
            </w:hyperlink>
          </w:p>
        </w:tc>
        <w:tc>
          <w:tcPr>
            <w:tcW w:w="4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803" w:type="dxa"/>
            <w:tcBorders/>
            <w:shd w:fill="CCEEFF" w:val="clear"/>
            <w:vAlign w:val="center"/>
          </w:tcPr>
          <w:p>
            <w:pPr>
              <w:pStyle w:val="TableContents"/>
              <w:bidi w:val="0"/>
              <w:spacing w:before="0" w:after="283"/>
              <w:jc w:val="left"/>
              <w:rPr/>
            </w:pPr>
            <w:hyperlink w:anchor="fs_005">
              <w:r>
                <w:rPr>
                  <w:rStyle w:val="InternetLink"/>
                  <w:rFonts w:ascii="Times New Roman;Times;Serif" w:hAnsi="Times New Roman;Times;Serif"/>
                  <w:b w:val="false"/>
                  <w:i w:val="false"/>
                  <w:caps w:val="false"/>
                  <w:smallCaps w:val="false"/>
                  <w:sz w:val="20"/>
                </w:rPr>
                <w:t>Notes to Unaudited Financial Statements</w:t>
              </w:r>
            </w:hyperlink>
          </w:p>
        </w:tc>
        <w:tc>
          <w:tcPr>
            <w:tcW w:w="4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17"/>
      <w:bookmarkEnd w:id="3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2023</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bookmarkStart w:id="38" w:name="xdx_043_c20220101__20221231_zQvswFKrwqai"/>
      <w:bookmarkEnd w:id="3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18"/>
      <w:bookmarkEnd w:id="39"/>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0" w:name="xdx_30F_111_pn3n3_zHAKSpT0ZM94"/>
      <w:bookmarkStart w:id="41" w:name="xdx_30F_111_pn3n3_zHAKSpT0ZM94"/>
      <w:bookmarkEnd w:id="41"/>
    </w:p>
    <w:tbl>
      <w:tblPr>
        <w:tblW w:w="10205" w:type="dxa"/>
        <w:jc w:val="left"/>
        <w:tblInd w:w="0" w:type="dxa"/>
        <w:tblLayout w:type="fixed"/>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 w:name="xdx_49E_20221231_z8QopvI5amCd"/>
            <w:bookmarkEnd w:id="42"/>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 w:name="xdx_492_20211231_zt7FDaBJmL0j"/>
            <w:bookmarkEnd w:id="43"/>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bookmarkStart w:id="44" w:name="xdx_40D_eus-gaap--AssetsCurrentAbstract_"/>
            <w:bookmarkEnd w:id="44"/>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 w:name="xdx_40D_eus-gaap--CashAndCashEquivalents"/>
            <w:bookmarkEnd w:id="45"/>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25,586</w:t>
            </w:r>
          </w:p>
        </w:tc>
        <w:tc>
          <w:tcPr>
            <w:tcW w:w="110" w:type="dxa"/>
            <w:tcBorders/>
            <w:shd w:fill="FFFFFF" w:val="clear"/>
            <w:vAlign w:val="center"/>
          </w:tcPr>
          <w:p>
            <w:pPr>
              <w:pStyle w:val="TableContents"/>
              <w:bidi w:val="0"/>
              <w:spacing w:before="0" w:after="283"/>
              <w:jc w:val="left"/>
              <w:rPr/>
            </w:pPr>
            <w:r>
              <w:rPr/>
              <w:t> </w:t>
            </w:r>
            <w:bookmarkStart w:id="46" w:name="xdx_401_eus-gaap--RestrictedCashCurrent_"/>
            <w:bookmarkEnd w:id="46"/>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3,044</w:t>
            </w:r>
          </w:p>
        </w:tc>
        <w:tc>
          <w:tcPr>
            <w:tcW w:w="110" w:type="dxa"/>
            <w:tcBorders/>
            <w:shd w:fill="CCEEFF" w:val="clear"/>
            <w:vAlign w:val="center"/>
          </w:tcPr>
          <w:p>
            <w:pPr>
              <w:pStyle w:val="TableContents"/>
              <w:bidi w:val="0"/>
              <w:spacing w:before="0" w:after="283"/>
              <w:jc w:val="left"/>
              <w:rPr/>
            </w:pPr>
            <w:r>
              <w:rPr/>
              <w:t> </w:t>
            </w:r>
            <w:bookmarkStart w:id="47" w:name="xdx_40D_eus-gaap--AccountsReceivableNetC"/>
            <w:bookmarkEnd w:id="47"/>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w:t>
            </w:r>
          </w:p>
        </w:tc>
        <w:tc>
          <w:tcPr>
            <w:tcW w:w="110" w:type="dxa"/>
            <w:tcBorders/>
            <w:shd w:fill="FFFFFF" w:val="clear"/>
            <w:vAlign w:val="center"/>
          </w:tcPr>
          <w:p>
            <w:pPr>
              <w:pStyle w:val="TableContents"/>
              <w:bidi w:val="0"/>
              <w:spacing w:before="0" w:after="283"/>
              <w:jc w:val="left"/>
              <w:rPr/>
            </w:pPr>
            <w:r>
              <w:rPr/>
              <w:t> </w:t>
            </w:r>
            <w:bookmarkStart w:id="48" w:name="xdx_408_eus-gaap--InventoryNet_i01I_maAC"/>
            <w:bookmarkEnd w:id="48"/>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27,127</w:t>
            </w:r>
          </w:p>
        </w:tc>
        <w:tc>
          <w:tcPr>
            <w:tcW w:w="110" w:type="dxa"/>
            <w:tcBorders/>
            <w:shd w:fill="CCEEFF" w:val="clear"/>
            <w:vAlign w:val="center"/>
          </w:tcPr>
          <w:p>
            <w:pPr>
              <w:pStyle w:val="TableContents"/>
              <w:bidi w:val="0"/>
              <w:spacing w:before="0" w:after="283"/>
              <w:jc w:val="left"/>
              <w:rPr/>
            </w:pPr>
            <w:r>
              <w:rPr/>
              <w:t> </w:t>
            </w:r>
            <w:bookmarkStart w:id="49" w:name="xdx_40C_ecustom--PrepaidExpenseOtherThan"/>
            <w:bookmarkEnd w:id="49"/>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110" w:type="dxa"/>
            <w:tcBorders/>
            <w:shd w:fill="FFFFFF" w:val="clear"/>
            <w:vAlign w:val="center"/>
          </w:tcPr>
          <w:p>
            <w:pPr>
              <w:pStyle w:val="TableContents"/>
              <w:bidi w:val="0"/>
              <w:spacing w:before="0" w:after="283"/>
              <w:jc w:val="left"/>
              <w:rPr/>
            </w:pPr>
            <w:r>
              <w:rPr/>
              <w:t> </w:t>
            </w:r>
            <w:bookmarkStart w:id="50" w:name="xdx_400_eus-gaap--Supplies_i01I_maACzdsP"/>
            <w:bookmarkEnd w:id="50"/>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110" w:type="dxa"/>
            <w:tcBorders/>
            <w:shd w:fill="CCEEFF" w:val="clear"/>
            <w:vAlign w:val="center"/>
          </w:tcPr>
          <w:p>
            <w:pPr>
              <w:pStyle w:val="TableContents"/>
              <w:bidi w:val="0"/>
              <w:spacing w:before="0" w:after="283"/>
              <w:jc w:val="left"/>
              <w:rPr/>
            </w:pPr>
            <w:r>
              <w:rPr/>
              <w:t> </w:t>
            </w:r>
            <w:bookmarkStart w:id="51" w:name="xdx_402_eus-gaap--PrepaidTaxes_i01I_maAC"/>
            <w:bookmarkEnd w:id="51"/>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52" w:name="xdx_400_eus-gaap--OtherAssetsCurrent_i01"/>
            <w:bookmarkEnd w:id="52"/>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w:t>
            </w:r>
          </w:p>
        </w:tc>
        <w:tc>
          <w:tcPr>
            <w:tcW w:w="110" w:type="dxa"/>
            <w:tcBorders/>
            <w:shd w:fill="CCEEFF" w:val="clear"/>
            <w:vAlign w:val="center"/>
          </w:tcPr>
          <w:p>
            <w:pPr>
              <w:pStyle w:val="TableContents"/>
              <w:bidi w:val="0"/>
              <w:spacing w:before="0" w:after="283"/>
              <w:jc w:val="left"/>
              <w:rPr/>
            </w:pPr>
            <w:r>
              <w:rPr/>
              <w:t> </w:t>
            </w:r>
            <w:bookmarkStart w:id="53" w:name="xdx_404_eus-gaap--AssetsCurrent_i01TI_mt"/>
            <w:bookmarkEnd w:id="53"/>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66,081</w:t>
            </w:r>
          </w:p>
        </w:tc>
        <w:tc>
          <w:tcPr>
            <w:tcW w:w="110" w:type="dxa"/>
            <w:tcBorders/>
            <w:shd w:fill="FFFFFF" w:val="clear"/>
            <w:vAlign w:val="center"/>
          </w:tcPr>
          <w:p>
            <w:pPr>
              <w:pStyle w:val="TableContents"/>
              <w:bidi w:val="0"/>
              <w:spacing w:before="0" w:after="283"/>
              <w:jc w:val="left"/>
              <w:rPr/>
            </w:pPr>
            <w:r>
              <w:rPr/>
              <w:t> </w:t>
            </w:r>
            <w:bookmarkStart w:id="54" w:name="xdx_402_eus-gaap--PropertyPlantAndEquipm"/>
            <w:bookmarkEnd w:id="54"/>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 w:name="xdx_40E_eus-gaap--MachineryAndEquipmentG"/>
            <w:bookmarkEnd w:id="55"/>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w:t>
            </w:r>
          </w:p>
        </w:tc>
        <w:tc>
          <w:tcPr>
            <w:tcW w:w="110" w:type="dxa"/>
            <w:tcBorders/>
            <w:shd w:fill="FFFFFF" w:val="clear"/>
            <w:vAlign w:val="center"/>
          </w:tcPr>
          <w:p>
            <w:pPr>
              <w:pStyle w:val="TableContents"/>
              <w:bidi w:val="0"/>
              <w:spacing w:before="0" w:after="283"/>
              <w:jc w:val="left"/>
              <w:rPr/>
            </w:pPr>
            <w:r>
              <w:rPr/>
              <w:t> </w:t>
            </w:r>
            <w:bookmarkStart w:id="56" w:name="xdx_40A_eus-gaap--FurnitureAndFixturesGr"/>
            <w:bookmarkEnd w:id="56"/>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10" w:type="dxa"/>
            <w:tcBorders/>
            <w:shd w:fill="CCEEFF" w:val="clear"/>
            <w:vAlign w:val="center"/>
          </w:tcPr>
          <w:p>
            <w:pPr>
              <w:pStyle w:val="TableContents"/>
              <w:bidi w:val="0"/>
              <w:spacing w:before="0" w:after="283"/>
              <w:jc w:val="left"/>
              <w:rPr/>
            </w:pPr>
            <w:r>
              <w:rPr/>
              <w:t> </w:t>
            </w:r>
            <w:bookmarkStart w:id="57" w:name="xdx_406_eus-gaap--LeaseholdImprovementsG"/>
            <w:bookmarkEnd w:id="57"/>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w:t>
            </w:r>
          </w:p>
        </w:tc>
        <w:tc>
          <w:tcPr>
            <w:tcW w:w="110" w:type="dxa"/>
            <w:tcBorders/>
            <w:shd w:fill="FFFFFF" w:val="clear"/>
            <w:vAlign w:val="center"/>
          </w:tcPr>
          <w:p>
            <w:pPr>
              <w:pStyle w:val="TableContents"/>
              <w:bidi w:val="0"/>
              <w:spacing w:before="0" w:after="283"/>
              <w:jc w:val="left"/>
              <w:rPr/>
            </w:pPr>
            <w:r>
              <w:rPr/>
              <w:t> </w:t>
            </w:r>
            <w:bookmarkStart w:id="58" w:name="xdx_404_ecustom--VehicleGross_i01I_maPPA"/>
            <w:bookmarkEnd w:id="58"/>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110" w:type="dxa"/>
            <w:tcBorders/>
            <w:shd w:fill="CCEEFF" w:val="clear"/>
            <w:vAlign w:val="center"/>
          </w:tcPr>
          <w:p>
            <w:pPr>
              <w:pStyle w:val="TableContents"/>
              <w:bidi w:val="0"/>
              <w:spacing w:before="0" w:after="283"/>
              <w:jc w:val="left"/>
              <w:rPr/>
            </w:pPr>
            <w:r>
              <w:rPr/>
              <w:t> </w:t>
            </w:r>
            <w:bookmarkStart w:id="59" w:name="xdx_409_eus-gaap--PropertyPlantAndEquipm"/>
            <w:bookmarkEnd w:id="59"/>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5,318</w:t>
            </w:r>
          </w:p>
        </w:tc>
        <w:tc>
          <w:tcPr>
            <w:tcW w:w="110" w:type="dxa"/>
            <w:tcBorders/>
            <w:shd w:fill="FFFFFF" w:val="clear"/>
            <w:vAlign w:val="center"/>
          </w:tcPr>
          <w:p>
            <w:pPr>
              <w:pStyle w:val="TableContents"/>
              <w:bidi w:val="0"/>
              <w:spacing w:before="0" w:after="283"/>
              <w:jc w:val="left"/>
              <w:rPr/>
            </w:pPr>
            <w:r>
              <w:rPr/>
              <w:t> </w:t>
            </w:r>
            <w:bookmarkStart w:id="60" w:name="xdx_40B_eus-gaap--AccumulatedDepreciatio"/>
            <w:bookmarkEnd w:id="60"/>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 w:name="xdx_409_eus-gaap--PropertyPlantAndEquipm"/>
            <w:bookmarkEnd w:id="61"/>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4,461</w:t>
            </w:r>
          </w:p>
        </w:tc>
        <w:tc>
          <w:tcPr>
            <w:tcW w:w="110" w:type="dxa"/>
            <w:tcBorders/>
            <w:shd w:fill="FFFFFF" w:val="clear"/>
            <w:vAlign w:val="center"/>
          </w:tcPr>
          <w:p>
            <w:pPr>
              <w:pStyle w:val="TableContents"/>
              <w:bidi w:val="0"/>
              <w:spacing w:before="0" w:after="283"/>
              <w:jc w:val="left"/>
              <w:rPr/>
            </w:pPr>
            <w:r>
              <w:rPr/>
              <w:t> </w:t>
            </w:r>
            <w:bookmarkStart w:id="62" w:name="xdx_40F_eus-gaap--OperatingLeaseRightOfU"/>
            <w:bookmarkEnd w:id="62"/>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5,709</w:t>
            </w:r>
          </w:p>
        </w:tc>
        <w:tc>
          <w:tcPr>
            <w:tcW w:w="110" w:type="dxa"/>
            <w:tcBorders/>
            <w:shd w:fill="CCEEFF" w:val="clear"/>
            <w:vAlign w:val="center"/>
          </w:tcPr>
          <w:p>
            <w:pPr>
              <w:pStyle w:val="TableContents"/>
              <w:bidi w:val="0"/>
              <w:spacing w:before="0" w:after="283"/>
              <w:jc w:val="left"/>
              <w:rPr/>
            </w:pPr>
            <w:r>
              <w:rPr/>
              <w:t> </w:t>
            </w:r>
            <w:bookmarkStart w:id="63" w:name="xdx_401_eus-gaap--Assets_iTI_mtAzQCo_zbB"/>
            <w:bookmarkEnd w:id="63"/>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FFFFFF" w:val="clear"/>
            <w:vAlign w:val="center"/>
          </w:tcPr>
          <w:p>
            <w:pPr>
              <w:pStyle w:val="TableContents"/>
              <w:bidi w:val="0"/>
              <w:spacing w:before="0" w:after="283"/>
              <w:jc w:val="left"/>
              <w:rPr/>
            </w:pPr>
            <w:r>
              <w:rPr/>
              <w:t> </w:t>
            </w:r>
            <w:bookmarkStart w:id="64" w:name="xdx_40C_eus-gaap--LiabilitiesCurrentAbst"/>
            <w:bookmarkEnd w:id="64"/>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 w:name="xdx_406_eus-gaap--AccountsPayableCurrent"/>
            <w:bookmarkEnd w:id="65"/>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11,360</w:t>
            </w:r>
          </w:p>
        </w:tc>
        <w:tc>
          <w:tcPr>
            <w:tcW w:w="110" w:type="dxa"/>
            <w:tcBorders/>
            <w:shd w:fill="FFFFFF" w:val="clear"/>
            <w:vAlign w:val="center"/>
          </w:tcPr>
          <w:p>
            <w:pPr>
              <w:pStyle w:val="TableContents"/>
              <w:bidi w:val="0"/>
              <w:spacing w:before="0" w:after="283"/>
              <w:jc w:val="left"/>
              <w:rPr/>
            </w:pPr>
            <w:r>
              <w:rPr/>
              <w:t> </w:t>
            </w:r>
            <w:bookmarkStart w:id="66" w:name="xdx_40E_eus-gaap--EmployeeRelatedLiabili"/>
            <w:bookmarkEnd w:id="66"/>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w:t>
            </w:r>
          </w:p>
        </w:tc>
        <w:tc>
          <w:tcPr>
            <w:tcW w:w="110" w:type="dxa"/>
            <w:tcBorders/>
            <w:shd w:fill="CCEEFF" w:val="clear"/>
            <w:vAlign w:val="center"/>
          </w:tcPr>
          <w:p>
            <w:pPr>
              <w:pStyle w:val="TableContents"/>
              <w:bidi w:val="0"/>
              <w:spacing w:before="0" w:after="283"/>
              <w:jc w:val="left"/>
              <w:rPr/>
            </w:pPr>
            <w:r>
              <w:rPr/>
              <w:t> </w:t>
            </w:r>
            <w:bookmarkStart w:id="67" w:name="xdx_40B_eus-gaap--ContractWithCustomerLi"/>
            <w:bookmarkEnd w:id="67"/>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110" w:type="dxa"/>
            <w:tcBorders/>
            <w:shd w:fill="FFFFFF" w:val="clear"/>
            <w:vAlign w:val="center"/>
          </w:tcPr>
          <w:p>
            <w:pPr>
              <w:pStyle w:val="TableContents"/>
              <w:bidi w:val="0"/>
              <w:spacing w:before="0" w:after="283"/>
              <w:jc w:val="left"/>
              <w:rPr/>
            </w:pPr>
            <w:r>
              <w:rPr/>
              <w:t> </w:t>
            </w:r>
            <w:bookmarkStart w:id="68" w:name="xdx_406_ecustom--UncertainTaxPositionLia"/>
            <w:bookmarkEnd w:id="68"/>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69" w:name="xdx_404_eus-gaap--AccruedIncomeTaxesCurr"/>
            <w:bookmarkEnd w:id="69"/>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110" w:type="dxa"/>
            <w:tcBorders/>
            <w:shd w:fill="FFFFFF" w:val="clear"/>
            <w:vAlign w:val="center"/>
          </w:tcPr>
          <w:p>
            <w:pPr>
              <w:pStyle w:val="TableContents"/>
              <w:bidi w:val="0"/>
              <w:spacing w:before="0" w:after="283"/>
              <w:jc w:val="left"/>
              <w:rPr/>
            </w:pPr>
            <w:r>
              <w:rPr/>
              <w:t> </w:t>
            </w:r>
            <w:bookmarkStart w:id="70" w:name="xdx_401_eus-gaap--NotesPayableCurrent_i0"/>
            <w:bookmarkEnd w:id="70"/>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w:t>
            </w:r>
          </w:p>
        </w:tc>
        <w:tc>
          <w:tcPr>
            <w:tcW w:w="110" w:type="dxa"/>
            <w:tcBorders/>
            <w:shd w:fill="CCEEFF" w:val="clear"/>
            <w:vAlign w:val="center"/>
          </w:tcPr>
          <w:p>
            <w:pPr>
              <w:pStyle w:val="TableContents"/>
              <w:bidi w:val="0"/>
              <w:spacing w:before="0" w:after="283"/>
              <w:jc w:val="left"/>
              <w:rPr/>
            </w:pPr>
            <w:r>
              <w:rPr/>
              <w:t> </w:t>
            </w:r>
            <w:bookmarkStart w:id="71" w:name="xdx_40A_eus-gaap--OperatingLeaseLiabilit"/>
            <w:bookmarkEnd w:id="71"/>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w:t>
            </w:r>
          </w:p>
        </w:tc>
        <w:tc>
          <w:tcPr>
            <w:tcW w:w="110" w:type="dxa"/>
            <w:tcBorders/>
            <w:shd w:fill="FFFFFF" w:val="clear"/>
            <w:vAlign w:val="center"/>
          </w:tcPr>
          <w:p>
            <w:pPr>
              <w:pStyle w:val="TableContents"/>
              <w:bidi w:val="0"/>
              <w:spacing w:before="0" w:after="283"/>
              <w:jc w:val="left"/>
              <w:rPr/>
            </w:pPr>
            <w:r>
              <w:rPr/>
              <w:t> </w:t>
            </w:r>
            <w:bookmarkStart w:id="72" w:name="xdx_40C_eus-gaap--LiabilitiesCurrent_i01"/>
            <w:bookmarkEnd w:id="72"/>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17,990</w:t>
            </w:r>
          </w:p>
        </w:tc>
        <w:tc>
          <w:tcPr>
            <w:tcW w:w="110" w:type="dxa"/>
            <w:tcBorders/>
            <w:shd w:fill="CCEEFF" w:val="clear"/>
            <w:vAlign w:val="center"/>
          </w:tcPr>
          <w:p>
            <w:pPr>
              <w:pStyle w:val="TableContents"/>
              <w:bidi w:val="0"/>
              <w:spacing w:before="0" w:after="283"/>
              <w:jc w:val="left"/>
              <w:rPr/>
            </w:pPr>
            <w:r>
              <w:rPr/>
              <w:t> </w:t>
            </w:r>
            <w:bookmarkStart w:id="73" w:name="xdx_40A_eus-gaap--LiabilitiesNoncurrentA"/>
            <w:bookmarkEnd w:id="73"/>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 w:name="xdx_409_eus-gaap--LongTermNotesPayable_i"/>
            <w:bookmarkEnd w:id="74"/>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payable-noncurrent,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w:t>
            </w:r>
          </w:p>
        </w:tc>
        <w:tc>
          <w:tcPr>
            <w:tcW w:w="110" w:type="dxa"/>
            <w:tcBorders/>
            <w:shd w:fill="CCEEFF" w:val="clear"/>
            <w:vAlign w:val="center"/>
          </w:tcPr>
          <w:p>
            <w:pPr>
              <w:pStyle w:val="TableContents"/>
              <w:bidi w:val="0"/>
              <w:spacing w:before="0" w:after="283"/>
              <w:jc w:val="left"/>
              <w:rPr/>
            </w:pPr>
            <w:r>
              <w:rPr/>
              <w:t> </w:t>
            </w:r>
            <w:bookmarkStart w:id="75" w:name="xdx_40E_eus-gaap--DeferredIncomeTaxLiabi"/>
            <w:bookmarkEnd w:id="75"/>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110" w:type="dxa"/>
            <w:tcBorders/>
            <w:shd w:fill="FFFFFF" w:val="clear"/>
            <w:vAlign w:val="center"/>
          </w:tcPr>
          <w:p>
            <w:pPr>
              <w:pStyle w:val="TableContents"/>
              <w:bidi w:val="0"/>
              <w:spacing w:before="0" w:after="283"/>
              <w:jc w:val="left"/>
              <w:rPr/>
            </w:pPr>
            <w:r>
              <w:rPr/>
              <w:t> </w:t>
            </w:r>
            <w:bookmarkStart w:id="76" w:name="xdx_40E_ecustom--WarrantLiabilityNoncurr"/>
            <w:bookmarkEnd w:id="76"/>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7" w:name="xdx_40C_eus-gaap--OtherAccruedLiabilitie"/>
            <w:bookmarkEnd w:id="77"/>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long-term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78" w:name="xdx_408_eus-gaap--OperatingLeaseLiabilit"/>
            <w:bookmarkEnd w:id="78"/>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110" w:type="dxa"/>
            <w:tcBorders/>
            <w:shd w:fill="CCEEFF" w:val="clear"/>
            <w:vAlign w:val="center"/>
          </w:tcPr>
          <w:p>
            <w:pPr>
              <w:pStyle w:val="TableContents"/>
              <w:bidi w:val="0"/>
              <w:spacing w:before="0" w:after="283"/>
              <w:jc w:val="left"/>
              <w:rPr/>
            </w:pPr>
            <w:r>
              <w:rPr/>
              <w:t> </w:t>
            </w:r>
            <w:bookmarkStart w:id="79" w:name="xdx_40B_eus-gaap--LiabilitiesNoncurrent_"/>
            <w:bookmarkEnd w:id="79"/>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42,200</w:t>
            </w:r>
          </w:p>
        </w:tc>
        <w:tc>
          <w:tcPr>
            <w:tcW w:w="110" w:type="dxa"/>
            <w:tcBorders/>
            <w:shd w:fill="FFFFFF" w:val="clear"/>
            <w:vAlign w:val="center"/>
          </w:tcPr>
          <w:p>
            <w:pPr>
              <w:pStyle w:val="TableContents"/>
              <w:bidi w:val="0"/>
              <w:spacing w:before="0" w:after="283"/>
              <w:jc w:val="left"/>
              <w:rPr/>
            </w:pPr>
            <w:r>
              <w:rPr/>
              <w:t> </w:t>
            </w:r>
            <w:bookmarkStart w:id="80" w:name="xdx_40E_eus-gaap--Liabilities_i01TI_mtLz"/>
            <w:bookmarkEnd w:id="80"/>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60,190</w:t>
            </w:r>
          </w:p>
        </w:tc>
        <w:tc>
          <w:tcPr>
            <w:tcW w:w="110" w:type="dxa"/>
            <w:tcBorders/>
            <w:shd w:fill="CCEEFF" w:val="clear"/>
            <w:vAlign w:val="center"/>
          </w:tcPr>
          <w:p>
            <w:pPr>
              <w:pStyle w:val="TableContents"/>
              <w:bidi w:val="0"/>
              <w:spacing w:before="0" w:after="283"/>
              <w:jc w:val="left"/>
              <w:rPr/>
            </w:pPr>
            <w:r>
              <w:rPr/>
              <w:t> </w:t>
            </w:r>
            <w:bookmarkStart w:id="81" w:name="xdx_406_eus-gaap--CommitmentsAndContinge"/>
            <w:bookmarkEnd w:id="81"/>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(See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82" w:name="xdx_40E_eus-gaap--StockholdersEquityAbst"/>
            <w:bookmarkEnd w:id="82"/>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3" w:name="xdx_402_eus-gaap--CommonStockValue_i01I_"/>
            <w:bookmarkEnd w:id="83"/>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Common stock, </w:t>
            </w:r>
            <w:bookmarkStart w:id="84" w:name="xdx_908_eus-gaap--CommonStockSharesAutho"/>
            <w:bookmarkStart w:id="85" w:name="xdx_902_eus-gaap--CommonStockSharesAutho"/>
            <w:bookmarkEnd w:id="84"/>
            <w:bookmarkEnd w:id="85"/>
            <w:r>
              <w:rPr>
                <w:rFonts w:ascii="Times New Roman;Times;Serif" w:hAnsi="Times New Roman;Times;Serif"/>
              </w:rPr>
              <w:t>170,000,000 shares, $</w:t>
            </w:r>
            <w:bookmarkStart w:id="86" w:name="xdx_90C_eus-gaap--CommonStockParOrStated"/>
            <w:bookmarkStart w:id="87" w:name="xdx_901_eus-gaap--CommonStockParOrStated"/>
            <w:bookmarkEnd w:id="86"/>
            <w:bookmarkEnd w:id="87"/>
            <w:r>
              <w:rPr>
                <w:rFonts w:ascii="Times New Roman;Times;Serif" w:hAnsi="Times New Roman;Times;Serif"/>
              </w:rPr>
              <w:t xml:space="preserve">0.0001 par value, authorized, </w:t>
            </w:r>
            <w:bookmarkStart w:id="88" w:name="xdx_906_eus-gaap--CommonStockSharesOutst"/>
            <w:bookmarkStart w:id="89" w:name="xdx_901_eus-gaap--CommonStockSharesIssue"/>
            <w:bookmarkEnd w:id="88"/>
            <w:bookmarkEnd w:id="89"/>
            <w:r>
              <w:rPr>
                <w:rFonts w:ascii="Times New Roman;Times;Serif" w:hAnsi="Times New Roman;Times;Serif"/>
              </w:rPr>
              <w:t xml:space="preserve">43,272,728 and </w:t>
            </w:r>
            <w:bookmarkStart w:id="90" w:name="xdx_900_eus-gaap--CommonStockSharesOutst"/>
            <w:bookmarkStart w:id="91" w:name="xdx_90F_eus-gaap--CommonStockSharesIssue"/>
            <w:bookmarkEnd w:id="90"/>
            <w:bookmarkEnd w:id="91"/>
            <w:r>
              <w:rPr>
                <w:rFonts w:ascii="Times New Roman;Times;Serif" w:hAnsi="Times New Roman;Times;Serif"/>
              </w:rPr>
              <w:t>36,496,998 shares issued and outstanding as of December 31, 2022 and 2021,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FFFFFF" w:val="clear"/>
            <w:vAlign w:val="center"/>
          </w:tcPr>
          <w:p>
            <w:pPr>
              <w:pStyle w:val="TableContents"/>
              <w:bidi w:val="0"/>
              <w:spacing w:before="0" w:after="283"/>
              <w:jc w:val="left"/>
              <w:rPr/>
            </w:pPr>
            <w:r>
              <w:rPr/>
              <w:t> </w:t>
            </w:r>
            <w:bookmarkStart w:id="92" w:name="xdx_402_eus-gaap--PreferredStockValue_i0"/>
            <w:bookmarkEnd w:id="92"/>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w:t>
            </w:r>
            <w:bookmarkStart w:id="93" w:name="xdx_902_eus-gaap--PreferredStockSharesAu"/>
            <w:bookmarkStart w:id="94" w:name="xdx_905_eus-gaap--PreferredStockSharesAu"/>
            <w:bookmarkEnd w:id="93"/>
            <w:bookmarkEnd w:id="94"/>
            <w:r>
              <w:rPr>
                <w:rFonts w:ascii="Times New Roman;Times;Serif" w:hAnsi="Times New Roman;Times;Serif"/>
              </w:rPr>
              <w:t>5,000,000 shares, $</w:t>
            </w:r>
            <w:bookmarkStart w:id="95" w:name="xdx_901_eus-gaap--PreferredStockParOrSta"/>
            <w:bookmarkStart w:id="96" w:name="xdx_900_eus-gaap--PreferredStockParOrSta"/>
            <w:bookmarkEnd w:id="95"/>
            <w:bookmarkEnd w:id="96"/>
            <w:r>
              <w:rPr>
                <w:rFonts w:ascii="Times New Roman;Times;Serif" w:hAnsi="Times New Roman;Times;Serif"/>
              </w:rPr>
              <w:t xml:space="preserve">0.0001 par value, authorized, </w:t>
            </w:r>
            <w:bookmarkStart w:id="97" w:name="xdx_908_eus-gaap--PreferredStockSharesOu"/>
            <w:bookmarkStart w:id="98" w:name="xdx_902_eus-gaap--PreferredStockSharesIs"/>
            <w:bookmarkStart w:id="99" w:name="xdx_904_eus-gaap--PreferredStockSharesOu"/>
            <w:bookmarkStart w:id="100" w:name="xdx_904_eus-gaap--PreferredStockSharesIs"/>
            <w:bookmarkEnd w:id="97"/>
            <w:bookmarkEnd w:id="98"/>
            <w:bookmarkEnd w:id="99"/>
            <w:bookmarkEnd w:id="100"/>
            <w:r>
              <w:rPr>
                <w:rFonts w:ascii="Times New Roman;Times;Serif" w:hAnsi="Times New Roman;Times;Serif"/>
              </w:rPr>
              <w:t>no shares issued and outstanding as of December 31, 2022 and 2021,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01" w:name="xdx_409_eus-gaap--AdditionalPaidInCapita"/>
            <w:bookmarkEnd w:id="101"/>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110" w:type="dxa"/>
            <w:tcBorders/>
            <w:shd w:fill="FFFFFF" w:val="clear"/>
            <w:vAlign w:val="center"/>
          </w:tcPr>
          <w:p>
            <w:pPr>
              <w:pStyle w:val="TableContents"/>
              <w:bidi w:val="0"/>
              <w:spacing w:before="0" w:after="283"/>
              <w:jc w:val="left"/>
              <w:rPr/>
            </w:pPr>
            <w:r>
              <w:rPr/>
              <w:t> </w:t>
            </w:r>
            <w:bookmarkStart w:id="102" w:name="xdx_40E_eus-gaap--RetainedEarningsAccumu"/>
            <w:bookmarkEnd w:id="102"/>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(deficit)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110" w:type="dxa"/>
            <w:tcBorders/>
            <w:shd w:fill="CCEEFF" w:val="clear"/>
            <w:vAlign w:val="center"/>
          </w:tcPr>
          <w:p>
            <w:pPr>
              <w:pStyle w:val="TableContents"/>
              <w:bidi w:val="0"/>
              <w:spacing w:before="0" w:after="283"/>
              <w:jc w:val="left"/>
              <w:rPr/>
            </w:pPr>
            <w:r>
              <w:rPr/>
              <w:t> </w:t>
            </w:r>
            <w:bookmarkStart w:id="103" w:name="xdx_405_eus-gaap--StockholdersEquity_i01"/>
            <w:bookmarkEnd w:id="103"/>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0" w:type="dxa"/>
            <w:tcBorders/>
            <w:shd w:fill="FFFFFF" w:val="clear"/>
            <w:vAlign w:val="center"/>
          </w:tcPr>
          <w:p>
            <w:pPr>
              <w:pStyle w:val="TableContents"/>
              <w:bidi w:val="0"/>
              <w:spacing w:before="0" w:after="283"/>
              <w:jc w:val="left"/>
              <w:rPr/>
            </w:pPr>
            <w:r>
              <w:rPr/>
              <w:t> </w:t>
            </w:r>
            <w:bookmarkStart w:id="104" w:name="xdx_401_eus-gaap--LiabilitiesAndStockhol"/>
            <w:bookmarkEnd w:id="104"/>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_019"/>
      <w:bookmarkEnd w:id="105"/>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w:t>
      </w:r>
      <w:r>
        <w:rPr>
          <w:rFonts w:ascii="Times New Roman;Times;Serif" w:hAnsi="Times New Roman;Times;Serif"/>
          <w:b/>
          <w:i w:val="false"/>
          <w:caps/>
          <w:sz w:val="20"/>
        </w:rPr>
        <w:t>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D_113_pn3n3_zrFJ0lICmMb2"/>
      <w:bookmarkStart w:id="107" w:name="xdx_30D_113_pn3n3_zrFJ0lICmMb2"/>
      <w:bookmarkEnd w:id="107"/>
    </w:p>
    <w:tbl>
      <w:tblPr>
        <w:tblW w:w="7325" w:type="dxa"/>
        <w:jc w:val="left"/>
        <w:tblInd w:w="0" w:type="dxa"/>
        <w:tblLayout w:type="fixed"/>
        <w:tblCellMar>
          <w:top w:w="0" w:type="dxa"/>
          <w:left w:w="0" w:type="dxa"/>
          <w:bottom w:w="0" w:type="dxa"/>
          <w:right w:w="0" w:type="dxa"/>
        </w:tblCellMar>
      </w:tblPr>
      <w:tblGrid>
        <w:gridCol w:w="4520"/>
        <w:gridCol w:w="60"/>
        <w:gridCol w:w="140"/>
        <w:gridCol w:w="1100"/>
        <w:gridCol w:w="95"/>
        <w:gridCol w:w="60"/>
        <w:gridCol w:w="140"/>
        <w:gridCol w:w="1100"/>
        <w:gridCol w:w="110"/>
      </w:tblGrid>
      <w:tr>
        <w:trPr/>
        <w:tc>
          <w:tcPr>
            <w:tcW w:w="4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8" w:name="xdx_496_20220101__20221231_zikGnyYoIaQ9"/>
            <w:bookmarkEnd w:id="108"/>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9" w:name="xdx_499_20210101__20211231_zhRTJm1AdWg1"/>
            <w:bookmarkEnd w:id="109"/>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bookmarkStart w:id="110" w:name="xdx_40E_eus-gaap--RevenueFromContractWit"/>
            <w:bookmarkEnd w:id="110"/>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110" w:type="dxa"/>
            <w:tcBorders/>
            <w:shd w:fill="CCEEFF" w:val="clear"/>
            <w:vAlign w:val="center"/>
          </w:tcPr>
          <w:p>
            <w:pPr>
              <w:pStyle w:val="TableContents"/>
              <w:bidi w:val="0"/>
              <w:spacing w:before="0" w:after="283"/>
              <w:jc w:val="left"/>
              <w:rPr/>
            </w:pPr>
            <w:r>
              <w:rPr/>
              <w:t> </w:t>
            </w:r>
            <w:bookmarkStart w:id="111" w:name="xdx_40A_eus-gaap--CostOfGoodsAndServices"/>
            <w:bookmarkEnd w:id="111"/>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48,375</w:t>
            </w:r>
          </w:p>
        </w:tc>
        <w:tc>
          <w:tcPr>
            <w:tcW w:w="110" w:type="dxa"/>
            <w:tcBorders/>
            <w:shd w:fill="FFFFFF" w:val="clear"/>
            <w:vAlign w:val="center"/>
          </w:tcPr>
          <w:p>
            <w:pPr>
              <w:pStyle w:val="TableContents"/>
              <w:bidi w:val="0"/>
              <w:spacing w:before="0" w:after="283"/>
              <w:jc w:val="left"/>
              <w:rPr/>
            </w:pPr>
            <w:r>
              <w:rPr/>
              <w:t> </w:t>
            </w:r>
            <w:bookmarkStart w:id="112" w:name="xdx_40F_eus-gaap--GrossProfit_iT_mtGPzM3"/>
            <w:bookmarkEnd w:id="112"/>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29,625</w:t>
            </w:r>
          </w:p>
        </w:tc>
        <w:tc>
          <w:tcPr>
            <w:tcW w:w="110" w:type="dxa"/>
            <w:tcBorders/>
            <w:shd w:fill="CCEEFF" w:val="clear"/>
            <w:vAlign w:val="center"/>
          </w:tcPr>
          <w:p>
            <w:pPr>
              <w:pStyle w:val="TableContents"/>
              <w:bidi w:val="0"/>
              <w:spacing w:before="0" w:after="283"/>
              <w:jc w:val="left"/>
              <w:rPr/>
            </w:pPr>
            <w:r>
              <w:rPr/>
              <w:t> </w:t>
            </w:r>
            <w:bookmarkStart w:id="113" w:name="xdx_40C_eus-gaap--OperatingExpensesAbstr"/>
            <w:bookmarkEnd w:id="113"/>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 w:name="xdx_401_eus-gaap--ResearchAndDevelopment"/>
            <w:bookmarkEnd w:id="114"/>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w:t>
            </w:r>
          </w:p>
        </w:tc>
        <w:tc>
          <w:tcPr>
            <w:tcW w:w="110" w:type="dxa"/>
            <w:tcBorders/>
            <w:shd w:fill="CCEEFF" w:val="clear"/>
            <w:vAlign w:val="center"/>
          </w:tcPr>
          <w:p>
            <w:pPr>
              <w:pStyle w:val="TableContents"/>
              <w:bidi w:val="0"/>
              <w:spacing w:before="0" w:after="283"/>
              <w:jc w:val="left"/>
              <w:rPr/>
            </w:pPr>
            <w:r>
              <w:rPr/>
              <w:t> </w:t>
            </w:r>
            <w:bookmarkStart w:id="115" w:name="xdx_407_eus-gaap--GeneralAndAdministrati"/>
            <w:bookmarkEnd w:id="115"/>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110" w:type="dxa"/>
            <w:tcBorders/>
            <w:shd w:fill="FFFFFF" w:val="clear"/>
            <w:vAlign w:val="center"/>
          </w:tcPr>
          <w:p>
            <w:pPr>
              <w:pStyle w:val="TableContents"/>
              <w:bidi w:val="0"/>
              <w:spacing w:before="0" w:after="283"/>
              <w:jc w:val="left"/>
              <w:rPr/>
            </w:pPr>
            <w:r>
              <w:rPr/>
              <w:t> </w:t>
            </w:r>
            <w:bookmarkStart w:id="116" w:name="xdx_405_eus-gaap--SellingAndMarketingExp"/>
            <w:bookmarkEnd w:id="116"/>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9,848</w:t>
            </w:r>
          </w:p>
        </w:tc>
        <w:tc>
          <w:tcPr>
            <w:tcW w:w="110" w:type="dxa"/>
            <w:tcBorders/>
            <w:shd w:fill="CCEEFF" w:val="clear"/>
            <w:vAlign w:val="center"/>
          </w:tcPr>
          <w:p>
            <w:pPr>
              <w:pStyle w:val="TableContents"/>
              <w:bidi w:val="0"/>
              <w:spacing w:before="0" w:after="283"/>
              <w:jc w:val="left"/>
              <w:rPr/>
            </w:pPr>
            <w:r>
              <w:rPr/>
              <w:t> </w:t>
            </w:r>
            <w:bookmarkStart w:id="117" w:name="xdx_40B_eus-gaap--OperatingExpenses_i01T"/>
            <w:bookmarkEnd w:id="117"/>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23,158</w:t>
            </w:r>
          </w:p>
        </w:tc>
        <w:tc>
          <w:tcPr>
            <w:tcW w:w="110" w:type="dxa"/>
            <w:tcBorders/>
            <w:shd w:fill="FFFFFF" w:val="clear"/>
            <w:vAlign w:val="center"/>
          </w:tcPr>
          <w:p>
            <w:pPr>
              <w:pStyle w:val="TableContents"/>
              <w:bidi w:val="0"/>
              <w:spacing w:before="0" w:after="283"/>
              <w:jc w:val="left"/>
              <w:rPr/>
            </w:pPr>
            <w:r>
              <w:rPr/>
              <w:t> </w:t>
            </w:r>
            <w:bookmarkStart w:id="118" w:name="xdx_403_eus-gaap--OperatingIncomeLoss_iT"/>
            <w:bookmarkEnd w:id="118"/>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6,467</w:t>
            </w:r>
          </w:p>
        </w:tc>
        <w:tc>
          <w:tcPr>
            <w:tcW w:w="110" w:type="dxa"/>
            <w:tcBorders/>
            <w:shd w:fill="CCEEFF" w:val="clear"/>
            <w:vAlign w:val="center"/>
          </w:tcPr>
          <w:p>
            <w:pPr>
              <w:pStyle w:val="TableContents"/>
              <w:bidi w:val="0"/>
              <w:spacing w:before="0" w:after="283"/>
              <w:jc w:val="left"/>
              <w:rPr/>
            </w:pPr>
            <w:r>
              <w:rPr/>
              <w:t> </w:t>
            </w:r>
            <w:bookmarkStart w:id="119" w:name="xdx_409_eus-gaap--NonoperatingIncomeExpe"/>
            <w:bookmarkEnd w:id="119"/>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3_eus-gaap--OtherNonoperatingIncom"/>
            <w:bookmarkEnd w:id="120"/>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pPr>
            <w:r>
              <w:rPr/>
              <w:t> </w:t>
            </w:r>
            <w:bookmarkStart w:id="121" w:name="xdx_404_eus-gaap--InterestExpense_i01N_d"/>
            <w:bookmarkEnd w:id="121"/>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2" w:name="xdx_408_eus-gaap--FairValueAdjustmentOfW"/>
            <w:bookmarkEnd w:id="122"/>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23" w:name="xdx_400_eus-gaap--GainsLossesOnExtinguis"/>
            <w:bookmarkEnd w:id="123"/>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24" w:name="xdx_40E_eus-gaap--NonoperatingIncomeExpe"/>
            <w:bookmarkEnd w:id="124"/>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5" w:name="xdx_404_eus-gaap--IncomeLossFromContinui"/>
            <w:bookmarkEnd w:id="125"/>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w:t>
            </w:r>
          </w:p>
        </w:tc>
        <w:tc>
          <w:tcPr>
            <w:tcW w:w="110" w:type="dxa"/>
            <w:tcBorders/>
            <w:shd w:fill="FFFFFF" w:val="clear"/>
            <w:vAlign w:val="center"/>
          </w:tcPr>
          <w:p>
            <w:pPr>
              <w:pStyle w:val="TableContents"/>
              <w:bidi w:val="0"/>
              <w:spacing w:before="0" w:after="283"/>
              <w:jc w:val="left"/>
              <w:rPr/>
            </w:pPr>
            <w:r>
              <w:rPr/>
              <w:t> </w:t>
            </w:r>
            <w:bookmarkStart w:id="126" w:name="xdx_40A_eus-gaap--IncomeTaxExpenseBenefi"/>
            <w:bookmarkEnd w:id="126"/>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w:t>
            </w:r>
          </w:p>
        </w:tc>
        <w:tc>
          <w:tcPr>
            <w:tcW w:w="110" w:type="dxa"/>
            <w:tcBorders/>
            <w:shd w:fill="CCEEFF" w:val="clear"/>
            <w:vAlign w:val="center"/>
          </w:tcPr>
          <w:p>
            <w:pPr>
              <w:pStyle w:val="TableContents"/>
              <w:bidi w:val="0"/>
              <w:spacing w:before="0" w:after="283"/>
              <w:jc w:val="left"/>
              <w:rPr/>
            </w:pPr>
            <w:r>
              <w:rPr/>
              <w:t> </w:t>
            </w:r>
            <w:bookmarkStart w:id="127" w:name="xdx_404_eus-gaap--NetIncomeLoss_iT_mtNIL"/>
            <w:bookmarkEnd w:id="127"/>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bidi w:val="0"/>
              <w:spacing w:before="0" w:after="283"/>
              <w:jc w:val="left"/>
              <w:rPr/>
            </w:pPr>
            <w:r>
              <w:rPr/>
              <w:t> </w:t>
            </w:r>
            <w:bookmarkStart w:id="128" w:name="xdx_405_eus-gaap--EarningsPerShareBasic_"/>
            <w:bookmarkEnd w:id="128"/>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110" w:type="dxa"/>
            <w:tcBorders/>
            <w:shd w:fill="CCEEFF" w:val="clear"/>
            <w:vAlign w:val="center"/>
          </w:tcPr>
          <w:p>
            <w:pPr>
              <w:pStyle w:val="TableContents"/>
              <w:bidi w:val="0"/>
              <w:spacing w:before="0" w:after="283"/>
              <w:jc w:val="left"/>
              <w:rPr/>
            </w:pPr>
            <w:r>
              <w:rPr/>
              <w:t> </w:t>
            </w:r>
            <w:bookmarkStart w:id="129" w:name="xdx_40D_eus-gaap--EarningsPerShareDilute"/>
            <w:bookmarkEnd w:id="129"/>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110" w:type="dxa"/>
            <w:tcBorders/>
            <w:shd w:fill="FFFFFF" w:val="clear"/>
            <w:vAlign w:val="center"/>
          </w:tcPr>
          <w:p>
            <w:pPr>
              <w:pStyle w:val="TableContents"/>
              <w:bidi w:val="0"/>
              <w:spacing w:before="0" w:after="283"/>
              <w:jc w:val="left"/>
              <w:rPr/>
            </w:pPr>
            <w:r>
              <w:rPr/>
              <w:t> </w:t>
            </w:r>
            <w:bookmarkStart w:id="130" w:name="xdx_40F_eus-gaap--WeightedAverageNumberO"/>
            <w:bookmarkEnd w:id="130"/>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110" w:type="dxa"/>
            <w:tcBorders/>
            <w:shd w:fill="CCEEFF" w:val="clear"/>
            <w:vAlign w:val="center"/>
          </w:tcPr>
          <w:p>
            <w:pPr>
              <w:pStyle w:val="TableContents"/>
              <w:bidi w:val="0"/>
              <w:spacing w:before="0" w:after="283"/>
              <w:jc w:val="left"/>
              <w:rPr/>
            </w:pPr>
            <w:r>
              <w:rPr/>
              <w:t> </w:t>
            </w:r>
            <w:bookmarkStart w:id="131" w:name="xdx_408_eus-gaap--WeightedAverageNumberO"/>
            <w:bookmarkEnd w:id="131"/>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37,742,337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2" w:name="a_020"/>
      <w:bookmarkEnd w:id="132"/>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3" w:name="xdx_309_114_pn3n3_zSHSZAAVJG5b"/>
      <w:bookmarkStart w:id="134" w:name="xdx_309_114_pn3n3_zSHSZAAVJG5b"/>
      <w:bookmarkEnd w:id="134"/>
    </w:p>
    <w:tbl>
      <w:tblPr>
        <w:tblW w:w="10205" w:type="dxa"/>
        <w:jc w:val="left"/>
        <w:tblInd w:w="0" w:type="dxa"/>
        <w:tblLayout w:type="fixed"/>
        <w:tblCellMar>
          <w:top w:w="0" w:type="dxa"/>
          <w:left w:w="0" w:type="dxa"/>
          <w:bottom w:w="0" w:type="dxa"/>
          <w:right w:w="0" w:type="dxa"/>
        </w:tblCellMar>
      </w:tblPr>
      <w:tblGrid>
        <w:gridCol w:w="2006"/>
        <w:gridCol w:w="60"/>
        <w:gridCol w:w="60"/>
        <w:gridCol w:w="1175"/>
        <w:gridCol w:w="95"/>
        <w:gridCol w:w="60"/>
        <w:gridCol w:w="155"/>
        <w:gridCol w:w="705"/>
        <w:gridCol w:w="95"/>
        <w:gridCol w:w="60"/>
        <w:gridCol w:w="60"/>
        <w:gridCol w:w="1100"/>
        <w:gridCol w:w="60"/>
        <w:gridCol w:w="60"/>
        <w:gridCol w:w="172"/>
        <w:gridCol w:w="688"/>
        <w:gridCol w:w="60"/>
        <w:gridCol w:w="60"/>
        <w:gridCol w:w="198"/>
        <w:gridCol w:w="967"/>
        <w:gridCol w:w="60"/>
        <w:gridCol w:w="60"/>
        <w:gridCol w:w="160"/>
        <w:gridCol w:w="867"/>
        <w:gridCol w:w="95"/>
        <w:gridCol w:w="60"/>
        <w:gridCol w:w="140"/>
        <w:gridCol w:w="755"/>
        <w:gridCol w:w="112"/>
      </w:tblGrid>
      <w:tr>
        <w:trPr/>
        <w:tc>
          <w:tcPr>
            <w:tcW w:w="2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5" w:name="xdx_4B6_us-gaap--StatementEquityComponen"/>
            <w:bookmarkEnd w:id="135"/>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6" w:name="xdx_4B3_us-gaap--StatementEquityComponen"/>
            <w:bookmarkEnd w:id="136"/>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7" w:name="xdx_4BD_us-gaap--StatementEquityComponen"/>
            <w:bookmarkEnd w:id="137"/>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8" w:name="xdx_4B1_us-gaap--StatementEquityComponen"/>
            <w:bookmarkEnd w:id="138"/>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9" w:name="xdx_4B2_zudbw95ftfVf"/>
            <w:bookmarkEnd w:id="139"/>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Redeemable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40" w:name="xdx_438_c20210101__20211231_eus-gaap--St"/>
            <w:bookmarkEnd w:id="140"/>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1" w:name="xdx_986_eus-gaap--SharesOutstanding_iS_p"/>
            <w:bookmarkEnd w:id="141"/>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2" w:name="xdx_985_eus-gaap--SharesOutstanding_iS_p"/>
            <w:bookmarkEnd w:id="142"/>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8,555</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43" w:name="xdx_407_ecustom--StockIssuedDuringPeriod"/>
            <w:bookmarkEnd w:id="143"/>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4" w:name="xdx_986_ecustom--StockIssuedDuringPeriod"/>
            <w:bookmarkEnd w:id="144"/>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5" w:name="xdx_98D_ecustom--StockIssuedDuringPeriod"/>
            <w:bookmarkEnd w:id="145"/>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2" w:type="dxa"/>
            <w:tcBorders/>
            <w:shd w:fill="CCEEFF" w:val="clear"/>
            <w:vAlign w:val="center"/>
          </w:tcPr>
          <w:p>
            <w:pPr>
              <w:pStyle w:val="TableContents"/>
              <w:bidi w:val="0"/>
              <w:spacing w:before="0" w:after="283"/>
              <w:jc w:val="left"/>
              <w:rPr/>
            </w:pPr>
            <w:r>
              <w:rPr/>
              <w:t> </w:t>
            </w:r>
            <w:bookmarkStart w:id="146" w:name="xdx_40A_ecustom--StockholdersEquityAdjus"/>
            <w:bookmarkEnd w:id="146"/>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7" w:name="xdx_981_ecustom--StockholdersEquityAdjus"/>
            <w:bookmarkEnd w:id="147"/>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10,555</w:t>
            </w:r>
          </w:p>
        </w:tc>
        <w:tc>
          <w:tcPr>
            <w:tcW w:w="112" w:type="dxa"/>
            <w:tcBorders/>
            <w:shd w:fill="FFFFFF" w:val="clear"/>
            <w:vAlign w:val="center"/>
          </w:tcPr>
          <w:p>
            <w:pPr>
              <w:pStyle w:val="TableContents"/>
              <w:bidi w:val="0"/>
              <w:spacing w:before="0" w:after="283"/>
              <w:jc w:val="left"/>
              <w:rPr/>
            </w:pPr>
            <w:r>
              <w:rPr/>
              <w:t> </w:t>
            </w:r>
            <w:bookmarkStart w:id="148" w:name="xdx_406_eus-gaap--NetIncomeLoss_pn3n3_zM"/>
            <w:bookmarkEnd w:id="148"/>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2" w:type="dxa"/>
            <w:tcBorders/>
            <w:shd w:fill="CCEEFF" w:val="clear"/>
            <w:vAlign w:val="center"/>
          </w:tcPr>
          <w:p>
            <w:pPr>
              <w:pStyle w:val="TableContents"/>
              <w:bidi w:val="0"/>
              <w:spacing w:before="0" w:after="283"/>
              <w:jc w:val="left"/>
              <w:rPr/>
            </w:pPr>
            <w:r>
              <w:rPr/>
              <w:t> </w:t>
            </w:r>
            <w:bookmarkStart w:id="149" w:name="xdx_400_eus-gaap--AdjustmentsToAdditiona"/>
            <w:bookmarkEnd w:id="149"/>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112" w:type="dxa"/>
            <w:tcBorders/>
            <w:shd w:fill="FFFFFF" w:val="clear"/>
            <w:vAlign w:val="center"/>
          </w:tcPr>
          <w:p>
            <w:pPr>
              <w:pStyle w:val="TableContents"/>
              <w:bidi w:val="0"/>
              <w:spacing w:before="0" w:after="283"/>
              <w:jc w:val="left"/>
              <w:rPr/>
            </w:pPr>
            <w:r>
              <w:rPr/>
              <w:t> </w:t>
            </w:r>
            <w:bookmarkStart w:id="150" w:name="xdx_403_eus-gaap--StockIssuedDuringPerio"/>
            <w:bookmarkEnd w:id="150"/>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51" w:name="xdx_98E_eus-gaap--StockIssuedDuringPerio"/>
            <w:bookmarkEnd w:id="151"/>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2" w:name="xdx_432_c20210101__20211231_eus-gaap--St"/>
            <w:bookmarkEnd w:id="152"/>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3" w:name="xdx_985_eus-gaap--SharesOutstanding_iE_p"/>
            <w:bookmarkEnd w:id="153"/>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4" w:name="xdx_985_eus-gaap--SharesOutstanding_iE_p"/>
            <w:bookmarkEnd w:id="15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5" w:name="xdx_43B_c20220101__20221231_eus-gaap--St"/>
            <w:bookmarkEnd w:id="155"/>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2022, after giving effect to the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D_eus-gaap--SharesOutstanding_iS_p"/>
            <w:bookmarkEnd w:id="156"/>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B_eus-gaap--SharesOutstanding_iS_p"/>
            <w:bookmarkEnd w:id="15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bidi w:val="0"/>
              <w:spacing w:before="0" w:after="283"/>
              <w:jc w:val="left"/>
              <w:rPr/>
            </w:pPr>
            <w:r>
              <w:rPr/>
              <w:t> </w:t>
            </w:r>
            <w:bookmarkStart w:id="158" w:name="xdx_43E_c20220101__20221231_eus-gaap--St"/>
            <w:bookmarkEnd w:id="158"/>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 w:name="xdx_987_eus-gaap--SharesOutstanding_iS_p"/>
            <w:bookmarkEnd w:id="159"/>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 w:name="xdx_98D_eus-gaap--SharesOutstanding_iS_p"/>
            <w:bookmarkEnd w:id="160"/>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61" w:name="xdx_40E_eus-gaap--NetIncomeLoss_i01_pn3n"/>
            <w:bookmarkEnd w:id="161"/>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2" w:name="xdx_409_eus-gaap--NetIncomeLoss_pn3n3_zS"/>
            <w:bookmarkEnd w:id="162"/>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3" w:name="xdx_407_eus-gaap--StockIssuedDuringPerio"/>
            <w:bookmarkEnd w:id="163"/>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6_eus-gaap--StockIssuedDuringPerio"/>
            <w:bookmarkEnd w:id="16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2" w:type="dxa"/>
            <w:tcBorders/>
            <w:shd w:fill="FFFFFF" w:val="clear"/>
            <w:vAlign w:val="center"/>
          </w:tcPr>
          <w:p>
            <w:pPr>
              <w:pStyle w:val="TableContents"/>
              <w:bidi w:val="0"/>
              <w:spacing w:before="0" w:after="283"/>
              <w:jc w:val="left"/>
              <w:rPr/>
            </w:pPr>
            <w:r>
              <w:rPr/>
              <w:t> </w:t>
            </w:r>
            <w:bookmarkStart w:id="165" w:name="xdx_40B_eus-gaap--StockIssuedDuringPerio"/>
            <w:bookmarkEnd w:id="165"/>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0_eus-gaap--StockIssuedDuringPerio"/>
            <w:bookmarkEnd w:id="16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112" w:type="dxa"/>
            <w:tcBorders/>
            <w:shd w:fill="CCEEFF" w:val="clear"/>
            <w:vAlign w:val="center"/>
          </w:tcPr>
          <w:p>
            <w:pPr>
              <w:pStyle w:val="TableContents"/>
              <w:bidi w:val="0"/>
              <w:spacing w:before="0" w:after="283"/>
              <w:jc w:val="left"/>
              <w:rPr/>
            </w:pPr>
            <w:r>
              <w:rPr/>
              <w:t> </w:t>
            </w:r>
            <w:bookmarkStart w:id="167" w:name="xdx_400_ecustom--StockIssuedDuringPeriod"/>
            <w:bookmarkEnd w:id="167"/>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capitalization, net of transaction costs (See Note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A_ecustom--StockIssuedDuringPeriod"/>
            <w:bookmarkEnd w:id="16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sz w:val="4"/>
                <w:szCs w:val="4"/>
              </w:rPr>
            </w:pPr>
            <w:r>
              <w:rPr>
                <w:sz w:val="4"/>
                <w:szCs w:val="4"/>
              </w:rPr>
            </w:r>
            <w:bookmarkStart w:id="169" w:name="xdx_40B_eus-gaap--StockIssuedDuringPerio"/>
            <w:bookmarkStart w:id="170" w:name="xdx_40B_eus-gaap--StockIssuedDuringPerio"/>
            <w:bookmarkEnd w:id="170"/>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4_eus-gaap--StockIssuedDuringPerio"/>
            <w:bookmarkEnd w:id="171"/>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112" w:type="dxa"/>
            <w:tcBorders/>
            <w:shd w:fill="CCEEFF" w:val="clear"/>
            <w:vAlign w:val="center"/>
          </w:tcPr>
          <w:p>
            <w:pPr>
              <w:pStyle w:val="TableContents"/>
              <w:bidi w:val="0"/>
              <w:spacing w:before="0" w:after="283"/>
              <w:jc w:val="left"/>
              <w:rPr/>
            </w:pPr>
            <w:r>
              <w:rPr/>
              <w:t> </w:t>
            </w:r>
            <w:bookmarkStart w:id="172" w:name="xdx_407_eus-gaap--AdjustmentsToAdditiona"/>
            <w:bookmarkEnd w:id="172"/>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112" w:type="dxa"/>
            <w:tcBorders/>
            <w:shd w:fill="FFFFFF" w:val="clear"/>
            <w:vAlign w:val="center"/>
          </w:tcPr>
          <w:p>
            <w:pPr>
              <w:pStyle w:val="TableContents"/>
              <w:bidi w:val="0"/>
              <w:spacing w:before="0" w:after="283"/>
              <w:jc w:val="left"/>
              <w:rPr/>
            </w:pPr>
            <w:r>
              <w:rPr/>
              <w:t> </w:t>
            </w:r>
            <w:bookmarkStart w:id="173" w:name="xdx_439_c20220101__20221231_eus-gaap--St"/>
            <w:bookmarkEnd w:id="173"/>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 w:name="xdx_98F_eus-gaap--SharesOutstanding_iE_p"/>
            <w:bookmarkEnd w:id="174"/>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 w:name="xdx_98E_eus-gaap--SharesOutstanding_iE_p"/>
            <w:bookmarkEnd w:id="17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CCEEFF" w:val="clear"/>
            <w:vAlign w:val="center"/>
          </w:tcPr>
          <w:p>
            <w:pPr>
              <w:pStyle w:val="TableContents"/>
              <w:bidi w:val="0"/>
              <w:spacing w:before="0" w:after="283"/>
              <w:jc w:val="left"/>
              <w:rPr/>
            </w:pPr>
            <w:r>
              <w:rPr/>
              <w:t> </w:t>
            </w:r>
            <w:bookmarkStart w:id="176" w:name="xdx_43E_c20220101__20221231_eus-gaap--St"/>
            <w:bookmarkEnd w:id="176"/>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7" w:name="xdx_98F_eus-gaap--SharesOutstanding_iE_p"/>
            <w:bookmarkEnd w:id="177"/>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8" w:name="xdx_983_eus-gaap--SharesOutstanding_iE_p"/>
            <w:bookmarkEnd w:id="17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9" w:name="a_021"/>
      <w:bookmarkEnd w:id="179"/>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0" w:name="xdx_30A_112_pn3n3_z6xP3Bgfd2bh"/>
      <w:bookmarkStart w:id="181" w:name="xdx_30A_112_pn3n3_z6xP3Bgfd2bh"/>
      <w:bookmarkEnd w:id="181"/>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2" w:name="xdx_499_20220101__20221231_zFsHJiEo7eGc"/>
            <w:bookmarkEnd w:id="182"/>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83" w:name="xdx_497_20210101__20211231_zJyS6DtXB3b2"/>
            <w:bookmarkEnd w:id="183"/>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bookmarkStart w:id="184" w:name="xdx_400_eus-gaap--NetCashProvidedByUsedI"/>
            <w:bookmarkEnd w:id="184"/>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5" w:name="xdx_40E_eus-gaap--NetIncomeLoss_i01_maNC"/>
            <w:bookmarkEnd w:id="185"/>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bidi w:val="0"/>
              <w:spacing w:before="0" w:after="283"/>
              <w:jc w:val="left"/>
              <w:rPr/>
            </w:pPr>
            <w:r>
              <w:rPr/>
              <w:t> </w:t>
            </w:r>
            <w:bookmarkStart w:id="186" w:name="xdx_40A_eus-gaap--AdjustmentsToReconcile"/>
            <w:bookmarkEnd w:id="186"/>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Income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7" w:name="xdx_408_eus-gaap--AdjustmentsToReconcile"/>
            <w:bookmarkEnd w:id="18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Income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8" w:name="xdx_404_eus-gaap--ShareBasedCompensation"/>
            <w:bookmarkEnd w:id="18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110" w:type="dxa"/>
            <w:tcBorders/>
            <w:shd w:fill="FFFFFF" w:val="clear"/>
            <w:vAlign w:val="center"/>
          </w:tcPr>
          <w:p>
            <w:pPr>
              <w:pStyle w:val="TableContents"/>
              <w:bidi w:val="0"/>
              <w:spacing w:before="0" w:after="283"/>
              <w:jc w:val="left"/>
              <w:rPr/>
            </w:pPr>
            <w:r>
              <w:rPr/>
              <w:t> </w:t>
            </w:r>
            <w:bookmarkStart w:id="189" w:name="xdx_401_eus-gaap--GainsLossesOnExtinguis"/>
            <w:bookmarkEnd w:id="18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0" w:name="xdx_400_eus-gaap--AmortizationOfDebtDisc"/>
            <w:bookmarkEnd w:id="19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110" w:type="dxa"/>
            <w:tcBorders/>
            <w:shd w:fill="FFFFFF" w:val="clear"/>
            <w:vAlign w:val="center"/>
          </w:tcPr>
          <w:p>
            <w:pPr>
              <w:pStyle w:val="TableContents"/>
              <w:bidi w:val="0"/>
              <w:spacing w:before="0" w:after="283"/>
              <w:jc w:val="left"/>
              <w:rPr/>
            </w:pPr>
            <w:r>
              <w:rPr/>
              <w:t> </w:t>
            </w:r>
            <w:bookmarkStart w:id="191" w:name="xdx_401_eus-gaap--FairValueAdjustmentOfW"/>
            <w:bookmarkEnd w:id="191"/>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2" w:name="xdx_404_eus-gaap--DeferredIncomeTaxExpen"/>
            <w:bookmarkEnd w:id="19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110" w:type="dxa"/>
            <w:tcBorders/>
            <w:shd w:fill="FFFFFF" w:val="clear"/>
            <w:vAlign w:val="center"/>
          </w:tcPr>
          <w:p>
            <w:pPr>
              <w:pStyle w:val="TableContents"/>
              <w:bidi w:val="0"/>
              <w:spacing w:before="0" w:after="283"/>
              <w:jc w:val="left"/>
              <w:rPr/>
            </w:pPr>
            <w:r>
              <w:rPr/>
              <w:t> </w:t>
            </w:r>
            <w:bookmarkStart w:id="193" w:name="xdx_407_eus-gaap--PaidInKindInterest_i02"/>
            <w:bookmarkEnd w:id="19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4" w:name="xdx_408_eus-gaap--ProvisionForDoubtfulAc"/>
            <w:bookmarkEnd w:id="19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10" w:type="dxa"/>
            <w:tcBorders/>
            <w:shd w:fill="FFFFFF" w:val="clear"/>
            <w:vAlign w:val="center"/>
          </w:tcPr>
          <w:p>
            <w:pPr>
              <w:pStyle w:val="TableContents"/>
              <w:bidi w:val="0"/>
              <w:spacing w:before="0" w:after="283"/>
              <w:jc w:val="left"/>
              <w:rPr/>
            </w:pPr>
            <w:r>
              <w:rPr/>
              <w:t> </w:t>
            </w:r>
            <w:bookmarkStart w:id="195" w:name="xdx_40A_eus-gaap--DepreciationDepletionA"/>
            <w:bookmarkEnd w:id="19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w:t>
            </w:r>
          </w:p>
        </w:tc>
        <w:tc>
          <w:tcPr>
            <w:tcW w:w="110" w:type="dxa"/>
            <w:tcBorders/>
            <w:shd w:fill="CCEEFF" w:val="clear"/>
            <w:vAlign w:val="center"/>
          </w:tcPr>
          <w:p>
            <w:pPr>
              <w:pStyle w:val="TableContents"/>
              <w:bidi w:val="0"/>
              <w:spacing w:before="0" w:after="283"/>
              <w:jc w:val="left"/>
              <w:rPr/>
            </w:pPr>
            <w:r>
              <w:rPr/>
              <w:t> </w:t>
            </w:r>
            <w:bookmarkStart w:id="196" w:name="xdx_409_eus-gaap--GainLossOnSaleOfProper"/>
            <w:bookmarkEnd w:id="19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110" w:type="dxa"/>
            <w:tcBorders/>
            <w:shd w:fill="FFFFFF" w:val="clear"/>
            <w:vAlign w:val="center"/>
          </w:tcPr>
          <w:p>
            <w:pPr>
              <w:pStyle w:val="TableContents"/>
              <w:bidi w:val="0"/>
              <w:spacing w:before="0" w:after="283"/>
              <w:jc w:val="left"/>
              <w:rPr/>
            </w:pPr>
            <w:r>
              <w:rPr/>
              <w:t> </w:t>
            </w:r>
            <w:bookmarkStart w:id="197" w:name="xdx_403_ecustom--AssumptionOfWarrantLiab"/>
            <w:bookmarkEnd w:id="19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Assumption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98" w:name="xdx_407_eus-gaap--IncreaseDecreaseInOper"/>
            <w:bookmarkEnd w:id="19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 w:name="xdx_40C_eus-gaap--IncreaseDecreaseInAcco"/>
            <w:bookmarkEnd w:id="19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w:t>
            </w:r>
          </w:p>
        </w:tc>
        <w:tc>
          <w:tcPr>
            <w:tcW w:w="110" w:type="dxa"/>
            <w:tcBorders/>
            <w:shd w:fill="CCEEFF" w:val="clear"/>
            <w:vAlign w:val="center"/>
          </w:tcPr>
          <w:p>
            <w:pPr>
              <w:pStyle w:val="TableContents"/>
              <w:bidi w:val="0"/>
              <w:spacing w:before="0" w:after="283"/>
              <w:jc w:val="left"/>
              <w:rPr/>
            </w:pPr>
            <w:r>
              <w:rPr/>
              <w:t> </w:t>
            </w:r>
            <w:bookmarkStart w:id="200" w:name="xdx_401_eus-gaap--IncreaseDecreaseInInve"/>
            <w:bookmarkEnd w:id="20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1" w:name="xdx_401_eus-gaap--IncreaseDecreaseInPrep"/>
            <w:bookmarkEnd w:id="201"/>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bookmarkStart w:id="202" w:name="xdx_40F_ecustom--IncreaseDecreaseInPrepa"/>
            <w:bookmarkEnd w:id="20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F_eus-gaap--IncreaseDecreaseInOthe"/>
            <w:bookmarkEnd w:id="20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 w:name="xdx_40B_eus-gaap--IncreaseDecreaseInOthe"/>
            <w:bookmarkEnd w:id="20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110" w:type="dxa"/>
            <w:tcBorders/>
            <w:shd w:fill="FFFFFF" w:val="clear"/>
            <w:vAlign w:val="center"/>
          </w:tcPr>
          <w:p>
            <w:pPr>
              <w:pStyle w:val="TableContents"/>
              <w:bidi w:val="0"/>
              <w:spacing w:before="0" w:after="283"/>
              <w:jc w:val="left"/>
              <w:rPr/>
            </w:pPr>
            <w:r>
              <w:rPr/>
              <w:t> </w:t>
            </w:r>
            <w:bookmarkStart w:id="205" w:name="xdx_403_eus-gaap--IncreaseDecreaseInAccr"/>
            <w:bookmarkEnd w:id="20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 w:name="xdx_40A_eus-gaap--IncreaseDecreaseInAcco"/>
            <w:bookmarkEnd w:id="20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8,903</w:t>
            </w:r>
          </w:p>
        </w:tc>
        <w:tc>
          <w:tcPr>
            <w:tcW w:w="110" w:type="dxa"/>
            <w:tcBorders/>
            <w:shd w:fill="FFFFFF" w:val="clear"/>
            <w:vAlign w:val="center"/>
          </w:tcPr>
          <w:p>
            <w:pPr>
              <w:pStyle w:val="TableContents"/>
              <w:bidi w:val="0"/>
              <w:spacing w:before="0" w:after="283"/>
              <w:jc w:val="left"/>
              <w:rPr/>
            </w:pPr>
            <w:r>
              <w:rPr/>
              <w:t> </w:t>
            </w:r>
            <w:bookmarkStart w:id="207" w:name="xdx_40E_ecustom--IncreaseDecreaseInUnrec"/>
            <w:bookmarkEnd w:id="20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8" w:name="xdx_40C_eus-gaap--IncreaseDecreaseInCont"/>
            <w:bookmarkEnd w:id="20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 w:name="xdx_400_eus-gaap--AdjustmentsToReconcile"/>
            <w:bookmarkEnd w:id="20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(17,911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0" w:name="xdx_40D_eus-gaap--NetCashProvidedByUsedI"/>
            <w:bookmarkEnd w:id="21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 w:name="xdx_407_eus-gaap--NetCashProvidedByUsedI"/>
            <w:bookmarkEnd w:id="211"/>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2" w:name="xdx_401_eus-gaap--ProceedsFromSaleOfProp"/>
            <w:bookmarkEnd w:id="21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0" w:type="dxa"/>
            <w:tcBorders/>
            <w:shd w:fill="FFFFFF" w:val="clear"/>
            <w:vAlign w:val="center"/>
          </w:tcPr>
          <w:p>
            <w:pPr>
              <w:pStyle w:val="TableContents"/>
              <w:bidi w:val="0"/>
              <w:spacing w:before="0" w:after="283"/>
              <w:jc w:val="left"/>
              <w:rPr/>
            </w:pPr>
            <w:r>
              <w:rPr/>
              <w:t> </w:t>
            </w:r>
            <w:bookmarkStart w:id="213" w:name="xdx_403_eus-gaap--PaymentsToAcquirePrope"/>
            <w:bookmarkEnd w:id="21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4" w:name="xdx_402_eus-gaap--NetCashProvidedByUsedI"/>
            <w:bookmarkEnd w:id="21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5" w:name="xdx_40D_eus-gaap--NetCashProvidedByUsedI"/>
            <w:bookmarkEnd w:id="21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6" w:name="xdx_400_eus-gaap--ProceedsFromIssuanceIn"/>
            <w:bookmarkEnd w:id="21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7" w:name="xdx_408_eus-gaap--ProceedsFromWarrantExe"/>
            <w:bookmarkEnd w:id="217"/>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8" w:name="xdx_40B_eus-gaap--ProceedsFromBankDebt_i"/>
            <w:bookmarkEnd w:id="21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19" w:name="xdx_402_eus-gaap--ProceedsFromNotesPayab"/>
            <w:bookmarkEnd w:id="21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0" w:type="dxa"/>
            <w:tcBorders/>
            <w:shd w:fill="CCEEFF" w:val="clear"/>
            <w:vAlign w:val="center"/>
          </w:tcPr>
          <w:p>
            <w:pPr>
              <w:pStyle w:val="TableContents"/>
              <w:bidi w:val="0"/>
              <w:spacing w:before="0" w:after="283"/>
              <w:jc w:val="left"/>
              <w:rPr/>
            </w:pPr>
            <w:r>
              <w:rPr/>
              <w:t> </w:t>
            </w:r>
            <w:bookmarkStart w:id="220" w:name="xdx_40C_eus-gaap--RepaymentsOfNotesPayab"/>
            <w:bookmarkEnd w:id="22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from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21" w:name="xdx_400_eus-gaap--PaymentsOfDebtIssuance"/>
            <w:bookmarkEnd w:id="221"/>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 w:name="xdx_408_eus-gaap--ProceedsFromStockOptio"/>
            <w:bookmarkEnd w:id="22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10" w:type="dxa"/>
            <w:tcBorders/>
            <w:shd w:fill="FFFFFF" w:val="clear"/>
            <w:vAlign w:val="center"/>
          </w:tcPr>
          <w:p>
            <w:pPr>
              <w:pStyle w:val="TableContents"/>
              <w:bidi w:val="0"/>
              <w:spacing w:before="0" w:after="283"/>
              <w:jc w:val="left"/>
              <w:rPr/>
            </w:pPr>
            <w:r>
              <w:rPr/>
              <w:t> </w:t>
            </w:r>
            <w:bookmarkStart w:id="223" w:name="xdx_401_eus-gaap--ProceedsFromIssuanceOf"/>
            <w:bookmarkEnd w:id="22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stock purchase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4" w:name="xdx_401_eus-gaap--ProceedsFromLongTermLi"/>
            <w:bookmarkEnd w:id="22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revolving note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FFFFFF" w:val="clear"/>
            <w:vAlign w:val="center"/>
          </w:tcPr>
          <w:p>
            <w:pPr>
              <w:pStyle w:val="TableContents"/>
              <w:bidi w:val="0"/>
              <w:spacing w:before="0" w:after="283"/>
              <w:jc w:val="left"/>
              <w:rPr/>
            </w:pPr>
            <w:r>
              <w:rPr/>
              <w:t> </w:t>
            </w:r>
            <w:bookmarkStart w:id="225" w:name="xdx_405_eus-gaap--RepaymentsOfLongTermLi"/>
            <w:bookmarkEnd w:id="22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revolving note agreement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6" w:name="xdx_40F_eus-gaap--NetCashProvidedByUsedI"/>
            <w:bookmarkEnd w:id="22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38,906</w:t>
            </w:r>
          </w:p>
        </w:tc>
        <w:tc>
          <w:tcPr>
            <w:tcW w:w="110" w:type="dxa"/>
            <w:tcBorders/>
            <w:shd w:fill="FFFFFF" w:val="clear"/>
            <w:vAlign w:val="center"/>
          </w:tcPr>
          <w:p>
            <w:pPr>
              <w:pStyle w:val="TableContents"/>
              <w:bidi w:val="0"/>
              <w:spacing w:before="0" w:after="283"/>
              <w:jc w:val="left"/>
              <w:rPr/>
            </w:pPr>
            <w:r>
              <w:rPr/>
              <w:t> </w:t>
            </w:r>
            <w:bookmarkStart w:id="227" w:name="xdx_40F_eus-gaap--CashCashEquivalentsRes"/>
            <w:bookmarkEnd w:id="22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in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22,424</w:t>
            </w:r>
          </w:p>
        </w:tc>
        <w:tc>
          <w:tcPr>
            <w:tcW w:w="110" w:type="dxa"/>
            <w:tcBorders/>
            <w:shd w:fill="CCEEFF" w:val="clear"/>
            <w:vAlign w:val="center"/>
          </w:tcPr>
          <w:p>
            <w:pPr>
              <w:pStyle w:val="TableContents"/>
              <w:bidi w:val="0"/>
              <w:spacing w:before="0" w:after="283"/>
              <w:jc w:val="left"/>
              <w:rPr/>
            </w:pPr>
            <w:r>
              <w:rPr/>
              <w:t> </w:t>
            </w:r>
            <w:bookmarkStart w:id="228" w:name="xdx_407_eus-gaap--CashCashEquivalentsRes"/>
            <w:bookmarkEnd w:id="228"/>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6,206</w:t>
            </w:r>
          </w:p>
        </w:tc>
        <w:tc>
          <w:tcPr>
            <w:tcW w:w="110" w:type="dxa"/>
            <w:tcBorders/>
            <w:shd w:fill="FFFFFF" w:val="clear"/>
            <w:vAlign w:val="center"/>
          </w:tcPr>
          <w:p>
            <w:pPr>
              <w:pStyle w:val="TableContents"/>
              <w:bidi w:val="0"/>
              <w:spacing w:before="0" w:after="283"/>
              <w:jc w:val="left"/>
              <w:rPr/>
            </w:pPr>
            <w:r>
              <w:rPr/>
              <w:t> </w:t>
            </w:r>
            <w:bookmarkStart w:id="229" w:name="xdx_40A_eus-gaap--CashCashEquivalentsRes"/>
            <w:bookmarkEnd w:id="229"/>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28,630</w:t>
            </w:r>
          </w:p>
        </w:tc>
        <w:tc>
          <w:tcPr>
            <w:tcW w:w="110" w:type="dxa"/>
            <w:tcBorders/>
            <w:shd w:fill="CCEEFF" w:val="clear"/>
            <w:vAlign w:val="center"/>
          </w:tcPr>
          <w:p>
            <w:pPr>
              <w:pStyle w:val="TableContents"/>
              <w:bidi w:val="0"/>
              <w:spacing w:before="0" w:after="283"/>
              <w:jc w:val="left"/>
              <w:rPr/>
            </w:pPr>
            <w:r>
              <w:rPr/>
              <w:t> </w:t>
            </w:r>
            <w:bookmarkStart w:id="230" w:name="xdx_40F_eus-gaap--SupplementalCashFlowIn"/>
            <w:bookmarkEnd w:id="230"/>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0_eus-gaap--IncomeTaxesPaidNet_i01"/>
            <w:bookmarkEnd w:id="231"/>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2,390</w:t>
            </w:r>
          </w:p>
        </w:tc>
        <w:tc>
          <w:tcPr>
            <w:tcW w:w="110" w:type="dxa"/>
            <w:tcBorders/>
            <w:shd w:fill="CCEEFF" w:val="clear"/>
            <w:vAlign w:val="center"/>
          </w:tcPr>
          <w:p>
            <w:pPr>
              <w:pStyle w:val="TableContents"/>
              <w:bidi w:val="0"/>
              <w:spacing w:before="0" w:after="283"/>
              <w:jc w:val="left"/>
              <w:rPr/>
            </w:pPr>
            <w:r>
              <w:rPr/>
              <w:t> </w:t>
            </w:r>
            <w:bookmarkStart w:id="232" w:name="xdx_406_eus-gaap--InterestPaidNet_i01_pp"/>
            <w:bookmarkEnd w:id="232"/>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vAlign w:val="center"/>
          </w:tcPr>
          <w:p>
            <w:pPr>
              <w:pStyle w:val="TableContents"/>
              <w:bidi w:val="0"/>
              <w:spacing w:before="0" w:after="283"/>
              <w:jc w:val="left"/>
              <w:rPr/>
            </w:pPr>
            <w:r>
              <w:rPr/>
              <w:t> </w:t>
            </w:r>
            <w:bookmarkStart w:id="233" w:name="xdx_405_eus-gaap--CashFlowNoncashInvesti"/>
            <w:bookmarkEnd w:id="233"/>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4" w:name="xdx_40D_ecustom--NonCashReceivableOfOpti"/>
            <w:bookmarkEnd w:id="234"/>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 of options exercised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FFFFFF" w:val="clear"/>
            <w:vAlign w:val="center"/>
          </w:tcPr>
          <w:p>
            <w:pPr>
              <w:pStyle w:val="TableContents"/>
              <w:bidi w:val="0"/>
              <w:spacing w:before="0" w:after="283"/>
              <w:jc w:val="left"/>
              <w:rPr/>
            </w:pPr>
            <w:r>
              <w:rPr/>
              <w:t> </w:t>
            </w:r>
            <w:bookmarkStart w:id="235" w:name="xdx_40F_eus-gaap--CapitalExpendituresInc"/>
            <w:bookmarkEnd w:id="235"/>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110" w:type="dxa"/>
            <w:tcBorders/>
            <w:shd w:fill="CCEEFF" w:val="clear"/>
            <w:vAlign w:val="center"/>
          </w:tcPr>
          <w:p>
            <w:pPr>
              <w:pStyle w:val="TableContents"/>
              <w:bidi w:val="0"/>
              <w:spacing w:before="0" w:after="283"/>
              <w:jc w:val="left"/>
              <w:rPr/>
            </w:pPr>
            <w:r>
              <w:rPr/>
              <w:t> </w:t>
            </w:r>
            <w:bookmarkStart w:id="236" w:name="xdx_408_eus-gaap--RightOfUseAssetObtaine"/>
            <w:bookmarkEnd w:id="236"/>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w:t>
            </w:r>
          </w:p>
        </w:tc>
        <w:tc>
          <w:tcPr>
            <w:tcW w:w="110" w:type="dxa"/>
            <w:tcBorders/>
            <w:shd w:fill="FFFFFF" w:val="clear"/>
            <w:vAlign w:val="center"/>
          </w:tcPr>
          <w:p>
            <w:pPr>
              <w:pStyle w:val="TableContents"/>
              <w:bidi w:val="0"/>
              <w:spacing w:before="0" w:after="283"/>
              <w:jc w:val="left"/>
              <w:rPr/>
            </w:pPr>
            <w:r>
              <w:rPr/>
              <w:t> </w:t>
            </w:r>
            <w:bookmarkStart w:id="237" w:name="xdx_406_ecustom--CashlessExerciseOfLiabi"/>
            <w:bookmarkEnd w:id="237"/>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8" w:name="a_022"/>
      <w:bookmarkEnd w:id="238"/>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9" w:name="xdx_803_eus-gaap--NatureOfOperations_z0z"/>
      <w:bookmarkEnd w:id="239"/>
      <w:r>
        <w:rPr>
          <w:rFonts w:ascii="Times New Roman;Times;Serif" w:hAnsi="Times New Roman;Times;Serif"/>
          <w:b/>
          <w:i w:val="false"/>
          <w:caps w:val="false"/>
          <w:smallCaps w:val="false"/>
          <w:sz w:val="20"/>
        </w:rPr>
        <w:t>NOTE 1 — </w:t>
      </w:r>
      <w:bookmarkStart w:id="240" w:name="xdx_829_ztnKfgykOZ1k"/>
      <w:bookmarkEnd w:id="240"/>
      <w:r>
        <w:rPr>
          <w:rFonts w:ascii="Times New Roman;Times;Serif" w:hAnsi="Times New Roman;Times;Serif"/>
          <w:b/>
          <w:i w:val="false"/>
          <w:caps w:val="false"/>
          <w:smallCaps w:val="false"/>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w:t>
      </w:r>
      <w:r>
        <w:rPr>
          <w:rFonts w:ascii="Times New Roman;Times;Serif" w:hAnsi="Times New Roman;Times;Serif"/>
          <w:b/>
          <w:i w:val="false"/>
          <w:caps w:val="false"/>
          <w:smallCaps w:val="false"/>
          <w:sz w:val="20"/>
        </w:rPr>
        <w:t>New Dragonfly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Dragonfly Energy Corp.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Bronco Merger Sub, Inc.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1" w:name="xdx_802_eus-gaap--SignificantAccountingP"/>
      <w:bookmarkEnd w:id="241"/>
      <w:r>
        <w:rPr>
          <w:rFonts w:ascii="Times New Roman;Times;Serif" w:hAnsi="Times New Roman;Times;Serif"/>
          <w:b/>
          <w:i w:val="false"/>
          <w:caps w:val="false"/>
          <w:smallCaps w:val="false"/>
          <w:sz w:val="20"/>
        </w:rPr>
        <w:t>NOTE 2 — </w:t>
      </w:r>
      <w:bookmarkStart w:id="242" w:name="xdx_821_zSgu9RIhMMWe"/>
      <w:bookmarkEnd w:id="242"/>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43" w:name="xdx_849_eus-gaap--BasisOfAccountingPolic"/>
      <w:bookmarkEnd w:id="243"/>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in accordance with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present the consolidated financial statements of the Company and its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u w:val="single"/>
        </w:rPr>
      </w:pPr>
      <w:bookmarkStart w:id="244" w:name="xdx_862_zhHkLvHvo0S1"/>
      <w:bookmarkStart w:id="245" w:name="xdx_848_ecustom--GoingConcernPolicyTextB"/>
      <w:bookmarkEnd w:id="244"/>
      <w:bookmarkEnd w:id="245"/>
      <w:r>
        <w:rPr>
          <w:rFonts w:ascii="Times New Roman;Times;Serif" w:hAnsi="Times New Roman;Times;Serif"/>
          <w:b w:val="false"/>
          <w:i/>
          <w:caps w:val="false"/>
          <w:smallCaps w:val="false"/>
          <w:sz w:val="20"/>
          <w:u w:val="single"/>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incurred losses and had a negative cash flow from operations. As of December 31, 2022, the Company had $</w:t>
      </w:r>
      <w:bookmarkStart w:id="246" w:name="xdx_90E_eus-gaap--CashAndCashEquivalents"/>
      <w:bookmarkEnd w:id="246"/>
      <w:r>
        <w:rPr>
          <w:rFonts w:ascii="Times New Roman;Times;Serif" w:hAnsi="Times New Roman;Times;Serif"/>
          <w:b w:val="false"/>
          <w:i w:val="false"/>
          <w:caps w:val="false"/>
          <w:smallCaps w:val="false"/>
          <w:sz w:val="20"/>
        </w:rPr>
        <w:t>17,781 in cash and cash equivalents and working capital of $</w:t>
      </w:r>
      <w:bookmarkStart w:id="247" w:name="xdx_907_ecustom--WorkingCapital_pn3n3_c2"/>
      <w:bookmarkEnd w:id="247"/>
      <w:r>
        <w:rPr>
          <w:rFonts w:ascii="Times New Roman;Times;Serif" w:hAnsi="Times New Roman;Times;Serif"/>
          <w:b w:val="false"/>
          <w:i w:val="false"/>
          <w:caps w:val="false"/>
          <w:smallCaps w:val="false"/>
          <w:sz w:val="20"/>
        </w:rPr>
        <w:t>32,923.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48" w:name="xdx_902_eus-gaap--DebtInstrumentFaceAmou"/>
      <w:bookmarkEnd w:id="248"/>
      <w:r>
        <w:rPr>
          <w:rFonts w:ascii="Times New Roman;Times;Serif" w:hAnsi="Times New Roman;Times;Serif"/>
          <w:b w:val="false"/>
          <w:i w:val="false"/>
          <w:caps w:val="false"/>
          <w:smallCaps w:val="false"/>
          <w:sz w:val="20"/>
        </w:rPr>
        <w:t>75,000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49" w:name="xdx_84B_ecustom--RecentlyAdoptedAccounti"/>
      <w:bookmarkEnd w:id="249"/>
      <w:r>
        <w:rPr>
          <w:rFonts w:ascii="Times New Roman;Times;Serif" w:hAnsi="Times New Roman;Times;Serif"/>
          <w:b w:val="false"/>
          <w:i/>
          <w:caps w:val="false"/>
          <w:smallCaps w:val="false"/>
          <w:sz w:val="20"/>
          <w:u w:val="single"/>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issued Accounting Standards Update (“</w:t>
      </w:r>
      <w:r>
        <w:rPr>
          <w:rFonts w:ascii="Times New Roman;Times;Serif" w:hAnsi="Times New Roman;Times;Serif"/>
          <w:b/>
          <w:i w:val="false"/>
          <w:caps w:val="false"/>
          <w:smallCaps w:val="false"/>
          <w:sz w:val="20"/>
        </w:rPr>
        <w:t>ASU</w:t>
      </w:r>
      <w:r>
        <w:rPr>
          <w:rFonts w:ascii="Times New Roman;Times;Serif" w:hAnsi="Times New Roman;Times;Serif"/>
          <w:b w:val="false"/>
          <w:i w:val="false"/>
          <w:caps w:val="false"/>
          <w:smallCaps w:val="false"/>
          <w:sz w:val="20"/>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0" w:name="xdx_84E_eus-gaap--NewAccountingPronounce"/>
      <w:bookmarkEnd w:id="250"/>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ASU 2020-06</w:t>
      </w:r>
      <w:r>
        <w:rPr>
          <w:rFonts w:ascii="Times New Roman;Times;Serif" w:hAnsi="Times New Roman;Times;Serif"/>
          <w:b w:val="false"/>
          <w:i w:val="false"/>
          <w:caps w:val="false"/>
          <w:smallCaps w:val="false"/>
          <w:sz w:val="20"/>
        </w:rPr>
        <w:t>”)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1" w:name="xdx_84F_eus-gaap--CashAndCashEquivalents"/>
      <w:bookmarkEnd w:id="251"/>
      <w:r>
        <w:rPr>
          <w:rFonts w:ascii="Times New Roman;Times;Serif" w:hAnsi="Times New Roman;Times;Serif"/>
          <w:b w:val="false"/>
          <w:i/>
          <w:caps w:val="false"/>
          <w:smallCaps w:val="false"/>
          <w:sz w:val="20"/>
          <w:u w:val="single"/>
        </w:rPr>
        <w:t>Cash, Restricted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There were </w:t>
      </w:r>
      <w:bookmarkStart w:id="252" w:name="xdx_90B_eus-gaap--CashEquivalentsAtCarry"/>
      <w:bookmarkStart w:id="253" w:name="xdx_900_eus-gaap--CashEquivalentsAtCarry"/>
      <w:bookmarkEnd w:id="252"/>
      <w:bookmarkEnd w:id="253"/>
      <w:r>
        <w:rPr>
          <w:rFonts w:ascii="Times New Roman;Times;Serif" w:hAnsi="Times New Roman;Times;Serif"/>
          <w:b w:val="false"/>
          <w:i w:val="false"/>
          <w:caps w:val="false"/>
          <w:smallCaps w:val="false"/>
          <w:sz w:val="20"/>
        </w:rPr>
        <w:t xml:space="preserve">no cash equivalents as of December 31, 2022 or 2021. The Company also maintained a restricted cash balance to satisfy its note payable requirements as of December 31, 2021 (Refer to Note 7). There were </w:t>
      </w:r>
      <w:bookmarkStart w:id="254" w:name="xdx_903_eus-gaap--RestrictedCash_iI_do_c"/>
      <w:bookmarkEnd w:id="254"/>
      <w:r>
        <w:rPr>
          <w:rFonts w:ascii="Times New Roman;Times;Serif" w:hAnsi="Times New Roman;Times;Serif"/>
          <w:b w:val="false"/>
          <w:i w:val="false"/>
          <w:caps w:val="false"/>
          <w:smallCaps w:val="false"/>
          <w:sz w:val="20"/>
        </w:rPr>
        <w:t>no restricted cash balances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5" w:name="xdx_84B_eus-gaap--TradeAndOtherAccountsR"/>
      <w:bookmarkEnd w:id="255"/>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trade receivables are recorded when billed and represent claims against third parties that will be settled in cash. Generally, payment is due from customers within </w:t>
      </w:r>
      <w:bookmarkStart w:id="256" w:name="xdx_90D_ecustom--PeriodWithinWhichPaymen"/>
      <w:bookmarkEnd w:id="256"/>
      <w:r>
        <w:rPr>
          <w:rFonts w:ascii="Times New Roman;Times;Serif" w:hAnsi="Times New Roman;Times;Serif"/>
          <w:b w:val="false"/>
          <w:i w:val="false"/>
          <w:caps w:val="false"/>
          <w:smallCaps w:val="false"/>
          <w:sz w:val="20"/>
        </w:rPr>
        <w:t>30-60 days of the invoice date and the contracts do not have significant financing components. Trade accounts receivables are recorded gross and are net of any applicable allowance. The Company has an allowance for doubtful accounts as of December 31, 2022 and 2021 of $</w:t>
      </w:r>
      <w:bookmarkStart w:id="257" w:name="xdx_90F_eus-gaap--AllowanceForDoubtfulAc"/>
      <w:bookmarkEnd w:id="257"/>
      <w:r>
        <w:rPr>
          <w:rFonts w:ascii="Times New Roman;Times;Serif" w:hAnsi="Times New Roman;Times;Serif"/>
          <w:b w:val="false"/>
          <w:i w:val="false"/>
          <w:caps w:val="false"/>
          <w:smallCaps w:val="false"/>
          <w:sz w:val="20"/>
        </w:rPr>
        <w:t>90 and $</w:t>
      </w:r>
      <w:bookmarkStart w:id="258" w:name="xdx_90F_eus-gaap--AllowanceForDoubtfulAc"/>
      <w:bookmarkEnd w:id="258"/>
      <w:r>
        <w:rPr>
          <w:rFonts w:ascii="Times New Roman;Times;Serif" w:hAnsi="Times New Roman;Times;Serif"/>
          <w:b w:val="false"/>
          <w:i w:val="false"/>
          <w:caps w:val="false"/>
          <w:smallCaps w:val="false"/>
          <w:sz w:val="20"/>
        </w:rPr>
        <w:t>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9" w:name="xdx_849_eus-gaap--InventoryPolicyTextBlo"/>
      <w:bookmarkEnd w:id="259"/>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0" w:name="xdx_846_eus-gaap--PropertyPlantAndEquipm"/>
      <w:bookmarkEnd w:id="260"/>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w:t>
      </w:r>
      <w:bookmarkStart w:id="261" w:name="xdx_907_eus-gaap--Depreciation_pn3n3_c20"/>
      <w:bookmarkEnd w:id="261"/>
      <w:r>
        <w:rPr>
          <w:rFonts w:ascii="Times New Roman;Times;Serif" w:hAnsi="Times New Roman;Times;Serif"/>
          <w:b w:val="false"/>
          <w:i w:val="false"/>
          <w:caps w:val="false"/>
          <w:smallCaps w:val="false"/>
          <w:sz w:val="20"/>
        </w:rPr>
        <w:t>891 and $</w:t>
      </w:r>
      <w:bookmarkStart w:id="262" w:name="xdx_90B_eus-gaap--Depreciation_pn3n3_c20"/>
      <w:bookmarkEnd w:id="262"/>
      <w:r>
        <w:rPr>
          <w:rFonts w:ascii="Times New Roman;Times;Serif" w:hAnsi="Times New Roman;Times;Serif"/>
          <w:b w:val="false"/>
          <w:i w:val="false"/>
          <w:caps w:val="false"/>
          <w:smallCaps w:val="false"/>
          <w:sz w:val="20"/>
        </w:rPr>
        <w:t>617, respectively. The various classes of property and equipment and estimated useful lives are as follows:</w:t>
      </w:r>
    </w:p>
    <w:p>
      <w:pPr>
        <w:pStyle w:val="TextBody"/>
        <w:bidi w:val="0"/>
        <w:spacing w:before="0" w:after="0"/>
        <w:ind w:left="0" w:right="0" w:hanging="0"/>
        <w:jc w:val="both"/>
        <w:rPr>
          <w:caps w:val="false"/>
          <w:smallCaps w:val="false"/>
        </w:rPr>
      </w:pPr>
      <w:bookmarkStart w:id="263" w:name="xdx_89D_eus-gaap--PropertyPlantAndEquipm"/>
      <w:bookmarkEnd w:id="263"/>
      <w:r>
        <w:rPr>
          <w:caps w:val="false"/>
          <w:smallCaps w:val="false"/>
        </w:rPr>
        <w:t> </w:t>
      </w:r>
      <w:bookmarkStart w:id="264" w:name="xdx_8B2_zdiVltlKKBxl"/>
      <w:bookmarkEnd w:id="264"/>
      <w:r>
        <w:rPr>
          <w:rFonts w:ascii="Times New Roman;Times;Serif" w:hAnsi="Times New Roman;Times;Serif"/>
          <w:b w:val="false"/>
          <w:i w:val="false"/>
          <w:caps w:val="false"/>
          <w:smallCaps w:val="false"/>
          <w:sz w:val="20"/>
        </w:rPr>
        <w:t>SCHEDULE OF VARIOUS CLASSES OF PROPERTY AND EQUIPMENT AND ESTIMATED USEFUL LIVES</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5" w:name="xdx_909_eus-gaap--PropertyPlantAndEquipm"/>
            <w:bookmarkEnd w:id="265"/>
            <w:r>
              <w:rPr>
                <w:rFonts w:ascii="Times New Roman;Times;Serif" w:hAnsi="Times New Roman;Times;Serif"/>
                <w:b w:val="false"/>
                <w:i w:val="false"/>
                <w:caps w:val="false"/>
                <w:smallCaps w:val="false"/>
                <w:sz w:val="20"/>
              </w:rPr>
              <w:t xml:space="preserve">3 to </w:t>
            </w:r>
            <w:bookmarkStart w:id="266" w:name="xdx_90D_eus-gaap--PropertyPlantAndEquipm"/>
            <w:bookmarkEnd w:id="266"/>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7" w:name="xdx_90C_eus-gaap--PropertyPlantAndEquipm"/>
            <w:bookmarkEnd w:id="267"/>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8" w:name="xdx_90C_eus-gaap--PropertyPlantAndEquipm"/>
            <w:bookmarkEnd w:id="268"/>
            <w:r>
              <w:rPr>
                <w:rFonts w:ascii="Times New Roman;Times;Serif" w:hAnsi="Times New Roman;Times;Serif"/>
                <w:b w:val="false"/>
                <w:i w:val="false"/>
                <w:caps w:val="false"/>
                <w:smallCaps w:val="false"/>
                <w:sz w:val="20"/>
              </w:rPr>
              <w:t xml:space="preserve">3 to </w:t>
            </w:r>
            <w:bookmarkStart w:id="269" w:name="xdx_90C_eus-gaap--PropertyPlantAndEquipm"/>
            <w:bookmarkEnd w:id="269"/>
            <w:r>
              <w:rPr>
                <w:rFonts w:ascii="Times New Roman;Times;Serif" w:hAnsi="Times New Roman;Times;Serif"/>
                <w:b w:val="false"/>
                <w:i w:val="false"/>
                <w:caps w:val="false"/>
                <w:smallCaps w:val="false"/>
                <w:sz w:val="20"/>
              </w:rPr>
              <w:t xml:space="preserve">7 years </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70" w:name="xdx_90F_ecustom--PropertyAndEquipmentEst"/>
            <w:bookmarkEnd w:id="270"/>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bookmarkStart w:id="271" w:name="xdx_8AF_z7QDqCEN8i1l"/>
      <w:bookmarkEnd w:id="27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2" w:name="xdx_846_eus-gaap--UseOfEstimates_zaeSyb5"/>
      <w:bookmarkEnd w:id="272"/>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3" w:name="xdx_848_eus-gaap--ImpairmentOrDisposalOf"/>
      <w:bookmarkEnd w:id="273"/>
      <w:r>
        <w:rPr>
          <w:rFonts w:ascii="Times New Roman;Times;Serif" w:hAnsi="Times New Roman;Times;Serif"/>
          <w:b w:val="false"/>
          <w:i/>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4" w:name="xdx_840_ecustom--WarrantsPolicyTextBlock"/>
      <w:bookmarkEnd w:id="274"/>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5" w:name="xdx_845_eus-gaap--CommitmentsAndContinge"/>
      <w:bookmarkEnd w:id="275"/>
      <w:r>
        <w:rPr>
          <w:rFonts w:ascii="Times New Roman;Times;Serif" w:hAnsi="Times New Roman;Times;Serif"/>
          <w:b w:val="false"/>
          <w:i/>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6" w:name="xdx_847_eus-gaap--RevenueFromContractWit"/>
      <w:bookmarkEnd w:id="276"/>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due within </w:t>
      </w:r>
      <w:bookmarkStart w:id="277" w:name="xdx_906_ecustom--PaymentTermForDistribut"/>
      <w:bookmarkEnd w:id="277"/>
      <w:r>
        <w:rPr>
          <w:rFonts w:ascii="Times New Roman;Times;Serif" w:hAnsi="Times New Roman;Times;Serif"/>
          <w:b w:val="false"/>
          <w:i w:val="false"/>
          <w:caps w:val="false"/>
          <w:smallCaps w:val="false"/>
          <w:sz w:val="20"/>
        </w:rPr>
        <w:t>30-</w:t>
      </w:r>
      <w:bookmarkStart w:id="278" w:name="xdx_909_ecustom--PaymentTermForDistribut"/>
      <w:bookmarkEnd w:id="278"/>
      <w:r>
        <w:rPr>
          <w:rFonts w:ascii="Times New Roman;Times;Serif" w:hAnsi="Times New Roman;Times;Serif"/>
          <w:b w:val="false"/>
          <w:i w:val="false"/>
          <w:caps w:val="false"/>
          <w:smallCaps w:val="false"/>
          <w:sz w:val="20"/>
        </w:rPr>
        <w:t>60 days after shipment. In such instances, the Company records a customer deposit liability. The Company recognizes these contract liabilities as sales after the revenue criteria are met. The company had $</w:t>
      </w:r>
      <w:bookmarkStart w:id="279" w:name="xdx_908_eus-gaap--ContractWithCustomerLi"/>
      <w:bookmarkEnd w:id="279"/>
      <w:r>
        <w:rPr>
          <w:rFonts w:ascii="Times New Roman;Times;Serif" w:hAnsi="Times New Roman;Times;Serif"/>
          <w:b w:val="false"/>
          <w:i w:val="false"/>
          <w:caps w:val="false"/>
          <w:smallCaps w:val="false"/>
          <w:sz w:val="20"/>
        </w:rPr>
        <w:t>1,779 of contract liabilities as of January 1, 2021. As of December 31, 2022 and 2021, the contract liability related to the Company’s customer deposits approximated $</w:t>
      </w:r>
      <w:bookmarkStart w:id="280" w:name="xdx_90E_eus-gaap--ContractWithCustomerLi"/>
      <w:bookmarkEnd w:id="280"/>
      <w:r>
        <w:rPr>
          <w:rFonts w:ascii="Times New Roman;Times;Serif" w:hAnsi="Times New Roman;Times;Serif"/>
          <w:b w:val="false"/>
          <w:i w:val="false"/>
          <w:caps w:val="false"/>
          <w:smallCaps w:val="false"/>
          <w:sz w:val="20"/>
        </w:rPr>
        <w:t>238 and $</w:t>
      </w:r>
      <w:bookmarkStart w:id="281" w:name="xdx_901_eus-gaap--ContractWithCustomerLi"/>
      <w:bookmarkEnd w:id="281"/>
      <w:r>
        <w:rPr>
          <w:rFonts w:ascii="Times New Roman;Times;Serif" w:hAnsi="Times New Roman;Times;Serif"/>
          <w:b w:val="false"/>
          <w:i w:val="false"/>
          <w:caps w:val="false"/>
          <w:smallCaps w:val="false"/>
          <w:sz w:val="20"/>
        </w:rPr>
        <w:t>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2" w:name="xdx_86C_z1ZZlQzBTXn9"/>
      <w:bookmarkStart w:id="283" w:name="xdx_842_ecustom--DisaggregationOfRevenue"/>
      <w:bookmarkEnd w:id="282"/>
      <w:bookmarkEnd w:id="283"/>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4" w:name="xdx_89A_eus-gaap--DisaggregationOfRevenu"/>
      <w:bookmarkEnd w:id="284"/>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bookmarkStart w:id="285" w:name="xdx_8BA_zsZEasDW4rg7"/>
      <w:bookmarkEnd w:id="285"/>
      <w:r>
        <w:rPr>
          <w:rFonts w:ascii="Times New Roman;Times;Serif" w:hAnsi="Times New Roman;Times;Serif"/>
          <w:b w:val="false"/>
          <w:i w:val="false"/>
          <w:caps w:val="false"/>
          <w:smallCaps w:val="false"/>
          <w:sz w:val="20"/>
        </w:rPr>
        <w:t>SCHEDULE OF DISAGGREGATED REVENUES BY DISTRIBUTION CHANNEL</w:t>
      </w:r>
    </w:p>
    <w:tbl>
      <w:tblPr>
        <w:tblW w:w="4990" w:type="dxa"/>
        <w:jc w:val="left"/>
        <w:tblInd w:w="0" w:type="dxa"/>
        <w:tblLayout w:type="fixed"/>
        <w:tblCellMar>
          <w:top w:w="0" w:type="dxa"/>
          <w:left w:w="0" w:type="dxa"/>
          <w:bottom w:w="28" w:type="dxa"/>
          <w:right w:w="0" w:type="dxa"/>
        </w:tblCellMar>
      </w:tblPr>
      <w:tblGrid>
        <w:gridCol w:w="3095"/>
        <w:gridCol w:w="60"/>
        <w:gridCol w:w="140"/>
        <w:gridCol w:w="680"/>
        <w:gridCol w:w="60"/>
        <w:gridCol w:w="60"/>
        <w:gridCol w:w="140"/>
        <w:gridCol w:w="680"/>
        <w:gridCol w:w="75"/>
      </w:tblGrid>
      <w:tr>
        <w:trPr/>
        <w:tc>
          <w:tcPr>
            <w:tcW w:w="309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Sales</w:t>
            </w:r>
          </w:p>
        </w:tc>
        <w:tc>
          <w:tcPr>
            <w:tcW w:w="60" w:type="dxa"/>
            <w:tcBorders/>
            <w:tcMar>
              <w:bottom w:w="0" w:type="dxa"/>
            </w:tcMar>
            <w:vAlign w:val="center"/>
          </w:tcPr>
          <w:p>
            <w:pPr>
              <w:pStyle w:val="TableContents"/>
              <w:bidi w:val="0"/>
              <w:spacing w:before="0" w:after="283"/>
              <w:jc w:val="left"/>
              <w:rPr/>
            </w:pPr>
            <w:r>
              <w:rPr/>
              <w:t> </w:t>
            </w:r>
            <w:bookmarkStart w:id="286" w:name="xdx_497_20220101__20221231_zlAN1Civ0pWk"/>
            <w:bookmarkEnd w:id="286"/>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87" w:name="xdx_49D_20210101__20211231_zNMsDDa8xWGg"/>
            <w:bookmarkEnd w:id="287"/>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tcMar>
              <w:bottom w:w="0" w:type="dxa"/>
            </w:tcMar>
            <w:vAlign w:val="center"/>
          </w:tcPr>
          <w:p>
            <w:pPr>
              <w:pStyle w:val="TableContents"/>
              <w:bidi w:val="0"/>
              <w:spacing w:before="0" w:after="283"/>
              <w:jc w:val="left"/>
              <w:rPr/>
            </w:pPr>
            <w:r>
              <w:rPr/>
              <w:t> </w:t>
            </w:r>
            <w:bookmarkStart w:id="288" w:name="xdx_400_eus-gaap--RevenueFromContractWit"/>
            <w:bookmarkEnd w:id="288"/>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59,042</w:t>
            </w:r>
          </w:p>
        </w:tc>
        <w:tc>
          <w:tcPr>
            <w:tcW w:w="75" w:type="dxa"/>
            <w:tcBorders/>
            <w:shd w:fill="CCEEFF" w:val="clear"/>
            <w:tcMar>
              <w:bottom w:w="0" w:type="dxa"/>
            </w:tcMar>
            <w:vAlign w:val="center"/>
          </w:tcPr>
          <w:p>
            <w:pPr>
              <w:pStyle w:val="TableContents"/>
              <w:bidi w:val="0"/>
              <w:spacing w:before="0" w:after="283"/>
              <w:jc w:val="left"/>
              <w:rPr/>
            </w:pPr>
            <w:r>
              <w:rPr/>
              <w:t> </w:t>
            </w:r>
            <w:bookmarkStart w:id="289" w:name="xdx_40B_eus-gaap--RevenueFromContractWit"/>
            <w:bookmarkEnd w:id="289"/>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Distributor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10,733</w:t>
            </w:r>
          </w:p>
        </w:tc>
        <w:tc>
          <w:tcPr>
            <w:tcW w:w="75" w:type="dxa"/>
            <w:tcBorders/>
            <w:shd w:fill="FFFFFF" w:val="clear"/>
            <w:tcMar>
              <w:bottom w:w="0" w:type="dxa"/>
            </w:tcMar>
            <w:vAlign w:val="center"/>
          </w:tcPr>
          <w:p>
            <w:pPr>
              <w:pStyle w:val="TableContents"/>
              <w:bidi w:val="0"/>
              <w:spacing w:before="0" w:after="283"/>
              <w:jc w:val="left"/>
              <w:rPr/>
            </w:pPr>
            <w:r>
              <w:rPr/>
              <w:t> </w:t>
            </w:r>
            <w:bookmarkStart w:id="290" w:name="xdx_400_eus-gaap--RevenueFromContractWit"/>
            <w:bookmarkEnd w:id="290"/>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Original equipment manufacture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8,225</w:t>
            </w:r>
          </w:p>
        </w:tc>
        <w:tc>
          <w:tcPr>
            <w:tcW w:w="75" w:type="dxa"/>
            <w:tcBorders/>
            <w:shd w:fill="CCEEFF" w:val="clear"/>
            <w:tcMar>
              <w:bottom w:w="0" w:type="dxa"/>
            </w:tcMar>
            <w:vAlign w:val="center"/>
          </w:tcPr>
          <w:p>
            <w:pPr>
              <w:pStyle w:val="TableContents"/>
              <w:bidi w:val="0"/>
              <w:spacing w:before="0" w:after="283"/>
              <w:jc w:val="left"/>
              <w:rPr/>
            </w:pPr>
            <w:r>
              <w:rPr/>
              <w:t> </w:t>
            </w:r>
            <w:bookmarkStart w:id="291" w:name="xdx_40A_eus-gaap--RevenueFromContractWit"/>
            <w:bookmarkEnd w:id="291"/>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bidi w:val="0"/>
              <w:spacing w:before="0" w:after="283"/>
              <w:jc w:val="left"/>
              <w:rPr/>
            </w:pPr>
            <w:r>
              <w:rPr/>
              <w:t> </w:t>
            </w:r>
            <w:bookmarkStart w:id="292" w:name="xdx_408_eus-gaap--RevenueFromContractWit"/>
            <w:bookmarkEnd w:id="292"/>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3" w:name="xdx_8A6_zTJXZhysIpbi"/>
      <w:bookmarkEnd w:id="29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4" w:name="xdx_86C_zusSbzqZF1k1"/>
      <w:bookmarkStart w:id="295" w:name="xdx_84C_ecustom--ShippingAndHandlingCost"/>
      <w:bookmarkEnd w:id="294"/>
      <w:bookmarkEnd w:id="295"/>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296" w:name="xdx_908_ecustom--ShippingAndHandlingCost"/>
      <w:bookmarkEnd w:id="296"/>
      <w:r>
        <w:rPr>
          <w:rFonts w:ascii="Times New Roman;Times;Serif" w:hAnsi="Times New Roman;Times;Serif"/>
          <w:b w:val="false"/>
          <w:i w:val="false"/>
          <w:caps w:val="false"/>
          <w:smallCaps w:val="false"/>
          <w:sz w:val="20"/>
        </w:rPr>
        <w:t>5,440 and $</w:t>
      </w:r>
      <w:bookmarkStart w:id="297" w:name="xdx_90F_ecustom--ShippingAndHandlingCost"/>
      <w:bookmarkEnd w:id="297"/>
      <w:r>
        <w:rPr>
          <w:rFonts w:ascii="Times New Roman;Times;Serif" w:hAnsi="Times New Roman;Times;Serif"/>
          <w:b w:val="false"/>
          <w:i w:val="false"/>
          <w:caps w:val="false"/>
          <w:smallCaps w:val="false"/>
          <w:sz w:val="20"/>
        </w:rPr>
        <w:t>5,105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8" w:name="xdx_864_zep8SYN4hJ6b"/>
      <w:bookmarkStart w:id="299" w:name="xdx_84B_ecustom--ProductWarrantyPolicyTe"/>
      <w:bookmarkEnd w:id="298"/>
      <w:bookmarkEnd w:id="299"/>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300" w:name="xdx_904_ecustom--ProductWarrantyTermProv"/>
      <w:bookmarkEnd w:id="300"/>
      <w:r>
        <w:rPr>
          <w:rFonts w:ascii="Times New Roman;Times;Serif" w:hAnsi="Times New Roman;Times;Serif"/>
          <w:b w:val="false"/>
          <w:i w:val="false"/>
          <w:caps w:val="false"/>
          <w:smallCaps w:val="false"/>
          <w:sz w:val="20"/>
        </w:rPr>
        <w:t xml:space="preserve">5 to </w:t>
      </w:r>
      <w:bookmarkStart w:id="301" w:name="xdx_90B_ecustom--ProductWarrantyTermProv"/>
      <w:bookmarkEnd w:id="301"/>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w:t>
      </w:r>
      <w:bookmarkStart w:id="302" w:name="xdx_90D_eus-gaap--ProductWarrantyAccrual"/>
      <w:bookmarkEnd w:id="302"/>
      <w:r>
        <w:rPr>
          <w:rFonts w:ascii="Times New Roman;Times;Serif" w:hAnsi="Times New Roman;Times;Serif"/>
          <w:b w:val="false"/>
          <w:i w:val="false"/>
          <w:caps w:val="false"/>
          <w:smallCaps w:val="false"/>
          <w:sz w:val="20"/>
        </w:rPr>
        <w:t>328 and $</w:t>
      </w:r>
      <w:bookmarkStart w:id="303" w:name="xdx_901_eus-gaap--ProductWarrantyAccrual"/>
      <w:bookmarkEnd w:id="303"/>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4" w:name="xdx_84E_eus-gaap--ConcentrationRiskCredi"/>
      <w:bookmarkEnd w:id="304"/>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from </w:t>
      </w:r>
      <w:bookmarkStart w:id="305" w:name="xdx_909_ecustom--NumberOfCustomers_pid_d"/>
      <w:bookmarkEnd w:id="305"/>
      <w:r>
        <w:rPr>
          <w:rFonts w:ascii="Times New Roman;Times;Serif" w:hAnsi="Times New Roman;Times;Serif"/>
          <w:b w:val="false"/>
          <w:i w:val="false"/>
          <w:caps w:val="false"/>
          <w:smallCaps w:val="false"/>
          <w:sz w:val="20"/>
        </w:rPr>
        <w:t xml:space="preserve">three customers comprised approximately </w:t>
      </w:r>
      <w:bookmarkStart w:id="306" w:name="xdx_909_eus-gaap--ConcentrationRiskPerce"/>
      <w:bookmarkEnd w:id="306"/>
      <w:r>
        <w:rPr>
          <w:rFonts w:ascii="Times New Roman;Times;Serif" w:hAnsi="Times New Roman;Times;Serif"/>
          <w:b w:val="false"/>
          <w:i w:val="false"/>
          <w:caps w:val="false"/>
          <w:smallCaps w:val="false"/>
          <w:sz w:val="20"/>
        </w:rPr>
        <w:t xml:space="preserve">18%, </w:t>
      </w:r>
      <w:bookmarkStart w:id="307" w:name="xdx_906_eus-gaap--ConcentrationRiskPerce"/>
      <w:bookmarkEnd w:id="307"/>
      <w:r>
        <w:rPr>
          <w:rFonts w:ascii="Times New Roman;Times;Serif" w:hAnsi="Times New Roman;Times;Serif"/>
          <w:b w:val="false"/>
          <w:i w:val="false"/>
          <w:caps w:val="false"/>
          <w:smallCaps w:val="false"/>
          <w:sz w:val="20"/>
        </w:rPr>
        <w:t xml:space="preserve">10% and </w:t>
      </w:r>
      <w:bookmarkStart w:id="308" w:name="xdx_903_eus-gaap--ConcentrationRiskPerce"/>
      <w:bookmarkEnd w:id="308"/>
      <w:r>
        <w:rPr>
          <w:rFonts w:ascii="Times New Roman;Times;Serif" w:hAnsi="Times New Roman;Times;Serif"/>
          <w:b w:val="false"/>
          <w:i w:val="false"/>
          <w:caps w:val="false"/>
          <w:smallCaps w:val="false"/>
          <w:sz w:val="20"/>
        </w:rPr>
        <w:t xml:space="preserve">10%, respectively, of accounts receivable as of December 31, 2022. Receivables from </w:t>
      </w:r>
      <w:bookmarkStart w:id="309" w:name="xdx_907_ecustom--NumberOfCustomers_pid_d"/>
      <w:bookmarkEnd w:id="309"/>
      <w:r>
        <w:rPr>
          <w:rFonts w:ascii="Times New Roman;Times;Serif" w:hAnsi="Times New Roman;Times;Serif"/>
          <w:b w:val="false"/>
          <w:i w:val="false"/>
          <w:caps w:val="false"/>
          <w:smallCaps w:val="false"/>
          <w:sz w:val="20"/>
        </w:rPr>
        <w:t xml:space="preserve">two customers comprised approximately </w:t>
      </w:r>
      <w:bookmarkStart w:id="310" w:name="xdx_906_eus-gaap--ConcentrationRiskPerce"/>
      <w:bookmarkEnd w:id="310"/>
      <w:r>
        <w:rPr>
          <w:rFonts w:ascii="Times New Roman;Times;Serif" w:hAnsi="Times New Roman;Times;Serif"/>
          <w:b w:val="false"/>
          <w:i w:val="false"/>
          <w:caps w:val="false"/>
          <w:smallCaps w:val="false"/>
          <w:sz w:val="20"/>
        </w:rPr>
        <w:t xml:space="preserve">42% and </w:t>
      </w:r>
      <w:bookmarkStart w:id="311" w:name="xdx_904_eus-gaap--ConcentrationRiskPerce"/>
      <w:bookmarkEnd w:id="311"/>
      <w:r>
        <w:rPr>
          <w:rFonts w:ascii="Times New Roman;Times;Serif" w:hAnsi="Times New Roman;Times;Serif"/>
          <w:b w:val="false"/>
          <w:i w:val="false"/>
          <w:caps w:val="false"/>
          <w:smallCaps w:val="false"/>
          <w:sz w:val="20"/>
        </w:rPr>
        <w:t>16%, respectively, of accounts receivable as of December 31, 2021. There are no other significant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w:t>
      </w:r>
      <w:bookmarkStart w:id="312" w:name="xdx_909_ecustom--NumberOfVendors_pid_dc_"/>
      <w:bookmarkEnd w:id="312"/>
      <w:r>
        <w:rPr>
          <w:rFonts w:ascii="Times New Roman;Times;Serif" w:hAnsi="Times New Roman;Times;Serif"/>
          <w:b w:val="false"/>
          <w:i w:val="false"/>
          <w:caps w:val="false"/>
          <w:smallCaps w:val="false"/>
          <w:sz w:val="20"/>
        </w:rPr>
        <w:t xml:space="preserve">one customer accounted for approximately </w:t>
      </w:r>
      <w:bookmarkStart w:id="313" w:name="xdx_90D_eus-gaap--ConcentrationRiskPerce"/>
      <w:bookmarkEnd w:id="313"/>
      <w:r>
        <w:rPr>
          <w:rFonts w:ascii="Times New Roman;Times;Serif" w:hAnsi="Times New Roman;Times;Serif"/>
          <w:b w:val="false"/>
          <w:i w:val="false"/>
          <w:caps w:val="false"/>
          <w:smallCaps w:val="false"/>
          <w:sz w:val="20"/>
        </w:rPr>
        <w:t>22% of the Company’s sales for year ended December 31, 2022. There were no significant revenue concentrations for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Payables to </w:t>
      </w:r>
      <w:bookmarkStart w:id="314" w:name="xdx_90D_ecustom--NumberOfCustomers_pid_d"/>
      <w:bookmarkEnd w:id="314"/>
      <w:r>
        <w:rPr>
          <w:rFonts w:ascii="Times New Roman;Times;Serif" w:hAnsi="Times New Roman;Times;Serif"/>
          <w:b w:val="false"/>
          <w:i w:val="false"/>
          <w:caps w:val="false"/>
          <w:smallCaps w:val="false"/>
          <w:sz w:val="20"/>
        </w:rPr>
        <w:t xml:space="preserve">one vendor comprised approximately </w:t>
      </w:r>
      <w:bookmarkStart w:id="315" w:name="xdx_90B_eus-gaap--ConcentrationRiskPerce"/>
      <w:bookmarkEnd w:id="315"/>
      <w:r>
        <w:rPr>
          <w:rFonts w:ascii="Times New Roman;Times;Serif" w:hAnsi="Times New Roman;Times;Serif"/>
          <w:b w:val="false"/>
          <w:i w:val="false"/>
          <w:caps w:val="false"/>
          <w:smallCaps w:val="false"/>
          <w:sz w:val="20"/>
        </w:rPr>
        <w:t>61% of accounts payables as of December 31, 2022. There were no significant payable concentrations as of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2022, </w:t>
      </w:r>
      <w:bookmarkStart w:id="316" w:name="xdx_90E_ecustom--NumberOfVendors_pid_dc_"/>
      <w:bookmarkEnd w:id="316"/>
      <w:r>
        <w:rPr>
          <w:rFonts w:ascii="Times New Roman;Times;Serif" w:hAnsi="Times New Roman;Times;Serif"/>
          <w:b w:val="false"/>
          <w:i w:val="false"/>
          <w:caps w:val="false"/>
          <w:smallCaps w:val="false"/>
          <w:sz w:val="20"/>
        </w:rPr>
        <w:t xml:space="preserve">one vendor accounted for approximately </w:t>
      </w:r>
      <w:bookmarkStart w:id="317" w:name="xdx_902_eus-gaap--ConcentrationRiskPerce"/>
      <w:bookmarkEnd w:id="317"/>
      <w:r>
        <w:rPr>
          <w:rFonts w:ascii="Times New Roman;Times;Serif" w:hAnsi="Times New Roman;Times;Serif"/>
          <w:b w:val="false"/>
          <w:i w:val="false"/>
          <w:caps w:val="false"/>
          <w:smallCaps w:val="false"/>
          <w:sz w:val="20"/>
        </w:rPr>
        <w:t xml:space="preserve">28% of the Company’s total purchases, respectively. For the year ended December 31, 2021, </w:t>
      </w:r>
      <w:bookmarkStart w:id="318" w:name="xdx_908_ecustom--NumberOfVendors_pid_dc_"/>
      <w:bookmarkEnd w:id="318"/>
      <w:r>
        <w:rPr>
          <w:rFonts w:ascii="Times New Roman;Times;Serif" w:hAnsi="Times New Roman;Times;Serif"/>
          <w:b w:val="false"/>
          <w:i w:val="false"/>
          <w:caps w:val="false"/>
          <w:smallCaps w:val="false"/>
          <w:sz w:val="20"/>
        </w:rPr>
        <w:t xml:space="preserve">three vendors accounted for approximately </w:t>
      </w:r>
      <w:bookmarkStart w:id="319" w:name="xdx_909_eus-gaap--ConcentrationRiskPerce"/>
      <w:bookmarkEnd w:id="319"/>
      <w:r>
        <w:rPr>
          <w:rFonts w:ascii="Times New Roman;Times;Serif" w:hAnsi="Times New Roman;Times;Serif"/>
          <w:b w:val="false"/>
          <w:i w:val="false"/>
          <w:caps w:val="false"/>
          <w:smallCaps w:val="false"/>
          <w:sz w:val="20"/>
        </w:rPr>
        <w:t xml:space="preserve">27%, </w:t>
      </w:r>
      <w:bookmarkStart w:id="320" w:name="xdx_90F_eus-gaap--ConcentrationRiskPerce"/>
      <w:bookmarkEnd w:id="320"/>
      <w:r>
        <w:rPr>
          <w:rFonts w:ascii="Times New Roman;Times;Serif" w:hAnsi="Times New Roman;Times;Serif"/>
          <w:b w:val="false"/>
          <w:i w:val="false"/>
          <w:caps w:val="false"/>
          <w:smallCaps w:val="false"/>
          <w:sz w:val="20"/>
        </w:rPr>
        <w:t xml:space="preserve">10% and </w:t>
      </w:r>
      <w:bookmarkStart w:id="321" w:name="xdx_907_eus-gaap--ConcentrationRiskPerce"/>
      <w:bookmarkEnd w:id="321"/>
      <w:r>
        <w:rPr>
          <w:rFonts w:ascii="Times New Roman;Times;Serif" w:hAnsi="Times New Roman;Times;Serif"/>
          <w:b w:val="false"/>
          <w:i w:val="false"/>
          <w:caps w:val="false"/>
          <w:smallCaps w:val="false"/>
          <w:sz w:val="20"/>
        </w:rPr>
        <w:t>10% of the Company’s total purchases,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2" w:name="xdx_842_eus-gaap--DeferredChargesPolicyT"/>
      <w:bookmarkEnd w:id="322"/>
      <w:r>
        <w:rPr>
          <w:rFonts w:ascii="Times New Roman;Times;Serif" w:hAnsi="Times New Roman;Times;Serif"/>
          <w:b w:val="false"/>
          <w:i/>
          <w:caps w:val="false"/>
          <w:smallCaps w:val="false"/>
          <w:sz w:val="20"/>
          <w:u w:val="single"/>
        </w:rPr>
        <w:t>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3" w:name="xdx_841_eus-gaap--ResearchAndDevelopment"/>
      <w:bookmarkEnd w:id="323"/>
      <w:r>
        <w:rPr>
          <w:rFonts w:ascii="Times New Roman;Times;Serif" w:hAnsi="Times New Roman;Times;Serif"/>
          <w:b w:val="false"/>
          <w:i/>
          <w:caps w:val="false"/>
          <w:smallCaps w:val="false"/>
          <w:sz w:val="20"/>
          <w:u w:val="single"/>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4" w:name="xdx_84B_eus-gaap--AdvertisingCostsPolicy"/>
      <w:bookmarkEnd w:id="324"/>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325" w:name="xdx_904_eus-gaap--AdvertisingExpense_pn3"/>
      <w:bookmarkEnd w:id="325"/>
      <w:r>
        <w:rPr>
          <w:rFonts w:ascii="Times New Roman;Times;Serif" w:hAnsi="Times New Roman;Times;Serif"/>
          <w:b w:val="false"/>
          <w:i w:val="false"/>
          <w:caps w:val="false"/>
          <w:smallCaps w:val="false"/>
          <w:sz w:val="20"/>
        </w:rPr>
        <w:t>2,334 and $</w:t>
      </w:r>
      <w:bookmarkStart w:id="326" w:name="xdx_906_eus-gaap--AdvertisingExpense_pn3"/>
      <w:bookmarkEnd w:id="326"/>
      <w:r>
        <w:rPr>
          <w:rFonts w:ascii="Times New Roman;Times;Serif" w:hAnsi="Times New Roman;Times;Serif"/>
          <w:b w:val="false"/>
          <w:i w:val="false"/>
          <w:caps w:val="false"/>
          <w:smallCaps w:val="false"/>
          <w:sz w:val="20"/>
        </w:rPr>
        <w:t>1,690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7" w:name="xdx_844_eus-gaap--CompensationRelatedCos"/>
      <w:bookmarkEnd w:id="327"/>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bookmarkStart w:id="328" w:name="xdx_85E_zXKQhCqzgGYg"/>
      <w:bookmarkEnd w:id="32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9" w:name="xdx_849_eus-gaap--IncomeTaxPolicyTextBlo"/>
      <w:bookmarkEnd w:id="329"/>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has a liability of $</w:t>
      </w:r>
      <w:bookmarkStart w:id="330" w:name="xdx_909_eus-gaap--UnrecognizedTaxBenefit"/>
      <w:bookmarkEnd w:id="330"/>
      <w:r>
        <w:rPr>
          <w:rFonts w:ascii="Times New Roman;Times;Serif" w:hAnsi="Times New Roman;Times;Serif"/>
          <w:b w:val="false"/>
          <w:i w:val="false"/>
          <w:caps w:val="false"/>
          <w:smallCaps w:val="false"/>
          <w:sz w:val="20"/>
        </w:rPr>
        <w:t>128 and $</w:t>
      </w:r>
      <w:bookmarkStart w:id="331" w:name="xdx_909_eus-gaap--UnrecognizedTaxBenefit"/>
      <w:bookmarkEnd w:id="331"/>
      <w:r>
        <w:rPr>
          <w:rFonts w:ascii="Times New Roman;Times;Serif" w:hAnsi="Times New Roman;Times;Serif"/>
          <w:b w:val="false"/>
          <w:i w:val="false"/>
          <w:caps w:val="false"/>
          <w:smallCaps w:val="false"/>
          <w:sz w:val="20"/>
        </w:rPr>
        <w:t>0 as of December 31, 2022 and 2021, respectively, of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2" w:name="xdx_840_eus-gaap--EarningsPerSharePolicy"/>
      <w:bookmarkEnd w:id="332"/>
      <w:r>
        <w:rPr>
          <w:rFonts w:ascii="Times New Roman;Times;Serif" w:hAnsi="Times New Roman;Times;Serif"/>
          <w:b w:val="false"/>
          <w:i/>
          <w:caps w:val="false"/>
          <w:smallCaps w:val="false"/>
          <w:sz w:val="20"/>
          <w:u w:val="single"/>
        </w:rPr>
        <w:t>Net (Loss) Earnings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earnings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details and discussion of the retrospective adjustment of net loss per share.</w:t>
      </w:r>
    </w:p>
    <w:p>
      <w:pPr>
        <w:pStyle w:val="TextBody"/>
        <w:bidi w:val="0"/>
        <w:spacing w:before="0" w:after="0"/>
        <w:ind w:left="0" w:right="0" w:hanging="0"/>
        <w:jc w:val="both"/>
        <w:rPr>
          <w:caps w:val="false"/>
          <w:smallCaps w:val="false"/>
        </w:rPr>
      </w:pPr>
      <w:bookmarkStart w:id="333" w:name="xdx_85A_z5obT12cpXBl"/>
      <w:bookmarkEnd w:id="33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4" w:name="xdx_84F_eus-gaap--LesseeLeasesPolicyText"/>
      <w:bookmarkEnd w:id="334"/>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5" w:name="xdx_84E_eus-gaap--SegmentReportingPolicy"/>
      <w:bookmarkEnd w:id="335"/>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w:t>
      </w:r>
      <w:bookmarkStart w:id="336" w:name="xdx_90E_eus-gaap--NumberOfOperatingSegme"/>
      <w:bookmarkEnd w:id="336"/>
      <w:r>
        <w:rPr>
          <w:rFonts w:ascii="Times New Roman;Times;Serif" w:hAnsi="Times New Roman;Times;Serif"/>
          <w:b w:val="false"/>
          <w:i w:val="false"/>
          <w:caps w:val="false"/>
          <w:smallCaps w:val="false"/>
          <w:sz w:val="20"/>
        </w:rPr>
        <w:t>one operating segment.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37" w:name="xdx_80B_ecustom--ReverseCapitalizationDi"/>
      <w:bookmarkEnd w:id="337"/>
      <w:r>
        <w:rPr>
          <w:rFonts w:ascii="Times New Roman;Times;Serif" w:hAnsi="Times New Roman;Times;Serif"/>
          <w:b/>
          <w:i w:val="false"/>
          <w:caps/>
          <w:sz w:val="20"/>
        </w:rPr>
        <w:t xml:space="preserve">Note 3 – </w:t>
      </w:r>
      <w:bookmarkStart w:id="338" w:name="xdx_82C_zsZt1got7dPh"/>
      <w:bookmarkEnd w:id="338"/>
      <w:r>
        <w:rPr>
          <w:rFonts w:ascii="Times New Roman;Times;Serif" w:hAnsi="Times New Roman;Times;Serif"/>
          <w:b/>
          <w:i w:val="false"/>
          <w:caps/>
          <w:sz w:val="20"/>
        </w:rPr>
        <w:t>REVERSE CAPITALIZATION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guidance applicable to these circumstances, the equity structure has been restated in all comparable periods up to October 7, 2022, to reflect the number of shares of the Company’s common stock, $</w:t>
      </w:r>
      <w:bookmarkStart w:id="339" w:name="xdx_903_eus-gaap--CommonStockParOrStated"/>
      <w:bookmarkEnd w:id="339"/>
      <w:r>
        <w:rPr>
          <w:rFonts w:ascii="Times New Roman;Times;Serif" w:hAnsi="Times New Roman;Times;Serif"/>
          <w:b w:val="false"/>
          <w:i w:val="false"/>
          <w:caps w:val="false"/>
          <w:smallCaps w:val="false"/>
          <w:sz w:val="20"/>
        </w:rPr>
        <w:t xml:space="preserve">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w:t>
      </w:r>
      <w:bookmarkStart w:id="340" w:name="xdx_90A_ecustom--RecapitalizationExchang"/>
      <w:bookmarkEnd w:id="340"/>
      <w:r>
        <w:rPr>
          <w:rFonts w:ascii="Times New Roman;Times;Serif" w:hAnsi="Times New Roman;Times;Serif"/>
          <w:b w:val="false"/>
          <w:i w:val="false"/>
          <w:caps w:val="false"/>
          <w:smallCaps w:val="false"/>
          <w:sz w:val="20"/>
        </w:rPr>
        <w:t>1.182 established in the merger. Legacy Dragonfly’s convertible preferred stock previously classified as temporary equity was retroactively adjusted, converted into common stock and reclassified to permanent equity as a result of the 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the closing of the merger, and prior to the PIPE Financing, and the funds remaining after such redemptions, totaling approximately $</w:t>
      </w:r>
      <w:bookmarkStart w:id="341" w:name="xdx_907_ecustom--RemainingFundsAfterRede"/>
      <w:bookmarkEnd w:id="341"/>
      <w:r>
        <w:rPr>
          <w:rFonts w:ascii="Times New Roman;Times;Serif" w:hAnsi="Times New Roman;Times;Serif"/>
          <w:b w:val="false"/>
          <w:i w:val="false"/>
          <w:caps w:val="false"/>
          <w:smallCaps w:val="false"/>
          <w:sz w:val="20"/>
        </w:rPr>
        <w:t xml:space="preserve">6,265, became available to finance transaction expenses and the future operations of New Dragonfly. In connection with the merger, CNTQ entered into agreements with new investors and existing Legacy Dragonfly investors to subscribe and purchase an aggregate of approximately </w:t>
      </w:r>
      <w:bookmarkStart w:id="342" w:name="xdx_905_eus-gaap--StockRepurchasedDuring"/>
      <w:bookmarkEnd w:id="342"/>
      <w:r>
        <w:rPr>
          <w:rFonts w:ascii="Times New Roman;Times;Serif" w:hAnsi="Times New Roman;Times;Serif"/>
          <w:b w:val="false"/>
          <w:i w:val="false"/>
          <w:caps w:val="false"/>
          <w:smallCaps w:val="false"/>
          <w:sz w:val="20"/>
        </w:rPr>
        <w:t>500,000 shares of CNTQ Class A common stock (the “</w:t>
      </w:r>
      <w:r>
        <w:rPr>
          <w:rFonts w:ascii="Times New Roman;Times;Serif" w:hAnsi="Times New Roman;Times;Serif"/>
          <w:b/>
          <w:i w:val="false"/>
          <w:caps w:val="false"/>
          <w:smallCaps w:val="false"/>
          <w:sz w:val="20"/>
        </w:rPr>
        <w:t>PIPE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Financing was consummated on September 26, 2022 and resulted in gross proceeds of an additional approximately $</w:t>
      </w:r>
      <w:bookmarkStart w:id="343" w:name="xdx_90F_eus-gaap--ProceedsFromShortTermD"/>
      <w:bookmarkEnd w:id="343"/>
      <w:r>
        <w:rPr>
          <w:rFonts w:ascii="Times New Roman;Times;Serif" w:hAnsi="Times New Roman;Times;Serif"/>
          <w:b w:val="false"/>
          <w:i w:val="false"/>
          <w:caps w:val="false"/>
          <w:smallCaps w:val="false"/>
          <w:sz w:val="20"/>
        </w:rPr>
        <w:t>5,017, prior to payment of the transaction costs. As part of the PIPE Financing, the Company entered an initial Term Loan for an aggregate principal amount of $</w:t>
      </w:r>
      <w:bookmarkStart w:id="344" w:name="xdx_903_eus-gaap--DebtInstrumentFaceAmou"/>
      <w:bookmarkEnd w:id="344"/>
      <w:r>
        <w:rPr>
          <w:rFonts w:ascii="Times New Roman;Times;Serif" w:hAnsi="Times New Roman;Times;Serif"/>
          <w:b w:val="false"/>
          <w:i w:val="false"/>
          <w:caps w:val="false"/>
          <w:smallCaps w:val="false"/>
          <w:sz w:val="20"/>
        </w:rPr>
        <w:t>75,000. The Company incurred debt issuance costs of $</w:t>
      </w:r>
      <w:bookmarkStart w:id="345" w:name="xdx_900_eus-gaap--PaymentsOfDebtIssuance"/>
      <w:bookmarkEnd w:id="345"/>
      <w:r>
        <w:rPr>
          <w:rFonts w:ascii="Times New Roman;Times;Serif" w:hAnsi="Times New Roman;Times;Serif"/>
          <w:b w:val="false"/>
          <w:i w:val="false"/>
          <w:caps w:val="false"/>
          <w:smallCaps w:val="false"/>
          <w:sz w:val="20"/>
        </w:rPr>
        <w:t>1,950 of original issuance discount and additional $</w:t>
      </w:r>
      <w:bookmarkStart w:id="346" w:name="xdx_90B_eus-gaap--PaymentsOfFinancingCos"/>
      <w:bookmarkEnd w:id="346"/>
      <w:r>
        <w:rPr>
          <w:rFonts w:ascii="Times New Roman;Times;Serif" w:hAnsi="Times New Roman;Times;Serif"/>
          <w:b w:val="false"/>
          <w:i w:val="false"/>
          <w:caps w:val="false"/>
          <w:smallCaps w:val="false"/>
          <w:sz w:val="20"/>
        </w:rPr>
        <w:t>2,081 of transaction costs that were allocated to the Term Loan, resulting in net cash proceeds of $</w:t>
      </w:r>
      <w:bookmarkStart w:id="347" w:name="xdx_901_eus-gaap--ProceedsFromLoans_pn3n"/>
      <w:bookmarkEnd w:id="347"/>
      <w:r>
        <w:rPr>
          <w:rFonts w:ascii="Times New Roman;Times;Serif" w:hAnsi="Times New Roman;Times;Serif"/>
          <w:b w:val="false"/>
          <w:i w:val="false"/>
          <w:caps w:val="false"/>
          <w:smallCaps w:val="false"/>
          <w:sz w:val="20"/>
        </w:rPr>
        <w:t>70,969. In addition, $</w:t>
      </w:r>
      <w:bookmarkStart w:id="348" w:name="xdx_902_eus-gaap--DebtInstrumentUnamorti"/>
      <w:bookmarkEnd w:id="348"/>
      <w:r>
        <w:rPr>
          <w:rFonts w:ascii="Times New Roman;Times;Serif" w:hAnsi="Times New Roman;Times;Serif"/>
          <w:b w:val="false"/>
          <w:i w:val="false"/>
          <w:caps w:val="false"/>
          <w:smallCaps w:val="false"/>
          <w:sz w:val="20"/>
        </w:rPr>
        <w:t>52,956 of Term Loan warrants based on their combined relative fair values was recorded as a debt discount resulting in initial carrying amount of debt of $</w:t>
      </w:r>
      <w:bookmarkStart w:id="349" w:name="xdx_902_eus-gaap--DebtInstrumentCarrying"/>
      <w:bookmarkEnd w:id="349"/>
      <w:r>
        <w:rPr>
          <w:rFonts w:ascii="Times New Roman;Times;Serif" w:hAnsi="Times New Roman;Times;Serif"/>
          <w:b w:val="false"/>
          <w:i w:val="false"/>
          <w:caps w:val="false"/>
          <w:smallCaps w:val="false"/>
          <w:sz w:val="20"/>
        </w:rPr>
        <w:t>18,013. Pursuant to the terms of the loan agreement, the Term Loan was advanced in one tranche on the closing date and the funds were used to refinance on the closing date prior indebtedness of $</w:t>
      </w:r>
      <w:bookmarkStart w:id="350" w:name="xdx_90C_eus-gaap--ExtinguishmentOfDebtAm"/>
      <w:bookmarkEnd w:id="350"/>
      <w:r>
        <w:rPr>
          <w:rFonts w:ascii="Times New Roman;Times;Serif" w:hAnsi="Times New Roman;Times;Serif"/>
          <w:b w:val="false"/>
          <w:i w:val="false"/>
          <w:caps w:val="false"/>
          <w:smallCaps w:val="false"/>
          <w:sz w:val="20"/>
        </w:rPr>
        <w:t>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w:t>
      </w:r>
      <w:bookmarkStart w:id="351" w:name="xdx_901_ecustom--TransactionCosts_pn3n3_"/>
      <w:bookmarkEnd w:id="351"/>
      <w:r>
        <w:rPr>
          <w:rFonts w:ascii="Times New Roman;Times;Serif" w:hAnsi="Times New Roman;Times;Serif"/>
          <w:b w:val="false"/>
          <w:i w:val="false"/>
          <w:caps w:val="false"/>
          <w:smallCaps w:val="false"/>
          <w:sz w:val="20"/>
        </w:rPr>
        <w:t>13,221 were allocated to all instruments assumed and issued in the merger on a relative fair value basis. As such, the Company allocated $</w:t>
      </w:r>
      <w:bookmarkStart w:id="352" w:name="xdx_90B_ecustom--TransactionCosts_pn3n3_"/>
      <w:bookmarkEnd w:id="352"/>
      <w:r>
        <w:rPr>
          <w:rFonts w:ascii="Times New Roman;Times;Serif" w:hAnsi="Times New Roman;Times;Serif"/>
          <w:b w:val="false"/>
          <w:i w:val="false"/>
          <w:caps w:val="false"/>
          <w:smallCaps w:val="false"/>
          <w:sz w:val="20"/>
        </w:rPr>
        <w:t>2,081 to the Term Loan, $</w:t>
      </w:r>
      <w:bookmarkStart w:id="353" w:name="xdx_90C_ecustom--TransactionCosts_pn3n3_"/>
      <w:bookmarkEnd w:id="353"/>
      <w:r>
        <w:rPr>
          <w:rFonts w:ascii="Times New Roman;Times;Serif" w:hAnsi="Times New Roman;Times;Serif"/>
          <w:b w:val="false"/>
          <w:i w:val="false"/>
          <w:caps w:val="false"/>
          <w:smallCaps w:val="false"/>
          <w:sz w:val="20"/>
        </w:rPr>
        <w:t>9,633 to equity instruments, which was expensed in general and administrative expenses as the offering costs exceeded the proceeds received, and $</w:t>
      </w:r>
      <w:bookmarkStart w:id="354" w:name="xdx_908_ecustom--TransactionCosts_pn3n3_"/>
      <w:bookmarkEnd w:id="354"/>
      <w:r>
        <w:rPr>
          <w:rFonts w:ascii="Times New Roman;Times;Serif" w:hAnsi="Times New Roman;Times;Serif"/>
          <w:b w:val="false"/>
          <w:i w:val="false"/>
          <w:caps w:val="false"/>
          <w:smallCaps w:val="false"/>
          <w:sz w:val="20"/>
        </w:rPr>
        <w:t>1,507 to the warrant liabilities assumed and warrant liabilities issued with the term debt, which was expensed within the general and administrative expenses within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the merger, the Company assumed $</w:t>
      </w:r>
      <w:bookmarkStart w:id="355" w:name="xdx_90B_ecustom--TransactionCosts_pn3n3_"/>
      <w:bookmarkEnd w:id="355"/>
      <w:r>
        <w:rPr>
          <w:rFonts w:ascii="Times New Roman;Times;Serif" w:hAnsi="Times New Roman;Times;Serif"/>
          <w:b w:val="false"/>
          <w:i w:val="false"/>
          <w:caps w:val="false"/>
          <w:smallCaps w:val="false"/>
          <w:sz w:val="20"/>
        </w:rPr>
        <w:t>18,072 of CNTQ accrued and unpaid transaction expenses, of which all were paid upon consummation of the merger. As detailed below, $</w:t>
      </w:r>
      <w:bookmarkStart w:id="356" w:name="xdx_908_ecustom--ProceedsFromIssuanceOfL"/>
      <w:bookmarkEnd w:id="356"/>
      <w:r>
        <w:rPr>
          <w:rFonts w:ascii="Times New Roman;Times;Serif" w:hAnsi="Times New Roman;Times;Serif"/>
          <w:b w:val="false"/>
          <w:i w:val="false"/>
          <w:caps w:val="false"/>
          <w:smallCaps w:val="false"/>
          <w:sz w:val="20"/>
        </w:rPr>
        <w:t>10,197 of these costs were expensed as the amount exceeded the proceeds received and such costs were determined not be a return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closing of the merger, the Company’s certificate of incorporation was amended and restated to, among other things, increase the total number of authorized shares of all classes of capital stock to </w:t>
      </w:r>
      <w:bookmarkStart w:id="357" w:name="xdx_901_eus-gaap--CapitalUnitsAuthorized"/>
      <w:bookmarkEnd w:id="357"/>
      <w:r>
        <w:rPr>
          <w:rFonts w:ascii="Times New Roman;Times;Serif" w:hAnsi="Times New Roman;Times;Serif"/>
          <w:b w:val="false"/>
          <w:i w:val="false"/>
          <w:caps w:val="false"/>
          <w:smallCaps w:val="false"/>
          <w:sz w:val="20"/>
        </w:rPr>
        <w:t xml:space="preserve">175,000,000 common shares, of which </w:t>
      </w:r>
      <w:bookmarkStart w:id="358" w:name="xdx_901_eus-gaap--CommonStockSharesAutho"/>
      <w:bookmarkEnd w:id="358"/>
      <w:r>
        <w:rPr>
          <w:rFonts w:ascii="Times New Roman;Times;Serif" w:hAnsi="Times New Roman;Times;Serif"/>
          <w:b w:val="false"/>
          <w:i w:val="false"/>
          <w:caps w:val="false"/>
          <w:smallCaps w:val="false"/>
          <w:sz w:val="20"/>
        </w:rPr>
        <w:t xml:space="preserve">170,000,000 were designated as common stock and </w:t>
      </w:r>
      <w:bookmarkStart w:id="359" w:name="xdx_901_eus-gaap--PreferredStockSharesAu"/>
      <w:bookmarkEnd w:id="359"/>
      <w:r>
        <w:rPr>
          <w:rFonts w:ascii="Times New Roman;Times;Serif" w:hAnsi="Times New Roman;Times;Serif"/>
          <w:b w:val="false"/>
          <w:i w:val="false"/>
          <w:caps w:val="false"/>
          <w:smallCaps w:val="false"/>
          <w:sz w:val="20"/>
        </w:rPr>
        <w:t>5,000,000 were designated as preferred stock, both having a par value of $</w:t>
      </w:r>
      <w:bookmarkStart w:id="360" w:name="xdx_908_eus-gaap--CommonStockParOrStated"/>
      <w:bookmarkStart w:id="361" w:name="xdx_902_eus-gaap--PreferredStockParOrSta"/>
      <w:bookmarkEnd w:id="360"/>
      <w:bookmarkEnd w:id="361"/>
      <w:r>
        <w:rPr>
          <w:rFonts w:ascii="Times New Roman;Times;Serif" w:hAnsi="Times New Roman;Times;Serif"/>
          <w:b w:val="false"/>
          <w:i w:val="false"/>
          <w:caps w:val="false"/>
          <w:smallCaps w:val="false"/>
          <w:sz w:val="20"/>
        </w:rPr>
        <w:t>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9B_ecustom--ScheduleOfMergerCashFlo"/>
      <w:bookmarkEnd w:id="362"/>
      <w:r>
        <w:rPr>
          <w:rFonts w:ascii="Times New Roman;Times;Serif" w:hAnsi="Times New Roman;Times;Serif"/>
          <w:b w:val="false"/>
          <w:i w:val="false"/>
          <w:caps w:val="false"/>
          <w:smallCaps w:val="false"/>
          <w:sz w:val="20"/>
        </w:rPr>
        <w:t>The following table summarizes the elements of the merger allocated to the Consolidated Statements of Operations:</w:t>
      </w:r>
    </w:p>
    <w:p>
      <w:pPr>
        <w:pStyle w:val="TextBody"/>
        <w:bidi w:val="0"/>
        <w:spacing w:before="0" w:after="0"/>
        <w:ind w:left="0" w:right="0" w:hanging="0"/>
        <w:jc w:val="both"/>
        <w:rPr>
          <w:caps w:val="false"/>
          <w:smallCaps w:val="false"/>
        </w:rPr>
      </w:pPr>
      <w:r>
        <w:rPr>
          <w:caps w:val="false"/>
          <w:smallCaps w:val="false"/>
        </w:rPr>
        <w:t> </w:t>
      </w:r>
      <w:bookmarkStart w:id="363" w:name="xdx_8B6_zc0xRalE3aid"/>
      <w:bookmarkEnd w:id="363"/>
      <w:r>
        <w:rPr>
          <w:rFonts w:ascii="Times New Roman;Times;Serif" w:hAnsi="Times New Roman;Times;Serif"/>
          <w:b w:val="false"/>
          <w:i w:val="false"/>
          <w:caps w:val="false"/>
          <w:smallCaps w:val="false"/>
          <w:sz w:val="20"/>
        </w:rPr>
        <w:t>SCHEDULE OF MERGER CASH FLOW AND SHAREHOLDERS EQUITY</w:t>
      </w:r>
    </w:p>
    <w:tbl>
      <w:tblPr>
        <w:tblW w:w="4565" w:type="dxa"/>
        <w:jc w:val="left"/>
        <w:tblInd w:w="0" w:type="dxa"/>
        <w:tblLayout w:type="fixed"/>
        <w:tblCellMar>
          <w:top w:w="0" w:type="dxa"/>
          <w:left w:w="0" w:type="dxa"/>
          <w:bottom w:w="0" w:type="dxa"/>
          <w:right w:w="0" w:type="dxa"/>
        </w:tblCellMar>
      </w:tblPr>
      <w:tblGrid>
        <w:gridCol w:w="3635"/>
        <w:gridCol w:w="60"/>
        <w:gridCol w:w="125"/>
        <w:gridCol w:w="650"/>
        <w:gridCol w:w="95"/>
      </w:tblGrid>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4" w:name="xdx_496_20220101__20221231__us-gaap--Deb"/>
            <w:bookmarkEnd w:id="364"/>
          </w:p>
        </w:tc>
        <w:tc>
          <w:tcPr>
            <w:tcW w:w="775"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65" w:name="xdx_409_eus-gaap--ProceedsFromIssuanceOf"/>
            <w:bookmarkEnd w:id="365"/>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 trust and PIPE Investors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6" w:name="xdx_40A_eus-gaap--ProceedsFromIssuanceOf"/>
            <w:bookmarkEnd w:id="366"/>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67" w:name="xdx_408_eus-gaap--ProceedsFromIssuanceOf"/>
            <w:bookmarkEnd w:id="367"/>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8" w:name="xdx_404_ecustom--NetLiabilitiesAssumedIn"/>
            <w:bookmarkEnd w:id="368"/>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liabilities assumed in merger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9" w:name="xdx_40A_eus-gaap--LiabilitiesAssumed1_iN"/>
            <w:bookmarkEnd w:id="369"/>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assumed in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0" w:name="xdx_404_ecustom--NetDeficitAssumedInMerg"/>
            <w:bookmarkEnd w:id="370"/>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note payable settlement at close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1" w:name="xdx_40D_ecustom--TransactionCosts_pn3n3_"/>
            <w:bookmarkEnd w:id="371"/>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transaction costs paid at close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2" w:name="xdx_400_ecustom--ProceedsFromIssuanceOfL"/>
            <w:bookmarkEnd w:id="372"/>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deficit assumed in recapitalization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tbl>
      <w:tblPr>
        <w:tblW w:w="7544" w:type="dxa"/>
        <w:jc w:val="left"/>
        <w:tblInd w:w="0" w:type="dxa"/>
        <w:tblLayout w:type="fixed"/>
        <w:tblCellMar>
          <w:top w:w="0" w:type="dxa"/>
          <w:left w:w="0" w:type="dxa"/>
          <w:bottom w:w="0" w:type="dxa"/>
          <w:right w:w="0" w:type="dxa"/>
        </w:tblCellMar>
      </w:tblPr>
      <w:tblGrid>
        <w:gridCol w:w="5630"/>
        <w:gridCol w:w="60"/>
        <w:gridCol w:w="90"/>
        <w:gridCol w:w="1654"/>
        <w:gridCol w:w="110"/>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8_20220101__20221231__us-gaap--Deb"/>
            <w:bookmarkEnd w:id="373"/>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 of Shares</w:t>
            </w:r>
          </w:p>
        </w:tc>
        <w:tc>
          <w:tcPr>
            <w:tcW w:w="110" w:type="dxa"/>
            <w:tcBorders/>
            <w:vAlign w:val="center"/>
          </w:tcPr>
          <w:p>
            <w:pPr>
              <w:pStyle w:val="TableContents"/>
              <w:bidi w:val="0"/>
              <w:spacing w:before="0" w:after="283"/>
              <w:jc w:val="left"/>
              <w:rPr/>
            </w:pPr>
            <w:r>
              <w:rPr/>
              <w:t> </w:t>
            </w:r>
            <w:bookmarkStart w:id="374" w:name="xdx_405_eus-gaap--CommonStockSharesOutst"/>
            <w:bookmarkEnd w:id="374"/>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 prior to merger</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3,093,348</w:t>
            </w:r>
          </w:p>
        </w:tc>
        <w:tc>
          <w:tcPr>
            <w:tcW w:w="110" w:type="dxa"/>
            <w:tcBorders/>
            <w:shd w:fill="CCEEFF" w:val="clear"/>
            <w:vAlign w:val="center"/>
          </w:tcPr>
          <w:p>
            <w:pPr>
              <w:pStyle w:val="TableContents"/>
              <w:bidi w:val="0"/>
              <w:spacing w:before="0" w:after="283"/>
              <w:jc w:val="left"/>
              <w:rPr/>
            </w:pPr>
            <w:r>
              <w:rPr/>
              <w:t> </w:t>
            </w:r>
            <w:bookmarkStart w:id="375" w:name="xdx_40E_eus-gaap--StockRepurchasedDuring"/>
            <w:bookmarkEnd w:id="375"/>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CNTQ shares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(2,016,912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6" w:name="xdx_406_eus-gaap--StockIssuedDuringPerio"/>
            <w:bookmarkEnd w:id="376"/>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CNTQ Public Shares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1,076,436</w:t>
            </w:r>
          </w:p>
        </w:tc>
        <w:tc>
          <w:tcPr>
            <w:tcW w:w="110" w:type="dxa"/>
            <w:tcBorders/>
            <w:shd w:fill="CCEEFF" w:val="clear"/>
            <w:vAlign w:val="center"/>
          </w:tcPr>
          <w:p>
            <w:pPr>
              <w:pStyle w:val="TableContents"/>
              <w:bidi w:val="0"/>
              <w:spacing w:before="0" w:after="283"/>
              <w:jc w:val="left"/>
              <w:rPr/>
            </w:pPr>
            <w:r>
              <w:rPr/>
              <w:t> </w:t>
            </w:r>
            <w:bookmarkStart w:id="377" w:name="xdx_400_eus-gaap--StockIssuedDuringPerio"/>
            <w:bookmarkEnd w:id="377"/>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CNTQ Sponsor Shares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3,162,500</w:t>
            </w:r>
          </w:p>
        </w:tc>
        <w:tc>
          <w:tcPr>
            <w:tcW w:w="110" w:type="dxa"/>
            <w:tcBorders/>
            <w:shd w:fill="FFFFFF" w:val="clear"/>
            <w:vAlign w:val="center"/>
          </w:tcPr>
          <w:p>
            <w:pPr>
              <w:pStyle w:val="TableContents"/>
              <w:bidi w:val="0"/>
              <w:spacing w:before="0" w:after="283"/>
              <w:jc w:val="left"/>
              <w:rPr/>
            </w:pPr>
            <w:r>
              <w:rPr/>
              <w:t> </w:t>
            </w:r>
            <w:bookmarkStart w:id="378" w:name="xdx_409_ecustom--StockIssuedDuringPeriod"/>
            <w:bookmarkEnd w:id="378"/>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and PIPE financing shares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4,238,936</w:t>
            </w:r>
          </w:p>
        </w:tc>
        <w:tc>
          <w:tcPr>
            <w:tcW w:w="110" w:type="dxa"/>
            <w:tcBorders/>
            <w:shd w:fill="CCEEFF" w:val="clear"/>
            <w:vAlign w:val="center"/>
          </w:tcPr>
          <w:p>
            <w:pPr>
              <w:pStyle w:val="TableContents"/>
              <w:bidi w:val="0"/>
              <w:spacing w:before="0" w:after="283"/>
              <w:jc w:val="left"/>
              <w:rPr/>
            </w:pPr>
            <w:r>
              <w:rPr/>
              <w:t> </w:t>
            </w:r>
            <w:bookmarkStart w:id="379" w:name="xdx_404_ecustom--StockConvertedReverseRe"/>
            <w:bookmarkEnd w:id="379"/>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Legacy Dragonfly shares </w:t>
            </w:r>
            <w:bookmarkStart w:id="380" w:name="xdx_F48_zd48FYJyuPBa"/>
            <w:bookmarkEnd w:id="380"/>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38,576,650</w:t>
            </w:r>
          </w:p>
        </w:tc>
        <w:tc>
          <w:tcPr>
            <w:tcW w:w="110" w:type="dxa"/>
            <w:tcBorders/>
            <w:shd w:fill="FFFFFF" w:val="clear"/>
            <w:vAlign w:val="center"/>
          </w:tcPr>
          <w:p>
            <w:pPr>
              <w:pStyle w:val="TableContents"/>
              <w:bidi w:val="0"/>
              <w:spacing w:before="0" w:after="283"/>
              <w:jc w:val="left"/>
              <w:rPr/>
            </w:pPr>
            <w:r>
              <w:rPr/>
              <w:t> </w:t>
            </w:r>
            <w:bookmarkStart w:id="381" w:name="xdx_409_eus-gaap--CommonStockSharesOutst"/>
            <w:bookmarkEnd w:id="381"/>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immediately after the merger</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42,815,586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right"/>
              <w:rPr>
                <w:rFonts w:ascii="Times New Roman;Times;Serif" w:hAnsi="Times New Roman;Times;Serif"/>
                <w:i/>
                <w:sz w:val="20"/>
              </w:rPr>
            </w:pPr>
            <w:bookmarkStart w:id="382" w:name="xdx_F03_zf30tS4MH7Wb"/>
            <w:bookmarkEnd w:id="382"/>
            <w:r>
              <w:rPr>
                <w:rFonts w:ascii="Times New Roman;Times;Serif" w:hAnsi="Times New Roman;Times;Serif"/>
                <w:i/>
                <w:sz w:val="20"/>
              </w:rPr>
              <w:t>(1)</w:t>
            </w:r>
          </w:p>
        </w:tc>
        <w:tc>
          <w:tcPr>
            <w:tcW w:w="9975" w:type="dxa"/>
            <w:tcBorders/>
            <w:vAlign w:val="center"/>
          </w:tcPr>
          <w:p>
            <w:pPr>
              <w:pStyle w:val="TableContents"/>
              <w:bidi w:val="0"/>
              <w:spacing w:before="0" w:after="283"/>
              <w:jc w:val="both"/>
              <w:rPr>
                <w:rFonts w:ascii="Times New Roman;Times;Serif" w:hAnsi="Times New Roman;Times;Serif"/>
                <w:i/>
                <w:sz w:val="20"/>
              </w:rPr>
            </w:pPr>
            <w:bookmarkStart w:id="383" w:name="xdx_F1D_zEKF38gMn591"/>
            <w:bookmarkEnd w:id="383"/>
            <w:r>
              <w:rPr>
                <w:rFonts w:ascii="Times New Roman;Times;Serif" w:hAnsi="Times New Roman;Times;Serif"/>
                <w:i/>
                <w:sz w:val="20"/>
              </w:rPr>
              <w:t>-The number of Legacy Dragonfly shares was determined from the shares of Legacy Dragonfly outstanding immediately prior to the closing of the merger converted at the Exchange Ratio. All fractional shares were rounded down.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right"/>
              <w:rPr>
                <w:i/>
              </w:rPr>
            </w:pPr>
            <w:bookmarkStart w:id="384" w:name="xdx_F00_zsKtGZLlPF6l"/>
            <w:bookmarkEnd w:id="384"/>
            <w:r>
              <w:rPr>
                <w:i/>
              </w:rPr>
              <w:t>(2)</w:t>
            </w:r>
          </w:p>
        </w:tc>
        <w:tc>
          <w:tcPr>
            <w:tcW w:w="9939" w:type="dxa"/>
            <w:tcBorders/>
            <w:vAlign w:val="center"/>
          </w:tcPr>
          <w:p>
            <w:pPr>
              <w:pStyle w:val="TableContents"/>
              <w:bidi w:val="0"/>
              <w:spacing w:before="0" w:after="283"/>
              <w:jc w:val="both"/>
              <w:rPr/>
            </w:pPr>
            <w:r>
              <w:rPr/>
              <w:t>-</w:t>
            </w:r>
            <w:bookmarkStart w:id="385" w:name="xdx_F11_zLaxQG7cV0Qh"/>
            <w:bookmarkEnd w:id="385"/>
            <w:r>
              <w:rPr>
                <w:i/>
              </w:rPr>
              <w:t>The preferred shares of Legacy Dragonfly were exchanged on a 1 to 1 ratio to common stock and the shares were then exchanged for shares of Dragonfly Energy Holdings Corp. at the Exchange Ratio.</w:t>
            </w:r>
          </w:p>
        </w:tc>
      </w:tr>
    </w:tbl>
    <w:p>
      <w:pPr>
        <w:pStyle w:val="TextBody"/>
        <w:bidi w:val="0"/>
        <w:spacing w:before="0" w:after="0"/>
        <w:ind w:left="0" w:right="0" w:hanging="0"/>
        <w:jc w:val="left"/>
        <w:rPr>
          <w:caps w:val="false"/>
          <w:smallCaps w:val="false"/>
        </w:rPr>
      </w:pPr>
      <w:bookmarkStart w:id="386" w:name="xdx_8AB_zas4Gwcfdqg6"/>
      <w:bookmarkEnd w:id="38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reverse capitalization transaction, the Company issued public warrants, private placement warrants and Term Loan warrants. Refer to Note 12 for a further 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former holders of shares of Legacy Dragonfly common stock (including shares received as a result of the conversion of Legacy Dragonfly Preferred Stock into New Dragonfly Common Stock) are entitled to receive their pro rata share of up to </w:t>
      </w:r>
      <w:bookmarkStart w:id="387" w:name="xdx_909_ecustom--BusinessAcquisitionEqui"/>
      <w:bookmarkEnd w:id="387"/>
      <w:r>
        <w:rPr>
          <w:rFonts w:ascii="Times New Roman;Times;Serif" w:hAnsi="Times New Roman;Times;Serif"/>
          <w:b w:val="false"/>
          <w:i w:val="false"/>
          <w:caps w:val="false"/>
          <w:smallCaps w:val="false"/>
          <w:sz w:val="20"/>
        </w:rPr>
        <w:t>40,000,000 additional shares of common stock (the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xml:space="preserve">”). The Earnout Shares are issuable in three tranches. The first tranche of </w:t>
      </w:r>
      <w:bookmarkStart w:id="388" w:name="xdx_90F_ecustom--EarnoutSharesIssuable_i"/>
      <w:bookmarkEnd w:id="388"/>
      <w:r>
        <w:rPr>
          <w:rFonts w:ascii="Times New Roman;Times;Serif" w:hAnsi="Times New Roman;Times;Serif"/>
          <w:b w:val="false"/>
          <w:i w:val="false"/>
          <w:caps w:val="false"/>
          <w:smallCaps w:val="false"/>
          <w:sz w:val="20"/>
        </w:rPr>
        <w:t>15,000,000 shares is issuable if New Dragonfly’s 2023 total audited revenue is equal to or greater than $</w:t>
      </w:r>
      <w:bookmarkStart w:id="389" w:name="xdx_90C_ecustom--AuditedRevenue_c2022010"/>
      <w:bookmarkEnd w:id="389"/>
      <w:r>
        <w:rPr>
          <w:rFonts w:ascii="Times New Roman;Times;Serif" w:hAnsi="Times New Roman;Times;Serif"/>
          <w:b w:val="false"/>
          <w:i w:val="false"/>
          <w:caps w:val="false"/>
          <w:smallCaps w:val="false"/>
          <w:sz w:val="20"/>
        </w:rPr>
        <w:t>250,000 and New Dragonfly’s 2023 audited operating income is equal to or greater than $</w:t>
      </w:r>
      <w:bookmarkStart w:id="390" w:name="xdx_906_ecustom--AuditedOperatingIncome_"/>
      <w:bookmarkEnd w:id="390"/>
      <w:r>
        <w:rPr>
          <w:rFonts w:ascii="Times New Roman;Times;Serif" w:hAnsi="Times New Roman;Times;Serif"/>
          <w:b w:val="false"/>
          <w:i w:val="false"/>
          <w:caps w:val="false"/>
          <w:smallCaps w:val="false"/>
          <w:sz w:val="20"/>
        </w:rPr>
        <w:t xml:space="preserve">35,000. The second tranche of </w:t>
      </w:r>
      <w:bookmarkStart w:id="391" w:name="xdx_90A_ecustom--EarnoutSharesIssuable_i"/>
      <w:bookmarkEnd w:id="391"/>
      <w:r>
        <w:rPr>
          <w:rFonts w:ascii="Times New Roman;Times;Serif" w:hAnsi="Times New Roman;Times;Serif"/>
          <w:b w:val="false"/>
          <w:i w:val="false"/>
          <w:caps w:val="false"/>
          <w:smallCaps w:val="false"/>
          <w:sz w:val="20"/>
        </w:rPr>
        <w:t>12,500,000 shares is issuable upon achieving a volume-weighted average trading price threshold of at least $</w:t>
      </w:r>
      <w:bookmarkStart w:id="392" w:name="xdx_90A_ecustom--VolumeWeightedAveragePr"/>
      <w:bookmarkEnd w:id="392"/>
      <w:r>
        <w:rPr>
          <w:rFonts w:ascii="Times New Roman;Times;Serif" w:hAnsi="Times New Roman;Times;Serif"/>
          <w:b w:val="false"/>
          <w:i w:val="false"/>
          <w:caps w:val="false"/>
          <w:smallCaps w:val="false"/>
          <w:sz w:val="20"/>
        </w:rPr>
        <w:t xml:space="preserve">22.50 on or prior to December 31, 2026 and the third tranche of </w:t>
      </w:r>
      <w:bookmarkStart w:id="393" w:name="xdx_905_ecustom--EarnoutSharesIssuable_i"/>
      <w:bookmarkEnd w:id="393"/>
      <w:r>
        <w:rPr>
          <w:rFonts w:ascii="Times New Roman;Times;Serif" w:hAnsi="Times New Roman;Times;Serif"/>
          <w:b w:val="false"/>
          <w:i w:val="false"/>
          <w:caps w:val="false"/>
          <w:smallCaps w:val="false"/>
          <w:sz w:val="20"/>
        </w:rPr>
        <w:t>12,500,000 is issuable upon achieving a volume-weighted average trading price threshold of at least $</w:t>
      </w:r>
      <w:bookmarkStart w:id="394" w:name="xdx_90B_ecustom--VolumeWeightedAveragePr"/>
      <w:bookmarkEnd w:id="394"/>
      <w:r>
        <w:rPr>
          <w:rFonts w:ascii="Times New Roman;Times;Serif" w:hAnsi="Times New Roman;Times;Serif"/>
          <w:b w:val="false"/>
          <w:i w:val="false"/>
          <w:caps w:val="false"/>
          <w:smallCaps w:val="false"/>
          <w:sz w:val="20"/>
        </w:rPr>
        <w:t>32.50 on or prior to December 31, 2028. To the extent not previously earned, the second tranche is issuable if the $</w:t>
      </w:r>
      <w:bookmarkStart w:id="395" w:name="xdx_90C_ecustom--VolumeWeightedAveragePr"/>
      <w:bookmarkEnd w:id="395"/>
      <w:r>
        <w:rPr>
          <w:rFonts w:ascii="Times New Roman;Times;Serif" w:hAnsi="Times New Roman;Times;Serif"/>
          <w:b w:val="false"/>
          <w:i w:val="false"/>
          <w:caps w:val="false"/>
          <w:smallCaps w:val="false"/>
          <w:sz w:val="20"/>
        </w:rPr>
        <w:t>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w:t>
      </w:r>
      <w:bookmarkStart w:id="396" w:name="xdx_90E_eus-gaap--SharePrice_iI_c2022123"/>
      <w:bookmarkEnd w:id="396"/>
      <w:r>
        <w:rPr>
          <w:rFonts w:ascii="Times New Roman;Times;Serif" w:hAnsi="Times New Roman;Times;Serif"/>
          <w:b w:val="false"/>
          <w:i w:val="false"/>
          <w:caps w:val="false"/>
          <w:smallCaps w:val="false"/>
          <w:sz w:val="20"/>
        </w:rPr>
        <w:t xml:space="preserve">14.00; (2) a risk-free rate of </w:t>
      </w:r>
      <w:bookmarkStart w:id="397" w:name="xdx_908_eus-gaap--WarrantsAndRightsOutst"/>
      <w:bookmarkEnd w:id="397"/>
      <w:r>
        <w:rPr>
          <w:rFonts w:ascii="Times New Roman;Times;Serif" w:hAnsi="Times New Roman;Times;Serif"/>
          <w:b w:val="false"/>
          <w:i w:val="false"/>
          <w:caps w:val="false"/>
          <w:smallCaps w:val="false"/>
          <w:sz w:val="20"/>
        </w:rPr>
        <w:t>4.24%; (3) projected revenue and EBITDA of $</w:t>
      </w:r>
      <w:bookmarkStart w:id="398" w:name="xdx_900_eus-gaap--DebtInstrumentFairValu"/>
      <w:bookmarkEnd w:id="398"/>
      <w:r>
        <w:rPr>
          <w:rFonts w:ascii="Times New Roman;Times;Serif" w:hAnsi="Times New Roman;Times;Serif"/>
          <w:b w:val="false"/>
          <w:i w:val="false"/>
          <w:caps w:val="false"/>
          <w:smallCaps w:val="false"/>
          <w:sz w:val="20"/>
        </w:rPr>
        <w:t>255,100 and $</w:t>
      </w:r>
      <w:bookmarkStart w:id="399" w:name="xdx_900_eus-gaap--DebtInstrumentFairValu"/>
      <w:bookmarkEnd w:id="399"/>
      <w:r>
        <w:rPr>
          <w:rFonts w:ascii="Times New Roman;Times;Serif" w:hAnsi="Times New Roman;Times;Serif"/>
          <w:b w:val="false"/>
          <w:i w:val="false"/>
          <w:caps w:val="false"/>
          <w:smallCaps w:val="false"/>
          <w:sz w:val="20"/>
        </w:rPr>
        <w:t xml:space="preserve">41,000, respectively; (4) expected volatility of future annual revenue and future annual EBITDA of </w:t>
      </w:r>
      <w:bookmarkStart w:id="400" w:name="xdx_907_eus-gaap--WarrantsAndRightsOutst"/>
      <w:bookmarkEnd w:id="400"/>
      <w:r>
        <w:rPr>
          <w:rFonts w:ascii="Times New Roman;Times;Serif" w:hAnsi="Times New Roman;Times;Serif"/>
          <w:b w:val="false"/>
          <w:i w:val="false"/>
          <w:caps w:val="false"/>
          <w:smallCaps w:val="false"/>
          <w:sz w:val="20"/>
        </w:rPr>
        <w:t xml:space="preserve">42.0% and </w:t>
      </w:r>
      <w:bookmarkStart w:id="401" w:name="xdx_905_eus-gaap--WarrantsAndRightsOutst"/>
      <w:bookmarkEnd w:id="401"/>
      <w:r>
        <w:rPr>
          <w:rFonts w:ascii="Times New Roman;Times;Serif" w:hAnsi="Times New Roman;Times;Serif"/>
          <w:b w:val="false"/>
          <w:i w:val="false"/>
          <w:caps w:val="false"/>
          <w:smallCaps w:val="false"/>
          <w:sz w:val="20"/>
        </w:rPr>
        <w:t xml:space="preserve">64.0% respectively; (5) discount rate of </w:t>
      </w:r>
      <w:bookmarkStart w:id="402" w:name="xdx_909_eus-gaap--WarrantsAndRightsOutst"/>
      <w:bookmarkEnd w:id="402"/>
      <w:r>
        <w:rPr>
          <w:rFonts w:ascii="Times New Roman;Times;Serif" w:hAnsi="Times New Roman;Times;Serif"/>
          <w:b w:val="false"/>
          <w:i w:val="false"/>
          <w:caps w:val="false"/>
          <w:smallCaps w:val="false"/>
          <w:sz w:val="20"/>
        </w:rPr>
        <w:t xml:space="preserve">4.24%; and (6) expected probability of change in control of </w:t>
      </w:r>
      <w:bookmarkStart w:id="403" w:name="xdx_90E_eus-gaap--WarrantsAndRightsOutst"/>
      <w:bookmarkEnd w:id="403"/>
      <w:r>
        <w:rPr>
          <w:rFonts w:ascii="Times New Roman;Times;Serif" w:hAnsi="Times New Roman;Times;Serif"/>
          <w:b w:val="false"/>
          <w:i w:val="false"/>
          <w:caps w:val="false"/>
          <w:smallCaps w:val="false"/>
          <w:sz w:val="20"/>
        </w:rPr>
        <w:t>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04" w:name="xdx_800_eus-gaap--FairValueDisclosuresTe"/>
      <w:bookmarkEnd w:id="404"/>
      <w:r>
        <w:rPr>
          <w:rFonts w:ascii="Times New Roman;Times;Serif" w:hAnsi="Times New Roman;Times;Serif"/>
          <w:b/>
          <w:i w:val="false"/>
          <w:caps/>
          <w:sz w:val="20"/>
        </w:rPr>
        <w:t xml:space="preserve">Note 4 - </w:t>
      </w:r>
      <w:bookmarkStart w:id="405" w:name="xdx_826_zfbAXR8Udxpg"/>
      <w:bookmarkEnd w:id="405"/>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inputs are unobservable inputs that reflect the Company’s own assumptions about the inputs that market participants would use in pricing the asset or liability.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 and 2021:</w:t>
      </w:r>
    </w:p>
    <w:p>
      <w:pPr>
        <w:pStyle w:val="TextBody"/>
        <w:bidi w:val="0"/>
        <w:spacing w:before="0" w:after="0"/>
        <w:ind w:left="0" w:right="0" w:hanging="0"/>
        <w:jc w:val="both"/>
        <w:rPr>
          <w:caps w:val="false"/>
          <w:smallCaps w:val="false"/>
        </w:rPr>
      </w:pPr>
      <w:bookmarkStart w:id="406" w:name="xdx_899_eus-gaap--ScheduleOfFairValueAss"/>
      <w:bookmarkEnd w:id="406"/>
      <w:r>
        <w:rPr>
          <w:caps w:val="false"/>
          <w:smallCaps w:val="false"/>
        </w:rPr>
        <w:t> </w:t>
      </w:r>
      <w:bookmarkStart w:id="407" w:name="xdx_8BF_zKrjzdSBlNcg"/>
      <w:bookmarkEnd w:id="407"/>
      <w:r>
        <w:rPr>
          <w:rFonts w:ascii="Times New Roman;Times;Serif" w:hAnsi="Times New Roman;Times;Serif"/>
          <w:b w:val="false"/>
          <w:i w:val="false"/>
          <w:caps w:val="false"/>
          <w:smallCaps w:val="false"/>
          <w:sz w:val="20"/>
        </w:rPr>
        <w:t>SCHEDULE OF FAIR VALUE, ASSETS AND LIABILITIES</w:t>
      </w:r>
    </w:p>
    <w:tbl>
      <w:tblPr>
        <w:tblW w:w="10205" w:type="dxa"/>
        <w:jc w:val="left"/>
        <w:tblInd w:w="0" w:type="dxa"/>
        <w:tblLayout w:type="fixed"/>
        <w:tblCellMar>
          <w:top w:w="0" w:type="dxa"/>
          <w:left w:w="0" w:type="dxa"/>
          <w:bottom w:w="0" w:type="dxa"/>
          <w:right w:w="0" w:type="dxa"/>
        </w:tblCellMar>
      </w:tblPr>
      <w:tblGrid>
        <w:gridCol w:w="4216"/>
        <w:gridCol w:w="60"/>
        <w:gridCol w:w="286"/>
        <w:gridCol w:w="1402"/>
        <w:gridCol w:w="60"/>
        <w:gridCol w:w="60"/>
        <w:gridCol w:w="174"/>
        <w:gridCol w:w="847"/>
        <w:gridCol w:w="60"/>
        <w:gridCol w:w="60"/>
        <w:gridCol w:w="207"/>
        <w:gridCol w:w="678"/>
        <w:gridCol w:w="60"/>
        <w:gridCol w:w="60"/>
        <w:gridCol w:w="177"/>
        <w:gridCol w:w="710"/>
        <w:gridCol w:w="60"/>
        <w:gridCol w:w="60"/>
        <w:gridCol w:w="150"/>
        <w:gridCol w:w="737"/>
        <w:gridCol w:w="81"/>
      </w:tblGrid>
      <w:tr>
        <w:trPr/>
        <w:tc>
          <w:tcPr>
            <w:tcW w:w="42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848"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 2022</w:t>
            </w:r>
          </w:p>
        </w:tc>
        <w:tc>
          <w:tcPr>
            <w:tcW w:w="81" w:type="dxa"/>
            <w:tcBorders/>
            <w:vAlign w:val="center"/>
          </w:tcPr>
          <w:p>
            <w:pPr>
              <w:pStyle w:val="TableContents"/>
              <w:bidi w:val="0"/>
              <w:spacing w:before="0" w:after="283"/>
              <w:jc w:val="center"/>
              <w:rPr/>
            </w:pPr>
            <w:r>
              <w:rPr/>
              <w:t> </w:t>
            </w:r>
          </w:p>
        </w:tc>
      </w:tr>
      <w:tr>
        <w:trPr/>
        <w:tc>
          <w:tcPr>
            <w:tcW w:w="42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6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3)</w:t>
            </w:r>
          </w:p>
        </w:tc>
        <w:tc>
          <w:tcPr>
            <w:tcW w:w="81" w:type="dxa"/>
            <w:tcBorders/>
            <w:vAlign w:val="center"/>
          </w:tcPr>
          <w:p>
            <w:pPr>
              <w:pStyle w:val="TableContents"/>
              <w:bidi w:val="0"/>
              <w:spacing w:before="0" w:after="283"/>
              <w:jc w:val="center"/>
              <w:rPr/>
            </w:pPr>
            <w:r>
              <w:rPr/>
              <w:t> </w:t>
            </w:r>
          </w:p>
        </w:tc>
      </w:tr>
      <w:tr>
        <w:trPr/>
        <w:tc>
          <w:tcPr>
            <w:tcW w:w="4216"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8"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liability-Term Loan</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8" w:name="xdx_986_ecustom--LiabilitiesCarryingValu"/>
            <w:bookmarkEnd w:id="408"/>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9" w:name="xdx_98F_eus-gaap--SharesSubjectToMandato"/>
            <w:bookmarkEnd w:id="409"/>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0" w:name="xdx_989_eus-gaap--SharesSubjectToMandato"/>
            <w:bookmarkEnd w:id="410"/>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1" w:name="xdx_98E_eus-gaap--SharesSubjectToMandato"/>
            <w:bookmarkEnd w:id="411"/>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2" w:name="xdx_98C_eus-gaap--SharesSubjectToMandato"/>
            <w:bookmarkEnd w:id="412"/>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bidi w:val="0"/>
              <w:spacing w:before="0" w:after="283"/>
              <w:jc w:val="left"/>
              <w:rPr/>
            </w:pPr>
            <w:r>
              <w:rPr/>
              <w:t> </w:t>
            </w:r>
          </w:p>
        </w:tc>
      </w:tr>
      <w:tr>
        <w:trPr/>
        <w:tc>
          <w:tcPr>
            <w:tcW w:w="4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3" w:name="xdx_98C_ecustom--LiabilitiesCarryingValu"/>
            <w:bookmarkEnd w:id="413"/>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4" w:name="xdx_988_eus-gaap--SharesSubjectToMandato"/>
            <w:bookmarkEnd w:id="414"/>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5" w:name="xdx_98D_eus-gaap--SharesSubjectToMandato"/>
            <w:bookmarkEnd w:id="415"/>
          </w:p>
        </w:tc>
        <w:tc>
          <w:tcPr>
            <w:tcW w:w="6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6" w:name="xdx_985_eus-gaap--SharesSubjectToMandato"/>
            <w:bookmarkEnd w:id="416"/>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17" w:name="xdx_989_eus-gaap--SharesSubjectToMandato"/>
            <w:bookmarkEnd w:id="417"/>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8" w:name="xdx_98E_ecustom--LiabilitiesCarryingValu"/>
            <w:bookmarkEnd w:id="418"/>
          </w:p>
        </w:tc>
        <w:tc>
          <w:tcPr>
            <w:tcW w:w="14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9" w:name="xdx_984_eus-gaap--SharesSubjectToMandato"/>
            <w:bookmarkEnd w:id="419"/>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0" w:name="xdx_98E_eus-gaap--SharesSubjectToMandato"/>
            <w:bookmarkEnd w:id="420"/>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1" w:name="xdx_982_eus-gaap--SharesSubjectToMandato"/>
            <w:bookmarkEnd w:id="421"/>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2" w:name="xdx_98F_eus-gaap--SharesSubjectToMandato"/>
            <w:bookmarkEnd w:id="422"/>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3" w:name="xdx_8AA_zpkrKcmYFG2h"/>
      <w:bookmarkEnd w:id="423"/>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assets or liabilities that were measured at fair value as of December 31,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2022 and 2021 because of the relatively short maturity of these instruments.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4" w:name="xdx_807_eus-gaap--InventoryDisclosureTex"/>
      <w:bookmarkEnd w:id="424"/>
      <w:r>
        <w:rPr>
          <w:rFonts w:ascii="Times New Roman;Times;Serif" w:hAnsi="Times New Roman;Times;Serif"/>
          <w:b/>
          <w:i w:val="false"/>
          <w:caps w:val="false"/>
          <w:smallCaps w:val="false"/>
          <w:sz w:val="20"/>
        </w:rPr>
        <w:t>NOTE 5 — </w:t>
      </w:r>
      <w:bookmarkStart w:id="425" w:name="xdx_828_zs0WQqKHn549"/>
      <w:bookmarkEnd w:id="425"/>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26" w:name="xdx_899_eus-gaap--ScheduleOfInventoryCur"/>
      <w:bookmarkEnd w:id="426"/>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bookmarkStart w:id="427" w:name="xdx_8B4_zqUhXAJywNL7"/>
      <w:bookmarkEnd w:id="427"/>
      <w:r>
        <w:rPr>
          <w:rFonts w:ascii="Times New Roman;Times;Serif" w:hAnsi="Times New Roman;Times;Serif"/>
          <w:b w:val="false"/>
          <w:i w:val="false"/>
          <w:caps w:val="false"/>
          <w:smallCaps w:val="false"/>
          <w:sz w:val="20"/>
        </w:rPr>
        <w:t>SCHEDULE OF INVENTORY</w:t>
      </w:r>
    </w:p>
    <w:tbl>
      <w:tblPr>
        <w:tblW w:w="4573" w:type="dxa"/>
        <w:jc w:val="left"/>
        <w:tblInd w:w="0" w:type="dxa"/>
        <w:tblLayout w:type="fixed"/>
        <w:tblCellMar>
          <w:top w:w="0" w:type="dxa"/>
          <w:left w:w="0" w:type="dxa"/>
          <w:bottom w:w="0" w:type="dxa"/>
          <w:right w:w="0" w:type="dxa"/>
        </w:tblCellMar>
      </w:tblPr>
      <w:tblGrid>
        <w:gridCol w:w="1490"/>
        <w:gridCol w:w="60"/>
        <w:gridCol w:w="241"/>
        <w:gridCol w:w="1173"/>
        <w:gridCol w:w="60"/>
        <w:gridCol w:w="60"/>
        <w:gridCol w:w="241"/>
        <w:gridCol w:w="11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96_20221231_zDWFc71STLgj"/>
            <w:bookmarkEnd w:id="428"/>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9" w:name="xdx_49B_20211231_zWL4wAlnbci8"/>
            <w:bookmarkEnd w:id="429"/>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vAlign w:val="center"/>
          </w:tcPr>
          <w:p>
            <w:pPr>
              <w:pStyle w:val="TableContents"/>
              <w:bidi w:val="0"/>
              <w:spacing w:before="0" w:after="283"/>
              <w:jc w:val="left"/>
              <w:rPr/>
            </w:pPr>
            <w:r>
              <w:rPr/>
              <w:t> </w:t>
            </w:r>
            <w:bookmarkStart w:id="430" w:name="xdx_404_eus-gaap--InventoryRawMaterials_"/>
            <w:bookmarkEnd w:id="430"/>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22,885</w:t>
            </w:r>
          </w:p>
        </w:tc>
        <w:tc>
          <w:tcPr>
            <w:tcW w:w="75" w:type="dxa"/>
            <w:tcBorders/>
            <w:shd w:fill="CCEEFF" w:val="clear"/>
            <w:vAlign w:val="center"/>
          </w:tcPr>
          <w:p>
            <w:pPr>
              <w:pStyle w:val="TableContents"/>
              <w:bidi w:val="0"/>
              <w:spacing w:before="0" w:after="283"/>
              <w:jc w:val="left"/>
              <w:rPr/>
            </w:pPr>
            <w:r>
              <w:rPr/>
              <w:t> </w:t>
            </w:r>
            <w:bookmarkStart w:id="431" w:name="xdx_401_eus-gaap--InventoryFinishedGoods"/>
            <w:bookmarkEnd w:id="431"/>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4,242</w:t>
            </w:r>
          </w:p>
        </w:tc>
        <w:tc>
          <w:tcPr>
            <w:tcW w:w="75" w:type="dxa"/>
            <w:tcBorders/>
            <w:shd w:fill="FFFFFF" w:val="clear"/>
            <w:vAlign w:val="center"/>
          </w:tcPr>
          <w:p>
            <w:pPr>
              <w:pStyle w:val="TableContents"/>
              <w:bidi w:val="0"/>
              <w:spacing w:before="0" w:after="283"/>
              <w:jc w:val="left"/>
              <w:rPr/>
            </w:pPr>
            <w:r>
              <w:rPr/>
              <w:t> </w:t>
            </w:r>
            <w:bookmarkStart w:id="432" w:name="xdx_40B_eus-gaap--InventoryNet_iTI_pn3n3"/>
            <w:bookmarkEnd w:id="432"/>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3" w:name="xdx_8A6_zqKJiUTPlvx1"/>
      <w:bookmarkEnd w:id="43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4" w:name="xdx_808_eus-gaap--CommitmentsAndContinge"/>
      <w:bookmarkEnd w:id="434"/>
      <w:r>
        <w:rPr>
          <w:rFonts w:ascii="Times New Roman;Times;Serif" w:hAnsi="Times New Roman;Times;Serif"/>
          <w:b/>
          <w:i w:val="false"/>
          <w:caps w:val="false"/>
          <w:smallCaps w:val="false"/>
          <w:sz w:val="20"/>
        </w:rPr>
        <w:t>NOTE 6 — </w:t>
      </w:r>
      <w:bookmarkStart w:id="435" w:name="xdx_823_zQBgXdsHfN83"/>
      <w:bookmarkEnd w:id="43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w:t>
      </w:r>
      <w:bookmarkStart w:id="436" w:name="xdx_90B_eus-gaap--OperatingLeasePayments"/>
      <w:bookmarkEnd w:id="436"/>
      <w:r>
        <w:rPr>
          <w:rFonts w:ascii="Times New Roman;Times;Serif" w:hAnsi="Times New Roman;Times;Serif"/>
          <w:b w:val="false"/>
          <w:i w:val="false"/>
          <w:caps w:val="false"/>
          <w:smallCaps w:val="false"/>
          <w:sz w:val="20"/>
        </w:rPr>
        <w:t>60 to $</w:t>
      </w:r>
      <w:bookmarkStart w:id="437" w:name="xdx_904_eus-gaap--OperatingLeasePayments"/>
      <w:bookmarkEnd w:id="437"/>
      <w:r>
        <w:rPr>
          <w:rFonts w:ascii="Times New Roman;Times;Serif" w:hAnsi="Times New Roman;Times;Serif"/>
          <w:b w:val="false"/>
          <w:i w:val="false"/>
          <w:caps w:val="false"/>
          <w:smallCaps w:val="false"/>
          <w:sz w:val="20"/>
        </w:rPr>
        <w:t>74. In December of 2021, the Company entered into another lease for additional warehouse space located in Reno, Nevada that requires annual escalating monthly payments ranging from $</w:t>
      </w:r>
      <w:bookmarkStart w:id="438" w:name="xdx_90A_eus-gaap--OperatingLeasePayments"/>
      <w:bookmarkEnd w:id="438"/>
      <w:r>
        <w:rPr>
          <w:rFonts w:ascii="Times New Roman;Times;Serif" w:hAnsi="Times New Roman;Times;Serif"/>
          <w:b w:val="false"/>
          <w:i w:val="false"/>
          <w:caps w:val="false"/>
          <w:smallCaps w:val="false"/>
          <w:sz w:val="20"/>
        </w:rPr>
        <w:t>47 to $</w:t>
      </w:r>
      <w:bookmarkStart w:id="439" w:name="xdx_904_eus-gaap--OperatingLeasePayments"/>
      <w:bookmarkEnd w:id="439"/>
      <w:r>
        <w:rPr>
          <w:rFonts w:ascii="Times New Roman;Times;Serif" w:hAnsi="Times New Roman;Times;Serif"/>
          <w:b w:val="false"/>
          <w:i w:val="false"/>
          <w:caps w:val="false"/>
          <w:smallCaps w:val="false"/>
          <w:sz w:val="20"/>
        </w:rPr>
        <w:t xml:space="preserve">55. On February 2, 2022, the Company entered into a </w:t>
      </w:r>
      <w:bookmarkStart w:id="440" w:name="xdx_906_eus-gaap--LesseeOperatingLeaseTe"/>
      <w:bookmarkEnd w:id="440"/>
      <w:r>
        <w:rPr>
          <w:rFonts w:ascii="Times New Roman;Times;Serif" w:hAnsi="Times New Roman;Times;Serif"/>
          <w:b w:val="false"/>
          <w:i w:val="false"/>
          <w:caps w:val="false"/>
          <w:smallCaps w:val="false"/>
          <w:sz w:val="20"/>
        </w:rPr>
        <w:t>124-month lease agreement in Reno, Nevada. The lease calls for monthly base rent of $</w:t>
      </w:r>
      <w:bookmarkStart w:id="441" w:name="xdx_906_ecustom--LesseeOperatingLeaseMon"/>
      <w:bookmarkEnd w:id="441"/>
      <w:r>
        <w:rPr>
          <w:rFonts w:ascii="Times New Roman;Times;Serif" w:hAnsi="Times New Roman;Times;Serif"/>
          <w:b w:val="false"/>
          <w:i w:val="false"/>
          <w:caps w:val="false"/>
          <w:smallCaps w:val="false"/>
          <w:sz w:val="20"/>
        </w:rPr>
        <w:t>230, $</w:t>
      </w:r>
      <w:bookmarkStart w:id="442" w:name="xdx_902_eus-gaap--OperatingLeaseCost_pn3"/>
      <w:bookmarkEnd w:id="442"/>
      <w:r>
        <w:rPr>
          <w:rFonts w:ascii="Times New Roman;Times;Serif" w:hAnsi="Times New Roman;Times;Serif"/>
          <w:b w:val="false"/>
          <w:i w:val="false"/>
          <w:caps w:val="false"/>
          <w:smallCaps w:val="false"/>
          <w:sz w:val="20"/>
        </w:rPr>
        <w:t>23 of fixed operating expense costs, and estimated monthly property taxes of $</w:t>
      </w:r>
      <w:bookmarkStart w:id="443" w:name="xdx_90A_ecustom--LesseeOperatingLeaseEst"/>
      <w:bookmarkEnd w:id="443"/>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444" w:name="xdx_90B_ecustom--LesseeOperatingLeasePer"/>
      <w:bookmarkEnd w:id="444"/>
      <w:r>
        <w:rPr>
          <w:rFonts w:ascii="Times New Roman;Times;Serif" w:hAnsi="Times New Roman;Times;Serif"/>
          <w:b w:val="false"/>
          <w:i w:val="false"/>
          <w:caps w:val="false"/>
          <w:smallCaps w:val="false"/>
          <w:sz w:val="20"/>
        </w:rPr>
        <w:t xml:space="preserve">3% and </w:t>
      </w:r>
      <w:bookmarkStart w:id="445" w:name="xdx_904_ecustom--LesseeOperatingLeasePer"/>
      <w:bookmarkEnd w:id="445"/>
      <w:r>
        <w:rPr>
          <w:rFonts w:ascii="Times New Roman;Times;Serif" w:hAnsi="Times New Roman;Times;Serif"/>
          <w:b w:val="false"/>
          <w:i w:val="false"/>
          <w:caps w:val="false"/>
          <w:smallCaps w:val="false"/>
          <w:sz w:val="20"/>
        </w:rPr>
        <w:t xml:space="preserve">2.4%, respectively, on an annual basis. The first payment is due upon substantial completion of construction of the building which is expected to be within </w:t>
      </w:r>
      <w:bookmarkStart w:id="446" w:name="xdx_903_ecustom--LesseeOperatingLeaseTer"/>
      <w:bookmarkEnd w:id="446"/>
      <w:r>
        <w:rPr>
          <w:rFonts w:ascii="Times New Roman;Times;Serif" w:hAnsi="Times New Roman;Times;Serif"/>
          <w:b w:val="false"/>
          <w:i w:val="false"/>
          <w:caps w:val="false"/>
          <w:smallCaps w:val="false"/>
          <w:sz w:val="20"/>
        </w:rPr>
        <w:t>2 years from the effective date. As of December 31, 2022, the lease has not commenced as the Company does not have control over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7" w:name="xdx_89F_ecustom--DisclosureForBreakoutOf"/>
      <w:bookmarkEnd w:id="447"/>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bookmarkStart w:id="448" w:name="xdx_8BE_zt8KLPtbgvHl"/>
      <w:bookmarkEnd w:id="448"/>
      <w:r>
        <w:rPr>
          <w:rFonts w:ascii="Times New Roman;Times;Serif" w:hAnsi="Times New Roman;Times;Serif"/>
          <w:b w:val="false"/>
          <w:i w:val="false"/>
          <w:caps w:val="false"/>
          <w:smallCaps w:val="false"/>
          <w:sz w:val="20"/>
        </w:rPr>
        <w:t>SCHEDULE OF TABLE REPRESENTING THE BREAKOUT OF THE OPERATING LEASES</w:t>
      </w:r>
    </w:p>
    <w:tbl>
      <w:tblPr>
        <w:tblW w:w="6840" w:type="dxa"/>
        <w:jc w:val="left"/>
        <w:tblInd w:w="0" w:type="dxa"/>
        <w:tblLayout w:type="fixed"/>
        <w:tblCellMar>
          <w:top w:w="0" w:type="dxa"/>
          <w:left w:w="0" w:type="dxa"/>
          <w:bottom w:w="0" w:type="dxa"/>
          <w:right w:w="0" w:type="dxa"/>
        </w:tblCellMar>
      </w:tblPr>
      <w:tblGrid>
        <w:gridCol w:w="3755"/>
        <w:gridCol w:w="60"/>
        <w:gridCol w:w="283"/>
        <w:gridCol w:w="1132"/>
        <w:gridCol w:w="60"/>
        <w:gridCol w:w="60"/>
        <w:gridCol w:w="283"/>
        <w:gridCol w:w="1132"/>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9" w:name="xdx_495_20221231_zakPoxcMoui2"/>
            <w:bookmarkEnd w:id="449"/>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8_20211231_zXMZQzCCXMol"/>
            <w:bookmarkEnd w:id="450"/>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vAlign w:val="center"/>
          </w:tcPr>
          <w:p>
            <w:pPr>
              <w:pStyle w:val="TableContents"/>
              <w:bidi w:val="0"/>
              <w:spacing w:before="0" w:after="283"/>
              <w:jc w:val="left"/>
              <w:rPr/>
            </w:pPr>
            <w:r>
              <w:rPr/>
              <w:t> </w:t>
            </w:r>
            <w:bookmarkStart w:id="451" w:name="xdx_40E_eus-gaap--OperatingLeaseRightOfU"/>
            <w:bookmarkEnd w:id="451"/>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5,709</w:t>
            </w:r>
          </w:p>
        </w:tc>
        <w:tc>
          <w:tcPr>
            <w:tcW w:w="75" w:type="dxa"/>
            <w:tcBorders/>
            <w:shd w:fill="CCEEFF" w:val="clear"/>
            <w:vAlign w:val="center"/>
          </w:tcPr>
          <w:p>
            <w:pPr>
              <w:pStyle w:val="TableContents"/>
              <w:bidi w:val="0"/>
              <w:spacing w:before="0" w:after="283"/>
              <w:jc w:val="left"/>
              <w:rPr/>
            </w:pPr>
            <w:r>
              <w:rPr/>
              <w:t> </w:t>
            </w:r>
            <w:bookmarkStart w:id="452" w:name="xdx_402_eus-gaap--OperatingLeaseLiabilit"/>
            <w:bookmarkEnd w:id="452"/>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w:t>
            </w:r>
          </w:p>
        </w:tc>
        <w:tc>
          <w:tcPr>
            <w:tcW w:w="75" w:type="dxa"/>
            <w:tcBorders/>
            <w:shd w:fill="FFFFFF" w:val="clear"/>
            <w:vAlign w:val="center"/>
          </w:tcPr>
          <w:p>
            <w:pPr>
              <w:pStyle w:val="TableContents"/>
              <w:bidi w:val="0"/>
              <w:spacing w:before="0" w:after="283"/>
              <w:jc w:val="left"/>
              <w:rPr/>
            </w:pPr>
            <w:r>
              <w:rPr/>
              <w:t> </w:t>
            </w:r>
            <w:bookmarkStart w:id="453" w:name="xdx_401_eus-gaap--OperatingLeaseLiabilit"/>
            <w:bookmarkEnd w:id="453"/>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75" w:type="dxa"/>
            <w:tcBorders/>
            <w:shd w:fill="CCEEFF" w:val="clear"/>
            <w:vAlign w:val="center"/>
          </w:tcPr>
          <w:p>
            <w:pPr>
              <w:pStyle w:val="TableContents"/>
              <w:bidi w:val="0"/>
              <w:spacing w:before="0" w:after="283"/>
              <w:jc w:val="left"/>
              <w:rPr/>
            </w:pPr>
            <w:r>
              <w:rPr/>
              <w:t> </w:t>
            </w:r>
            <w:bookmarkStart w:id="454" w:name="xdx_409_eus-gaap--OperatingLeaseLiabilit"/>
            <w:bookmarkEnd w:id="454"/>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5,776</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bookmarkStart w:id="455" w:name="xdx_904_eus-gaap--OperatingLeaseWeighted"/>
            <w:bookmarkEnd w:id="455"/>
            <w:r>
              <w:rPr>
                <w:rFonts w:ascii="Times New Roman;Times;Serif" w:hAnsi="Times New Roman;Times;Serif"/>
                <w:sz w:val="20"/>
              </w:rPr>
              <w:t>3.6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bookmarkStart w:id="456" w:name="xdx_901_eus-gaap--OperatingLeaseWeighted"/>
            <w:bookmarkEnd w:id="456"/>
            <w:r>
              <w:rPr>
                <w:rFonts w:ascii="Times New Roman;Times;Serif" w:hAnsi="Times New Roman;Times;Serif"/>
                <w:sz w:val="20"/>
              </w:rPr>
              <w:t>4.6 years</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457" w:name="xdx_906_eus-gaap--OperatingLeaseWeighted"/>
            <w:bookmarkEnd w:id="457"/>
            <w:r>
              <w:rPr>
                <w:rFonts w:ascii="Times New Roman;Times;Serif" w:hAnsi="Times New Roman;Times;Serif"/>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458" w:name="xdx_90B_eus-gaap--OperatingLeaseWeighted"/>
            <w:bookmarkEnd w:id="458"/>
            <w:r>
              <w:rPr>
                <w:rFonts w:ascii="Times New Roman;Times;Serif" w:hAnsi="Times New Roman;Times;Serif"/>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9" w:name="xdx_8A8_zNSXWvEAQ0P3"/>
      <w:bookmarkEnd w:id="4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0" w:name="xdx_895_eus-gaap--LesseeOperatingLeaseLi"/>
      <w:bookmarkEnd w:id="460"/>
      <w:r>
        <w:rPr>
          <w:rFonts w:ascii="Times New Roman;Times;Serif" w:hAnsi="Times New Roman;Times;Serif"/>
          <w:b w:val="false"/>
          <w:i w:val="false"/>
          <w:caps w:val="false"/>
          <w:smallCaps w:val="false"/>
          <w:sz w:val="20"/>
        </w:rPr>
        <w:t>At December 31, 2022,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461" w:name="xdx_8B5_zmBMjcGzjLm"/>
      <w:bookmarkEnd w:id="461"/>
      <w:r>
        <w:rPr>
          <w:rFonts w:ascii="Times New Roman;Times;Serif" w:hAnsi="Times New Roman;Times;Serif"/>
          <w:b w:val="false"/>
          <w:i w:val="false"/>
          <w:caps w:val="false"/>
          <w:smallCaps w:val="false"/>
          <w:sz w:val="20"/>
        </w:rPr>
        <w:t>SCHEDULE OF THE FUTURE MINIMUM LEASE PAYMENTS UNDER THE OPERATING LEASES</w:t>
      </w:r>
    </w:p>
    <w:tbl>
      <w:tblPr>
        <w:tblW w:w="3735" w:type="dxa"/>
        <w:jc w:val="left"/>
        <w:tblInd w:w="0" w:type="dxa"/>
        <w:tblLayout w:type="fixed"/>
        <w:tblCellMar>
          <w:top w:w="0" w:type="dxa"/>
          <w:left w:w="0" w:type="dxa"/>
          <w:bottom w:w="0" w:type="dxa"/>
          <w:right w:w="0" w:type="dxa"/>
        </w:tblCellMar>
      </w:tblPr>
      <w:tblGrid>
        <w:gridCol w:w="2900"/>
        <w:gridCol w:w="60"/>
        <w:gridCol w:w="140"/>
        <w:gridCol w:w="560"/>
        <w:gridCol w:w="75"/>
      </w:tblGrid>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2" w:name="xdx_494_20221231_zjGTD0kYfeqb"/>
            <w:bookmarkEnd w:id="462"/>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63" w:name="xdx_406_eus-gaap--LesseeOperatingLeaseLi"/>
            <w:bookmarkEnd w:id="463"/>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w:t>
            </w:r>
          </w:p>
        </w:tc>
        <w:tc>
          <w:tcPr>
            <w:tcW w:w="75" w:type="dxa"/>
            <w:tcBorders/>
            <w:shd w:fill="CCEEFF" w:val="clear"/>
            <w:vAlign w:val="center"/>
          </w:tcPr>
          <w:p>
            <w:pPr>
              <w:pStyle w:val="TableContents"/>
              <w:bidi w:val="0"/>
              <w:spacing w:before="0" w:after="283"/>
              <w:jc w:val="left"/>
              <w:rPr/>
            </w:pPr>
            <w:r>
              <w:rPr/>
              <w:t> </w:t>
            </w:r>
            <w:bookmarkStart w:id="464" w:name="xdx_402_eus-gaap--LesseeOperatingLeaseLi"/>
            <w:bookmarkEnd w:id="464"/>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75" w:type="dxa"/>
            <w:tcBorders/>
            <w:shd w:fill="FFFFFF" w:val="clear"/>
            <w:vAlign w:val="center"/>
          </w:tcPr>
          <w:p>
            <w:pPr>
              <w:pStyle w:val="TableContents"/>
              <w:bidi w:val="0"/>
              <w:spacing w:before="0" w:after="283"/>
              <w:jc w:val="left"/>
              <w:rPr/>
            </w:pPr>
            <w:r>
              <w:rPr/>
              <w:t> </w:t>
            </w:r>
            <w:bookmarkStart w:id="465" w:name="xdx_403_eus-gaap--LesseeOperatingLeaseLi"/>
            <w:bookmarkEnd w:id="465"/>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75" w:type="dxa"/>
            <w:tcBorders/>
            <w:shd w:fill="CCEEFF" w:val="clear"/>
            <w:vAlign w:val="center"/>
          </w:tcPr>
          <w:p>
            <w:pPr>
              <w:pStyle w:val="TableContents"/>
              <w:bidi w:val="0"/>
              <w:spacing w:before="0" w:after="283"/>
              <w:jc w:val="left"/>
              <w:rPr/>
            </w:pPr>
            <w:r>
              <w:rPr/>
              <w:t> </w:t>
            </w:r>
            <w:bookmarkStart w:id="466" w:name="xdx_402_eus-gaap--LesseeOperatingLeaseLi"/>
            <w:bookmarkEnd w:id="466"/>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w:t>
            </w:r>
          </w:p>
        </w:tc>
        <w:tc>
          <w:tcPr>
            <w:tcW w:w="75" w:type="dxa"/>
            <w:tcBorders/>
            <w:shd w:fill="FFFFFF" w:val="clear"/>
            <w:vAlign w:val="center"/>
          </w:tcPr>
          <w:p>
            <w:pPr>
              <w:pStyle w:val="TableContents"/>
              <w:bidi w:val="0"/>
              <w:spacing w:before="0" w:after="283"/>
              <w:jc w:val="left"/>
              <w:rPr/>
            </w:pPr>
            <w:r>
              <w:rPr/>
              <w:t> </w:t>
            </w:r>
            <w:bookmarkStart w:id="467" w:name="xdx_408_eus-gaap--LesseeOperatingLeaseLi"/>
            <w:bookmarkEnd w:id="467"/>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5,167</w:t>
            </w:r>
          </w:p>
        </w:tc>
        <w:tc>
          <w:tcPr>
            <w:tcW w:w="75" w:type="dxa"/>
            <w:tcBorders/>
            <w:shd w:fill="CCEEFF" w:val="clear"/>
            <w:vAlign w:val="center"/>
          </w:tcPr>
          <w:p>
            <w:pPr>
              <w:pStyle w:val="TableContents"/>
              <w:bidi w:val="0"/>
              <w:spacing w:before="0" w:after="283"/>
              <w:jc w:val="left"/>
              <w:rPr/>
            </w:pPr>
            <w:r>
              <w:rPr/>
              <w:t> </w:t>
            </w:r>
            <w:bookmarkStart w:id="468" w:name="xdx_40E_eus-gaap--LesseeOperatingLeaseLi"/>
            <w:bookmarkEnd w:id="468"/>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75" w:type="dxa"/>
            <w:tcBorders/>
            <w:shd w:fill="FFFFFF" w:val="clear"/>
            <w:vAlign w:val="center"/>
          </w:tcPr>
          <w:p>
            <w:pPr>
              <w:pStyle w:val="TableContents"/>
              <w:bidi w:val="0"/>
              <w:spacing w:before="0" w:after="283"/>
              <w:jc w:val="left"/>
              <w:rPr/>
            </w:pPr>
            <w:r>
              <w:rPr/>
              <w:t> </w:t>
            </w:r>
            <w:bookmarkStart w:id="469" w:name="xdx_40A_eus-gaap--OperatingLeaseLiabilit"/>
            <w:bookmarkEnd w:id="469"/>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70" w:name="xdx_8A8_zy29tuvbISpb"/>
      <w:bookmarkEnd w:id="47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71" w:name="xdx_8BE_zrWP2c9gotha"/>
      <w:bookmarkStart w:id="472" w:name="xdx_899_eus-gaap--LeaseCostTableTextBloc"/>
      <w:bookmarkEnd w:id="471"/>
      <w:bookmarkEnd w:id="472"/>
      <w:r>
        <w:rPr>
          <w:rFonts w:ascii="Times New Roman;Times;Serif" w:hAnsi="Times New Roman;Times;Serif"/>
          <w:b w:val="false"/>
          <w:i w:val="false"/>
          <w:caps w:val="false"/>
          <w:smallCaps w:val="false"/>
          <w:sz w:val="20"/>
        </w:rPr>
        <w:t>SCHEDULE OF LEASE COST</w:t>
      </w:r>
    </w:p>
    <w:tbl>
      <w:tblPr>
        <w:tblW w:w="7654" w:type="dxa"/>
        <w:jc w:val="left"/>
        <w:tblInd w:w="0" w:type="dxa"/>
        <w:tblLayout w:type="fixed"/>
        <w:tblCellMar>
          <w:top w:w="0" w:type="dxa"/>
          <w:left w:w="0" w:type="dxa"/>
          <w:bottom w:w="0" w:type="dxa"/>
          <w:right w:w="0" w:type="dxa"/>
        </w:tblCellMar>
      </w:tblPr>
      <w:tblGrid>
        <w:gridCol w:w="1940"/>
        <w:gridCol w:w="60"/>
        <w:gridCol w:w="2570"/>
        <w:gridCol w:w="60"/>
        <w:gridCol w:w="283"/>
        <w:gridCol w:w="1132"/>
        <w:gridCol w:w="60"/>
        <w:gridCol w:w="60"/>
        <w:gridCol w:w="380"/>
        <w:gridCol w:w="1034"/>
        <w:gridCol w:w="75"/>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940" w:type="dxa"/>
            <w:tcBorders>
              <w:bottom w:val="single" w:sz="12" w:space="0" w:color="000000"/>
            </w:tcBorders>
            <w:tcMar>
              <w:bottom w:w="28" w:type="dxa"/>
            </w:tcMar>
            <w:vAlign w:val="center"/>
          </w:tcPr>
          <w:p>
            <w:pPr>
              <w:pStyle w:val="TableContents"/>
              <w:bidi w:val="0"/>
              <w:spacing w:before="0" w:after="283"/>
              <w:jc w:val="left"/>
              <w:rPr>
                <w:b/>
              </w:rPr>
            </w:pPr>
            <w:r>
              <w:rPr>
                <w:b/>
              </w:rPr>
              <w:t>Lease cost</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left"/>
              <w:rPr>
                <w:b/>
              </w:rPr>
            </w:pPr>
            <w:r>
              <w:rPr>
                <w:b/>
              </w:rPr>
              <w:t>Classification</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473" w:name="xdx_98F_eus-gaap--OperatingLeaseCost_pn3"/>
            <w:bookmarkEnd w:id="473"/>
          </w:p>
        </w:tc>
        <w:tc>
          <w:tcPr>
            <w:tcW w:w="1132"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bookmarkStart w:id="474" w:name="xdx_985_eus-gaap--OperatingLeaseCost_pn3"/>
            <w:bookmarkEnd w:id="474"/>
          </w:p>
        </w:tc>
        <w:tc>
          <w:tcPr>
            <w:tcW w:w="1034" w:type="dxa"/>
            <w:tcBorders/>
            <w:shd w:fill="CCEEFF" w:val="clear"/>
            <w:vAlign w:val="center"/>
          </w:tcPr>
          <w:p>
            <w:pPr>
              <w:pStyle w:val="TableContents"/>
              <w:bidi w:val="0"/>
              <w:spacing w:before="0" w:after="283"/>
              <w:jc w:val="right"/>
              <w:rPr/>
            </w:pPr>
            <w:r>
              <w:rPr/>
              <w:t>633</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475" w:name="xdx_984_eus-gaap--OperatingLeaseCost_pn3"/>
            <w:bookmarkEnd w:id="475"/>
          </w:p>
        </w:tc>
        <w:tc>
          <w:tcPr>
            <w:tcW w:w="1132"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bookmarkStart w:id="476" w:name="xdx_98E_eus-gaap--OperatingLeaseCost_pn3"/>
            <w:bookmarkEnd w:id="476"/>
          </w:p>
        </w:tc>
        <w:tc>
          <w:tcPr>
            <w:tcW w:w="1034" w:type="dxa"/>
            <w:tcBorders/>
            <w:shd w:fill="FFFFFF" w:val="clear"/>
            <w:vAlign w:val="center"/>
          </w:tcPr>
          <w:p>
            <w:pPr>
              <w:pStyle w:val="TableContents"/>
              <w:bidi w:val="0"/>
              <w:spacing w:before="0" w:after="283"/>
              <w:jc w:val="right"/>
              <w:rPr/>
            </w:pPr>
            <w:r>
              <w:rPr/>
              <w:t>103</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477" w:name="xdx_987_eus-gaap--OperatingLeaseCost_pn3"/>
            <w:bookmarkEnd w:id="477"/>
          </w:p>
        </w:tc>
        <w:tc>
          <w:tcPr>
            <w:tcW w:w="113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bookmarkStart w:id="478" w:name="xdx_98B_eus-gaap--OperatingLeaseCost_pn3"/>
            <w:bookmarkEnd w:id="478"/>
          </w:p>
        </w:tc>
        <w:tc>
          <w:tcPr>
            <w:tcW w:w="1034" w:type="dxa"/>
            <w:tcBorders/>
            <w:shd w:fill="CCEEFF" w:val="cle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79" w:name="xdx_98A_eus-gaap--OperatingLeaseCost_pn3"/>
            <w:bookmarkEnd w:id="479"/>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80" w:name="xdx_986_eus-gaap--OperatingLeaseCost_pn3"/>
            <w:bookmarkEnd w:id="480"/>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1" w:name="xdx_987_eus-gaap--OperatingLeaseCost_pn3"/>
            <w:bookmarkEnd w:id="481"/>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2" w:name="xdx_98C_eus-gaap--OperatingLeaseCost_pn3"/>
            <w:bookmarkEnd w:id="482"/>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820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483" w:name="xdx_8A7_zpUKse69i2Xf"/>
      <w:bookmarkEnd w:id="48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120" w:after="283"/>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for further discussion regarding contingent consideration arising from the April 2022 Asset Purchase agreement with Thomason Jones Company,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for further discussion regarding the earnout related to the reverse capitalization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4" w:name="xdx_80D_eus-gaap--DebtDisclosureTextBloc"/>
      <w:bookmarkEnd w:id="484"/>
      <w:r>
        <w:rPr>
          <w:rFonts w:ascii="Times New Roman;Times;Serif" w:hAnsi="Times New Roman;Times;Serif"/>
          <w:b/>
          <w:i w:val="false"/>
          <w:caps w:val="false"/>
          <w:smallCaps w:val="false"/>
          <w:sz w:val="20"/>
        </w:rPr>
        <w:t>NOTE 7 — LONG-TERM DEBT</w:t>
      </w:r>
    </w:p>
    <w:p>
      <w:pPr>
        <w:pStyle w:val="TextBody"/>
        <w:bidi w:val="0"/>
        <w:spacing w:before="0" w:after="0"/>
        <w:ind w:left="0" w:right="0" w:hanging="0"/>
        <w:jc w:val="left"/>
        <w:rPr>
          <w:caps w:val="false"/>
          <w:smallCaps w:val="false"/>
        </w:rPr>
      </w:pPr>
      <w:r>
        <w:rPr>
          <w:caps w:val="false"/>
          <w:smallCaps w:val="false"/>
        </w:rPr>
        <w:t> </w:t>
      </w:r>
      <w:bookmarkStart w:id="485" w:name="xdx_827_zr1KqFdkFzC7"/>
      <w:bookmarkEnd w:id="485"/>
      <w:r>
        <w:rPr>
          <w:rFonts w:ascii="Times New Roman;Times;Serif" w:hAnsi="Times New Roman;Times;Serif"/>
          <w:b w:val="false"/>
          <w:i w:val="false"/>
          <w:caps w:val="false"/>
          <w:smallCaps w:val="false"/>
          <w:sz w:val="20"/>
        </w:rPr>
        <w:t>DEBT</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w:t>
      </w:r>
      <w:bookmarkStart w:id="486" w:name="xdx_900_eus-gaap--DebtInstrumentFaceAmou"/>
      <w:bookmarkEnd w:id="486"/>
      <w:r>
        <w:rPr>
          <w:rFonts w:ascii="Times New Roman;Times;Serif" w:hAnsi="Times New Roman;Times;Serif"/>
          <w:b w:val="false"/>
          <w:i w:val="false"/>
          <w:caps w:val="false"/>
          <w:smallCaps w:val="false"/>
          <w:sz w:val="20"/>
        </w:rPr>
        <w:t>45,000 in fixed rate senior notes (the “</w:t>
      </w:r>
      <w:r>
        <w:rPr>
          <w:rFonts w:ascii="Times New Roman;Times;Serif" w:hAnsi="Times New Roman;Times;Serif"/>
          <w:b/>
          <w:i w:val="false"/>
          <w:caps w:val="false"/>
          <w:smallCaps w:val="false"/>
          <w:sz w:val="20"/>
        </w:rPr>
        <w:t>Series 2021-6 Notes</w:t>
      </w:r>
      <w:r>
        <w:rPr>
          <w:rFonts w:ascii="Times New Roman;Times;Serif" w:hAnsi="Times New Roman;Times;Serif"/>
          <w:b w:val="false"/>
          <w:i w:val="false"/>
          <w:caps w:val="false"/>
          <w:smallCaps w:val="false"/>
          <w:sz w:val="20"/>
        </w:rPr>
        <w:t>”) pursuant to a Trust Indenture held by UMB Bank, as trustee and disbursing agent, and NewLight Capital, LLC as servicer (the “</w:t>
      </w:r>
      <w:r>
        <w:rPr>
          <w:rFonts w:ascii="Times New Roman;Times;Serif" w:hAnsi="Times New Roman;Times;Serif"/>
          <w:b/>
          <w:i w:val="false"/>
          <w:caps w:val="false"/>
          <w:smallCaps w:val="false"/>
          <w:sz w:val="20"/>
        </w:rPr>
        <w:t>Servicer</w:t>
      </w:r>
      <w:r>
        <w:rPr>
          <w:rFonts w:ascii="Times New Roman;Times;Serif" w:hAnsi="Times New Roman;Times;Serif"/>
          <w:b w:val="false"/>
          <w:i w:val="false"/>
          <w:caps w:val="false"/>
          <w:smallCaps w:val="false"/>
          <w:sz w:val="20"/>
        </w:rPr>
        <w:t>”). The trust and debt documents also required the entry into a Lender Collateral Residual Value Insurance Policy (the “</w:t>
      </w:r>
      <w:r>
        <w:rPr>
          <w:rFonts w:ascii="Times New Roman;Times;Serif" w:hAnsi="Times New Roman;Times;Serif"/>
          <w:b/>
          <w:i w:val="false"/>
          <w:caps w:val="false"/>
          <w:smallCaps w:val="false"/>
          <w:sz w:val="20"/>
        </w:rPr>
        <w:t>Insurance Policy</w:t>
      </w:r>
      <w:r>
        <w:rPr>
          <w:rFonts w:ascii="Times New Roman;Times;Serif" w:hAnsi="Times New Roman;Times;Serif"/>
          <w:b w:val="false"/>
          <w:i w:val="false"/>
          <w:caps w:val="false"/>
          <w:smallCaps w:val="false"/>
          <w:sz w:val="20"/>
        </w:rPr>
        <w:t>”), with UMB Bank as named insured for $</w:t>
      </w:r>
      <w:bookmarkStart w:id="487" w:name="xdx_90E_ecustom--DebtInstrumentInsuredAm"/>
      <w:bookmarkEnd w:id="487"/>
      <w:r>
        <w:rPr>
          <w:rFonts w:ascii="Times New Roman;Times;Serif" w:hAnsi="Times New Roman;Times;Serif"/>
          <w:b w:val="false"/>
          <w:i w:val="false"/>
          <w:caps w:val="false"/>
          <w:smallCaps w:val="false"/>
          <w:sz w:val="20"/>
        </w:rPr>
        <w:t>45,000, and engagement of a placement agent,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date of the financing the Company received a wire for $</w:t>
      </w:r>
      <w:bookmarkStart w:id="488" w:name="xdx_90E_ecustom--NetProceedsFromIssuance"/>
      <w:bookmarkEnd w:id="488"/>
      <w:r>
        <w:rPr>
          <w:rFonts w:ascii="Times New Roman;Times;Serif" w:hAnsi="Times New Roman;Times;Serif"/>
          <w:b w:val="false"/>
          <w:i w:val="false"/>
          <w:caps w:val="false"/>
          <w:smallCaps w:val="false"/>
          <w:sz w:val="20"/>
        </w:rPr>
        <w:t>35,474, which is comprised of the gross proceeds of $</w:t>
      </w:r>
      <w:bookmarkStart w:id="489" w:name="xdx_905_eus-gaap--ProceedsFromNotesPayab"/>
      <w:bookmarkEnd w:id="489"/>
      <w:r>
        <w:rPr>
          <w:rFonts w:ascii="Times New Roman;Times;Serif" w:hAnsi="Times New Roman;Times;Serif"/>
          <w:b w:val="false"/>
          <w:i w:val="false"/>
          <w:caps w:val="false"/>
          <w:smallCaps w:val="false"/>
          <w:sz w:val="20"/>
        </w:rPr>
        <w:t>45,000 less $</w:t>
      </w:r>
      <w:bookmarkStart w:id="490" w:name="xdx_905_ecustom--DepositsToCertainReserv"/>
      <w:bookmarkEnd w:id="490"/>
      <w:r>
        <w:rPr>
          <w:rFonts w:ascii="Times New Roman;Times;Serif" w:hAnsi="Times New Roman;Times;Serif"/>
          <w:b w:val="false"/>
          <w:i w:val="false"/>
          <w:caps w:val="false"/>
          <w:smallCaps w:val="false"/>
          <w:sz w:val="20"/>
        </w:rPr>
        <w:t xml:space="preserve">3,188 in deposits to certain reserve accounts (see subsection labeled </w:t>
      </w:r>
      <w:r>
        <w:rPr>
          <w:rFonts w:ascii="Times New Roman;Times;Serif" w:hAnsi="Times New Roman;Times;Serif"/>
          <w:b w:val="false"/>
          <w:i/>
          <w:caps w:val="false"/>
          <w:smallCaps w:val="false"/>
          <w:sz w:val="20"/>
        </w:rPr>
        <w:t xml:space="preserve">Reserve Accounts </w:t>
      </w:r>
      <w:r>
        <w:rPr>
          <w:rFonts w:ascii="Times New Roman;Times;Serif" w:hAnsi="Times New Roman;Times;Serif"/>
          <w:b w:val="false"/>
          <w:i w:val="false"/>
          <w:caps w:val="false"/>
          <w:smallCaps w:val="false"/>
          <w:sz w:val="20"/>
        </w:rPr>
        <w:t>below), and $</w:t>
      </w:r>
      <w:bookmarkStart w:id="491" w:name="xdx_90D_ecustom--ExpensesWithdrawnFromGr"/>
      <w:bookmarkEnd w:id="491"/>
      <w:r>
        <w:rPr>
          <w:rFonts w:ascii="Times New Roman;Times;Serif" w:hAnsi="Times New Roman;Times;Serif"/>
          <w:b w:val="false"/>
          <w:i w:val="false"/>
          <w:caps w:val="false"/>
          <w:smallCaps w:val="false"/>
          <w:sz w:val="20"/>
        </w:rPr>
        <w:t>6,338 in expenses withdrawn from the gross proceeds, which included $</w:t>
      </w:r>
      <w:bookmarkStart w:id="492" w:name="xdx_90E_ecustom--PrepaidPolicyPremiumsAn"/>
      <w:bookmarkEnd w:id="492"/>
      <w:r>
        <w:rPr>
          <w:rFonts w:ascii="Times New Roman;Times;Serif" w:hAnsi="Times New Roman;Times;Serif"/>
          <w:b w:val="false"/>
          <w:i w:val="false"/>
          <w:caps w:val="false"/>
          <w:smallCaps w:val="false"/>
          <w:sz w:val="20"/>
        </w:rPr>
        <w:t xml:space="preserve">4,725 in prepaid policy premiums and related costs underlying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 prepaid loan monitoring fee of $</w:t>
      </w:r>
      <w:bookmarkStart w:id="493" w:name="xdx_904_ecustom--PrepaidLoanMonitoringFe"/>
      <w:bookmarkEnd w:id="493"/>
      <w:r>
        <w:rPr>
          <w:rFonts w:ascii="Times New Roman;Times;Serif" w:hAnsi="Times New Roman;Times;Serif"/>
          <w:b w:val="false"/>
          <w:i w:val="false"/>
          <w:caps w:val="false"/>
          <w:smallCaps w:val="false"/>
          <w:sz w:val="20"/>
        </w:rPr>
        <w:t>60 and $</w:t>
      </w:r>
      <w:bookmarkStart w:id="494" w:name="xdx_908_ecustom--OtherDebtIssuanceCosts_"/>
      <w:bookmarkEnd w:id="494"/>
      <w:r>
        <w:rPr>
          <w:rFonts w:ascii="Times New Roman;Times;Serif" w:hAnsi="Times New Roman;Times;Serif"/>
          <w:b w:val="false"/>
          <w:i w:val="false"/>
          <w:caps w:val="false"/>
          <w:smallCaps w:val="false"/>
          <w:sz w:val="20"/>
        </w:rPr>
        <w:t>1,553 in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for the Series 2021-6 Notes underlying the Trust Indenture is $</w:t>
      </w:r>
      <w:bookmarkStart w:id="495" w:name="xdx_90B_eus-gaap--DebtInstrumentFaceAmou"/>
      <w:bookmarkEnd w:id="495"/>
      <w:r>
        <w:rPr>
          <w:rFonts w:ascii="Times New Roman;Times;Serif" w:hAnsi="Times New Roman;Times;Serif"/>
          <w:b w:val="false"/>
          <w:i w:val="false"/>
          <w:caps w:val="false"/>
          <w:smallCaps w:val="false"/>
          <w:sz w:val="20"/>
        </w:rPr>
        <w:t xml:space="preserve">45,000 in principal on the date of the closing of the financing. The debt bears interest at </w:t>
      </w:r>
      <w:bookmarkStart w:id="496" w:name="xdx_900_eus-gaap--DebtInstrumentInterest"/>
      <w:bookmarkEnd w:id="496"/>
      <w:r>
        <w:rPr>
          <w:rFonts w:ascii="Times New Roman;Times;Serif" w:hAnsi="Times New Roman;Times;Serif"/>
          <w:b w:val="false"/>
          <w:i w:val="false"/>
          <w:caps w:val="false"/>
          <w:smallCaps w:val="false"/>
          <w:sz w:val="20"/>
        </w:rPr>
        <w:t>5.50% per annum accruing monthly on a 360 day basis. Late payments will be subject to a $</w:t>
      </w:r>
      <w:bookmarkStart w:id="497" w:name="xdx_90C_ecustom--DebtInstrumentLateFee_c"/>
      <w:bookmarkEnd w:id="497"/>
      <w:r>
        <w:rPr>
          <w:rFonts w:ascii="Times New Roman;Times;Serif" w:hAnsi="Times New Roman;Times;Serif"/>
          <w:b w:val="false"/>
          <w:i w:val="false"/>
          <w:caps w:val="false"/>
          <w:smallCaps w:val="false"/>
          <w:sz w:val="20"/>
        </w:rPr>
        <w:t xml:space="preserve">50 late fee and default interest based on a rate </w:t>
      </w:r>
      <w:bookmarkStart w:id="498" w:name="xdx_902_ecustom--DebtInstrumentDefaultIn"/>
      <w:bookmarkEnd w:id="498"/>
      <w:r>
        <w:rPr>
          <w:rFonts w:ascii="Times New Roman;Times;Serif" w:hAnsi="Times New Roman;Times;Serif"/>
          <w:b w:val="false"/>
          <w:i w:val="false"/>
          <w:caps w:val="false"/>
          <w:smallCaps w:val="false"/>
          <w:sz w:val="20"/>
        </w:rPr>
        <w:t xml:space="preserve">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w:t>
      </w:r>
      <w:bookmarkStart w:id="499" w:name="xdx_901_ecustom--DebtInstrumentNumberOfE"/>
      <w:bookmarkEnd w:id="499"/>
      <w:r>
        <w:rPr>
          <w:rFonts w:ascii="Times New Roman;Times;Serif" w:hAnsi="Times New Roman;Times;Serif"/>
          <w:b w:val="false"/>
          <w:i w:val="false"/>
          <w:caps w:val="false"/>
          <w:smallCaps w:val="false"/>
          <w:sz w:val="20"/>
        </w:rPr>
        <w:t>twenty four equal installments of principal in the amount of $</w:t>
      </w:r>
      <w:bookmarkStart w:id="500" w:name="xdx_908_eus-gaap--DebtInstrumentPeriodic"/>
      <w:bookmarkEnd w:id="500"/>
      <w:r>
        <w:rPr>
          <w:rFonts w:ascii="Times New Roman;Times;Serif" w:hAnsi="Times New Roman;Times;Serif"/>
          <w:b w:val="false"/>
          <w:i w:val="false"/>
          <w:caps w:val="false"/>
          <w:smallCaps w:val="false"/>
          <w:sz w:val="20"/>
        </w:rPr>
        <w:t xml:space="preserve">1,875, plus accrued interest on the unpaid principal amount. Any remaining obligations were due and payable on </w:t>
      </w:r>
      <w:bookmarkStart w:id="501" w:name="xdx_90F_eus-gaap--DebtInstrumentMaturity"/>
      <w:bookmarkEnd w:id="501"/>
      <w:r>
        <w:rPr>
          <w:rFonts w:ascii="Times New Roman;Times;Serif" w:hAnsi="Times New Roman;Times;Serif"/>
          <w:b w:val="false"/>
          <w:i w:val="false"/>
          <w:caps w:val="false"/>
          <w:smallCaps w:val="false"/>
          <w:sz w:val="20"/>
        </w:rPr>
        <w:t>November 1, 2024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as such funds must be reimbursed by the Company to the insurer.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w:t>
      </w:r>
      <w:bookmarkStart w:id="502" w:name="xdx_905_eus-gaap--InterestExpenseDebtExc"/>
      <w:bookmarkEnd w:id="502"/>
      <w:r>
        <w:rPr>
          <w:rFonts w:ascii="Times New Roman;Times;Serif" w:hAnsi="Times New Roman;Times;Serif"/>
          <w:b w:val="false"/>
          <w:i w:val="false"/>
          <w:caps w:val="false"/>
          <w:smallCaps w:val="false"/>
          <w:sz w:val="20"/>
        </w:rPr>
        <w:t>1,873 of interest expense was incurred under the debt. Amortization of the debt issuance costs amounted to $</w:t>
      </w:r>
      <w:bookmarkStart w:id="503" w:name="xdx_90A_eus-gaap--AmortizationOfFinancin"/>
      <w:bookmarkEnd w:id="503"/>
      <w:r>
        <w:rPr>
          <w:rFonts w:ascii="Times New Roman;Times;Serif" w:hAnsi="Times New Roman;Times;Serif"/>
          <w:b w:val="false"/>
          <w:i w:val="false"/>
          <w:caps w:val="false"/>
          <w:smallCaps w:val="false"/>
          <w:sz w:val="20"/>
        </w:rPr>
        <w:t xml:space="preserve">1,783 during the year ended December 31, 2022. In connection with the merger on October 7, 2022, the Company entered into a Term Loan, Guarantee and Security Agreement (see subsection labeled </w:t>
      </w:r>
      <w:r>
        <w:rPr>
          <w:rFonts w:ascii="Times New Roman;Times;Serif" w:hAnsi="Times New Roman;Times;Serif"/>
          <w:b w:val="false"/>
          <w:i/>
          <w:caps w:val="false"/>
          <w:smallCaps w:val="false"/>
          <w:sz w:val="20"/>
        </w:rPr>
        <w:t>Term Loan Agreement</w:t>
      </w:r>
      <w:r>
        <w:rPr>
          <w:rFonts w:ascii="Times New Roman;Times;Serif" w:hAnsi="Times New Roman;Times;Serif"/>
          <w:b w:val="false"/>
          <w:i w:val="false"/>
          <w:caps w:val="false"/>
          <w:smallCaps w:val="false"/>
          <w:sz w:val="20"/>
        </w:rPr>
        <w:t xml:space="preserve"> below) and the outstanding principal balance for the Series 2021-6 Notes underlying the Trust Indenture was paid in full. A loss on extinguishment of $</w:t>
      </w:r>
      <w:bookmarkStart w:id="504" w:name="xdx_903_eus-gaap--GainsLossesOnExtinguis"/>
      <w:bookmarkEnd w:id="504"/>
      <w:r>
        <w:rPr>
          <w:rFonts w:ascii="Times New Roman;Times;Serif" w:hAnsi="Times New Roman;Times;Serif"/>
          <w:b w:val="false"/>
          <w:i w:val="false"/>
          <w:caps w:val="false"/>
          <w:smallCaps w:val="false"/>
          <w:sz w:val="20"/>
        </w:rPr>
        <w:t>4,824 was recognized upon settlement. The net balance of $</w:t>
      </w:r>
      <w:bookmarkStart w:id="505" w:name="xdx_90C_eus-gaap--LongTermDebt_iI_pn3n3_"/>
      <w:bookmarkEnd w:id="505"/>
      <w:r>
        <w:rPr>
          <w:rFonts w:ascii="Times New Roman;Times;Serif" w:hAnsi="Times New Roman;Times;Serif"/>
          <w:b w:val="false"/>
          <w:i w:val="false"/>
          <w:caps w:val="false"/>
          <w:smallCaps w:val="false"/>
          <w:sz w:val="20"/>
        </w:rPr>
        <w:t>40,712 on the date of the merger consisted of $</w:t>
      </w:r>
      <w:bookmarkStart w:id="506" w:name="xdx_90A_eus-gaap--DebtInstrumentFaceAmou"/>
      <w:bookmarkEnd w:id="506"/>
      <w:r>
        <w:rPr>
          <w:rFonts w:ascii="Times New Roman;Times;Serif" w:hAnsi="Times New Roman;Times;Serif"/>
          <w:b w:val="false"/>
          <w:i w:val="false"/>
          <w:caps w:val="false"/>
          <w:smallCaps w:val="false"/>
          <w:sz w:val="20"/>
        </w:rPr>
        <w:t>45,000 in principal less $</w:t>
      </w:r>
      <w:bookmarkStart w:id="507" w:name="xdx_908_eus-gaap--DebtInstrumentUnamorti"/>
      <w:bookmarkEnd w:id="507"/>
      <w:r>
        <w:rPr>
          <w:rFonts w:ascii="Times New Roman;Times;Serif" w:hAnsi="Times New Roman;Times;Serif"/>
          <w:b w:val="false"/>
          <w:i w:val="false"/>
          <w:caps w:val="false"/>
          <w:smallCaps w:val="false"/>
          <w:sz w:val="20"/>
        </w:rPr>
        <w:t>4,288 in unamortized debt discount related to the debt issuance costs and Insurance Policy.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Reserve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8" w:name="xdx_89A_ecustom--ScheduleOfDepositsIntoR"/>
      <w:bookmarkEnd w:id="508"/>
      <w:r>
        <w:rPr>
          <w:rFonts w:ascii="Times New Roman;Times;Serif" w:hAnsi="Times New Roman;Times;Serif"/>
          <w:b w:val="false"/>
          <w:i w:val="false"/>
          <w:caps w:val="false"/>
          <w:smallCaps w:val="false"/>
          <w:sz w:val="20"/>
        </w:rPr>
        <w:t>Deposits into the reserve accounts consisted of the following items:</w:t>
      </w:r>
    </w:p>
    <w:p>
      <w:pPr>
        <w:pStyle w:val="TextBody"/>
        <w:bidi w:val="0"/>
        <w:spacing w:before="0" w:after="0"/>
        <w:ind w:left="0" w:right="0" w:hanging="0"/>
        <w:jc w:val="left"/>
        <w:rPr>
          <w:caps w:val="false"/>
          <w:smallCaps w:val="false"/>
        </w:rPr>
      </w:pPr>
      <w:r>
        <w:rPr>
          <w:caps w:val="false"/>
          <w:smallCaps w:val="false"/>
        </w:rPr>
        <w:t> </w:t>
      </w:r>
      <w:bookmarkStart w:id="509" w:name="xdx_8BD_zZuR6vRWsZMi"/>
      <w:bookmarkEnd w:id="509"/>
      <w:r>
        <w:rPr>
          <w:rFonts w:ascii="Times New Roman;Times;Serif" w:hAnsi="Times New Roman;Times;Serif"/>
          <w:b w:val="false"/>
          <w:i w:val="false"/>
          <w:caps w:val="false"/>
          <w:smallCaps w:val="false"/>
          <w:sz w:val="20"/>
        </w:rPr>
        <w:t>SCHEDULE OF DEPOSITS INTO RESERVE ACCOUNTS</w:t>
      </w:r>
    </w:p>
    <w:tbl>
      <w:tblPr>
        <w:tblW w:w="3240" w:type="dxa"/>
        <w:jc w:val="left"/>
        <w:tblInd w:w="0" w:type="dxa"/>
        <w:tblLayout w:type="fixed"/>
        <w:tblCellMar>
          <w:top w:w="0" w:type="dxa"/>
          <w:left w:w="0" w:type="dxa"/>
          <w:bottom w:w="0" w:type="dxa"/>
          <w:right w:w="0" w:type="dxa"/>
        </w:tblCellMar>
      </w:tblPr>
      <w:tblGrid>
        <w:gridCol w:w="2405"/>
        <w:gridCol w:w="60"/>
        <w:gridCol w:w="140"/>
        <w:gridCol w:w="560"/>
        <w:gridCol w:w="75"/>
      </w:tblGrid>
      <w:tr>
        <w:trPr/>
        <w:tc>
          <w:tcPr>
            <w:tcW w:w="2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0" w:name="xdx_491_20221231_zTvBr13jzahk"/>
            <w:bookmarkEnd w:id="510"/>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1" w:name="xdx_404_ecustom--PaymentReserveFund_iI_p"/>
            <w:bookmarkEnd w:id="511"/>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Reserve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3,044</w:t>
            </w:r>
          </w:p>
        </w:tc>
        <w:tc>
          <w:tcPr>
            <w:tcW w:w="75" w:type="dxa"/>
            <w:tcBorders/>
            <w:shd w:fill="CCEEFF" w:val="clear"/>
            <w:vAlign w:val="center"/>
          </w:tcPr>
          <w:p>
            <w:pPr>
              <w:pStyle w:val="TableContents"/>
              <w:bidi w:val="0"/>
              <w:spacing w:before="0" w:after="283"/>
              <w:jc w:val="left"/>
              <w:rPr/>
            </w:pPr>
            <w:r>
              <w:rPr/>
              <w:t> </w:t>
            </w:r>
            <w:bookmarkStart w:id="512" w:name="xdx_40B_ecustom--CapitalizedInterestFund"/>
            <w:bookmarkEnd w:id="512"/>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Interest Fund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75" w:type="dxa"/>
            <w:tcBorders/>
            <w:shd w:fill="FFFFFF" w:val="clear"/>
            <w:vAlign w:val="center"/>
          </w:tcPr>
          <w:p>
            <w:pPr>
              <w:pStyle w:val="TableContents"/>
              <w:bidi w:val="0"/>
              <w:spacing w:before="0" w:after="283"/>
              <w:jc w:val="left"/>
              <w:rPr/>
            </w:pPr>
            <w:r>
              <w:rPr/>
              <w:t> </w:t>
            </w:r>
            <w:bookmarkStart w:id="513" w:name="xdx_402_ecustom--DepositsToCertainReserv"/>
            <w:bookmarkEnd w:id="513"/>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4" w:name="xdx_8AF_zOu4krf8iPSl"/>
      <w:bookmarkEnd w:id="5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w:t>
      </w:r>
      <w:bookmarkStart w:id="515" w:name="xdx_900_ecustom--CapitalizedInterestFund"/>
      <w:bookmarkEnd w:id="515"/>
      <w:r>
        <w:rPr>
          <w:rFonts w:ascii="Times New Roman;Times;Serif" w:hAnsi="Times New Roman;Times;Serif"/>
          <w:b w:val="false"/>
          <w:i w:val="false"/>
          <w:caps w:val="false"/>
          <w:smallCaps w:val="false"/>
          <w:sz w:val="20"/>
        </w:rPr>
        <w:t>3,088.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settled the Trust Indenture and the balance in the Payment Reserve Fund was offset against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Loan Monitoring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to incur ongoing monitoring service by NewLight Capital, LLC for </w:t>
      </w:r>
      <w:bookmarkStart w:id="516" w:name="xdx_90D_ecustom--OngoingMonitoringServic"/>
      <w:bookmarkEnd w:id="516"/>
      <w:r>
        <w:rPr>
          <w:rFonts w:ascii="Times New Roman;Times;Serif" w:hAnsi="Times New Roman;Times;Serif"/>
          <w:b w:val="false"/>
          <w:i w:val="false"/>
          <w:caps w:val="false"/>
          <w:smallCaps w:val="false"/>
          <w:sz w:val="20"/>
        </w:rPr>
        <w:t>24 months at $</w:t>
      </w:r>
      <w:bookmarkStart w:id="517" w:name="xdx_900_ecustom--LoanMonitoringFees_pn3n"/>
      <w:bookmarkEnd w:id="517"/>
      <w:r>
        <w:rPr>
          <w:rFonts w:ascii="Times New Roman;Times;Serif" w:hAnsi="Times New Roman;Times;Serif"/>
          <w:b w:val="false"/>
          <w:i w:val="false"/>
          <w:caps w:val="false"/>
          <w:smallCaps w:val="false"/>
          <w:sz w:val="20"/>
        </w:rPr>
        <w:t>180 total expense. These services entail monitory of financial records and information related to collateral enforcement on an ongoing basis. The $</w:t>
      </w:r>
      <w:bookmarkStart w:id="518" w:name="xdx_90A_ecustom--PrepaidLoanMonitoringFe"/>
      <w:bookmarkEnd w:id="518"/>
      <w:r>
        <w:rPr>
          <w:rFonts w:ascii="Times New Roman;Times;Serif" w:hAnsi="Times New Roman;Times;Serif"/>
          <w:b w:val="false"/>
          <w:i w:val="false"/>
          <w:caps w:val="false"/>
          <w:smallCaps w:val="false"/>
          <w:sz w:val="20"/>
        </w:rPr>
        <w:t xml:space="preserve">60 prepayment funded on the date of closing was recognized as a prepaid expense and was being amortized on a straight line basis over the first </w:t>
      </w:r>
      <w:bookmarkStart w:id="519" w:name="xdx_907_ecustom--LoanMonitoringFeesAmort"/>
      <w:bookmarkEnd w:id="519"/>
      <w:r>
        <w:rPr>
          <w:rFonts w:ascii="Times New Roman;Times;Serif" w:hAnsi="Times New Roman;Times;Serif"/>
          <w:b w:val="false"/>
          <w:i w:val="false"/>
          <w:caps w:val="false"/>
          <w:smallCaps w:val="false"/>
          <w:sz w:val="20"/>
        </w:rPr>
        <w:t>10 months of the agreement as the amount was paid in full in connection with the merger. The Company incurred $</w:t>
      </w:r>
      <w:bookmarkStart w:id="520" w:name="xdx_906_ecustom--LoanMonitoringFees_pn3n"/>
      <w:bookmarkEnd w:id="520"/>
      <w:r>
        <w:rPr>
          <w:rFonts w:ascii="Times New Roman;Times;Serif" w:hAnsi="Times New Roman;Times;Serif"/>
          <w:b w:val="false"/>
          <w:i w:val="false"/>
          <w:caps w:val="false"/>
          <w:smallCaps w:val="false"/>
          <w:sz w:val="20"/>
        </w:rPr>
        <w:t>77 and $</w:t>
      </w:r>
      <w:bookmarkStart w:id="521" w:name="xdx_903_ecustom--LoanMonitoringFees_pn3n"/>
      <w:bookmarkEnd w:id="521"/>
      <w:r>
        <w:rPr>
          <w:rFonts w:ascii="Times New Roman;Times;Serif" w:hAnsi="Times New Roman;Times;Serif"/>
          <w:b w:val="false"/>
          <w:i w:val="false"/>
          <w:caps w:val="false"/>
          <w:smallCaps w:val="false"/>
          <w:sz w:val="20"/>
        </w:rPr>
        <w:t>10 of monitoring fee expenses during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prepayment on that date of $</w:t>
      </w:r>
      <w:bookmarkStart w:id="522" w:name="xdx_90B_ecustom--PrepaidLoanMonitoringFe"/>
      <w:bookmarkEnd w:id="522"/>
      <w:r>
        <w:rPr>
          <w:rFonts w:ascii="Times New Roman;Times;Serif" w:hAnsi="Times New Roman;Times;Serif"/>
          <w:b w:val="false"/>
          <w:i w:val="false"/>
          <w:caps w:val="false"/>
          <w:smallCaps w:val="false"/>
          <w:sz w:val="20"/>
        </w:rPr>
        <w:t>33 was expensed and included in debt extinguishment.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Covenants –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“Chardan Lender”),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w:t>
      </w:r>
      <w:bookmarkStart w:id="523" w:name="xdx_90B_eus-gaap--DebtInstrumentFaceAmou"/>
      <w:bookmarkEnd w:id="523"/>
      <w:r>
        <w:rPr>
          <w:rFonts w:ascii="Times New Roman;Times;Serif" w:hAnsi="Times New Roman;Times;Serif"/>
          <w:b w:val="false"/>
          <w:i w:val="false"/>
          <w:caps w:val="false"/>
          <w:smallCaps w:val="false"/>
          <w:sz w:val="20"/>
        </w:rPr>
        <w:t>75,000, or the Term Loan. The Chardan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w:t>
      </w:r>
      <w:bookmarkStart w:id="524" w:name="xdx_90E_ecustom--DebtInstrumentAmortizat"/>
      <w:bookmarkEnd w:id="524"/>
      <w:r>
        <w:rPr>
          <w:rFonts w:ascii="Times New Roman;Times;Serif" w:hAnsi="Times New Roman;Times;Serif"/>
          <w:b w:val="false"/>
          <w:i w:val="false"/>
          <w:caps w:val="false"/>
          <w:smallCaps w:val="false"/>
          <w:sz w:val="20"/>
        </w:rPr>
        <w:t>5% per annum (or $</w:t>
      </w:r>
      <w:bookmarkStart w:id="525" w:name="xdx_90F_ecustom--DebtInstrumentAmortizat"/>
      <w:bookmarkEnd w:id="525"/>
      <w:r>
        <w:rPr>
          <w:rFonts w:ascii="Times New Roman;Times;Serif" w:hAnsi="Times New Roman;Times;Serif"/>
          <w:b w:val="false"/>
          <w:i w:val="false"/>
          <w:caps w:val="false"/>
          <w:smallCaps w:val="false"/>
          <w:sz w:val="20"/>
        </w:rPr>
        <w:t xml:space="preserve">937.5 on the first day of each calendar quarter) beginning </w:t>
      </w:r>
      <w:bookmarkStart w:id="526" w:name="xdx_90F_ecustom--DebtInstrumentAmortizat"/>
      <w:bookmarkEnd w:id="526"/>
      <w:r>
        <w:rPr>
          <w:rFonts w:ascii="Times New Roman;Times;Serif" w:hAnsi="Times New Roman;Times;Serif"/>
          <w:b w:val="false"/>
          <w:i w:val="false"/>
          <w:caps w:val="false"/>
          <w:smallCaps w:val="false"/>
          <w:sz w:val="20"/>
        </w:rPr>
        <w:t>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xml:space="preserve">”) plus a margin equal to </w:t>
      </w:r>
      <w:bookmarkStart w:id="527" w:name="xdx_906_eus-gaap--DebtInstrumentBasisSpr"/>
      <w:bookmarkEnd w:id="527"/>
      <w:r>
        <w:rPr>
          <w:rFonts w:ascii="Times New Roman;Times;Serif" w:hAnsi="Times New Roman;Times;Serif"/>
          <w:b w:val="false"/>
          <w:i w:val="false"/>
          <w:caps w:val="false"/>
          <w:smallCaps w:val="false"/>
          <w:sz w:val="20"/>
        </w:rPr>
        <w:t xml:space="preserve">13.5%, of which </w:t>
      </w:r>
      <w:bookmarkStart w:id="528" w:name="xdx_900_ecustom--DebtInstrumentBasisSpre"/>
      <w:bookmarkEnd w:id="528"/>
      <w:r>
        <w:rPr>
          <w:rFonts w:ascii="Times New Roman;Times;Serif" w:hAnsi="Times New Roman;Times;Serif"/>
          <w:b w:val="false"/>
          <w:i w:val="false"/>
          <w:caps w:val="false"/>
          <w:smallCaps w:val="false"/>
          <w:sz w:val="20"/>
        </w:rPr>
        <w:t xml:space="preserve">7% will be payable in cash and </w:t>
      </w:r>
      <w:bookmarkStart w:id="529" w:name="xdx_908_ecustom--DebtInstrumentBasisSpre"/>
      <w:bookmarkEnd w:id="529"/>
      <w:r>
        <w:rPr>
          <w:rFonts w:ascii="Times New Roman;Times;Serif" w:hAnsi="Times New Roman;Times;Serif"/>
          <w:b w:val="false"/>
          <w:i w:val="false"/>
          <w:caps w:val="false"/>
          <w:smallCaps w:val="false"/>
          <w:sz w:val="20"/>
        </w:rPr>
        <w:t xml:space="preserve">6.5% will be paid in-kind, (ii) thereafter until October 1, 2024, at a per annum rate equal to adjusted SOFR plus </w:t>
      </w:r>
      <w:bookmarkStart w:id="530" w:name="xdx_906_ecustom--DebtInstrumentBasisSpre"/>
      <w:bookmarkEnd w:id="530"/>
      <w:r>
        <w:rPr>
          <w:rFonts w:ascii="Times New Roman;Times;Serif" w:hAnsi="Times New Roman;Times;Serif"/>
          <w:b w:val="false"/>
          <w:i w:val="false"/>
          <w:caps w:val="false"/>
          <w:smallCaps w:val="false"/>
          <w:sz w:val="20"/>
        </w:rPr>
        <w:t xml:space="preserve">7% payable in cash plus an amount ranging from </w:t>
      </w:r>
      <w:bookmarkStart w:id="531" w:name="xdx_906_ecustom--DebtInstrumentBasisSpre"/>
      <w:bookmarkEnd w:id="531"/>
      <w:r>
        <w:rPr>
          <w:rFonts w:ascii="Times New Roman;Times;Serif" w:hAnsi="Times New Roman;Times;Serif"/>
          <w:b w:val="false"/>
          <w:i w:val="false"/>
          <w:caps w:val="false"/>
          <w:smallCaps w:val="false"/>
          <w:sz w:val="20"/>
        </w:rPr>
        <w:t xml:space="preserve">4.5% to </w:t>
      </w:r>
      <w:bookmarkStart w:id="532" w:name="xdx_900_ecustom--DebtInstrumentBasisSpre"/>
      <w:bookmarkEnd w:id="532"/>
      <w:r>
        <w:rPr>
          <w:rFonts w:ascii="Times New Roman;Times;Serif" w:hAnsi="Times New Roman;Times;Serif"/>
          <w:b w:val="false"/>
          <w:i w:val="false"/>
          <w:caps w:val="false"/>
          <w:smallCaps w:val="false"/>
          <w:sz w:val="20"/>
        </w:rPr>
        <w:t xml:space="preserve">6.5%, depending on the senior leverage ratio of the consolidated company, which will be paid-in-kind and (iii) at all times thereafter, at a per annum rate equal to adjusted SOFR plus a margin ranging from </w:t>
      </w:r>
      <w:bookmarkStart w:id="533" w:name="xdx_90F_ecustom--DebtInstrumentBasisSpre"/>
      <w:bookmarkEnd w:id="533"/>
      <w:r>
        <w:rPr>
          <w:rFonts w:ascii="Times New Roman;Times;Serif" w:hAnsi="Times New Roman;Times;Serif"/>
          <w:b w:val="false"/>
          <w:i w:val="false"/>
          <w:caps w:val="false"/>
          <w:smallCaps w:val="false"/>
          <w:sz w:val="20"/>
        </w:rPr>
        <w:t xml:space="preserve">11.5% to </w:t>
      </w:r>
      <w:bookmarkStart w:id="534" w:name="xdx_90F_ecustom--DebtInstrumentBasisSpre"/>
      <w:bookmarkEnd w:id="534"/>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535" w:name="xdx_900_eus-gaap--DebtInstrumentBasisSpr"/>
      <w:bookmarkEnd w:id="535"/>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536" w:name="xdx_909_eus-gaap--ClassOfWarrantOrRightN"/>
      <w:bookmarkEnd w:id="536"/>
      <w:r>
        <w:rPr>
          <w:rFonts w:ascii="Times New Roman;Times;Serif" w:hAnsi="Times New Roman;Times;Serif"/>
          <w:b w:val="false"/>
          <w:i w:val="false"/>
          <w:caps w:val="false"/>
          <w:smallCaps w:val="false"/>
          <w:sz w:val="20"/>
        </w:rPr>
        <w:t xml:space="preserve">2,593,056 and (ii) the $10 warrants to issue warrants to the Term Loan Lenders exercisable to purchase an aggregate of </w:t>
      </w:r>
      <w:bookmarkStart w:id="537" w:name="xdx_902_eus-gaap--ClassOfWarrantOrRightN"/>
      <w:bookmarkEnd w:id="537"/>
      <w:r>
        <w:rPr>
          <w:rFonts w:ascii="Times New Roman;Times;Serif" w:hAnsi="Times New Roman;Times;Serif"/>
          <w:b w:val="false"/>
          <w:i w:val="false"/>
          <w:caps w:val="false"/>
          <w:smallCaps w:val="false"/>
          <w:sz w:val="20"/>
        </w:rPr>
        <w:t>1,600,000 shares of common stock at $</w:t>
      </w:r>
      <w:bookmarkStart w:id="538" w:name="xdx_900_eus-gaap--SharePrice_iI_c2022123"/>
      <w:bookmarkEnd w:id="538"/>
      <w:r>
        <w:rPr>
          <w:rFonts w:ascii="Times New Roman;Times;Serif" w:hAnsi="Times New Roman;Times;Serif"/>
          <w:b w:val="false"/>
          <w:i w:val="false"/>
          <w:caps w:val="false"/>
          <w:smallCaps w:val="false"/>
          <w:sz w:val="20"/>
        </w:rPr>
        <w:t>10 per share. Refer to Note 12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w:t>
      </w:r>
      <w:bookmarkStart w:id="539" w:name="xdx_909_eus-gaap--InterestExpenseDebtExc"/>
      <w:bookmarkEnd w:id="539"/>
      <w:r>
        <w:rPr>
          <w:rFonts w:ascii="Times New Roman;Times;Serif" w:hAnsi="Times New Roman;Times;Serif"/>
          <w:b w:val="false"/>
          <w:i w:val="false"/>
          <w:caps w:val="false"/>
          <w:smallCaps w:val="false"/>
          <w:sz w:val="20"/>
        </w:rPr>
        <w:t>3,195 of interest expense was incurred under the debt. Amortization of the debt issuance costs amounted to $</w:t>
      </w:r>
      <w:bookmarkStart w:id="540" w:name="xdx_90D_eus-gaap--AmortizationOfFinancin"/>
      <w:bookmarkEnd w:id="540"/>
      <w:r>
        <w:rPr>
          <w:rFonts w:ascii="Times New Roman;Times;Serif" w:hAnsi="Times New Roman;Times;Serif"/>
          <w:b w:val="false"/>
          <w:i w:val="false"/>
          <w:caps w:val="false"/>
          <w:smallCaps w:val="false"/>
          <w:sz w:val="20"/>
        </w:rPr>
        <w:t>38 during the year ended December 31, 2022. The carrying balance of $</w:t>
      </w:r>
      <w:bookmarkStart w:id="541" w:name="xdx_909_eus-gaap--LongTermDebt_iI_pn3n3_"/>
      <w:bookmarkEnd w:id="541"/>
      <w:r>
        <w:rPr>
          <w:rFonts w:ascii="Times New Roman;Times;Serif" w:hAnsi="Times New Roman;Times;Serif"/>
          <w:b w:val="false"/>
          <w:i w:val="false"/>
          <w:caps w:val="false"/>
          <w:smallCaps w:val="false"/>
          <w:sz w:val="20"/>
        </w:rPr>
        <w:t>19,242 on December 31, 2022 consisted of $</w:t>
      </w:r>
      <w:bookmarkStart w:id="542" w:name="xdx_90C_eus-gaap--DebtInstrumentFaceAmou"/>
      <w:bookmarkEnd w:id="542"/>
      <w:r>
        <w:rPr>
          <w:rFonts w:ascii="Times New Roman;Times;Serif" w:hAnsi="Times New Roman;Times;Serif"/>
          <w:b w:val="false"/>
          <w:i w:val="false"/>
          <w:caps w:val="false"/>
          <w:smallCaps w:val="false"/>
          <w:sz w:val="20"/>
        </w:rPr>
        <w:t>75,000 in principal, plus $</w:t>
      </w:r>
      <w:bookmarkStart w:id="543" w:name="xdx_902_eus-gaap--PaidInKindInterest_pn3"/>
      <w:bookmarkEnd w:id="543"/>
      <w:r>
        <w:rPr>
          <w:rFonts w:ascii="Times New Roman;Times;Serif" w:hAnsi="Times New Roman;Times;Serif"/>
          <w:b w:val="false"/>
          <w:i w:val="false"/>
          <w:caps w:val="false"/>
          <w:smallCaps w:val="false"/>
          <w:sz w:val="20"/>
        </w:rPr>
        <w:t>1,192 PIK interest, less $</w:t>
      </w:r>
      <w:bookmarkStart w:id="544" w:name="xdx_908_eus-gaap--DeferredFinanceCostsNe"/>
      <w:bookmarkEnd w:id="544"/>
      <w:r>
        <w:rPr>
          <w:rFonts w:ascii="Times New Roman;Times;Serif" w:hAnsi="Times New Roman;Times;Serif"/>
          <w:b w:val="false"/>
          <w:i w:val="false"/>
          <w:caps w:val="false"/>
          <w:smallCaps w:val="false"/>
          <w:sz w:val="20"/>
        </w:rPr>
        <w:t>56,950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 –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5" w:name="xdx_904_eus-gaap--DebtInstrumentDescript"/>
      <w:bookmarkEnd w:id="545"/>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caps w:val="false"/>
          <w:smallCaps w:val="false"/>
        </w:rPr>
      </w:pPr>
      <w:bookmarkStart w:id="546" w:name="xdx_89E_ecustom--ScheduleOfLeverageRatio"/>
      <w:bookmarkEnd w:id="546"/>
      <w:r>
        <w:rPr>
          <w:caps w:val="false"/>
          <w:smallCaps w:val="false"/>
        </w:rPr>
        <w:t> </w:t>
      </w:r>
      <w:bookmarkStart w:id="547" w:name="xdx_8B3_zOTZVvzh7sz9"/>
      <w:bookmarkEnd w:id="547"/>
      <w:r>
        <w:rPr>
          <w:rFonts w:ascii="Times New Roman;Times;Serif" w:hAnsi="Times New Roman;Times;Serif"/>
          <w:b w:val="false"/>
          <w:i w:val="false"/>
          <w:caps w:val="false"/>
          <w:smallCaps w:val="false"/>
          <w:sz w:val="20"/>
        </w:rPr>
        <w:t>SCHEDULE OF LEVERAGE RATION</w:t>
      </w:r>
    </w:p>
    <w:tbl>
      <w:tblPr>
        <w:tblW w:w="5320" w:type="dxa"/>
        <w:jc w:val="left"/>
        <w:tblInd w:w="0" w:type="dxa"/>
        <w:tblLayout w:type="fixed"/>
        <w:tblCellMar>
          <w:top w:w="0" w:type="dxa"/>
          <w:left w:w="0" w:type="dxa"/>
          <w:bottom w:w="28" w:type="dxa"/>
          <w:right w:w="0" w:type="dxa"/>
        </w:tblCellMar>
      </w:tblPr>
      <w:tblGrid>
        <w:gridCol w:w="3665"/>
        <w:gridCol w:w="60"/>
        <w:gridCol w:w="1595"/>
      </w:tblGrid>
      <w:tr>
        <w:trPr/>
        <w:tc>
          <w:tcPr>
            <w:tcW w:w="36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Leverage Ratio</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548" w:name="xdx_900_eus-gaap--DebtInstrumentDescript"/>
            <w:bookmarkEnd w:id="548"/>
            <w:r>
              <w:rPr>
                <w:rFonts w:ascii="Times New Roman;Times;Serif" w:hAnsi="Times New Roman;Times;Serif"/>
              </w:rPr>
              <w:t>6.75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549" w:name="xdx_902_eus-gaap--DebtInstrumentDescript"/>
            <w:bookmarkEnd w:id="549"/>
            <w:r>
              <w:rPr>
                <w:rFonts w:ascii="Times New Roman;Times;Serif" w:hAnsi="Times New Roman;Times;Serif"/>
              </w:rPr>
              <w:t>6.00 to 1.00</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550" w:name="xdx_905_eus-gaap--DebtInstrumentDescript"/>
            <w:bookmarkEnd w:id="550"/>
            <w:r>
              <w:rPr>
                <w:rFonts w:ascii="Times New Roman;Times;Serif" w:hAnsi="Times New Roman;Times;Serif"/>
              </w:rPr>
              <w:t>5.00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551" w:name="xdx_908_eus-gaap--DebtInstrumentDescript"/>
            <w:bookmarkEnd w:id="551"/>
            <w:r>
              <w:rPr>
                <w:rFonts w:ascii="Times New Roman;Times;Serif" w:hAnsi="Times New Roman;Times;Serif"/>
              </w:rPr>
              <w:t>4.00 to 1.00</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552" w:name="xdx_901_eus-gaap--DebtInstrumentDescript"/>
            <w:bookmarkEnd w:id="552"/>
            <w:r>
              <w:rPr>
                <w:rFonts w:ascii="Times New Roman;Times;Serif" w:hAnsi="Times New Roman;Times;Serif"/>
              </w:rPr>
              <w:t>3.25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553" w:name="xdx_905_eus-gaap--DebtInstrumentDescript"/>
            <w:bookmarkEnd w:id="553"/>
            <w:r>
              <w:rPr>
                <w:rFonts w:ascii="Times New Roman;Times;Serif" w:hAnsi="Times New Roman;Times;Serif"/>
              </w:rPr>
              <w:t>3.00 to 1.00</w:t>
            </w:r>
          </w:p>
        </w:tc>
      </w:tr>
    </w:tbl>
    <w:p>
      <w:pPr>
        <w:pStyle w:val="TextBody"/>
        <w:bidi w:val="0"/>
        <w:spacing w:before="0" w:after="0"/>
        <w:ind w:left="0" w:right="0" w:hanging="0"/>
        <w:jc w:val="both"/>
        <w:rPr>
          <w:caps w:val="false"/>
          <w:smallCaps w:val="false"/>
        </w:rPr>
      </w:pPr>
      <w:bookmarkStart w:id="554" w:name="xdx_8A7_zx3KWHBX0rj1"/>
      <w:bookmarkEnd w:id="554"/>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5" w:name="xdx_90A_ecustom--LiquidityDescription_c2"/>
      <w:bookmarkEnd w:id="555"/>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6" w:name="xdx_909_ecustom--FixedChargeCoverageRati"/>
      <w:bookmarkEnd w:id="556"/>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7" w:name="xdx_909_ecustom--CapitalExpendituresDesc"/>
      <w:bookmarkEnd w:id="557"/>
      <w:r>
        <w:rPr>
          <w:rFonts w:ascii="Times New Roman;Times;Serif" w:hAnsi="Times New Roman;Times;Serif"/>
          <w:b w:val="false"/>
          <w:i w:val="false"/>
          <w:caps w:val="false"/>
          <w:smallCaps w:val="false"/>
          <w:sz w:val="20"/>
        </w:rPr>
        <w:t>If consolidated EBITDA for the trailing twelve-month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Long-Term 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8" w:name="xdx_89A_eus-gaap--ScheduleOfMaturitiesOf"/>
      <w:bookmarkEnd w:id="558"/>
      <w:r>
        <w:rPr>
          <w:rFonts w:ascii="Times New Roman;Times;Serif" w:hAnsi="Times New Roman;Times;Serif"/>
          <w:b w:val="false"/>
          <w:i w:val="false"/>
          <w:caps w:val="false"/>
          <w:smallCaps w:val="false"/>
          <w:sz w:val="20"/>
        </w:rPr>
        <w:t>At December 31, 2022, the future debt maturities are as follows:</w:t>
      </w:r>
    </w:p>
    <w:p>
      <w:pPr>
        <w:pStyle w:val="TextBody"/>
        <w:bidi w:val="0"/>
        <w:spacing w:before="0" w:after="0"/>
        <w:ind w:left="0" w:right="0" w:hanging="0"/>
        <w:jc w:val="both"/>
        <w:rPr>
          <w:caps w:val="false"/>
          <w:smallCaps w:val="false"/>
        </w:rPr>
      </w:pPr>
      <w:r>
        <w:rPr>
          <w:caps w:val="false"/>
          <w:smallCaps w:val="false"/>
        </w:rPr>
        <w:t> </w:t>
      </w:r>
      <w:bookmarkStart w:id="559" w:name="xdx_8BE_zBYBGGXMLd7k"/>
      <w:bookmarkEnd w:id="559"/>
      <w:r>
        <w:rPr>
          <w:rFonts w:ascii="Times New Roman;Times;Serif" w:hAnsi="Times New Roman;Times;Serif"/>
          <w:b w:val="false"/>
          <w:i w:val="false"/>
          <w:caps w:val="false"/>
          <w:smallCaps w:val="false"/>
          <w:sz w:val="20"/>
        </w:rPr>
        <w:t>SCHEDULE OF FUTURE DEBT MATURITIES</w:t>
      </w:r>
    </w:p>
    <w:tbl>
      <w:tblPr>
        <w:tblW w:w="7439" w:type="dxa"/>
        <w:jc w:val="left"/>
        <w:tblInd w:w="0" w:type="dxa"/>
        <w:tblLayout w:type="fixed"/>
        <w:tblCellMar>
          <w:top w:w="0" w:type="dxa"/>
          <w:left w:w="0" w:type="dxa"/>
          <w:bottom w:w="28" w:type="dxa"/>
          <w:right w:w="0" w:type="dxa"/>
        </w:tblCellMar>
      </w:tblPr>
      <w:tblGrid>
        <w:gridCol w:w="4880"/>
        <w:gridCol w:w="60"/>
        <w:gridCol w:w="373"/>
        <w:gridCol w:w="2016"/>
        <w:gridCol w:w="110"/>
      </w:tblGrid>
      <w:tr>
        <w:trPr/>
        <w:tc>
          <w:tcPr>
            <w:tcW w:w="488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60" w:name="xdx_49F_20221231_zTUrCUan6qDe"/>
            <w:bookmarkEnd w:id="560"/>
          </w:p>
        </w:tc>
        <w:tc>
          <w:tcPr>
            <w:tcW w:w="2389" w:type="dxa"/>
            <w:gridSpan w:val="2"/>
            <w:tcBorders>
              <w:bottom w:val="single" w:sz="12"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8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For the Years Ending December 31,</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Future Debt Maturities</w:t>
            </w:r>
          </w:p>
        </w:tc>
        <w:tc>
          <w:tcPr>
            <w:tcW w:w="110" w:type="dxa"/>
            <w:tcBorders/>
            <w:tcMar>
              <w:bottom w:w="0" w:type="dxa"/>
            </w:tcMar>
            <w:vAlign w:val="center"/>
          </w:tcPr>
          <w:p>
            <w:pPr>
              <w:pStyle w:val="TableContents"/>
              <w:bidi w:val="0"/>
              <w:spacing w:before="0" w:after="283"/>
              <w:jc w:val="left"/>
              <w:rPr/>
            </w:pPr>
            <w:r>
              <w:rPr/>
              <w:t> </w:t>
            </w:r>
            <w:bookmarkStart w:id="561" w:name="xdx_408_eus-gaap--LongTermDebtMaturities"/>
            <w:bookmarkEnd w:id="561"/>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562" w:name="xdx_40E_eus-gaap--LongTermDebtMaturities"/>
            <w:bookmarkEnd w:id="562"/>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w:t>
            </w:r>
          </w:p>
        </w:tc>
        <w:tc>
          <w:tcPr>
            <w:tcW w:w="110" w:type="dxa"/>
            <w:tcBorders/>
            <w:shd w:fill="FFFFFF" w:val="clear"/>
            <w:tcMar>
              <w:bottom w:w="0" w:type="dxa"/>
            </w:tcMar>
            <w:vAlign w:val="center"/>
          </w:tcPr>
          <w:p>
            <w:pPr>
              <w:pStyle w:val="TableContents"/>
              <w:bidi w:val="0"/>
              <w:spacing w:before="0" w:after="283"/>
              <w:jc w:val="left"/>
              <w:rPr/>
            </w:pPr>
            <w:r>
              <w:rPr/>
              <w:t> </w:t>
            </w:r>
            <w:bookmarkStart w:id="563" w:name="xdx_404_eus-gaap--LongTermDebtMaturities"/>
            <w:bookmarkEnd w:id="563"/>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w:t>
            </w:r>
          </w:p>
        </w:tc>
        <w:tc>
          <w:tcPr>
            <w:tcW w:w="110" w:type="dxa"/>
            <w:tcBorders/>
            <w:shd w:fill="CCEEFF" w:val="clear"/>
            <w:tcMar>
              <w:bottom w:w="0" w:type="dxa"/>
            </w:tcMar>
            <w:vAlign w:val="center"/>
          </w:tcPr>
          <w:p>
            <w:pPr>
              <w:pStyle w:val="TableContents"/>
              <w:bidi w:val="0"/>
              <w:spacing w:before="0" w:after="283"/>
              <w:jc w:val="left"/>
              <w:rPr/>
            </w:pPr>
            <w:r>
              <w:rPr/>
              <w:t> </w:t>
            </w:r>
            <w:bookmarkStart w:id="564" w:name="xdx_402_eus-gaap--LongTermDebtMaturities"/>
            <w:bookmarkEnd w:id="564"/>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91,809</w:t>
            </w:r>
          </w:p>
        </w:tc>
        <w:tc>
          <w:tcPr>
            <w:tcW w:w="110" w:type="dxa"/>
            <w:tcBorders/>
            <w:shd w:fill="FFFFFF" w:val="clear"/>
            <w:tcMar>
              <w:bottom w:w="0" w:type="dxa"/>
            </w:tcMar>
            <w:vAlign w:val="center"/>
          </w:tcPr>
          <w:p>
            <w:pPr>
              <w:pStyle w:val="TableContents"/>
              <w:bidi w:val="0"/>
              <w:spacing w:before="0" w:after="283"/>
              <w:jc w:val="left"/>
              <w:rPr/>
            </w:pPr>
            <w:r>
              <w:rPr/>
              <w:t> </w:t>
            </w:r>
            <w:bookmarkStart w:id="565" w:name="xdx_408_ecustom--LongTermDebtMaturitiesR"/>
            <w:bookmarkEnd w:id="565"/>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96,497</w:t>
            </w:r>
          </w:p>
        </w:tc>
        <w:tc>
          <w:tcPr>
            <w:tcW w:w="110" w:type="dxa"/>
            <w:tcBorders/>
            <w:shd w:fill="CCEEFF" w:val="clear"/>
            <w:tcMar>
              <w:bottom w:w="0" w:type="dxa"/>
            </w:tcMar>
            <w:vAlign w:val="center"/>
          </w:tcPr>
          <w:p>
            <w:pPr>
              <w:pStyle w:val="TableContents"/>
              <w:bidi w:val="0"/>
              <w:spacing w:before="0" w:after="283"/>
              <w:jc w:val="left"/>
              <w:rPr/>
            </w:pPr>
            <w:r>
              <w:rPr/>
              <w:t> </w:t>
            </w:r>
            <w:bookmarkStart w:id="566" w:name="xdx_402_ecustom--EstimatedInterestPaidin"/>
            <w:bookmarkEnd w:id="566"/>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Estimated interest paid-in-kind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7" w:name="xdx_401_eus-gaap--LongTermDebt_iTI_pn3n3"/>
            <w:bookmarkEnd w:id="567"/>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CCEEFF" w:val="clear"/>
            <w:vAlign w:val="center"/>
          </w:tcPr>
          <w:p>
            <w:pPr>
              <w:pStyle w:val="TableContents"/>
              <w:bidi w:val="0"/>
              <w:spacing w:before="0" w:after="283"/>
              <w:jc w:val="left"/>
              <w:rPr/>
            </w:pPr>
            <w:r>
              <w:rPr/>
              <w:t> </w:t>
            </w:r>
          </w:p>
        </w:tc>
        <w:tc>
          <w:tcPr>
            <w:tcW w:w="20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76,192</w:t>
            </w:r>
          </w:p>
        </w:tc>
        <w:tc>
          <w:tcPr>
            <w:tcW w:w="110" w:type="dxa"/>
            <w:tcBorders/>
            <w:shd w:fill="CCEEFF" w:val="clear"/>
            <w:tcMar>
              <w:bottom w:w="0" w:type="dxa"/>
            </w:tcMar>
            <w:vAlign w:val="center"/>
          </w:tcPr>
          <w:p>
            <w:pPr>
              <w:pStyle w:val="TableContents"/>
              <w:bidi w:val="0"/>
              <w:spacing w:before="0" w:after="283"/>
              <w:jc w:val="left"/>
              <w:rPr/>
            </w:pPr>
            <w:r>
              <w:rPr/>
              <w:t> </w:t>
            </w:r>
            <w:bookmarkStart w:id="568" w:name="xdx_407_eus-gaap--DeferredFinanceCostsNe"/>
            <w:bookmarkEnd w:id="568"/>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Unamortized debt issuance costs,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(56,950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9" w:name="xdx_40F_eus-gaap--DebtInstrumentCarrying"/>
            <w:bookmarkEnd w:id="569"/>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carrying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CCEEFF" w:val="clear"/>
            <w:vAlign w:val="center"/>
          </w:tcPr>
          <w:p>
            <w:pPr>
              <w:pStyle w:val="TableContents"/>
              <w:bidi w:val="0"/>
              <w:spacing w:before="0" w:after="283"/>
              <w:jc w:val="left"/>
              <w:rPr/>
            </w:pPr>
            <w:r>
              <w:rPr/>
              <w:t> </w:t>
            </w:r>
          </w:p>
        </w:tc>
        <w:tc>
          <w:tcPr>
            <w:tcW w:w="20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CCEEFF" w:val="clear"/>
            <w:tcMar>
              <w:bottom w:w="0" w:type="dxa"/>
            </w:tcMar>
            <w:vAlign w:val="center"/>
          </w:tcPr>
          <w:p>
            <w:pPr>
              <w:pStyle w:val="TableContents"/>
              <w:bidi w:val="0"/>
              <w:spacing w:before="0" w:after="283"/>
              <w:jc w:val="left"/>
              <w:rPr/>
            </w:pPr>
            <w:r>
              <w:rPr/>
              <w:t> </w:t>
            </w:r>
            <w:bookmarkStart w:id="570" w:name="xdx_407_eus-gaap--LongTermDebtCurrent_iN"/>
            <w:bookmarkEnd w:id="570"/>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1" w:name="xdx_401_eus-gaap--LongTermDebtNoncurrent"/>
            <w:bookmarkEnd w:id="571"/>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72" w:name="xdx_8A8_znQ3vJBMqNn"/>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73" w:name="xdx_800_ecustom--RevolvingNoteAgreementT"/>
      <w:bookmarkEnd w:id="573"/>
      <w:r>
        <w:rPr>
          <w:rFonts w:ascii="Times New Roman;Times;Serif" w:hAnsi="Times New Roman;Times;Serif"/>
          <w:b/>
          <w:i w:val="false"/>
          <w:caps/>
          <w:sz w:val="20"/>
        </w:rPr>
        <w:t xml:space="preserve">Note 8 - </w:t>
      </w:r>
      <w:bookmarkStart w:id="574" w:name="xdx_822_ziso0LAw4UU4"/>
      <w:bookmarkEnd w:id="574"/>
      <w:r>
        <w:rPr>
          <w:rFonts w:ascii="Times New Roman;Times;Serif" w:hAnsi="Times New Roman;Times;Serif"/>
          <w:b/>
          <w:i w:val="false"/>
          <w:caps/>
          <w:sz w:val="20"/>
        </w:rPr>
        <w:t>REVOLVING NOTE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2021, the Company entered into a revolving note agreement with a lender to borrow up to $</w:t>
      </w:r>
      <w:bookmarkStart w:id="575" w:name="xdx_90A_eus-gaap--LineOfCreditFacilityMa"/>
      <w:bookmarkEnd w:id="575"/>
      <w:r>
        <w:rPr>
          <w:rFonts w:ascii="Times New Roman;Times;Serif" w:hAnsi="Times New Roman;Times;Serif"/>
          <w:b w:val="false"/>
          <w:i w:val="false"/>
          <w:caps w:val="false"/>
          <w:smallCaps w:val="false"/>
          <w:sz w:val="20"/>
        </w:rPr>
        <w:t xml:space="preserve">8,000. The borrowing amount is limited and based on the lesser of maximum principal amount of </w:t>
      </w:r>
      <w:bookmarkStart w:id="576" w:name="xdx_90D_eus-gaap--LineOfCreditFacilityMa"/>
      <w:bookmarkEnd w:id="576"/>
      <w:r>
        <w:rPr>
          <w:rFonts w:ascii="Times New Roman;Times;Serif" w:hAnsi="Times New Roman;Times;Serif"/>
          <w:b w:val="false"/>
          <w:i w:val="false"/>
          <w:caps w:val="false"/>
          <w:smallCaps w:val="false"/>
          <w:sz w:val="20"/>
        </w:rPr>
        <w:t xml:space="preserve">$8,000 and the sum equal to </w:t>
      </w:r>
      <w:bookmarkStart w:id="577" w:name="xdx_904_ecustom--PercentageOfEligibleAcc"/>
      <w:bookmarkEnd w:id="577"/>
      <w:r>
        <w:rPr>
          <w:rFonts w:ascii="Times New Roman;Times;Serif" w:hAnsi="Times New Roman;Times;Serif"/>
          <w:b w:val="false"/>
          <w:i w:val="false"/>
          <w:caps w:val="false"/>
          <w:smallCaps w:val="false"/>
          <w:sz w:val="20"/>
        </w:rPr>
        <w:t xml:space="preserve">80% of eligible accounts receivable and </w:t>
      </w:r>
      <w:bookmarkStart w:id="578" w:name="xdx_901_ecustom--PercentageOfEligibleInv"/>
      <w:bookmarkEnd w:id="578"/>
      <w:r>
        <w:rPr>
          <w:rFonts w:ascii="Times New Roman;Times;Serif" w:hAnsi="Times New Roman;Times;Serif"/>
          <w:b w:val="false"/>
          <w:i w:val="false"/>
          <w:caps w:val="false"/>
          <w:smallCaps w:val="false"/>
          <w:sz w:val="20"/>
        </w:rPr>
        <w:t>50% of eligible inventory. Interest on each advance shall accrue at the prime rate announced by US Bank from time to time, as and when such rate changes. The revolving credit amount is collateralized by all assets of the Company. The Company drew an initial amount of $</w:t>
      </w:r>
      <w:bookmarkStart w:id="579" w:name="xdx_90A_eus-gaap--ProceedsFromLinesOfCre"/>
      <w:bookmarkEnd w:id="579"/>
      <w:r>
        <w:rPr>
          <w:rFonts w:ascii="Times New Roman;Times;Serif" w:hAnsi="Times New Roman;Times;Serif"/>
          <w:b w:val="false"/>
          <w:i w:val="false"/>
          <w:caps w:val="false"/>
          <w:smallCaps w:val="false"/>
          <w:sz w:val="20"/>
        </w:rPr>
        <w:t>5,000 under the facility, which it subsequently re-paid and the revolving note was terminated as a closing condition of the 2021-6 Notes.</w:t>
      </w:r>
    </w:p>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120" w:after="283"/>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580" w:name="xdx_804_eus-gaap--IncomeTaxDisclosureTex"/>
      <w:bookmarkEnd w:id="580"/>
      <w:r>
        <w:rPr>
          <w:rFonts w:ascii="Times New Roman;Times;Serif" w:hAnsi="Times New Roman;Times;Serif"/>
          <w:b/>
          <w:i w:val="false"/>
          <w:caps/>
          <w:sz w:val="20"/>
        </w:rPr>
        <w:t xml:space="preserve">Note 9 - </w:t>
      </w:r>
      <w:bookmarkStart w:id="581" w:name="xdx_825_zRSjJY6NoUW7"/>
      <w:bookmarkEnd w:id="581"/>
      <w:r>
        <w:rPr>
          <w:rFonts w:ascii="Times New Roman;Times;Serif" w:hAnsi="Times New Roman;Times;Serif"/>
          <w:b/>
          <w:i w:val="false"/>
          <w:caps/>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2" w:name="xdx_89C_eus-gaap--ScheduleOfComponentsOf"/>
      <w:bookmarkEnd w:id="582"/>
      <w:r>
        <w:rPr>
          <w:rFonts w:ascii="Times New Roman;Times;Serif" w:hAnsi="Times New Roman;Times;Serif"/>
          <w:b w:val="false"/>
          <w:i w:val="false"/>
          <w:caps w:val="false"/>
          <w:smallCaps w:val="false"/>
          <w:sz w:val="20"/>
        </w:rPr>
        <w:t>The income tax expense consists of the following items: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3" w:name="xdx_8B4_zy2I2ARopBn1"/>
      <w:bookmarkEnd w:id="583"/>
      <w:r>
        <w:rPr>
          <w:rFonts w:ascii="Times New Roman;Times;Serif" w:hAnsi="Times New Roman;Times;Serif"/>
          <w:b w:val="false"/>
          <w:i w:val="false"/>
          <w:caps w:val="false"/>
          <w:smallCaps w:val="false"/>
          <w:sz w:val="20"/>
        </w:rPr>
        <w:t>SCHEDULE OF INCOME TAX EXPENSE </w:t>
      </w:r>
    </w:p>
    <w:tbl>
      <w:tblPr>
        <w:tblW w:w="3285" w:type="dxa"/>
        <w:jc w:val="left"/>
        <w:tblInd w:w="0" w:type="dxa"/>
        <w:tblLayout w:type="fixed"/>
        <w:tblCellMar>
          <w:top w:w="0" w:type="dxa"/>
          <w:left w:w="0" w:type="dxa"/>
          <w:bottom w:w="0" w:type="dxa"/>
          <w:right w:w="0" w:type="dxa"/>
        </w:tblCellMar>
      </w:tblPr>
      <w:tblGrid>
        <w:gridCol w:w="1700"/>
        <w:gridCol w:w="60"/>
        <w:gridCol w:w="140"/>
        <w:gridCol w:w="455"/>
        <w:gridCol w:w="95"/>
        <w:gridCol w:w="60"/>
        <w:gridCol w:w="140"/>
        <w:gridCol w:w="560"/>
        <w:gridCol w:w="75"/>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84" w:name="xdx_491_20220101__20221231_zuOlbZbA7XP7"/>
            <w:bookmarkEnd w:id="584"/>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85" w:name="xdx_495_20210101__20211231_zMyNFMXQHFtb"/>
            <w:bookmarkEnd w:id="585"/>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center"/>
              <w:rPr/>
            </w:pPr>
            <w:r>
              <w:rPr/>
              <w:t> </w:t>
            </w:r>
            <w:bookmarkStart w:id="586" w:name="xdx_406_eus-gaap--CurrentIncomeTaxExpens"/>
            <w:bookmarkEnd w:id="586"/>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w:t>
            </w:r>
          </w:p>
        </w:tc>
        <w:tc>
          <w:tcPr>
            <w:tcW w:w="75" w:type="dxa"/>
            <w:tcBorders/>
            <w:shd w:fill="CCEEFF" w:val="clear"/>
            <w:vAlign w:val="center"/>
          </w:tcPr>
          <w:p>
            <w:pPr>
              <w:pStyle w:val="TableContents"/>
              <w:bidi w:val="0"/>
              <w:spacing w:before="0" w:after="283"/>
              <w:jc w:val="left"/>
              <w:rPr/>
            </w:pPr>
            <w:r>
              <w:rPr/>
              <w:t> </w:t>
            </w:r>
            <w:bookmarkStart w:id="587" w:name="xdx_40E_eus-gaap--DeferredIncomeTaxesAnd"/>
            <w:bookmarkEnd w:id="587"/>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75" w:type="dxa"/>
            <w:tcBorders/>
            <w:shd w:fill="FFFFFF" w:val="clear"/>
            <w:vAlign w:val="center"/>
          </w:tcPr>
          <w:p>
            <w:pPr>
              <w:pStyle w:val="TableContents"/>
              <w:bidi w:val="0"/>
              <w:spacing w:before="0" w:after="283"/>
              <w:jc w:val="left"/>
              <w:rPr/>
            </w:pPr>
            <w:r>
              <w:rPr/>
              <w:t> </w:t>
            </w:r>
            <w:bookmarkStart w:id="588" w:name="xdx_406_eus-gaap--IncomeTaxExpenseBenefi"/>
            <w:bookmarkEnd w:id="588"/>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9" w:name="xdx_8AE_ze1rM739ntu7"/>
      <w:bookmarkEnd w:id="5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0" w:name="xdx_89D_eus-gaap--ScheduleOfDeferredTaxA"/>
      <w:bookmarkEnd w:id="590"/>
      <w:r>
        <w:rPr>
          <w:rFonts w:ascii="Times New Roman;Times;Serif" w:hAnsi="Times New Roman;Times;Serif"/>
          <w:b w:val="false"/>
          <w:i w:val="false"/>
          <w:caps w:val="false"/>
          <w:smallCaps w:val="false"/>
          <w:sz w:val="20"/>
        </w:rPr>
        <w:t>Components of deferred tax assets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1" w:name="xdx_8B9_z5MX5OOYqql6"/>
      <w:bookmarkEnd w:id="591"/>
      <w:r>
        <w:rPr>
          <w:rFonts w:ascii="Times New Roman;Times;Serif" w:hAnsi="Times New Roman;Times;Serif"/>
          <w:b w:val="false"/>
          <w:i w:val="false"/>
          <w:caps w:val="false"/>
          <w:smallCaps w:val="false"/>
          <w:sz w:val="20"/>
        </w:rPr>
        <w:t>SCHEDULE OF COMPONENTS OF DEFERRED TAX ASSETS (LIABILITIES) </w:t>
      </w:r>
    </w:p>
    <w:tbl>
      <w:tblPr>
        <w:tblW w:w="4970" w:type="dxa"/>
        <w:jc w:val="left"/>
        <w:tblInd w:w="0" w:type="dxa"/>
        <w:tblLayout w:type="fixed"/>
        <w:tblCellMar>
          <w:top w:w="0" w:type="dxa"/>
          <w:left w:w="0" w:type="dxa"/>
          <w:bottom w:w="0" w:type="dxa"/>
          <w:right w:w="0" w:type="dxa"/>
        </w:tblCellMar>
      </w:tblPr>
      <w:tblGrid>
        <w:gridCol w:w="3170"/>
        <w:gridCol w:w="60"/>
        <w:gridCol w:w="140"/>
        <w:gridCol w:w="635"/>
        <w:gridCol w:w="95"/>
        <w:gridCol w:w="60"/>
        <w:gridCol w:w="140"/>
        <w:gridCol w:w="560"/>
        <w:gridCol w:w="110"/>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92" w:name="xdx_49C_20221231_zQpLlW1l0G16"/>
            <w:bookmarkEnd w:id="592"/>
          </w:p>
        </w:tc>
        <w:tc>
          <w:tcPr>
            <w:tcW w:w="77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93" w:name="xdx_496_20211231_zDXiSWUTFWMk"/>
            <w:bookmarkEnd w:id="593"/>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2021</w:t>
            </w:r>
          </w:p>
        </w:tc>
        <w:tc>
          <w:tcPr>
            <w:tcW w:w="110" w:type="dxa"/>
            <w:tcBorders/>
            <w:vAlign w:val="center"/>
          </w:tcPr>
          <w:p>
            <w:pPr>
              <w:pStyle w:val="TableContents"/>
              <w:bidi w:val="0"/>
              <w:spacing w:before="0" w:after="283"/>
              <w:jc w:val="center"/>
              <w:rPr/>
            </w:pPr>
            <w:r>
              <w:rPr/>
              <w:t> </w:t>
            </w:r>
            <w:bookmarkStart w:id="594" w:name="xdx_40E_eus-gaap--DeferredTaxAssetsGross"/>
            <w:bookmarkEnd w:id="594"/>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5" w:name="xdx_40A_ecustom--DeferredTaxAssetsLiabil"/>
            <w:bookmarkEnd w:id="595"/>
          </w:p>
        </w:tc>
      </w:tr>
      <w:tr>
        <w:trPr/>
        <w:tc>
          <w:tcPr>
            <w:tcW w:w="317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1,221</w:t>
            </w:r>
          </w:p>
        </w:tc>
        <w:tc>
          <w:tcPr>
            <w:tcW w:w="110" w:type="dxa"/>
            <w:tcBorders/>
            <w:shd w:fill="FFFFFF" w:val="clear"/>
            <w:vAlign w:val="center"/>
          </w:tcPr>
          <w:p>
            <w:pPr>
              <w:pStyle w:val="TableContents"/>
              <w:bidi w:val="0"/>
              <w:spacing w:before="0" w:after="283"/>
              <w:jc w:val="left"/>
              <w:rPr/>
            </w:pPr>
            <w:r>
              <w:rPr/>
              <w:t> </w:t>
            </w:r>
            <w:bookmarkStart w:id="596" w:name="xdx_407_eus-gaap--DeferredTaxAssetsTaxDe"/>
            <w:bookmarkEnd w:id="596"/>
          </w:p>
        </w:tc>
      </w:tr>
      <w:tr>
        <w:trPr/>
        <w:tc>
          <w:tcPr>
            <w:tcW w:w="31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597" w:name="xdx_40F_eus-gaap--DeferredTaxAssetsTaxDe"/>
            <w:bookmarkEnd w:id="597"/>
          </w:p>
        </w:tc>
      </w:tr>
      <w:tr>
        <w:trPr/>
        <w:tc>
          <w:tcPr>
            <w:tcW w:w="31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98" w:name="xdx_40E_eus-gaap--DeferredTaxAssetsTaxDe"/>
            <w:bookmarkEnd w:id="598"/>
          </w:p>
        </w:tc>
      </w:tr>
      <w:tr>
        <w:trPr/>
        <w:tc>
          <w:tcPr>
            <w:tcW w:w="3170" w:type="dxa"/>
            <w:tcBorders/>
            <w:shd w:fill="CCEEFF" w:val="clear"/>
            <w:vAlign w:val="center"/>
          </w:tcPr>
          <w:p>
            <w:pPr>
              <w:pStyle w:val="TableContents"/>
              <w:bidi w:val="0"/>
              <w:spacing w:before="0" w:after="283"/>
              <w:jc w:val="left"/>
              <w:rPr/>
            </w:pPr>
            <w:r>
              <w:rPr/>
              <w:t>Allowance for bad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bookmarkStart w:id="599" w:name="xdx_408_eus-gaap--DeferredTaxAssetsInPro"/>
            <w:bookmarkEnd w:id="599"/>
          </w:p>
        </w:tc>
      </w:tr>
      <w:tr>
        <w:trPr/>
        <w:tc>
          <w:tcPr>
            <w:tcW w:w="3170" w:type="dxa"/>
            <w:tcBorders/>
            <w:shd w:fill="FFFFFF" w:val="clear"/>
            <w:vAlign w:val="center"/>
          </w:tcPr>
          <w:p>
            <w:pPr>
              <w:pStyle w:val="TableContents"/>
              <w:bidi w:val="0"/>
              <w:spacing w:before="0" w:after="283"/>
              <w:jc w:val="left"/>
              <w:rPr/>
            </w:pPr>
            <w:r>
              <w:rPr/>
              <w:t>Research and development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0" w:name="xdx_406_eus-gaap--DeferredTaxAssetsGoodw"/>
            <w:bookmarkEnd w:id="600"/>
          </w:p>
        </w:tc>
      </w:tr>
      <w:tr>
        <w:trPr/>
        <w:tc>
          <w:tcPr>
            <w:tcW w:w="3170" w:type="dxa"/>
            <w:tcBorders/>
            <w:shd w:fill="CCEEFF" w:val="clear"/>
            <w:vAlign w:val="center"/>
          </w:tcPr>
          <w:p>
            <w:pPr>
              <w:pStyle w:val="TableContents"/>
              <w:bidi w:val="0"/>
              <w:spacing w:before="0" w:after="283"/>
              <w:jc w:val="left"/>
              <w:rPr/>
            </w:pPr>
            <w:r>
              <w:rPr/>
              <w:t>Fixed assets and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01" w:name="xdx_40E_ecustom--DeferredTaxAssetsIntere"/>
            <w:bookmarkEnd w:id="601"/>
          </w:p>
        </w:tc>
      </w:tr>
      <w:tr>
        <w:trPr/>
        <w:tc>
          <w:tcPr>
            <w:tcW w:w="31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2" w:name="xdx_402_ecustom--DeferredTaxAssetsPrepai"/>
            <w:bookmarkEnd w:id="602"/>
          </w:p>
        </w:tc>
      </w:tr>
      <w:tr>
        <w:trPr/>
        <w:tc>
          <w:tcPr>
            <w:tcW w:w="31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03" w:name="xdx_40B_eus-gaap--DeferredTaxAssetsOpera"/>
            <w:bookmarkEnd w:id="603"/>
          </w:p>
        </w:tc>
      </w:tr>
      <w:tr>
        <w:trPr/>
        <w:tc>
          <w:tcPr>
            <w:tcW w:w="3170" w:type="dxa"/>
            <w:tcBorders/>
            <w:shd w:fill="FFFFFF" w:val="clear"/>
            <w:vAlign w:val="center"/>
          </w:tcPr>
          <w:p>
            <w:pPr>
              <w:pStyle w:val="TableContents"/>
              <w:bidi w:val="0"/>
              <w:spacing w:before="0" w:after="283"/>
              <w:jc w:val="left"/>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4" w:name="xdx_40F_eus-gaap--DeferredTaxAssetsInven"/>
            <w:bookmarkEnd w:id="604"/>
          </w:p>
        </w:tc>
      </w:tr>
      <w:tr>
        <w:trPr/>
        <w:tc>
          <w:tcPr>
            <w:tcW w:w="3170" w:type="dxa"/>
            <w:tcBorders/>
            <w:shd w:fill="CCEEFF" w:val="clear"/>
            <w:vAlign w:val="center"/>
          </w:tcPr>
          <w:p>
            <w:pPr>
              <w:pStyle w:val="TableContents"/>
              <w:bidi w:val="0"/>
              <w:spacing w:before="0" w:after="283"/>
              <w:jc w:val="left"/>
              <w:rPr/>
            </w:pPr>
            <w:r>
              <w:rPr/>
              <w:t>Inventory (Sec. 263A)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bookmarkStart w:id="605" w:name="xdx_405_eus-gaap--DeferredTaxAssetsGross"/>
            <w:bookmarkEnd w:id="605"/>
          </w:p>
        </w:tc>
      </w:tr>
      <w:tr>
        <w:trPr/>
        <w:tc>
          <w:tcPr>
            <w:tcW w:w="3170" w:type="dxa"/>
            <w:tcBorders/>
            <w:shd w:fill="FFFFFF" w:val="clear"/>
            <w:vAlign w:val="center"/>
          </w:tcPr>
          <w:p>
            <w:pPr>
              <w:pStyle w:val="TableContents"/>
              <w:bidi w:val="0"/>
              <w:spacing w:before="0" w:after="283"/>
              <w:jc w:val="left"/>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1,360</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06" w:name="xdx_40A_ecustom--DeferredTaxLiabilitiesR"/>
            <w:bookmarkEnd w:id="606"/>
          </w:p>
        </w:tc>
      </w:tr>
      <w:tr>
        <w:trPr/>
        <w:tc>
          <w:tcPr>
            <w:tcW w:w="3170"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1,207</w:t>
            </w:r>
          </w:p>
        </w:tc>
        <w:tc>
          <w:tcPr>
            <w:tcW w:w="110" w:type="dxa"/>
            <w:tcBorders/>
            <w:shd w:fill="CCEEFF" w:val="clear"/>
            <w:vAlign w:val="center"/>
          </w:tcPr>
          <w:p>
            <w:pPr>
              <w:pStyle w:val="TableContents"/>
              <w:bidi w:val="0"/>
              <w:spacing w:before="0" w:after="283"/>
              <w:jc w:val="left"/>
              <w:rPr/>
            </w:pPr>
            <w:r>
              <w:rPr/>
              <w:t> </w:t>
            </w:r>
            <w:bookmarkStart w:id="607" w:name="xdx_406_eus-gaap--DeferredTaxLiabilities"/>
            <w:bookmarkEnd w:id="607"/>
          </w:p>
        </w:tc>
      </w:tr>
      <w:tr>
        <w:trPr/>
        <w:tc>
          <w:tcPr>
            <w:tcW w:w="3170" w:type="dxa"/>
            <w:tcBorders/>
            <w:shd w:fill="FFFFFF" w:val="clear"/>
            <w:vAlign w:val="center"/>
          </w:tcPr>
          <w:p>
            <w:pPr>
              <w:pStyle w:val="TableContents"/>
              <w:bidi w:val="0"/>
              <w:spacing w:before="0" w:after="283"/>
              <w:jc w:val="left"/>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606</w:t>
            </w:r>
          </w:p>
        </w:tc>
        <w:tc>
          <w:tcPr>
            <w:tcW w:w="110" w:type="dxa"/>
            <w:tcBorders/>
            <w:shd w:fill="FFFFFF" w:val="clear"/>
            <w:vAlign w:val="center"/>
          </w:tcPr>
          <w:p>
            <w:pPr>
              <w:pStyle w:val="TableContents"/>
              <w:bidi w:val="0"/>
              <w:spacing w:before="0" w:after="283"/>
              <w:jc w:val="left"/>
              <w:rPr/>
            </w:pPr>
            <w:r>
              <w:rPr/>
              <w:t> </w:t>
            </w:r>
            <w:bookmarkStart w:id="608" w:name="xdx_400_eus-gaap--DeferredIncomeTaxLiabi"/>
            <w:bookmarkEnd w:id="608"/>
          </w:p>
        </w:tc>
      </w:tr>
      <w:tr>
        <w:trPr/>
        <w:tc>
          <w:tcPr>
            <w:tcW w:w="317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1,813</w:t>
            </w:r>
          </w:p>
        </w:tc>
        <w:tc>
          <w:tcPr>
            <w:tcW w:w="110" w:type="dxa"/>
            <w:tcBorders/>
            <w:shd w:fill="CCEEFF" w:val="clear"/>
            <w:vAlign w:val="center"/>
          </w:tcPr>
          <w:p>
            <w:pPr>
              <w:pStyle w:val="TableContents"/>
              <w:bidi w:val="0"/>
              <w:spacing w:before="0" w:after="283"/>
              <w:jc w:val="left"/>
              <w:rPr/>
            </w:pPr>
            <w:r>
              <w:rPr/>
              <w:t> </w:t>
            </w:r>
            <w:bookmarkStart w:id="609" w:name="xdx_400_ecustom--DeferredTaxAssets_iI_pn"/>
            <w:bookmarkEnd w:id="609"/>
          </w:p>
        </w:tc>
      </w:tr>
      <w:tr>
        <w:trPr/>
        <w:tc>
          <w:tcPr>
            <w:tcW w:w="3170" w:type="dxa"/>
            <w:tcBorders/>
            <w:shd w:fill="FFFFFF" w:val="clear"/>
            <w:vAlign w:val="center"/>
          </w:tcPr>
          <w:p>
            <w:pPr>
              <w:pStyle w:val="TableContents"/>
              <w:bidi w:val="0"/>
              <w:spacing w:before="0" w:after="283"/>
              <w:jc w:val="left"/>
              <w:rPr/>
            </w:pPr>
            <w:r>
              <w:rPr/>
              <w:t>Net deferred tax asset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bookmarkStart w:id="610" w:name="xdx_404_eus-gaap--DeferredTaxAssetsValua"/>
            <w:bookmarkEnd w:id="610"/>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11" w:name="xdx_40D_eus-gaap--DeferredTaxAssetsLiabi"/>
            <w:bookmarkEnd w:id="611"/>
          </w:p>
        </w:tc>
      </w:tr>
      <w:tr>
        <w:trPr/>
        <w:tc>
          <w:tcPr>
            <w:tcW w:w="3170" w:type="dxa"/>
            <w:tcBorders/>
            <w:shd w:fill="FFFFFF" w:val="clear"/>
            <w:vAlign w:val="center"/>
          </w:tcPr>
          <w:p>
            <w:pPr>
              <w:pStyle w:val="TableContents"/>
              <w:bidi w:val="0"/>
              <w:spacing w:before="0" w:after="283"/>
              <w:jc w:val="left"/>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12" w:name="xdx_8AF_zqEjCjQ4Sgt8"/>
      <w:bookmarkEnd w:id="6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3" w:name="xdx_897_eus-gaap--ScheduleOfEffectiveInc"/>
      <w:bookmarkEnd w:id="613"/>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years ended December 31, 2022 and 2021,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4" w:name="xdx_8B4_za8LuU1MuXp3"/>
      <w:bookmarkEnd w:id="614"/>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8400" w:type="dxa"/>
        <w:jc w:val="left"/>
        <w:tblInd w:w="0" w:type="dxa"/>
        <w:tblLayout w:type="fixed"/>
        <w:tblCellMar>
          <w:top w:w="0" w:type="dxa"/>
          <w:left w:w="0" w:type="dxa"/>
          <w:bottom w:w="0" w:type="dxa"/>
          <w:right w:w="0" w:type="dxa"/>
        </w:tblCellMar>
      </w:tblPr>
      <w:tblGrid>
        <w:gridCol w:w="4250"/>
        <w:gridCol w:w="60"/>
        <w:gridCol w:w="140"/>
        <w:gridCol w:w="635"/>
        <w:gridCol w:w="95"/>
        <w:gridCol w:w="60"/>
        <w:gridCol w:w="91"/>
        <w:gridCol w:w="964"/>
        <w:gridCol w:w="60"/>
        <w:gridCol w:w="60"/>
        <w:gridCol w:w="140"/>
        <w:gridCol w:w="560"/>
        <w:gridCol w:w="95"/>
        <w:gridCol w:w="60"/>
        <w:gridCol w:w="102"/>
        <w:gridCol w:w="953"/>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12" w:space="0" w:color="000000"/>
            </w:tcBorders>
            <w:tcMar>
              <w:bottom w:w="28" w:type="dxa"/>
            </w:tcMar>
            <w:vAlign w:val="center"/>
          </w:tcPr>
          <w:p>
            <w:pPr>
              <w:pStyle w:val="TableContents"/>
              <w:bidi w:val="0"/>
              <w:spacing w:before="0" w:after="283"/>
              <w:jc w:val="center"/>
              <w:rPr/>
            </w:pPr>
            <w:r>
              <w:rPr/>
              <w:t>2021</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Tax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Percentage</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Book 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5" w:name="xdx_989_eus-gaap--IncomeTaxReconciliatio"/>
            <w:bookmarkEnd w:id="615"/>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16" w:name="xdx_98B_eus-gaap--EffectiveIncomeTaxRate"/>
            <w:bookmarkEnd w:id="616"/>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7" w:name="xdx_98F_eus-gaap--IncomeTaxReconciliatio"/>
            <w:bookmarkEnd w:id="617"/>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18" w:name="xdx_98E_eus-gaap--EffectiveIncomeTaxRate"/>
            <w:bookmarkEnd w:id="618"/>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9" w:name="xdx_98D_ecustom--EffectiveIncomeTaxRateR"/>
            <w:bookmarkEnd w:id="619"/>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20" w:name="xdx_980_ecustom--EffectiveIncomeTaxRateR"/>
            <w:bookmarkEnd w:id="620"/>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1" w:name="xdx_983_ecustom--EffectiveIncomeTaxRateR"/>
            <w:bookmarkEnd w:id="621"/>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22" w:name="xdx_986_ecustom--EffectiveIncomeTaxRateR"/>
            <w:bookmarkEnd w:id="622"/>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3" w:name="xdx_980_ecustom--EffectiveIncomeTaxRateR"/>
            <w:bookmarkEnd w:id="623"/>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24" w:name="xdx_988_ecustom--EffectiveIncomeTaxRateR"/>
            <w:bookmarkEnd w:id="624"/>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5" w:name="xdx_98D_ecustom--EffectiveIncomeTaxRateR"/>
            <w:bookmarkEnd w:id="625"/>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26" w:name="xdx_989_ecustom--EffectiveIncomeTaxRateR"/>
            <w:bookmarkEnd w:id="626"/>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(other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7" w:name="xdx_981_ecustom--EffectiveIncomeTaxRateR"/>
            <w:bookmarkEnd w:id="627"/>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28" w:name="xdx_98F_ecustom--EffectiveIncomeTaxRateR"/>
            <w:bookmarkEnd w:id="628"/>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9" w:name="xdx_986_ecustom--EffectiveIncomeTaxRateR"/>
            <w:bookmarkEnd w:id="629"/>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30" w:name="xdx_98B_ecustom--EffectiveIncomeTaxRateR"/>
            <w:bookmarkEnd w:id="630"/>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1" w:name="xdx_98A_eus-gaap--IncomeTaxReconciliatio"/>
            <w:bookmarkEnd w:id="631"/>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32" w:name="xdx_98D_eus-gaap--EffectiveIncomeTaxRate"/>
            <w:bookmarkEnd w:id="632"/>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3" w:name="xdx_989_eus-gaap--IncomeTaxReconciliatio"/>
            <w:bookmarkEnd w:id="633"/>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34" w:name="xdx_98F_eus-gaap--EffectiveIncomeTaxRate"/>
            <w:bookmarkEnd w:id="634"/>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5" w:name="xdx_986_ecustom--EffectiveIncomeTaxRateR"/>
            <w:bookmarkEnd w:id="635"/>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36" w:name="xdx_98F_ecustom--EffectiveIncomeTaxRateR"/>
            <w:bookmarkEnd w:id="636"/>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7" w:name="xdx_98A_ecustom--EffectiveIncomeTaxRateR"/>
            <w:bookmarkEnd w:id="637"/>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38" w:name="xdx_985_ecustom--EffectiveIncomeTaxRateR"/>
            <w:bookmarkEnd w:id="638"/>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39" w:name="xdx_98D_ecustom--EffectiveIncomeTaxRateR"/>
            <w:bookmarkEnd w:id="639"/>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40" w:name="xdx_98A_ecustom--EffectiveIncomeTaxRateR"/>
            <w:bookmarkEnd w:id="640"/>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1" w:name="xdx_98F_ecustom--EffectiveIncomeTaxRateR"/>
            <w:bookmarkEnd w:id="641"/>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642" w:name="xdx_98A_ecustom--EffectiveIncomeTaxRateR"/>
            <w:bookmarkEnd w:id="642"/>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3" w:name="xdx_980_ecustom--EffectiveIncomeTaxRateR"/>
            <w:bookmarkEnd w:id="643"/>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644" w:name="xdx_983_ecustom--EffectiveIncomeTaxRateR"/>
            <w:bookmarkEnd w:id="644"/>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5" w:name="xdx_982_eus-gaap--IncomeTaxReconciliatio"/>
            <w:bookmarkEnd w:id="645"/>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bookmarkStart w:id="646" w:name="xdx_98A_eus-gaap--EffectiveIncomeTaxRate"/>
            <w:bookmarkEnd w:id="646"/>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7" w:name="xdx_98E_eus-gaap--IncomeTaxReconciliatio"/>
            <w:bookmarkEnd w:id="647"/>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648" w:name="xdx_985_eus-gaap--EffectiveIncomeTaxRate"/>
            <w:bookmarkEnd w:id="648"/>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49" w:name="xdx_984_eus-gaap--IncomeTaxReconciliatio"/>
            <w:bookmarkEnd w:id="649"/>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0" w:name="xdx_98C_eus-gaap--EffectiveIncomeTaxRate"/>
            <w:bookmarkEnd w:id="650"/>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1" w:name="xdx_988_eus-gaap--IncomeTaxReconciliatio"/>
            <w:bookmarkEnd w:id="651"/>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2" w:name="xdx_98F_eus-gaap--EffectiveIncomeTaxRate"/>
            <w:bookmarkEnd w:id="652"/>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53" w:name="xdx_985_eus-gaap--IncomeTaxExpenseBenefi"/>
            <w:bookmarkEnd w:id="653"/>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bookmarkStart w:id="654" w:name="xdx_980_eus-gaap--IncomeTaxExpenseBenefi"/>
            <w:bookmarkEnd w:id="654"/>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5" w:name="xdx_98D_eus-gaap--EffectiveIncomeTaxRate"/>
            <w:bookmarkEnd w:id="655"/>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56" w:name="xdx_988_eus-gaap--EffectiveIncomeTaxRate"/>
            <w:bookmarkEnd w:id="656"/>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57" w:name="xdx_8A9_zNw9ipyJhpP4"/>
      <w:bookmarkEnd w:id="6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form the date of filing. At the report date, the statute of limitations for federal and state tax returns are open for the Company for 2019, 2020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2022, the Company had federal net operating loss carryforwards of approximately $</w:t>
      </w:r>
      <w:bookmarkStart w:id="658" w:name="xdx_90C_eus-gaap--OperatingLossCarryforw"/>
      <w:bookmarkEnd w:id="658"/>
      <w:r>
        <w:rPr>
          <w:rFonts w:ascii="Times New Roman;Times;Serif" w:hAnsi="Times New Roman;Times;Serif"/>
          <w:b w:val="false"/>
          <w:i w:val="false"/>
          <w:caps w:val="false"/>
          <w:smallCaps w:val="false"/>
          <w:sz w:val="20"/>
        </w:rPr>
        <w:t xml:space="preserve">16,140, available to reduce future taxable income which do not expire, but are limited to </w:t>
      </w:r>
      <w:bookmarkStart w:id="659" w:name="xdx_908_eus-gaap--EffectiveIncomeTaxRate"/>
      <w:bookmarkEnd w:id="659"/>
      <w:r>
        <w:rPr>
          <w:rFonts w:ascii="Times New Roman;Times;Serif" w:hAnsi="Times New Roman;Times;Serif"/>
          <w:b w:val="false"/>
          <w:i w:val="false"/>
          <w:caps w:val="false"/>
          <w:smallCaps w:val="false"/>
          <w:sz w:val="20"/>
        </w:rPr>
        <w:t>80% utilization against taxable income. As of December 31, 2022, the Company had state net operating loss carryforwards of approximately $</w:t>
      </w:r>
      <w:bookmarkStart w:id="660" w:name="xdx_900_eus-gaap--OperatingLossCarryforw"/>
      <w:bookmarkEnd w:id="660"/>
      <w:r>
        <w:rPr>
          <w:rFonts w:ascii="Times New Roman;Times;Serif" w:hAnsi="Times New Roman;Times;Serif"/>
          <w:b w:val="false"/>
          <w:i w:val="false"/>
          <w:caps w:val="false"/>
          <w:smallCaps w:val="false"/>
          <w:sz w:val="20"/>
        </w:rPr>
        <w:t>6,747, available to reduce future taxable income, which start to expire in 2037. The Company also had research and development credits of $</w:t>
      </w:r>
      <w:bookmarkStart w:id="661" w:name="xdx_90F_eus-gaap--DeferredTaxAssetsTaxCr"/>
      <w:bookmarkEnd w:id="661"/>
      <w:r>
        <w:rPr>
          <w:rFonts w:ascii="Times New Roman;Times;Serif" w:hAnsi="Times New Roman;Times;Serif"/>
          <w:b w:val="false"/>
          <w:i w:val="false"/>
          <w:caps w:val="false"/>
          <w:smallCaps w:val="false"/>
          <w:sz w:val="20"/>
        </w:rPr>
        <w:t xml:space="preserve">200 as of December 31, 2022 to offset future federal income taxes, which are set to expire in </w:t>
      </w:r>
      <w:bookmarkStart w:id="662" w:name="xdx_908_ecustom--TaxCreditCarryForwardEx"/>
      <w:bookmarkEnd w:id="662"/>
      <w:r>
        <w:rPr>
          <w:rFonts w:ascii="Times New Roman;Times;Serif" w:hAnsi="Times New Roman;Times;Serif"/>
          <w:b w:val="false"/>
          <w:i w:val="false"/>
          <w:caps w:val="false"/>
          <w:smallCaps w:val="false"/>
          <w:sz w:val="20"/>
        </w:rPr>
        <w:t>2042.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w:t>
      </w:r>
      <w:bookmarkStart w:id="663" w:name="xdx_904_eus-gaap--DeferredTaxAssetsValua"/>
      <w:bookmarkEnd w:id="663"/>
      <w:r>
        <w:rPr>
          <w:rFonts w:ascii="Times New Roman;Times;Serif" w:hAnsi="Times New Roman;Times;Serif"/>
          <w:b w:val="false"/>
          <w:i w:val="false"/>
          <w:caps w:val="false"/>
          <w:smallCaps w:val="false"/>
          <w:sz w:val="20"/>
        </w:rPr>
        <w:t>7,324, primarily due to the company entering into a 3 year cumulative loss position and no expectation of income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4" w:name="xdx_89E_eus-gaap--ScheduleOfUnrecognized"/>
      <w:bookmarkEnd w:id="664"/>
      <w:r>
        <w:rPr>
          <w:rFonts w:ascii="Times New Roman;Times;Serif" w:hAnsi="Times New Roman;Times;Serif"/>
          <w:b w:val="false"/>
          <w:i w:val="false"/>
          <w:caps w:val="false"/>
          <w:smallCaps w:val="false"/>
          <w:sz w:val="20"/>
        </w:rPr>
        <w:t>The roll-forward of the Company’s gross uncertain tax positions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5" w:name="xdx_8B4_zxv4HRi3jHo"/>
      <w:bookmarkEnd w:id="665"/>
      <w:r>
        <w:rPr>
          <w:rFonts w:ascii="Times New Roman;Times;Serif" w:hAnsi="Times New Roman;Times;Serif"/>
          <w:b w:val="false"/>
          <w:i w:val="false"/>
          <w:caps w:val="false"/>
          <w:smallCaps w:val="false"/>
          <w:sz w:val="20"/>
        </w:rPr>
        <w:t>SCHEDULE OF GROSS UNCERTAIN TAX POSITIONS </w:t>
      </w:r>
    </w:p>
    <w:tbl>
      <w:tblPr>
        <w:tblW w:w="6719" w:type="dxa"/>
        <w:jc w:val="left"/>
        <w:tblInd w:w="0" w:type="dxa"/>
        <w:tblLayout w:type="fixed"/>
        <w:tblCellMar>
          <w:top w:w="0" w:type="dxa"/>
          <w:left w:w="0" w:type="dxa"/>
          <w:bottom w:w="0" w:type="dxa"/>
          <w:right w:w="0" w:type="dxa"/>
        </w:tblCellMar>
      </w:tblPr>
      <w:tblGrid>
        <w:gridCol w:w="3725"/>
        <w:gridCol w:w="60"/>
        <w:gridCol w:w="758"/>
        <w:gridCol w:w="2066"/>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4" w:type="dxa"/>
            <w:gridSpan w:val="2"/>
            <w:tcBorders>
              <w:bottom w:val="single" w:sz="12" w:space="0" w:color="000000"/>
            </w:tcBorders>
            <w:tcMar>
              <w:bottom w:w="28" w:type="dxa"/>
            </w:tcMar>
            <w:vAlign w:val="center"/>
          </w:tcPr>
          <w:p>
            <w:pPr>
              <w:pStyle w:val="TableContents"/>
              <w:bidi w:val="0"/>
              <w:spacing w:before="0" w:after="283"/>
              <w:jc w:val="center"/>
              <w:rPr/>
            </w:pPr>
            <w:r>
              <w:rPr/>
              <w:t>Gross Uncertain Tax Position</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Balance January 1, 2021</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w:t>
            </w:r>
            <w:bookmarkStart w:id="666" w:name="xdx_98C_eus-gaap--UnrecognizedTaxBenefit"/>
            <w:bookmarkEnd w:id="666"/>
          </w:p>
        </w:tc>
        <w:tc>
          <w:tcPr>
            <w:tcW w:w="2066"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bookmarkStart w:id="667" w:name="xdx_983_eus-gaap--UnrecognizedTaxBenefit"/>
            <w:bookmarkEnd w:id="667"/>
          </w:p>
        </w:tc>
        <w:tc>
          <w:tcPr>
            <w:tcW w:w="20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Reductions for prior year tax positions</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68" w:name="xdx_985_eus-gaap--UnrecognizedTaxBenefit"/>
            <w:bookmarkEnd w:id="668"/>
          </w:p>
        </w:tc>
        <w:tc>
          <w:tcPr>
            <w:tcW w:w="2066"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Balance- December 31, 2021</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bookmarkStart w:id="669" w:name="xdx_982_eus-gaap--UnrecognizedTaxBenefit"/>
            <w:bookmarkEnd w:id="669"/>
          </w:p>
        </w:tc>
        <w:tc>
          <w:tcPr>
            <w:tcW w:w="20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Additions for current year tax positions</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70" w:name="xdx_988_eus-gaap--UnrecognizedTaxBenefit"/>
            <w:bookmarkEnd w:id="670"/>
          </w:p>
        </w:tc>
        <w:tc>
          <w:tcPr>
            <w:tcW w:w="2066"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Balance- December 31, 2022</w:t>
            </w:r>
          </w:p>
        </w:tc>
        <w:tc>
          <w:tcPr>
            <w:tcW w:w="60" w:type="dxa"/>
            <w:tcBorders/>
            <w:shd w:fill="FFFFFF" w:val="cle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71" w:name="xdx_98F_eus-gaap--UnrecognizedTaxBenefit"/>
            <w:bookmarkEnd w:id="671"/>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2" w:name="xdx_8A5_zpVbYgqEqnwh"/>
      <w:bookmarkEnd w:id="6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73" w:name="xdx_801_eus-gaap--AssetAcquisitionTextBl"/>
      <w:bookmarkEnd w:id="673"/>
      <w:r>
        <w:rPr>
          <w:rFonts w:ascii="Times New Roman;Times;Serif" w:hAnsi="Times New Roman;Times;Serif"/>
          <w:b/>
          <w:i w:val="false"/>
          <w:caps/>
          <w:sz w:val="20"/>
        </w:rPr>
        <w:t xml:space="preserve">Note 10 – </w:t>
      </w:r>
      <w:bookmarkStart w:id="674" w:name="xdx_82A_zpkje2KIxmN2"/>
      <w:bookmarkEnd w:id="674"/>
      <w:r>
        <w:rPr>
          <w:rFonts w:ascii="Times New Roman;Times;Serif" w:hAnsi="Times New Roman;Times;Serif"/>
          <w:b/>
          <w:i w:val="false"/>
          <w:caps/>
          <w:sz w:val="20"/>
        </w:rPr>
        <w:t>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Bourns Productions,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with Bourns Productions, Inc., a Nevada corporation (“</w:t>
      </w:r>
      <w:r>
        <w:rPr>
          <w:rFonts w:ascii="Times New Roman;Times;Serif" w:hAnsi="Times New Roman;Times;Serif"/>
          <w:b/>
          <w:i w:val="false"/>
          <w:caps w:val="false"/>
          <w:smallCaps w:val="false"/>
          <w:sz w:val="20"/>
        </w:rPr>
        <w:t>Bourns Productions</w:t>
      </w:r>
      <w:r>
        <w:rPr>
          <w:rFonts w:ascii="Times New Roman;Times;Serif" w:hAnsi="Times New Roman;Times;Serif"/>
          <w:b w:val="false"/>
          <w:i w:val="false"/>
          <w:caps w:val="false"/>
          <w:smallCaps w:val="false"/>
          <w:sz w:val="20"/>
        </w:rPr>
        <w:t>”), pursuant to which the Company acquired machinery, equipment and a lease for a podcast studio from Bourns Production Productions as set forth in the APA for a purchase price of $</w:t>
      </w:r>
      <w:bookmarkStart w:id="675" w:name="xdx_90C_eus-gaap--AssetAcquisitionConsid"/>
      <w:bookmarkEnd w:id="675"/>
      <w:r>
        <w:rPr>
          <w:rFonts w:ascii="Times New Roman;Times;Serif" w:hAnsi="Times New Roman;Times;Serif"/>
          <w:b w:val="false"/>
          <w:i w:val="false"/>
          <w:caps w:val="false"/>
          <w:smallCaps w:val="false"/>
          <w:sz w:val="20"/>
        </w:rPr>
        <w:t>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whereby the Company acquired inventory and intellectual property assets for $</w:t>
      </w:r>
      <w:bookmarkStart w:id="676" w:name="xdx_908_eus-gaap--AssetAcquisitionConsid"/>
      <w:bookmarkEnd w:id="676"/>
      <w:r>
        <w:rPr>
          <w:rFonts w:ascii="Times New Roman;Times;Serif" w:hAnsi="Times New Roman;Times;Serif"/>
          <w:b w:val="false"/>
          <w:i w:val="false"/>
          <w:caps w:val="false"/>
          <w:smallCaps w:val="false"/>
          <w:sz w:val="20"/>
        </w:rPr>
        <w:t>444 cash plus contingent payments of $</w:t>
      </w:r>
      <w:bookmarkStart w:id="677" w:name="xdx_905_eus-gaap--AssetAcquisitionConsid"/>
      <w:bookmarkEnd w:id="677"/>
      <w:r>
        <w:rPr>
          <w:rFonts w:ascii="Times New Roman;Times;Serif" w:hAnsi="Times New Roman;Times;Serif"/>
          <w:b w:val="false"/>
          <w:i w:val="false"/>
          <w:caps w:val="false"/>
          <w:smallCaps w:val="false"/>
          <w:sz w:val="20"/>
        </w:rPr>
        <w:t>1,000 each to William Thomason and Richard Jones (the “</w:t>
      </w:r>
      <w:r>
        <w:rPr>
          <w:rFonts w:ascii="Times New Roman;Times;Serif" w:hAnsi="Times New Roman;Times;Serif"/>
          <w:b/>
          <w:i w:val="false"/>
          <w:caps w:val="false"/>
          <w:smallCaps w:val="false"/>
          <w:sz w:val="20"/>
        </w:rPr>
        <w:t>Earn Out</w:t>
      </w:r>
      <w:r>
        <w:rPr>
          <w:rFonts w:ascii="Times New Roman;Times;Serif" w:hAnsi="Times New Roman;Times;Serif"/>
          <w:b w:val="false"/>
          <w:i w:val="false"/>
          <w:caps w:val="false"/>
          <w:smallCaps w:val="false"/>
          <w:sz w:val="20"/>
        </w:rPr>
        <w:t>”). The Company determined the contingent consideration to be recognized as contingent compensation to Mr. Thomason and Mr. Jones. The entire purchase price of $</w:t>
      </w:r>
      <w:bookmarkStart w:id="678" w:name="xdx_900_eus-gaap--AssetAcquisitionConsid"/>
      <w:bookmarkEnd w:id="678"/>
      <w:r>
        <w:rPr>
          <w:rFonts w:ascii="Times New Roman;Times;Serif" w:hAnsi="Times New Roman;Times;Serif"/>
          <w:b w:val="false"/>
          <w:i w:val="false"/>
          <w:caps w:val="false"/>
          <w:smallCaps w:val="false"/>
          <w:sz w:val="20"/>
        </w:rPr>
        <w:t>444 was allocated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w:t>
      </w:r>
      <w:bookmarkStart w:id="679" w:name="xdx_909_eus-gaap--Revenues_pn3n3_c202201"/>
      <w:bookmarkEnd w:id="679"/>
      <w:r>
        <w:rPr>
          <w:rFonts w:ascii="Times New Roman;Times;Serif" w:hAnsi="Times New Roman;Times;Serif"/>
          <w:b w:val="false"/>
          <w:i w:val="false"/>
          <w:caps w:val="false"/>
          <w:smallCaps w:val="false"/>
          <w:sz w:val="20"/>
        </w:rPr>
        <w:t>3,000 in gross sales of product either (a) sold under the Wakespeed brand and/or (b) which incorporates any portion of Purchased IP as listed within the agreement, then the Company will pay to Thomason Jones each the amount of $</w:t>
      </w:r>
      <w:bookmarkStart w:id="680" w:name="xdx_907_eus-gaap--OtherLiabilities_iI_pn"/>
      <w:bookmarkEnd w:id="680"/>
      <w:r>
        <w:rPr>
          <w:rFonts w:ascii="Times New Roman;Times;Serif" w:hAnsi="Times New Roman;Times;Serif"/>
          <w:b w:val="false"/>
          <w:i w:val="false"/>
          <w:caps w:val="false"/>
          <w:smallCaps w:val="false"/>
          <w:sz w:val="20"/>
        </w:rPr>
        <w:t>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w:t>
      </w:r>
      <w:bookmarkStart w:id="681" w:name="xdx_900_eus-gaap--SellingAndMarketingExp"/>
      <w:bookmarkEnd w:id="681"/>
      <w:r>
        <w:rPr>
          <w:rFonts w:ascii="Times New Roman;Times;Serif" w:hAnsi="Times New Roman;Times;Serif"/>
          <w:b w:val="false"/>
          <w:i w:val="false"/>
          <w:caps w:val="false"/>
          <w:smallCaps w:val="false"/>
          <w:sz w:val="20"/>
        </w:rPr>
        <w:t>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w:t>
      </w:r>
      <w:bookmarkStart w:id="682" w:name="xdx_906_eus-gaap--AccruedLiabilitiesAndO"/>
      <w:bookmarkEnd w:id="682"/>
      <w:r>
        <w:rPr>
          <w:rFonts w:ascii="Times New Roman;Times;Serif" w:hAnsi="Times New Roman;Times;Serif"/>
          <w:b w:val="false"/>
          <w:i w:val="false"/>
          <w:caps w:val="false"/>
          <w:smallCaps w:val="false"/>
          <w:sz w:val="20"/>
        </w:rPr>
        <w:t>782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83" w:name="xdx_800_eus-gaap--RelatedPartyTransactio"/>
      <w:bookmarkEnd w:id="683"/>
      <w:r>
        <w:rPr>
          <w:rFonts w:ascii="Times New Roman;Times;Serif" w:hAnsi="Times New Roman;Times;Serif"/>
          <w:b/>
          <w:i w:val="false"/>
          <w:caps/>
          <w:sz w:val="20"/>
        </w:rPr>
        <w:t xml:space="preserve">Note 11 - </w:t>
      </w:r>
      <w:bookmarkStart w:id="684" w:name="xdx_82E_zhIc8JJI2WH4"/>
      <w:bookmarkEnd w:id="684"/>
      <w:r>
        <w:rPr>
          <w:rFonts w:ascii="Times New Roman;Times;Serif" w:hAnsi="Times New Roman;Times;Serif"/>
          <w:b/>
          <w:i w:val="false"/>
          <w:caps/>
          <w:sz w:val="20"/>
        </w:rPr>
        <w:t>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w:t>
      </w:r>
      <w:bookmarkStart w:id="685" w:name="xdx_90D_eus-gaap--RelatedPartyTransactio"/>
      <w:bookmarkEnd w:id="685"/>
      <w:r>
        <w:rPr>
          <w:rFonts w:ascii="Times New Roman;Times;Serif" w:hAnsi="Times New Roman;Times;Serif"/>
          <w:b w:val="false"/>
          <w:i w:val="false"/>
          <w:caps w:val="false"/>
          <w:smallCaps w:val="false"/>
          <w:sz w:val="20"/>
        </w:rPr>
        <w:t>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w:t>
      </w:r>
      <w:r>
        <w:rPr>
          <w:rFonts w:ascii="Times New Roman;Times;Serif" w:hAnsi="Times New Roman;Times;Serif"/>
          <w:b/>
          <w:i w:val="false"/>
          <w:caps w:val="false"/>
          <w:smallCaps w:val="false"/>
          <w:sz w:val="20"/>
        </w:rPr>
        <w:t>COO</w:t>
      </w:r>
      <w:r>
        <w:rPr>
          <w:rFonts w:ascii="Times New Roman;Times;Serif" w:hAnsi="Times New Roman;Times;Serif"/>
          <w:b w:val="false"/>
          <w:i w:val="false"/>
          <w:caps w:val="false"/>
          <w:smallCaps w:val="false"/>
          <w:sz w:val="20"/>
        </w:rPr>
        <w:t>”). As consideration for the COO’s execution of the agreement, the Company agreed to pay the employee a lump sum payment of $</w:t>
      </w:r>
      <w:bookmarkStart w:id="686" w:name="xdx_90F_eus-gaap--RelatedPartyTransactio"/>
      <w:bookmarkEnd w:id="686"/>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687" w:name="xdx_909_eus-gaap--OtherLiabilities_iI_pn"/>
      <w:bookmarkEnd w:id="687"/>
      <w:r>
        <w:rPr>
          <w:rFonts w:ascii="Times New Roman;Times;Serif" w:hAnsi="Times New Roman;Times;Serif"/>
          <w:b w:val="false"/>
          <w:i w:val="false"/>
          <w:caps w:val="false"/>
          <w:smallCaps w:val="false"/>
          <w:sz w:val="20"/>
        </w:rPr>
        <w:t>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88" w:name="xdx_804_ecustom--WarrantLiabilitiesDiscl"/>
      <w:bookmarkEnd w:id="688"/>
      <w:r>
        <w:rPr>
          <w:rFonts w:ascii="Times New Roman;Times;Serif" w:hAnsi="Times New Roman;Times;Serif"/>
          <w:b/>
          <w:i w:val="false"/>
          <w:caps/>
          <w:sz w:val="20"/>
        </w:rPr>
        <w:t xml:space="preserve">Note 12 - </w:t>
      </w:r>
      <w:bookmarkStart w:id="689" w:name="xdx_824_zbxWIrXEjWT5"/>
      <w:bookmarkEnd w:id="689"/>
      <w:r>
        <w:rPr>
          <w:rFonts w:ascii="Times New Roman;Times;Serif" w:hAnsi="Times New Roman;Times;Serif"/>
          <w:b/>
          <w:i w:val="false"/>
          <w:caps/>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discussed in Note 3, the Company assumed the outstanding public and private placement warrants of CNTQ.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for further description of the warrants issued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690" w:name="xdx_902_eus-gaap--ClassOfWarrantOrRightE"/>
      <w:bookmarkEnd w:id="690"/>
      <w:r>
        <w:rPr>
          <w:rFonts w:ascii="Times New Roman;Times;Serif" w:hAnsi="Times New Roman;Times;Serif"/>
          <w:b w:val="false"/>
          <w:i w:val="false"/>
          <w:caps w:val="false"/>
          <w:smallCaps w:val="false"/>
          <w:sz w:val="20"/>
        </w:rPr>
        <w:t>11.50 per share. No fractional shares will be issued upon exercise of the Public Warrants. The Company may elect to redeem the Public Warrants subject to certain conditions, in whole and not in part, at a price of $</w:t>
      </w:r>
      <w:bookmarkStart w:id="691" w:name="xdx_906_eus-gaap--ClassOfWarrantOrRightE"/>
      <w:bookmarkEnd w:id="691"/>
      <w:r>
        <w:rPr>
          <w:rFonts w:ascii="Times New Roman;Times;Serif" w:hAnsi="Times New Roman;Times;Serif"/>
          <w:b w:val="false"/>
          <w:i w:val="false"/>
          <w:caps w:val="false"/>
          <w:smallCaps w:val="false"/>
          <w:sz w:val="20"/>
        </w:rPr>
        <w:t>0.01 per Public Warrant if (i) 30 days’ prior written notice of redemption is provided to the holders, and (ii) the last reported sale price of the Company’s common stock equals or exceeds $</w:t>
      </w:r>
      <w:bookmarkStart w:id="692" w:name="xdx_900_eus-gaap--SharePrice_iI_pid_c202"/>
      <w:bookmarkEnd w:id="692"/>
      <w:r>
        <w:rPr>
          <w:rFonts w:ascii="Times New Roman;Times;Serif" w:hAnsi="Times New Roman;Times;Serif"/>
          <w:b w:val="false"/>
          <w:i w:val="false"/>
          <w:caps w:val="false"/>
          <w:smallCaps w:val="false"/>
          <w:sz w:val="20"/>
        </w:rPr>
        <w:t xml:space="preserve">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693" w:name="xdx_90A_eus-gaap--ClassOfWarrantOrRightO"/>
      <w:bookmarkEnd w:id="693"/>
      <w:r>
        <w:rPr>
          <w:rFonts w:ascii="Times New Roman;Times;Serif" w:hAnsi="Times New Roman;Times;Serif"/>
          <w:b w:val="false"/>
          <w:i w:val="false"/>
          <w:caps w:val="false"/>
          <w:smallCaps w:val="false"/>
          <w:sz w:val="20"/>
        </w:rPr>
        <w:t>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w:t>
      </w:r>
      <w:bookmarkStart w:id="694" w:name="xdx_906_eus-gaap--ClassOfWarrantOrRightO"/>
      <w:bookmarkEnd w:id="694"/>
      <w:r>
        <w:rPr>
          <w:rFonts w:ascii="Times New Roman;Times;Serif" w:hAnsi="Times New Roman;Times;Serif"/>
          <w:b w:val="false"/>
          <w:i w:val="false"/>
          <w:caps w:val="false"/>
          <w:smallCaps w:val="false"/>
          <w:sz w:val="20"/>
        </w:rPr>
        <w:t>4,627,858 Private Warrants issued and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w:t>
      </w:r>
      <w:bookmarkStart w:id="695" w:name="xdx_90E_eus-gaap--ClassOfWarrantOrRightO"/>
      <w:bookmarkEnd w:id="695"/>
      <w:r>
        <w:rPr>
          <w:rFonts w:ascii="Times New Roman;Times;Serif" w:hAnsi="Times New Roman;Times;Serif"/>
          <w:b w:val="false"/>
          <w:i w:val="false"/>
          <w:caps w:val="false"/>
          <w:smallCaps w:val="false"/>
          <w:sz w:val="20"/>
        </w:rPr>
        <w:t>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val="false"/>
          <w:smallCaps w:val="false"/>
        </w:rPr>
      </w:pPr>
      <w:bookmarkStart w:id="696" w:name="xdx_89A_eus-gaap--ScheduleOfFairValueOff"/>
      <w:bookmarkEnd w:id="696"/>
      <w:r>
        <w:rPr>
          <w:caps w:val="false"/>
          <w:smallCaps w:val="false"/>
        </w:rPr>
        <w:t> </w:t>
      </w:r>
      <w:bookmarkStart w:id="697" w:name="xdx_8B6_zhLdaP59ejti"/>
      <w:bookmarkEnd w:id="697"/>
      <w:r>
        <w:rPr>
          <w:rFonts w:ascii="Times New Roman;Times;Serif" w:hAnsi="Times New Roman;Times;Serif"/>
          <w:b w:val="false"/>
          <w:i w:val="false"/>
          <w:caps w:val="false"/>
          <w:smallCaps w:val="false"/>
          <w:sz w:val="20"/>
        </w:rPr>
        <w:t>SCHEDULE OF WARRANT CLASSIFICATION AT EACH BALANCE SHEET DATE</w:t>
      </w:r>
    </w:p>
    <w:tbl>
      <w:tblPr>
        <w:tblW w:w="7288" w:type="dxa"/>
        <w:jc w:val="left"/>
        <w:tblInd w:w="0" w:type="dxa"/>
        <w:tblLayout w:type="fixed"/>
        <w:tblCellMar>
          <w:top w:w="0" w:type="dxa"/>
          <w:left w:w="0" w:type="dxa"/>
          <w:bottom w:w="28" w:type="dxa"/>
          <w:right w:w="0" w:type="dxa"/>
        </w:tblCellMar>
      </w:tblPr>
      <w:tblGrid>
        <w:gridCol w:w="2255"/>
        <w:gridCol w:w="60"/>
        <w:gridCol w:w="60"/>
        <w:gridCol w:w="845"/>
        <w:gridCol w:w="60"/>
        <w:gridCol w:w="60"/>
        <w:gridCol w:w="175"/>
        <w:gridCol w:w="684"/>
        <w:gridCol w:w="60"/>
        <w:gridCol w:w="60"/>
        <w:gridCol w:w="1085"/>
        <w:gridCol w:w="60"/>
        <w:gridCol w:w="186"/>
        <w:gridCol w:w="568"/>
        <w:gridCol w:w="60"/>
        <w:gridCol w:w="60"/>
        <w:gridCol w:w="950"/>
      </w:tblGrid>
      <w:tr>
        <w:trPr/>
        <w:tc>
          <w:tcPr>
            <w:tcW w:w="22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Inception </w:t>
              <w:br/>
              <w:t xml:space="preserve">Date </w:t>
              <w:br/>
              <w:t>Fair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w:t>
              <w:br/>
              <w:t xml:space="preserve">Recognition </w:t>
              <w:b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Exercise </w:t>
              <w:br/>
              <w:t>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Expiration </w:t>
              <w:br/>
              <w:t>Date</w:t>
            </w:r>
          </w:p>
        </w:tc>
      </w:tr>
      <w:tr>
        <w:trPr/>
        <w:tc>
          <w:tcPr>
            <w:tcW w:w="22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98" w:name="xdx_985_eus-gaap--ClassOfWarrantOrRightO"/>
            <w:bookmarkEnd w:id="698"/>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4,627,858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99" w:name="xdx_98F_ecustom--FairValueOfInitialPerio"/>
            <w:bookmarkEnd w:id="699"/>
          </w:p>
        </w:tc>
        <w:tc>
          <w:tcPr>
            <w:tcW w:w="6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00" w:name="xdx_900_ecustom--WarrantsAndRightsOutsta"/>
            <w:bookmarkEnd w:id="700"/>
            <w:r>
              <w:rPr>
                <w:rFonts w:ascii="Times New Roman;Times;Serif" w:hAnsi="Times New Roman;Times;Serif"/>
                <w:b w:val="false"/>
                <w:i w:val="false"/>
                <w:caps w:val="false"/>
                <w:smallCaps w:val="false"/>
                <w:sz w:val="20"/>
              </w:rPr>
              <w:t>10/7/2022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1" w:name="xdx_98E_eus-gaap--ClassOfWarrantOrRightE"/>
            <w:bookmarkEnd w:id="701"/>
          </w:p>
        </w:tc>
        <w:tc>
          <w:tcPr>
            <w:tcW w:w="56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02" w:name="xdx_904_eus-gaap--WarrantsAndRightsOutst"/>
            <w:bookmarkEnd w:id="702"/>
            <w:r>
              <w:rPr>
                <w:rFonts w:ascii="Times New Roman;Times;Serif" w:hAnsi="Times New Roman;Times;Serif"/>
                <w:b w:val="false"/>
                <w:i w:val="false"/>
                <w:caps w:val="false"/>
                <w:smallCaps w:val="false"/>
                <w:sz w:val="20"/>
              </w:rPr>
              <w:t>8/11/2026</w:t>
            </w:r>
          </w:p>
        </w:tc>
      </w:tr>
    </w:tbl>
    <w:p>
      <w:pPr>
        <w:pStyle w:val="TextBody"/>
        <w:bidi w:val="0"/>
        <w:spacing w:before="0" w:after="0"/>
        <w:ind w:left="0" w:right="0" w:hanging="0"/>
        <w:jc w:val="both"/>
        <w:rPr>
          <w:caps w:val="false"/>
          <w:smallCaps w:val="false"/>
        </w:rPr>
      </w:pPr>
      <w:bookmarkStart w:id="703" w:name="xdx_8AA_zUO1FKtK3G3b"/>
      <w:bookmarkEnd w:id="7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704" w:name="xdx_90F_eus-gaap--ClassOfWarrantOrRightN"/>
      <w:bookmarkEnd w:id="704"/>
      <w:r>
        <w:rPr>
          <w:rFonts w:ascii="Times New Roman;Times;Serif" w:hAnsi="Times New Roman;Times;Serif"/>
          <w:b w:val="false"/>
          <w:i w:val="false"/>
          <w:caps w:val="false"/>
          <w:smallCaps w:val="false"/>
          <w:sz w:val="20"/>
        </w:rPr>
        <w:t>2,593,056 shares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xml:space="preserve">”) and (ii) the $10 warrants to issue warrants to the Term Loan Lenders exercisable to purchase an aggregate of </w:t>
      </w:r>
      <w:bookmarkStart w:id="705" w:name="xdx_900_eus-gaap--ClassOfWarrantOrRightN"/>
      <w:bookmarkEnd w:id="705"/>
      <w:r>
        <w:rPr>
          <w:rFonts w:ascii="Times New Roman;Times;Serif" w:hAnsi="Times New Roman;Times;Serif"/>
          <w:b w:val="false"/>
          <w:i w:val="false"/>
          <w:caps w:val="false"/>
          <w:smallCaps w:val="false"/>
          <w:sz w:val="20"/>
        </w:rPr>
        <w:t>1,600,000 shares of common stock at $</w:t>
      </w:r>
      <w:bookmarkStart w:id="706" w:name="xdx_901_eus-gaap--SharePrice_iI_c2022123"/>
      <w:bookmarkEnd w:id="706"/>
      <w:r>
        <w:rPr>
          <w:rFonts w:ascii="Times New Roman;Times;Serif" w:hAnsi="Times New Roman;Times;Serif"/>
          <w:b w:val="false"/>
          <w:i w:val="false"/>
          <w:caps w:val="false"/>
          <w:smallCaps w:val="false"/>
          <w:sz w:val="20"/>
        </w:rPr>
        <w:t xml:space="preserve">10 per share (the “$10 Warrants” and, together with the Penny Warrants, the “ Term Loan Warrants”). The $10 Warrants were exercised on a cashless basis on October 10, 2022, with the Company agreeing to issue </w:t>
      </w:r>
      <w:bookmarkStart w:id="707" w:name="xdx_902_eus-gaap--ClassOfWarrantOrRightN"/>
      <w:bookmarkEnd w:id="707"/>
      <w:r>
        <w:rPr>
          <w:rFonts w:ascii="Times New Roman;Times;Serif" w:hAnsi="Times New Roman;Times;Serif"/>
          <w:b w:val="false"/>
          <w:i w:val="false"/>
          <w:caps w:val="false"/>
          <w:smallCaps w:val="false"/>
          <w:sz w:val="20"/>
        </w:rPr>
        <w:t>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8" w:name="xdx_89A_eus-gaap--DisclosureOfShareBased"/>
      <w:bookmarkEnd w:id="708"/>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9" w:name="xdx_8BE_zEBLjA52Mth2"/>
      <w:bookmarkEnd w:id="709"/>
      <w:r>
        <w:rPr>
          <w:rFonts w:ascii="Times New Roman;Times;Serif" w:hAnsi="Times New Roman;Times;Serif"/>
          <w:b w:val="false"/>
          <w:i w:val="false"/>
          <w:caps w:val="false"/>
          <w:smallCaps w:val="false"/>
          <w:sz w:val="20"/>
        </w:rPr>
        <w:t>SCHEDULE FAIR VALUE WARRANTS </w:t>
      </w:r>
    </w:p>
    <w:tbl>
      <w:tblPr>
        <w:tblW w:w="6045" w:type="dxa"/>
        <w:jc w:val="left"/>
        <w:tblInd w:w="0" w:type="dxa"/>
        <w:tblLayout w:type="fixed"/>
        <w:tblCellMar>
          <w:top w:w="0" w:type="dxa"/>
          <w:left w:w="0" w:type="dxa"/>
          <w:bottom w:w="0" w:type="dxa"/>
          <w:right w:w="0" w:type="dxa"/>
        </w:tblCellMar>
      </w:tblPr>
      <w:tblGrid>
        <w:gridCol w:w="2000"/>
        <w:gridCol w:w="60"/>
        <w:gridCol w:w="379"/>
        <w:gridCol w:w="1516"/>
        <w:gridCol w:w="60"/>
        <w:gridCol w:w="60"/>
        <w:gridCol w:w="379"/>
        <w:gridCol w:w="151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Initial Measurement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December 31, 2022</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0" w:name="xdx_98F_eus-gaap--SharePrice_iI_pid_c202"/>
            <w:bookmarkEnd w:id="710"/>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1" w:name="xdx_98A_eus-gaap--SharePrice_iI_pid_c202"/>
            <w:bookmarkEnd w:id="711"/>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2" w:name="xdx_98A_eus-gaap--WarrantsAndRightsOutst"/>
            <w:bookmarkEnd w:id="712"/>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3" w:name="xdx_98A_eus-gaap--WarrantsAndRightsOutst"/>
            <w:bookmarkEnd w:id="713"/>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bookmarkStart w:id="714" w:name="xdx_909_eus-gaap--WarrantsAndRightsOutst"/>
            <w:bookmarkEnd w:id="714"/>
            <w:r>
              <w:rPr>
                <w:rFonts w:ascii="Times New Roman;Times;Serif" w:hAnsi="Times New Roman;Times;Serif"/>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bookmarkStart w:id="715" w:name="xdx_90E_eus-gaap--WarrantsAndRightsOutst"/>
            <w:bookmarkEnd w:id="715"/>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bookmarkStart w:id="716" w:name="xdx_908_eus-gaap--WarrantsAndRightsOutst"/>
            <w:bookmarkEnd w:id="716"/>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bookmarkStart w:id="717" w:name="xdx_90F_eus-gaap--WarrantsAndRightsOutst"/>
            <w:bookmarkEnd w:id="717"/>
            <w:r>
              <w:rPr>
                <w:rFonts w:ascii="Times New Roman;Times;Serif" w:hAnsi="Times New Roman;Times;Serif"/>
              </w:rPr>
              <w:t>9.77</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18" w:name="xdx_98C_eus-gaap--WarrantsAndRightsOutst"/>
            <w:bookmarkEnd w:id="718"/>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19" w:name="xdx_983_eus-gaap--WarrantsAndRightsOutst"/>
            <w:bookmarkEnd w:id="719"/>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20" w:name="xdx_98E_eus-gaap--WarrantsAndRightsOutst"/>
            <w:bookmarkEnd w:id="720"/>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21" w:name="xdx_981_eus-gaap--WarrantsAndRightsOutst"/>
            <w:bookmarkEnd w:id="721"/>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2" w:name="xdx_981_ecustom--FairValueOfWarrant_iI_p"/>
            <w:bookmarkEnd w:id="722"/>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3" w:name="xdx_98F_ecustom--FairValueOfWarrant_iI_p"/>
            <w:bookmarkEnd w:id="723"/>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$10 Warrants:</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000"/>
        <w:gridCol w:w="60"/>
        <w:gridCol w:w="259"/>
        <w:gridCol w:w="103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Initial </w:t>
              <w:br/>
              <w:t>Measurement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4" w:name="xdx_98D_eus-gaap--SharePrice_iI_pid_c202"/>
            <w:bookmarkEnd w:id="724"/>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5" w:name="xdx_98C_eus-gaap--WarrantsAndRightsOutst"/>
            <w:bookmarkEnd w:id="725"/>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bookmarkStart w:id="726" w:name="xdx_90E_eus-gaap--WarrantsAndRightsOutst"/>
            <w:bookmarkEnd w:id="726"/>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bookmarkStart w:id="727" w:name="xdx_906_eus-gaap--WarrantsAndRightsOutst"/>
            <w:bookmarkEnd w:id="727"/>
            <w:r>
              <w:rPr>
                <w:rFonts w:ascii="Times New Roman;Times;Serif" w:hAnsi="Times New Roman;Times;Serif"/>
              </w:rPr>
              <w:t>10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bookmarkStart w:id="728" w:name="xdx_987_eus-gaap--WarrantsAndRightsOutst"/>
            <w:bookmarkEnd w:id="728"/>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bookmarkStart w:id="729" w:name="xdx_98E_eus-gaap--WarrantsAndRightsOutst"/>
            <w:bookmarkEnd w:id="729"/>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0" w:name="xdx_981_ecustom--FairValueOfWarrant_iI_p"/>
            <w:bookmarkEnd w:id="730"/>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31" w:name="xdx_8A8_zPqvWbXp5nU6"/>
      <w:bookmarkEnd w:id="7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2" w:name="xdx_891_eus-gaap--ScheduleOfStockholders"/>
      <w:bookmarkEnd w:id="732"/>
      <w:r>
        <w:rPr>
          <w:rFonts w:ascii="Times New Roman;Times;Serif" w:hAnsi="Times New Roman;Times;Serif"/>
          <w:b w:val="false"/>
          <w:i w:val="false"/>
          <w:caps w:val="false"/>
          <w:smallCaps w:val="false"/>
          <w:sz w:val="20"/>
        </w:rPr>
        <w:t>The following tables presents a roll-forward of the Company’s warrants from January 1, 2022 to December 31,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3" w:name="xdx_8B5_zRMGbYdQpYpb"/>
      <w:bookmarkEnd w:id="733"/>
      <w:r>
        <w:rPr>
          <w:rFonts w:ascii="Times New Roman;Times;Serif" w:hAnsi="Times New Roman;Times;Serif"/>
          <w:b w:val="false"/>
          <w:i w:val="false"/>
          <w:caps w:val="false"/>
          <w:smallCaps w:val="false"/>
          <w:sz w:val="20"/>
        </w:rPr>
        <w:t>SCHEDULE OF ROLL FORWARD IN WARRANTS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4100"/>
        <w:gridCol w:w="60"/>
        <w:gridCol w:w="139"/>
        <w:gridCol w:w="2280"/>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4" w:name="xdx_495_20220101__20221231__us-gaap--Sta"/>
            <w:bookmarkEnd w:id="734"/>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bookmarkStart w:id="735" w:name="xdx_F40_zJvK3WPWRUh8"/>
            <w:bookmarkStart w:id="736" w:name="xdx_402_eus-gaap--ShareBasedCompensation"/>
            <w:bookmarkEnd w:id="735"/>
            <w:bookmarkEnd w:id="736"/>
          </w:p>
        </w:tc>
      </w:tr>
      <w:tr>
        <w:trPr/>
        <w:tc>
          <w:tcPr>
            <w:tcW w:w="4100" w:type="dxa"/>
            <w:tcBorders/>
            <w:shd w:fill="CCEEFF" w:val="clear"/>
            <w:vAlign w:val="center"/>
          </w:tcPr>
          <w:p>
            <w:pPr>
              <w:pStyle w:val="TableContents"/>
              <w:bidi w:val="0"/>
              <w:spacing w:before="0" w:after="283"/>
              <w:jc w:val="left"/>
              <w:rPr/>
            </w:pPr>
            <w:r>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37" w:name="xdx_409_ecustom--ShareBasedCompensationA"/>
            <w:bookmarkEnd w:id="737"/>
          </w:p>
        </w:tc>
      </w:tr>
      <w:tr>
        <w:trPr/>
        <w:tc>
          <w:tcPr>
            <w:tcW w:w="4100" w:type="dxa"/>
            <w:tcBorders/>
            <w:shd w:fill="FFFFFF" w:val="clear"/>
            <w:vAlign w:val="center"/>
          </w:tcPr>
          <w:p>
            <w:pPr>
              <w:pStyle w:val="TableContents"/>
              <w:bidi w:val="0"/>
              <w:spacing w:before="0" w:after="283"/>
              <w:jc w:val="left"/>
              <w:rPr/>
            </w:pPr>
            <w:r>
              <w:rPr/>
              <w:t>Assumed in the merger</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4,627,858</w:t>
            </w:r>
          </w:p>
        </w:tc>
        <w:tc>
          <w:tcPr>
            <w:tcW w:w="75" w:type="dxa"/>
            <w:tcBorders/>
            <w:shd w:fill="FFFFFF" w:val="clear"/>
            <w:vAlign w:val="center"/>
          </w:tcPr>
          <w:p>
            <w:pPr>
              <w:pStyle w:val="TableContents"/>
              <w:bidi w:val="0"/>
              <w:spacing w:before="0" w:after="283"/>
              <w:jc w:val="left"/>
              <w:rPr/>
            </w:pPr>
            <w:r>
              <w:rPr/>
              <w:t> </w:t>
            </w:r>
            <w:bookmarkStart w:id="738" w:name="xdx_409_eus-gaap--ShareBasedCompensation"/>
            <w:bookmarkEnd w:id="738"/>
          </w:p>
        </w:tc>
      </w:tr>
      <w:tr>
        <w:trPr/>
        <w:tc>
          <w:tcPr>
            <w:tcW w:w="4100" w:type="dxa"/>
            <w:tcBorders/>
            <w:shd w:fill="CCEEFF" w:val="clear"/>
            <w:vAlign w:val="center"/>
          </w:tcPr>
          <w:p>
            <w:pPr>
              <w:pStyle w:val="TableContents"/>
              <w:bidi w:val="0"/>
              <w:spacing w:before="0" w:after="283"/>
              <w:jc w:val="left"/>
              <w:rPr/>
            </w:pPr>
            <w:r>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39" w:name="xdx_40E_eus-gaap--ShareBasedCompensation"/>
            <w:bookmarkEnd w:id="739"/>
          </w:p>
        </w:tc>
      </w:tr>
      <w:tr>
        <w:trPr/>
        <w:tc>
          <w:tcPr>
            <w:tcW w:w="4100" w:type="dxa"/>
            <w:tcBorders/>
            <w:shd w:fill="FFFFFF" w:val="clear"/>
            <w:vAlign w:val="center"/>
          </w:tcPr>
          <w:p>
            <w:pPr>
              <w:pStyle w:val="TableContents"/>
              <w:bidi w:val="0"/>
              <w:spacing w:before="0" w:after="283"/>
              <w:jc w:val="left"/>
              <w:rPr/>
            </w:pPr>
            <w:r>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jc w:val="right"/>
              <w:rPr/>
            </w:pPr>
            <w:r>
              <w:rPr/>
              <w:t>4,627,858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4100"/>
        <w:gridCol w:w="60"/>
        <w:gridCol w:w="139"/>
        <w:gridCol w:w="2280"/>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0" w:name="xdx_493_20220101__20221231__us-gaap--Sta"/>
            <w:bookmarkEnd w:id="740"/>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bookmarkStart w:id="741" w:name="xdx_F45_zX9S5C9A2Q55"/>
            <w:bookmarkStart w:id="742" w:name="xdx_408_eus-gaap--ShareBasedCompensation"/>
            <w:bookmarkEnd w:id="741"/>
            <w:bookmarkEnd w:id="742"/>
          </w:p>
        </w:tc>
      </w:tr>
      <w:tr>
        <w:trPr/>
        <w:tc>
          <w:tcPr>
            <w:tcW w:w="4100" w:type="dxa"/>
            <w:tcBorders/>
            <w:shd w:fill="CCEEFF" w:val="clear"/>
            <w:vAlign w:val="center"/>
          </w:tcPr>
          <w:p>
            <w:pPr>
              <w:pStyle w:val="TableContents"/>
              <w:bidi w:val="0"/>
              <w:spacing w:before="0" w:after="283"/>
              <w:jc w:val="left"/>
              <w:rPr/>
            </w:pPr>
            <w:r>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43" w:name="xdx_409_ecustom--ShareBasedCompensationA"/>
            <w:bookmarkEnd w:id="743"/>
          </w:p>
        </w:tc>
      </w:tr>
      <w:tr>
        <w:trPr/>
        <w:tc>
          <w:tcPr>
            <w:tcW w:w="4100" w:type="dxa"/>
            <w:tcBorders/>
            <w:shd w:fill="FFFFFF" w:val="clear"/>
            <w:vAlign w:val="center"/>
          </w:tcPr>
          <w:p>
            <w:pPr>
              <w:pStyle w:val="TableContents"/>
              <w:bidi w:val="0"/>
              <w:spacing w:before="0" w:after="283"/>
              <w:jc w:val="left"/>
              <w:rPr/>
            </w:pPr>
            <w:r>
              <w:rPr/>
              <w:t>Assumed in the merger</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9,487,500</w:t>
            </w:r>
          </w:p>
        </w:tc>
        <w:tc>
          <w:tcPr>
            <w:tcW w:w="75" w:type="dxa"/>
            <w:tcBorders/>
            <w:shd w:fill="FFFFFF" w:val="clear"/>
            <w:vAlign w:val="center"/>
          </w:tcPr>
          <w:p>
            <w:pPr>
              <w:pStyle w:val="TableContents"/>
              <w:bidi w:val="0"/>
              <w:spacing w:before="0" w:after="283"/>
              <w:jc w:val="left"/>
              <w:rPr/>
            </w:pPr>
            <w:r>
              <w:rPr/>
              <w:t> </w:t>
            </w:r>
            <w:bookmarkStart w:id="744" w:name="xdx_40A_eus-gaap--ShareBasedCompensation"/>
            <w:bookmarkEnd w:id="744"/>
          </w:p>
        </w:tc>
      </w:tr>
      <w:tr>
        <w:trPr/>
        <w:tc>
          <w:tcPr>
            <w:tcW w:w="4100" w:type="dxa"/>
            <w:tcBorders/>
            <w:shd w:fill="CCEEFF" w:val="clear"/>
            <w:vAlign w:val="center"/>
          </w:tcPr>
          <w:p>
            <w:pPr>
              <w:pStyle w:val="TableContents"/>
              <w:bidi w:val="0"/>
              <w:spacing w:before="0" w:after="283"/>
              <w:jc w:val="left"/>
              <w:rPr/>
            </w:pPr>
            <w:r>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45" w:name="xdx_40E_eus-gaap--ShareBasedCompensation"/>
            <w:bookmarkEnd w:id="745"/>
          </w:p>
        </w:tc>
      </w:tr>
      <w:tr>
        <w:trPr/>
        <w:tc>
          <w:tcPr>
            <w:tcW w:w="4100" w:type="dxa"/>
            <w:tcBorders/>
            <w:shd w:fill="FFFFFF" w:val="clear"/>
            <w:vAlign w:val="center"/>
          </w:tcPr>
          <w:p>
            <w:pPr>
              <w:pStyle w:val="TableContents"/>
              <w:bidi w:val="0"/>
              <w:spacing w:before="0" w:after="283"/>
              <w:jc w:val="left"/>
              <w:rPr/>
            </w:pPr>
            <w:r>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jc w:val="right"/>
              <w:rPr/>
            </w:pPr>
            <w:r>
              <w:rPr/>
              <w:t>9,487,500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4100"/>
        <w:gridCol w:w="60"/>
        <w:gridCol w:w="130"/>
        <w:gridCol w:w="2289"/>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6" w:name="xdx_49F_20220101__20221231__us-gaap--Sta"/>
            <w:bookmarkEnd w:id="746"/>
          </w:p>
        </w:tc>
        <w:tc>
          <w:tcPr>
            <w:tcW w:w="24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 Warrants</w:t>
            </w:r>
          </w:p>
        </w:tc>
        <w:tc>
          <w:tcPr>
            <w:tcW w:w="110" w:type="dxa"/>
            <w:tcBorders/>
            <w:vAlign w:val="center"/>
          </w:tcPr>
          <w:p>
            <w:pPr>
              <w:pStyle w:val="TableContents"/>
              <w:bidi w:val="0"/>
              <w:spacing w:before="0" w:after="283"/>
              <w:jc w:val="left"/>
              <w:rPr/>
            </w:pPr>
            <w:r>
              <w:rPr/>
              <w:t> </w:t>
            </w:r>
            <w:bookmarkStart w:id="747" w:name="xdx_408_eus-gaap--ShareBasedCompensation"/>
            <w:bookmarkEnd w:id="747"/>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bookmarkStart w:id="748" w:name="xdx_F40_zEORDX5tTU8i"/>
            <w:bookmarkEnd w:id="748"/>
            <w:r>
              <w:rPr>
                <w:rFonts w:ascii="Times New Roman;Times;Serif" w:hAnsi="Times New Roman;Times;Serif"/>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749" w:name="xdx_403_ecustom--ShareBasedCompensationA"/>
            <w:bookmarkEnd w:id="749"/>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in conjunction with merger</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2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4,193,056</w:t>
            </w:r>
          </w:p>
        </w:tc>
        <w:tc>
          <w:tcPr>
            <w:tcW w:w="110" w:type="dxa"/>
            <w:tcBorders/>
            <w:shd w:fill="FFFFFF" w:val="clear"/>
            <w:vAlign w:val="center"/>
          </w:tcPr>
          <w:p>
            <w:pPr>
              <w:pStyle w:val="TableContents"/>
              <w:bidi w:val="0"/>
              <w:spacing w:before="0" w:after="283"/>
              <w:jc w:val="left"/>
              <w:rPr/>
            </w:pPr>
            <w:r>
              <w:rPr/>
              <w:t> </w:t>
            </w:r>
            <w:bookmarkStart w:id="750" w:name="xdx_404_eus-gaap--ShareBasedCompensation"/>
            <w:bookmarkEnd w:id="750"/>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1" w:name="xdx_404_eus-gaap--ShareBasedCompensation"/>
            <w:bookmarkEnd w:id="751"/>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2,593,056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7120" w:type="dxa"/>
        <w:jc w:val="left"/>
        <w:tblInd w:w="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283"/>
              <w:jc w:val="right"/>
              <w:rPr>
                <w:rFonts w:ascii="Times New Roman;Times;Serif" w:hAnsi="Times New Roman;Times;Serif"/>
                <w:i/>
                <w:sz w:val="20"/>
              </w:rPr>
            </w:pPr>
            <w:bookmarkStart w:id="752" w:name="xdx_F00_zzApbBrK67xa"/>
            <w:bookmarkEnd w:id="752"/>
            <w:r>
              <w:rPr>
                <w:rFonts w:ascii="Times New Roman;Times;Serif" w:hAnsi="Times New Roman;Times;Serif"/>
                <w:i/>
                <w:sz w:val="20"/>
              </w:rPr>
              <w:t>**</w:t>
            </w:r>
          </w:p>
        </w:tc>
        <w:tc>
          <w:tcPr>
            <w:tcW w:w="6875" w:type="dxa"/>
            <w:tcBorders/>
            <w:vAlign w:val="center"/>
          </w:tcPr>
          <w:p>
            <w:pPr>
              <w:pStyle w:val="TableContents"/>
              <w:bidi w:val="0"/>
              <w:spacing w:before="0" w:after="283"/>
              <w:jc w:val="both"/>
              <w:rPr>
                <w:rFonts w:ascii="Times New Roman;Times;Serif" w:hAnsi="Times New Roman;Times;Serif"/>
                <w:i/>
                <w:sz w:val="20"/>
              </w:rPr>
            </w:pPr>
            <w:bookmarkStart w:id="753" w:name="xdx_F15_zqU5fJTvtMz"/>
            <w:bookmarkEnd w:id="753"/>
            <w:r>
              <w:rPr>
                <w:rFonts w:ascii="Times New Roman;Times;Serif" w:hAnsi="Times New Roman;Times;Serif"/>
                <w:i/>
                <w:sz w:val="20"/>
              </w:rPr>
              <w:t>There were no warrants issued, exercised and outstanding prior to January 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left"/>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54" w:name="xdx_490_20220101__20221231__us-gaap--Sta"/>
            <w:bookmarkEnd w:id="754"/>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 Liability</w:t>
            </w:r>
          </w:p>
        </w:tc>
        <w:tc>
          <w:tcPr>
            <w:tcW w:w="110" w:type="dxa"/>
            <w:tcBorders/>
            <w:vAlign w:val="center"/>
          </w:tcPr>
          <w:p>
            <w:pPr>
              <w:pStyle w:val="TableContents"/>
              <w:bidi w:val="0"/>
              <w:spacing w:before="0" w:after="283"/>
              <w:jc w:val="left"/>
              <w:rPr/>
            </w:pPr>
            <w:r>
              <w:rPr/>
              <w:t> </w:t>
            </w:r>
            <w:bookmarkStart w:id="755" w:name="xdx_406_eus-gaap--SharesSubjectToMandato"/>
            <w:bookmarkEnd w:id="755"/>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January 1, 2022</w:t>
            </w:r>
            <w:bookmarkStart w:id="756" w:name="xdx_F49_zylirh3TdqX7"/>
            <w:bookmarkEnd w:id="756"/>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757" w:name="xdx_406_ecustom--IssuanceOfWarrants_pn3n"/>
            <w:bookmarkEnd w:id="757"/>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52,956</w:t>
            </w:r>
          </w:p>
        </w:tc>
        <w:tc>
          <w:tcPr>
            <w:tcW w:w="110" w:type="dxa"/>
            <w:tcBorders/>
            <w:shd w:fill="FFFFFF" w:val="clear"/>
            <w:vAlign w:val="center"/>
          </w:tcPr>
          <w:p>
            <w:pPr>
              <w:pStyle w:val="TableContents"/>
              <w:bidi w:val="0"/>
              <w:spacing w:before="0" w:after="283"/>
              <w:jc w:val="left"/>
              <w:rPr/>
            </w:pPr>
            <w:r>
              <w:rPr/>
              <w:t> </w:t>
            </w:r>
            <w:bookmarkStart w:id="758" w:name="xdx_40A_ecustom--ExerciseOfWarrants_iN_p"/>
            <w:bookmarkEnd w:id="758"/>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9" w:name="xdx_407_eus-gaap--FairValueAdjustmentOfW"/>
            <w:bookmarkEnd w:id="759"/>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60" w:name="xdx_404_eus-gaap--SharesSubjectToMandato"/>
            <w:bookmarkEnd w:id="760"/>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December 31, 2022</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283"/>
              <w:jc w:val="right"/>
              <w:rPr>
                <w:rFonts w:ascii="Times New Roman;Times;Serif" w:hAnsi="Times New Roman;Times;Serif"/>
                <w:i/>
                <w:sz w:val="20"/>
              </w:rPr>
            </w:pPr>
            <w:bookmarkStart w:id="761" w:name="xdx_F0C_zUm0pR0qW3Ci"/>
            <w:bookmarkEnd w:id="761"/>
            <w:r>
              <w:rPr>
                <w:rFonts w:ascii="Times New Roman;Times;Serif" w:hAnsi="Times New Roman;Times;Serif"/>
                <w:i/>
                <w:sz w:val="20"/>
              </w:rPr>
              <w:t>**</w:t>
            </w:r>
          </w:p>
        </w:tc>
        <w:tc>
          <w:tcPr>
            <w:tcW w:w="6875" w:type="dxa"/>
            <w:tcBorders/>
            <w:vAlign w:val="center"/>
          </w:tcPr>
          <w:p>
            <w:pPr>
              <w:pStyle w:val="TableContents"/>
              <w:bidi w:val="0"/>
              <w:spacing w:before="0" w:after="283"/>
              <w:jc w:val="both"/>
              <w:rPr>
                <w:rFonts w:ascii="Times New Roman;Times;Serif" w:hAnsi="Times New Roman;Times;Serif"/>
                <w:i/>
                <w:sz w:val="20"/>
              </w:rPr>
            </w:pPr>
            <w:bookmarkStart w:id="762" w:name="xdx_F1B_zbs3SCEo7Ldc"/>
            <w:bookmarkEnd w:id="762"/>
            <w:r>
              <w:rPr>
                <w:rFonts w:ascii="Times New Roman;Times;Serif" w:hAnsi="Times New Roman;Times;Serif"/>
                <w:i/>
                <w:sz w:val="20"/>
              </w:rPr>
              <w:t>There were no warrants issued, exercised and outstanding prior to January 1, 2022.</w:t>
            </w:r>
          </w:p>
        </w:tc>
      </w:tr>
    </w:tbl>
    <w:p>
      <w:pPr>
        <w:pStyle w:val="TextBody"/>
        <w:bidi w:val="0"/>
        <w:spacing w:before="0" w:after="0"/>
        <w:ind w:left="0" w:right="0" w:hanging="0"/>
        <w:jc w:val="left"/>
        <w:rPr>
          <w:caps w:val="false"/>
          <w:smallCaps w:val="false"/>
        </w:rPr>
      </w:pPr>
      <w:bookmarkStart w:id="763" w:name="xdx_8AC_zPLJMW5Ql4Kf"/>
      <w:bookmarkEnd w:id="76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64" w:name="xdx_801_eus-gaap--StockholdersEquityNote"/>
      <w:bookmarkEnd w:id="764"/>
      <w:r>
        <w:rPr>
          <w:rFonts w:ascii="Times New Roman;Times;Serif" w:hAnsi="Times New Roman;Times;Serif"/>
          <w:b/>
          <w:i w:val="false"/>
          <w:caps/>
          <w:sz w:val="20"/>
        </w:rPr>
        <w:t xml:space="preserve">Note 13 - </w:t>
      </w:r>
      <w:bookmarkStart w:id="765" w:name="xdx_823_z3P2qeKQcMSf"/>
      <w:bookmarkEnd w:id="765"/>
      <w:r>
        <w:rPr>
          <w:rFonts w:ascii="Times New Roman;Times;Serif" w:hAnsi="Times New Roman;Times;Serif"/>
          <w:b/>
          <w:i w:val="false"/>
          <w:caps/>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766" w:name="xdx_90E_eus-gaap--CommonStockSharesAutho"/>
      <w:bookmarkEnd w:id="766"/>
      <w:r>
        <w:rPr>
          <w:rFonts w:ascii="Times New Roman;Times;Serif" w:hAnsi="Times New Roman;Times;Serif"/>
          <w:b w:val="false"/>
          <w:i w:val="false"/>
          <w:caps w:val="false"/>
          <w:smallCaps w:val="false"/>
          <w:sz w:val="20"/>
        </w:rPr>
        <w:t>170,000,000 shares of common stock with $</w:t>
      </w:r>
      <w:bookmarkStart w:id="767" w:name="xdx_908_eus-gaap--CommonStockParOrStated"/>
      <w:bookmarkEnd w:id="767"/>
      <w:r>
        <w:rPr>
          <w:rFonts w:ascii="Times New Roman;Times;Serif" w:hAnsi="Times New Roman;Times;Serif"/>
          <w:b w:val="false"/>
          <w:i w:val="false"/>
          <w:caps w:val="false"/>
          <w:smallCaps w:val="false"/>
          <w:sz w:val="20"/>
        </w:rPr>
        <w:t xml:space="preserve">0.0001 par value. Common stockholders are entitled to dividends if and when declared by the Board of Directors subject to the rights of the preferred stockholders. As of December 31, 2022 and 2021, there were </w:t>
      </w:r>
      <w:bookmarkStart w:id="768" w:name="xdx_90A_eus-gaap--CommonStockSharesOutst"/>
      <w:bookmarkStart w:id="769" w:name="xdx_908_eus-gaap--CommonStockSharesIssue"/>
      <w:bookmarkEnd w:id="768"/>
      <w:bookmarkEnd w:id="769"/>
      <w:r>
        <w:rPr>
          <w:rFonts w:ascii="Times New Roman;Times;Serif" w:hAnsi="Times New Roman;Times;Serif"/>
          <w:b w:val="false"/>
          <w:i w:val="false"/>
          <w:caps w:val="false"/>
          <w:smallCaps w:val="false"/>
          <w:sz w:val="20"/>
        </w:rPr>
        <w:t xml:space="preserve">43,272,728 and </w:t>
      </w:r>
      <w:bookmarkStart w:id="770" w:name="xdx_906_eus-gaap--CommonStockSharesOutst"/>
      <w:bookmarkStart w:id="771" w:name="xdx_90B_eus-gaap--CommonStockSharesIssue"/>
      <w:bookmarkEnd w:id="770"/>
      <w:bookmarkEnd w:id="771"/>
      <w:r>
        <w:rPr>
          <w:rFonts w:ascii="Times New Roman;Times;Serif" w:hAnsi="Times New Roman;Times;Serif"/>
          <w:b w:val="false"/>
          <w:i w:val="false"/>
          <w:caps w:val="false"/>
          <w:smallCaps w:val="false"/>
          <w:sz w:val="20"/>
        </w:rPr>
        <w:t>36,496,998 shares issued and outstanding retroactively adjusted and 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2022, Dragonfly entered into a Stock Purchase Agreement with THOR Industries, whereby THOR purchased shares of Dragonfly common stock for $</w:t>
      </w:r>
      <w:bookmarkStart w:id="772" w:name="xdx_903_eus-gaap--StockIssuedDuringPerio"/>
      <w:bookmarkEnd w:id="772"/>
      <w:r>
        <w:rPr>
          <w:rFonts w:ascii="Times New Roman;Times;Serif" w:hAnsi="Times New Roman;Times;Serif"/>
          <w:b w:val="false"/>
          <w:i w:val="false"/>
          <w:caps w:val="false"/>
          <w:smallCaps w:val="false"/>
          <w:sz w:val="20"/>
        </w:rPr>
        <w:t>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3" w:name="xdx_899_ecustom--SummaryOfReservedShares"/>
      <w:bookmarkEnd w:id="773"/>
      <w:r>
        <w:rPr>
          <w:rFonts w:ascii="Times New Roman;Times;Serif" w:hAnsi="Times New Roman;Times;Serif"/>
          <w:b w:val="false"/>
          <w:i w:val="false"/>
          <w:caps w:val="false"/>
          <w:smallCaps w:val="false"/>
          <w:sz w:val="20"/>
        </w:rPr>
        <w:t>As of December 31, 2022 and 2021,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4" w:name="xdx_8B1_zQuQB3dHk5u5"/>
      <w:bookmarkEnd w:id="774"/>
      <w:r>
        <w:rPr>
          <w:rFonts w:ascii="Times New Roman;Times;Serif" w:hAnsi="Times New Roman;Times;Serif"/>
          <w:b w:val="false"/>
          <w:i w:val="false"/>
          <w:caps w:val="false"/>
          <w:smallCaps w:val="false"/>
          <w:sz w:val="20"/>
        </w:rPr>
        <w:t>SUMMARY OF RESERVED SHARES OF COMMON STOCK FOR ISSUANCE </w:t>
      </w:r>
    </w:p>
    <w:tbl>
      <w:tblPr>
        <w:tblW w:w="5998" w:type="dxa"/>
        <w:jc w:val="left"/>
        <w:tblInd w:w="0" w:type="dxa"/>
        <w:tblLayout w:type="fixed"/>
        <w:tblCellMar>
          <w:top w:w="0" w:type="dxa"/>
          <w:left w:w="0" w:type="dxa"/>
          <w:bottom w:w="0" w:type="dxa"/>
          <w:right w:w="0" w:type="dxa"/>
        </w:tblCellMar>
      </w:tblPr>
      <w:tblGrid>
        <w:gridCol w:w="3035"/>
        <w:gridCol w:w="60"/>
        <w:gridCol w:w="63"/>
        <w:gridCol w:w="1291"/>
        <w:gridCol w:w="60"/>
        <w:gridCol w:w="60"/>
        <w:gridCol w:w="70"/>
        <w:gridCol w:w="1284"/>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5" w:name="xdx_497_20221231_zL5DtuKjpYPk"/>
            <w:bookmarkEnd w:id="775"/>
          </w:p>
        </w:tc>
        <w:tc>
          <w:tcPr>
            <w:tcW w:w="135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6" w:name="xdx_492_20211231_zfBN2IuuEw47"/>
            <w:bookmarkEnd w:id="776"/>
          </w:p>
        </w:tc>
        <w:tc>
          <w:tcPr>
            <w:tcW w:w="135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bookmarkStart w:id="777" w:name="xdx_40E_eus-gaap--ShareBasedCompensation"/>
            <w:bookmarkEnd w:id="777"/>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3,690,955</w:t>
            </w:r>
          </w:p>
        </w:tc>
        <w:tc>
          <w:tcPr>
            <w:tcW w:w="75" w:type="dxa"/>
            <w:tcBorders/>
            <w:shd w:fill="CCEEFF" w:val="clear"/>
            <w:vAlign w:val="center"/>
          </w:tcPr>
          <w:p>
            <w:pPr>
              <w:pStyle w:val="TableContents"/>
              <w:bidi w:val="0"/>
              <w:spacing w:before="0" w:after="283"/>
              <w:jc w:val="left"/>
              <w:rPr/>
            </w:pPr>
            <w:r>
              <w:rPr/>
              <w:t> </w:t>
            </w:r>
            <w:bookmarkStart w:id="778" w:name="xdx_40F_eus-gaap--CommonStockSharesOutst"/>
            <w:bookmarkEnd w:id="778"/>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75" w:type="dxa"/>
            <w:tcBorders/>
            <w:shd w:fill="FFFFFF" w:val="clear"/>
            <w:vAlign w:val="center"/>
          </w:tcPr>
          <w:p>
            <w:pPr>
              <w:pStyle w:val="TableContents"/>
              <w:bidi w:val="0"/>
              <w:spacing w:before="0" w:after="283"/>
              <w:jc w:val="left"/>
              <w:rPr/>
            </w:pPr>
            <w:r>
              <w:rPr/>
              <w:t> </w:t>
            </w:r>
            <w:bookmarkStart w:id="779" w:name="xdx_406_eus-gaap--ClassOfWarrantOrRightO"/>
            <w:bookmarkEnd w:id="779"/>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780" w:name="xdx_403_ecustom--EarnoutShares_iI_pid_zT"/>
            <w:bookmarkEnd w:id="780"/>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shares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81" w:name="xdx_40D_eus-gaap--ShareBasedCompensation"/>
            <w:bookmarkEnd w:id="781"/>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available for future issuance </w:t>
            </w:r>
            <w:bookmarkStart w:id="782" w:name="xdx_F4C_zmJluiP8Bq36"/>
            <w:bookmarkEnd w:id="782"/>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4,924,914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12,207</w:t>
            </w:r>
          </w:p>
        </w:tc>
        <w:tc>
          <w:tcPr>
            <w:tcW w:w="75" w:type="dxa"/>
            <w:tcBorders/>
            <w:shd w:fill="CCEEFF" w:val="clear"/>
            <w:vAlign w:val="center"/>
          </w:tcPr>
          <w:p>
            <w:pPr>
              <w:pStyle w:val="TableContents"/>
              <w:bidi w:val="0"/>
              <w:spacing w:before="0" w:after="283"/>
              <w:jc w:val="left"/>
              <w:rPr/>
            </w:pPr>
            <w:r>
              <w:rPr/>
              <w:t> </w:t>
            </w:r>
            <w:bookmarkStart w:id="783" w:name="xdx_40E_eus-gaap--CommonStockCapitalShar"/>
            <w:bookmarkEnd w:id="783"/>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108,549,014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40,200,160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260"/>
        <w:gridCol w:w="23"/>
        <w:gridCol w:w="4280"/>
      </w:tblGrid>
      <w:tr>
        <w:trPr/>
        <w:tc>
          <w:tcPr>
            <w:tcW w:w="260" w:type="dxa"/>
            <w:tcBorders/>
            <w:vAlign w:val="center"/>
          </w:tcPr>
          <w:p>
            <w:pPr>
              <w:pStyle w:val="TableContents"/>
              <w:bidi w:val="0"/>
              <w:spacing w:before="0" w:after="283"/>
              <w:jc w:val="right"/>
              <w:rPr>
                <w:rFonts w:ascii="Times New Roman;Times;Serif" w:hAnsi="Times New Roman;Times;Serif"/>
                <w:i/>
                <w:sz w:val="20"/>
              </w:rPr>
            </w:pPr>
            <w:bookmarkStart w:id="784" w:name="xdx_F0C_zOOzcJmCRaO2"/>
            <w:bookmarkEnd w:id="784"/>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both"/>
              <w:rPr>
                <w:rFonts w:ascii="Times New Roman;Times;Serif" w:hAnsi="Times New Roman;Times;Serif"/>
                <w:i/>
                <w:sz w:val="20"/>
              </w:rPr>
            </w:pPr>
            <w:bookmarkStart w:id="785" w:name="xdx_F1A_zxAm4zsNRjr6"/>
            <w:bookmarkEnd w:id="785"/>
            <w:r>
              <w:rPr>
                <w:rFonts w:ascii="Times New Roman;Times;Serif" w:hAnsi="Times New Roman;Times;Serif"/>
                <w:i/>
                <w:sz w:val="20"/>
              </w:rPr>
              <w:t>Refer to Stock Incentive Plan amendment at Note 14</w:t>
            </w:r>
          </w:p>
        </w:tc>
      </w:tr>
    </w:tbl>
    <w:p>
      <w:pPr>
        <w:pStyle w:val="TextBody"/>
        <w:bidi w:val="0"/>
        <w:spacing w:before="0" w:after="0"/>
        <w:ind w:left="0" w:right="0" w:hanging="0"/>
        <w:jc w:val="both"/>
        <w:rPr>
          <w:caps w:val="false"/>
          <w:smallCaps w:val="false"/>
        </w:rPr>
      </w:pPr>
      <w:bookmarkStart w:id="786" w:name="xdx_8A6_zjkwmcPeHXsf"/>
      <w:bookmarkEnd w:id="786"/>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CCM LLC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in connection with the merger. Pursuant to the Purchase Agreement, the Company has the right to sell to CCM LLC an amount of shares of common stock, up to a maximum aggregate purchase price of $</w:t>
      </w:r>
      <w:bookmarkStart w:id="787" w:name="xdx_90E_ecustom--PlanOfMergerMaximumAggr"/>
      <w:bookmarkEnd w:id="787"/>
      <w:r>
        <w:rPr>
          <w:rFonts w:ascii="Times New Roman;Times;Serif" w:hAnsi="Times New Roman;Times;Serif"/>
          <w:b w:val="false"/>
          <w:i w:val="false"/>
          <w:caps w:val="false"/>
          <w:smallCaps w:val="false"/>
          <w:sz w:val="20"/>
        </w:rPr>
        <w:t>150,000, from time to time, pursuant to the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w:t>
      </w:r>
      <w:bookmarkStart w:id="788" w:name="xdx_906_ecustom--PlanOfMergerMaximumAggr"/>
      <w:bookmarkEnd w:id="788"/>
      <w:r>
        <w:rPr>
          <w:rFonts w:ascii="Times New Roman;Times;Serif" w:hAnsi="Times New Roman;Times;Serif"/>
          <w:b w:val="false"/>
          <w:i w:val="false"/>
          <w:caps w:val="false"/>
          <w:smallCaps w:val="false"/>
          <w:sz w:val="20"/>
        </w:rPr>
        <w:t>150,000, over the term of the equity facility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CCM LLC will not be obligated to (but may, at its option, choose to) purchase shares of common stock to the extent the number of shares to be purchased would exceed the lowest of the number of shares of common stock (i) </w:t>
      </w:r>
      <w:bookmarkStart w:id="789" w:name="xdx_902_eus-gaap--ShareBasedCompensation"/>
      <w:bookmarkEnd w:id="789"/>
      <w:r>
        <w:rPr>
          <w:rFonts w:ascii="Times New Roman;Times;Serif" w:hAnsi="Times New Roman;Times;Serif"/>
          <w:b w:val="false"/>
          <w:i w:val="false"/>
          <w:caps w:val="false"/>
          <w:smallCaps w:val="false"/>
          <w:sz w:val="20"/>
        </w:rPr>
        <w:t>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the Company has agreed to provide CCM LLC with certain registration rights with respect to the shares of common stock issued subject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Agreement will automatically terminate on the earliest to occur of (i) </w:t>
      </w:r>
      <w:bookmarkStart w:id="790" w:name="xdx_90D_eus-gaap--ShareBasedCompensation"/>
      <w:bookmarkEnd w:id="790"/>
      <w:r>
        <w:rPr>
          <w:rFonts w:ascii="Times New Roman;Times;Serif" w:hAnsi="Times New Roman;Times;Serif"/>
          <w:b w:val="false"/>
          <w:i w:val="false"/>
          <w:caps w:val="false"/>
          <w:smallCaps w:val="false"/>
          <w:sz w:val="20"/>
        </w:rPr>
        <w:t>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791" w:name="xdx_80E_eus-gaap--DisclosureOfCompensati"/>
      <w:bookmarkEnd w:id="791"/>
      <w:r>
        <w:rPr>
          <w:rFonts w:ascii="Times New Roman;Times;Serif" w:hAnsi="Times New Roman;Times;Serif"/>
          <w:b/>
          <w:i w:val="false"/>
          <w:caps/>
          <w:sz w:val="20"/>
        </w:rPr>
        <w:t xml:space="preserve">Note 14 - </w:t>
      </w:r>
      <w:bookmarkStart w:id="792" w:name="xdx_828_zmNNgMAyqIhk"/>
      <w:bookmarkEnd w:id="792"/>
      <w:r>
        <w:rPr>
          <w:rFonts w:ascii="Times New Roman;Times;Serif" w:hAnsi="Times New Roman;Times;Serif"/>
          <w:b/>
          <w:i w:val="false"/>
          <w:caps/>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2019, the Board of Directors approved the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xml:space="preserve">”) with a term of </w:t>
      </w:r>
      <w:bookmarkStart w:id="793" w:name="xdx_900_eus-gaap--SharebasedCompensation"/>
      <w:bookmarkEnd w:id="793"/>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that were reserved for grants of awards under the Plan was </w:t>
      </w:r>
      <w:bookmarkStart w:id="794" w:name="xdx_90D_eus-gaap--ShareBasedCompensation"/>
      <w:bookmarkEnd w:id="794"/>
      <w:r>
        <w:rPr>
          <w:rFonts w:ascii="Times New Roman;Times;Serif" w:hAnsi="Times New Roman;Times;Serif"/>
          <w:b w:val="false"/>
          <w:i w:val="false"/>
          <w:caps w:val="false"/>
          <w:smallCaps w:val="false"/>
          <w:sz w:val="20"/>
        </w:rPr>
        <w:t>3,000,000 shares. The Plan provided for the grant of stock options (both incentive stock options and nonqualified stock options), and the grants and sale of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Shares issued under this Plan may be drawn from authorized and unissued shares, or shares reacquired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2021, the Board of Directors approved the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and, together with the 2019 Plan, the “</w:t>
      </w:r>
      <w:r>
        <w:rPr>
          <w:rFonts w:ascii="Times New Roman;Times;Serif" w:hAnsi="Times New Roman;Times;Serif"/>
          <w:b/>
          <w:i w:val="false"/>
          <w:caps w:val="false"/>
          <w:smallCaps w:val="false"/>
          <w:sz w:val="20"/>
        </w:rPr>
        <w:t>Prior Plans</w:t>
      </w:r>
      <w:r>
        <w:rPr>
          <w:rFonts w:ascii="Times New Roman;Times;Serif" w:hAnsi="Times New Roman;Times;Serif"/>
          <w:b w:val="false"/>
          <w:i w:val="false"/>
          <w:caps w:val="false"/>
          <w:smallCaps w:val="false"/>
          <w:sz w:val="20"/>
        </w:rPr>
        <w:t xml:space="preserve">”) with a term of </w:t>
      </w:r>
      <w:bookmarkStart w:id="795" w:name="xdx_90C_eus-gaap--SharebasedCompensation"/>
      <w:bookmarkEnd w:id="795"/>
      <w:r>
        <w:rPr>
          <w:rFonts w:ascii="Times New Roman;Times;Serif" w:hAnsi="Times New Roman;Times;Serif"/>
          <w:b w:val="false"/>
          <w:i w:val="false"/>
          <w:caps w:val="false"/>
          <w:smallCaps w:val="false"/>
          <w:sz w:val="20"/>
        </w:rPr>
        <w:t xml:space="preserve">ten years. The Plan was administered by the Board of Directors, which was authorized to grant, at its discretion, awards to employees, directors, and consultants. The maximum number of common shares reserved for grants of awards under the Plan was </w:t>
      </w:r>
      <w:bookmarkStart w:id="796" w:name="xdx_900_eus-gaap--ShareBasedCompensation"/>
      <w:bookmarkEnd w:id="796"/>
      <w:r>
        <w:rPr>
          <w:rFonts w:ascii="Times New Roman;Times;Serif" w:hAnsi="Times New Roman;Times;Serif"/>
          <w:b w:val="false"/>
          <w:i w:val="false"/>
          <w:caps w:val="false"/>
          <w:smallCaps w:val="false"/>
          <w:sz w:val="20"/>
        </w:rPr>
        <w:t xml:space="preserve">1,000,000 shares which was amended and increased to </w:t>
      </w:r>
      <w:bookmarkStart w:id="797" w:name="xdx_90F_eus-gaap--ShareBasedCompensation"/>
      <w:bookmarkEnd w:id="797"/>
      <w:r>
        <w:rPr>
          <w:rFonts w:ascii="Times New Roman;Times;Serif" w:hAnsi="Times New Roman;Times;Serif"/>
          <w:b w:val="false"/>
          <w:i w:val="false"/>
          <w:caps w:val="false"/>
          <w:smallCaps w:val="false"/>
          <w:sz w:val="20"/>
        </w:rPr>
        <w:t>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shareholders and board members approved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xml:space="preserve">”). A total of </w:t>
      </w:r>
      <w:bookmarkStart w:id="798" w:name="xdx_907_eus-gaap--CommonStockCapitalShar"/>
      <w:bookmarkEnd w:id="798"/>
      <w:r>
        <w:rPr>
          <w:rFonts w:ascii="Times New Roman;Times;Serif" w:hAnsi="Times New Roman;Times;Serif"/>
          <w:b w:val="false"/>
          <w:i w:val="false"/>
          <w:caps w:val="false"/>
          <w:smallCaps w:val="false"/>
          <w:sz w:val="20"/>
        </w:rPr>
        <w:t>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t>The Company maintains an Employee Stock Purchase Plan (“</w:t>
      </w:r>
      <w:r>
        <w:rPr>
          <w:b/>
        </w:rPr>
        <w:t>ESPP</w:t>
      </w:r>
      <w:r>
        <w:rPr/>
        <w:t xml:space="preserve">”) which is designed to allow eligible employees and the eligible employees of our participating subsidiaries to purchase shares of our common stock, at semi-annual intervals, with their accumulated payroll deductions. A total of </w:t>
      </w:r>
      <w:bookmarkStart w:id="799" w:name="xdx_905_eus-gaap--StockIssuedDuringPerio"/>
      <w:bookmarkEnd w:id="799"/>
      <w:r>
        <w:rPr/>
        <w:t xml:space="preserve">2,464,400 shares of the Company’s common stock will initially be available for issuance under the ESPP. The share limit will automatically increase on the first trading day in January of each year by an amount equal to lesser of (1) </w:t>
      </w:r>
      <w:bookmarkStart w:id="800" w:name="xdx_90B_ecustom--OutstandingSharesPercen"/>
      <w:bookmarkEnd w:id="800"/>
      <w:r>
        <w:rPr/>
        <w:t xml:space="preserve">1% of the total number of outstanding shares of our common stock on December 31 in the prior year, (2) </w:t>
      </w:r>
      <w:bookmarkStart w:id="801" w:name="xdx_906_eus-gaap--StockIssuedDuringPerio"/>
      <w:bookmarkEnd w:id="801"/>
      <w:r>
        <w:rPr/>
        <w:t>1,500,000 shares, or (3) such number as determined by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2" w:name="xdx_892_eus-gaap--ScheduleOfShareBasedCo"/>
      <w:bookmarkEnd w:id="802"/>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caps w:val="false"/>
          <w:smallCaps w:val="false"/>
        </w:rPr>
      </w:pPr>
      <w:r>
        <w:rPr>
          <w:caps w:val="false"/>
          <w:smallCaps w:val="false"/>
        </w:rPr>
        <w:t> </w:t>
      </w:r>
      <w:bookmarkStart w:id="803" w:name="xdx_8BA_zeIZVFGg7gqd"/>
      <w:bookmarkEnd w:id="803"/>
      <w:r>
        <w:rPr>
          <w:rFonts w:ascii="Times New Roman;Times;Serif" w:hAnsi="Times New Roman;Times;Serif"/>
          <w:b w:val="false"/>
          <w:i w:val="false"/>
          <w:caps w:val="false"/>
          <w:smallCaps w:val="false"/>
          <w:sz w:val="20"/>
        </w:rPr>
        <w:t>SCHEDULE OF OPTION ACTIVITY AND RELATED INFORMATION</w:t>
      </w:r>
    </w:p>
    <w:tbl>
      <w:tblPr>
        <w:tblW w:w="10205" w:type="dxa"/>
        <w:jc w:val="left"/>
        <w:tblInd w:w="0" w:type="dxa"/>
        <w:tblLayout w:type="fixed"/>
        <w:tblCellMar>
          <w:top w:w="0" w:type="dxa"/>
          <w:left w:w="0" w:type="dxa"/>
          <w:bottom w:w="0" w:type="dxa"/>
          <w:right w:w="0" w:type="dxa"/>
        </w:tblCellMar>
      </w:tblPr>
      <w:tblGrid>
        <w:gridCol w:w="1682"/>
        <w:gridCol w:w="60"/>
        <w:gridCol w:w="60"/>
        <w:gridCol w:w="845"/>
        <w:gridCol w:w="80"/>
        <w:gridCol w:w="60"/>
        <w:gridCol w:w="246"/>
        <w:gridCol w:w="1112"/>
        <w:gridCol w:w="60"/>
        <w:gridCol w:w="60"/>
        <w:gridCol w:w="238"/>
        <w:gridCol w:w="1418"/>
        <w:gridCol w:w="60"/>
        <w:gridCol w:w="60"/>
        <w:gridCol w:w="318"/>
        <w:gridCol w:w="2030"/>
        <w:gridCol w:w="60"/>
        <w:gridCol w:w="60"/>
        <w:gridCol w:w="282"/>
        <w:gridCol w:w="1334"/>
        <w:gridCol w:w="80"/>
      </w:tblGrid>
      <w:tr>
        <w:trPr/>
        <w:tc>
          <w:tcPr>
            <w:tcW w:w="1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bookmarkStart w:id="804" w:name="xdx_F56_zEcJ2vlXV02f"/>
            <w:bookmarkEnd w:id="804"/>
            <w:r>
              <w:rPr>
                <w:rFonts w:ascii="Times New Roman;Times;Serif" w:hAnsi="Times New Roman;Times;Serif"/>
                <w:b w:val="false"/>
                <w:i w:val="false"/>
                <w:caps w:val="false"/>
                <w:smallCaps w:val="false"/>
                <w:position w:val="7"/>
                <w:sz w:val="16"/>
                <w:sz w:val="20"/>
              </w:rP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 Intrinsic value</w:t>
            </w:r>
          </w:p>
        </w:tc>
        <w:tc>
          <w:tcPr>
            <w:tcW w:w="80" w:type="dxa"/>
            <w:tcBorders/>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5" w:name="xdx_98B_eus-gaap--ShareBasedCompensation"/>
            <w:bookmarkEnd w:id="805"/>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3,029,791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6" w:name="xdx_98B_eus-gaap--ShareBasedCompensation"/>
            <w:bookmarkEnd w:id="806"/>
          </w:p>
        </w:tc>
        <w:tc>
          <w:tcPr>
            <w:tcW w:w="111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7" w:name="xdx_983_eus-gaap--SharebasedCompensation"/>
            <w:bookmarkEnd w:id="807"/>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08" w:name="xdx_90D_ecustom--SharebasedCompensationA"/>
            <w:bookmarkEnd w:id="808"/>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9" w:name="xdx_98D_ecustom--ShareBasedCompensationA"/>
            <w:bookmarkEnd w:id="809"/>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10" w:name="xdx_98A_eus-gaap--ShareBasedCompensation"/>
            <w:bookmarkEnd w:id="810"/>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811" w:name="xdx_98B_eus-gaap--ShareBasedCompensation"/>
            <w:bookmarkEnd w:id="811"/>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812" w:name="xdx_982_eus-gaap--ShareBasedCompensation"/>
            <w:bookmarkEnd w:id="812"/>
          </w:p>
        </w:tc>
        <w:tc>
          <w:tcPr>
            <w:tcW w:w="141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bookmarkStart w:id="813" w:name="xdx_98E_ecustom--ShareBasedCompensationA"/>
            <w:bookmarkEnd w:id="813"/>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3,551</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14" w:name="xdx_98D_eus-gaap--ShareBasedCompensation"/>
            <w:bookmarkEnd w:id="814"/>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(421,094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815" w:name="xdx_981_eus-gaap--ShareBasedCompensation"/>
            <w:bookmarkEnd w:id="815"/>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816" w:name="xdx_984_eus-gaap--SharebasedCompensation"/>
            <w:bookmarkEnd w:id="816"/>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bookmarkStart w:id="817" w:name="xdx_983_ecustom--ShareBasedCompensationA"/>
            <w:bookmarkEnd w:id="817"/>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18" w:name="xdx_980_eus-gaap--StockIssuedDuringPerio"/>
            <w:bookmarkEnd w:id="818"/>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(987,051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19" w:name="xdx_988_eus-gaap--ShareBasedCompensation"/>
            <w:bookmarkEnd w:id="819"/>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20" w:name="xdx_980_eus-gaap--SharebasedCompensation"/>
            <w:bookmarkEnd w:id="820"/>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21" w:name="xdx_987_eus-gaap--ShareBasedCompensation"/>
            <w:bookmarkEnd w:id="821"/>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2" w:name="xdx_989_eus-gaap--ShareBasedCompensation"/>
            <w:bookmarkEnd w:id="822"/>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3" w:name="xdx_985_eus-gaap--ShareBasedCompensation"/>
            <w:bookmarkEnd w:id="823"/>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4" w:name="xdx_98B_eus-gaap--SharebasedCompensation"/>
            <w:bookmarkEnd w:id="824"/>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5" w:name="xdx_909_eus-gaap--SharebasedCompensation"/>
            <w:bookmarkEnd w:id="825"/>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6" w:name="xdx_981_ecustom--ShareBasedCompensationA"/>
            <w:bookmarkEnd w:id="826"/>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7" w:name="xdx_98C_eus-gaap--ShareBasedCompensation"/>
            <w:bookmarkEnd w:id="82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8" w:name="xdx_986_eus-gaap--ShareBasedCompensation"/>
            <w:bookmarkEnd w:id="828"/>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9" w:name="xdx_982_eus-gaap--SharebasedCompensation"/>
            <w:bookmarkEnd w:id="829"/>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30" w:name="xdx_904_ecustom--SharebasedCompensationA"/>
            <w:bookmarkEnd w:id="830"/>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1" w:name="xdx_98E_ecustom--ShareBasedCompensationA"/>
            <w:bookmarkEnd w:id="831"/>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2" w:name="xdx_984_eus-gaap--ShareBasedCompensation"/>
            <w:bookmarkEnd w:id="832"/>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833" w:name="xdx_984_eus-gaap--ShareBasedCompensation"/>
            <w:bookmarkEnd w:id="833"/>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834" w:name="xdx_98C_eus-gaap--ShareBasedCompensation"/>
            <w:bookmarkEnd w:id="834"/>
          </w:p>
        </w:tc>
        <w:tc>
          <w:tcPr>
            <w:tcW w:w="14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bookmarkStart w:id="835" w:name="xdx_983_ecustom--ShareBasedCompensationA"/>
            <w:bookmarkEnd w:id="835"/>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6" w:name="xdx_98E_eus-gaap--ShareBasedCompensation"/>
            <w:bookmarkEnd w:id="83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837" w:name="xdx_984_eus-gaap--ShareBasedCompensation"/>
            <w:bookmarkEnd w:id="837"/>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838" w:name="xdx_98C_eus-gaap--SharebasedCompensation"/>
            <w:bookmarkEnd w:id="838"/>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bookmarkStart w:id="839" w:name="xdx_986_ecustom--ShareBasedCompensationA"/>
            <w:bookmarkEnd w:id="839"/>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0" w:name="xdx_98C_eus-gaap--StockIssuedDuringPerio"/>
            <w:bookmarkEnd w:id="840"/>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1" w:name="xdx_98D_eus-gaap--ShareBasedCompensation"/>
            <w:bookmarkEnd w:id="841"/>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2" w:name="xdx_98D_eus-gaap--SharebasedCompensation"/>
            <w:bookmarkEnd w:id="842"/>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3" w:name="xdx_985_eus-gaap--ShareBasedCompensation"/>
            <w:bookmarkEnd w:id="843"/>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4" w:name="xdx_98B_eus-gaap--ShareBasedCompensation"/>
            <w:bookmarkEnd w:id="844"/>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5" w:name="xdx_98C_eus-gaap--ShareBasedCompensation"/>
            <w:bookmarkEnd w:id="845"/>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6" w:name="xdx_985_eus-gaap--SharebasedCompensation"/>
            <w:bookmarkEnd w:id="846"/>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47" w:name="xdx_90B_eus-gaap--SharebasedCompensation"/>
            <w:bookmarkEnd w:id="847"/>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8" w:name="xdx_98D_ecustom--ShareBasedCompensationA"/>
            <w:bookmarkEnd w:id="848"/>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9" w:name="xdx_989_eus-gaap--ShareBasedCompensation"/>
            <w:bookmarkEnd w:id="84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0" w:name="xdx_987_eus-gaap--ShareBasedCompensation"/>
            <w:bookmarkEnd w:id="850"/>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rFonts w:ascii="Times New Roman;Times;Serif" w:hAnsi="Times New Roman;Times;Serif"/>
                <w:sz w:val="20"/>
              </w:rPr>
            </w:pPr>
            <w:bookmarkStart w:id="851" w:name="xdx_902_eus-gaap--SharebasedCompensation"/>
            <w:bookmarkEnd w:id="851"/>
            <w:r>
              <w:rPr>
                <w:rFonts w:ascii="Times New Roman;Times;Serif" w:hAnsi="Times New Roman;Times;Serif"/>
                <w:sz w:val="20"/>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2" w:name="xdx_986_eus-gaap--ShareBasedCompensation"/>
            <w:bookmarkEnd w:id="852"/>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17,114</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3" w:name="xdx_981_eus-gaap--ShareBasedCompensation"/>
            <w:bookmarkEnd w:id="85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4" w:name="xdx_985_eus-gaap--ShareBasedCompensation"/>
            <w:bookmarkEnd w:id="854"/>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bookmarkStart w:id="855" w:name="xdx_903_eus-gaap--SharebasedCompensation"/>
            <w:bookmarkEnd w:id="855"/>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6" w:name="xdx_98E_eus-gaap--ShareBasedCompensation"/>
            <w:bookmarkEnd w:id="856"/>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23"/>
        <w:gridCol w:w="9958"/>
      </w:tblGrid>
      <w:tr>
        <w:trPr/>
        <w:tc>
          <w:tcPr>
            <w:tcW w:w="224" w:type="dxa"/>
            <w:tcBorders/>
            <w:vAlign w:val="center"/>
          </w:tcPr>
          <w:p>
            <w:pPr>
              <w:pStyle w:val="TableContents"/>
              <w:bidi w:val="0"/>
              <w:spacing w:before="0" w:after="283"/>
              <w:jc w:val="right"/>
              <w:rPr>
                <w:rFonts w:ascii="Times New Roman;Times;Serif" w:hAnsi="Times New Roman;Times;Serif"/>
                <w:i/>
                <w:sz w:val="20"/>
              </w:rPr>
            </w:pPr>
            <w:bookmarkStart w:id="857" w:name="xdx_F07_zDuPsETOwsHa"/>
            <w:bookmarkEnd w:id="857"/>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8" w:type="dxa"/>
            <w:tcBorders/>
            <w:vAlign w:val="center"/>
          </w:tcPr>
          <w:p>
            <w:pPr>
              <w:pStyle w:val="TableContents"/>
              <w:bidi w:val="0"/>
              <w:spacing w:before="0" w:after="283"/>
              <w:jc w:val="both"/>
              <w:rPr>
                <w:rFonts w:ascii="Times New Roman;Times;Serif" w:hAnsi="Times New Roman;Times;Serif"/>
                <w:i/>
                <w:sz w:val="20"/>
              </w:rPr>
            </w:pPr>
            <w:bookmarkStart w:id="858" w:name="xdx_F1A_zjIFRbiLIe4j"/>
            <w:bookmarkEnd w:id="858"/>
            <w:r>
              <w:rPr>
                <w:rFonts w:ascii="Times New Roman;Times;Serif" w:hAnsi="Times New Roman;Times;Serif"/>
                <w:i/>
                <w:sz w:val="20"/>
              </w:rPr>
              <w:t xml:space="preserve">Number of options and weighted average exercise price has been adjusted to reflect the exchange of Legacy Dragonfly’s stock options for New Dragonfly stock options at an exchange ratio of approximately </w:t>
            </w:r>
            <w:bookmarkStart w:id="859" w:name="xdx_909_eus-gaap--StockholdersEquityNote"/>
            <w:bookmarkStart w:id="860" w:name="xdx_90C_eus-gaap--StockholdersEquityNote"/>
            <w:bookmarkEnd w:id="859"/>
            <w:bookmarkEnd w:id="860"/>
            <w:r>
              <w:rPr>
                <w:rFonts w:ascii="Times New Roman;Times;Serif" w:hAnsi="Times New Roman;Times;Serif"/>
                <w:i/>
                <w:sz w:val="20"/>
              </w:rPr>
              <w:t>1.182 as a result of the merger. See Note 3 for further information.</w:t>
            </w:r>
          </w:p>
        </w:tc>
      </w:tr>
    </w:tbl>
    <w:p>
      <w:pPr>
        <w:pStyle w:val="TextBody"/>
        <w:bidi w:val="0"/>
        <w:spacing w:before="0" w:after="0"/>
        <w:ind w:left="0" w:right="0" w:hanging="0"/>
        <w:jc w:val="both"/>
        <w:rPr>
          <w:caps w:val="false"/>
          <w:smallCaps w:val="false"/>
        </w:rPr>
      </w:pPr>
      <w:bookmarkStart w:id="861" w:name="xdx_8A5_zR6Zqwi6r0S2"/>
      <w:bookmarkEnd w:id="8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862" w:name="xdx_902_eus-gaap--AllocatedShareBasedCom"/>
      <w:bookmarkEnd w:id="862"/>
      <w:r>
        <w:rPr>
          <w:rFonts w:ascii="Times New Roman;Times;Serif" w:hAnsi="Times New Roman;Times;Serif"/>
          <w:b w:val="false"/>
          <w:i w:val="false"/>
          <w:caps w:val="false"/>
          <w:smallCaps w:val="false"/>
          <w:sz w:val="20"/>
        </w:rPr>
        <w:t>2,467 and $</w:t>
      </w:r>
      <w:bookmarkStart w:id="863" w:name="xdx_90F_eus-gaap--AllocatedShareBasedCom"/>
      <w:bookmarkEnd w:id="863"/>
      <w:r>
        <w:rPr>
          <w:rFonts w:ascii="Times New Roman;Times;Serif" w:hAnsi="Times New Roman;Times;Serif"/>
          <w:b w:val="false"/>
          <w:i w:val="false"/>
          <w:caps w:val="false"/>
          <w:smallCaps w:val="false"/>
          <w:sz w:val="20"/>
        </w:rPr>
        <w:t>734 was recognized in the Company’s consolidated statements of operations for the years ended December 31, 2022 and 2021, respectively. Of the $</w:t>
      </w:r>
      <w:bookmarkStart w:id="864" w:name="xdx_90C_eus-gaap--AllocatedShareBasedCom"/>
      <w:bookmarkEnd w:id="864"/>
      <w:r>
        <w:rPr>
          <w:rFonts w:ascii="Times New Roman;Times;Serif" w:hAnsi="Times New Roman;Times;Serif"/>
          <w:b w:val="false"/>
          <w:i w:val="false"/>
          <w:caps w:val="false"/>
          <w:smallCaps w:val="false"/>
          <w:sz w:val="20"/>
        </w:rPr>
        <w:t>2,467 of share-based compensation incurred during the year ended December 31, 2022, $</w:t>
      </w:r>
      <w:bookmarkStart w:id="865" w:name="xdx_90C_eus-gaap--AllocatedShareBasedCom"/>
      <w:bookmarkEnd w:id="865"/>
      <w:r>
        <w:rPr>
          <w:rFonts w:ascii="Times New Roman;Times;Serif" w:hAnsi="Times New Roman;Times;Serif"/>
          <w:b w:val="false"/>
          <w:i w:val="false"/>
          <w:caps w:val="false"/>
          <w:smallCaps w:val="false"/>
          <w:sz w:val="20"/>
        </w:rPr>
        <w:t>155 is allocated to cost of goods sold, $</w:t>
      </w:r>
      <w:bookmarkStart w:id="866" w:name="xdx_900_eus-gaap--AllocatedShareBasedCom"/>
      <w:bookmarkEnd w:id="866"/>
      <w:r>
        <w:rPr>
          <w:rFonts w:ascii="Times New Roman;Times;Serif" w:hAnsi="Times New Roman;Times;Serif"/>
          <w:b w:val="false"/>
          <w:i w:val="false"/>
          <w:caps w:val="false"/>
          <w:smallCaps w:val="false"/>
          <w:sz w:val="20"/>
        </w:rPr>
        <w:t>149 to research and development, $</w:t>
      </w:r>
      <w:bookmarkStart w:id="867" w:name="xdx_905_eus-gaap--AllocatedShareBasedCom"/>
      <w:bookmarkEnd w:id="867"/>
      <w:r>
        <w:rPr>
          <w:rFonts w:ascii="Times New Roman;Times;Serif" w:hAnsi="Times New Roman;Times;Serif"/>
          <w:b w:val="false"/>
          <w:i w:val="false"/>
          <w:caps w:val="false"/>
          <w:smallCaps w:val="false"/>
          <w:sz w:val="20"/>
        </w:rPr>
        <w:t>654 to selling and marketing, and $</w:t>
      </w:r>
      <w:bookmarkStart w:id="868" w:name="xdx_90B_eus-gaap--AllocatedShareBasedCom"/>
      <w:bookmarkEnd w:id="868"/>
      <w:r>
        <w:rPr>
          <w:rFonts w:ascii="Times New Roman;Times;Serif" w:hAnsi="Times New Roman;Times;Serif"/>
          <w:b w:val="false"/>
          <w:i w:val="false"/>
          <w:caps w:val="false"/>
          <w:smallCaps w:val="false"/>
          <w:sz w:val="20"/>
        </w:rPr>
        <w:t>1,509 to general and administrative expenses. Of the $</w:t>
      </w:r>
      <w:bookmarkStart w:id="869" w:name="xdx_90E_eus-gaap--AllocatedShareBasedCom"/>
      <w:bookmarkEnd w:id="869"/>
      <w:r>
        <w:rPr>
          <w:rFonts w:ascii="Times New Roman;Times;Serif" w:hAnsi="Times New Roman;Times;Serif"/>
          <w:b w:val="false"/>
          <w:i w:val="false"/>
          <w:caps w:val="false"/>
          <w:smallCaps w:val="false"/>
          <w:sz w:val="20"/>
        </w:rPr>
        <w:t>734 of share-based compensation incurred during the year ended December 31, 2021, $</w:t>
      </w:r>
      <w:bookmarkStart w:id="870" w:name="xdx_907_eus-gaap--AllocatedShareBasedCom"/>
      <w:bookmarkEnd w:id="870"/>
      <w:r>
        <w:rPr>
          <w:rFonts w:ascii="Times New Roman;Times;Serif" w:hAnsi="Times New Roman;Times;Serif"/>
          <w:b w:val="false"/>
          <w:i w:val="false"/>
          <w:caps w:val="false"/>
          <w:smallCaps w:val="false"/>
          <w:sz w:val="20"/>
        </w:rPr>
        <w:t>252 is allocated to cost of goods sold, $</w:t>
      </w:r>
      <w:bookmarkStart w:id="871" w:name="xdx_90D_eus-gaap--AllocatedShareBasedCom"/>
      <w:bookmarkEnd w:id="871"/>
      <w:r>
        <w:rPr>
          <w:rFonts w:ascii="Times New Roman;Times;Serif" w:hAnsi="Times New Roman;Times;Serif"/>
          <w:b w:val="false"/>
          <w:i w:val="false"/>
          <w:caps w:val="false"/>
          <w:smallCaps w:val="false"/>
          <w:sz w:val="20"/>
        </w:rPr>
        <w:t>95 to research and development, $</w:t>
      </w:r>
      <w:bookmarkStart w:id="872" w:name="xdx_903_eus-gaap--AllocatedShareBasedCom"/>
      <w:bookmarkEnd w:id="872"/>
      <w:r>
        <w:rPr>
          <w:rFonts w:ascii="Times New Roman;Times;Serif" w:hAnsi="Times New Roman;Times;Serif"/>
          <w:b w:val="false"/>
          <w:i w:val="false"/>
          <w:caps w:val="false"/>
          <w:smallCaps w:val="false"/>
          <w:sz w:val="20"/>
        </w:rPr>
        <w:t>156 to selling and marketing, and $</w:t>
      </w:r>
      <w:bookmarkStart w:id="873" w:name="xdx_902_eus-gaap--AllocatedShareBasedCom"/>
      <w:bookmarkEnd w:id="873"/>
      <w:r>
        <w:rPr>
          <w:rFonts w:ascii="Times New Roman;Times;Serif" w:hAnsi="Times New Roman;Times;Serif"/>
          <w:b w:val="false"/>
          <w:i w:val="false"/>
          <w:caps w:val="false"/>
          <w:smallCaps w:val="false"/>
          <w:sz w:val="20"/>
        </w:rPr>
        <w:t>231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2022, there were </w:t>
      </w:r>
      <w:bookmarkStart w:id="874" w:name="xdx_907_eus-gaap--ShareBasedCompensation"/>
      <w:bookmarkEnd w:id="874"/>
      <w:r>
        <w:rPr>
          <w:rFonts w:ascii="Times New Roman;Times;Serif" w:hAnsi="Times New Roman;Times;Serif"/>
          <w:b w:val="false"/>
          <w:i w:val="false"/>
          <w:caps w:val="false"/>
          <w:smallCaps w:val="false"/>
          <w:sz w:val="20"/>
        </w:rPr>
        <w:t>4,924,914 shares of unissued authorized and available for future awards under the plans.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0" w:right="0" w:hanging="0"/>
        <w:jc w:val="both"/>
        <w:rPr>
          <w:caps w:val="false"/>
          <w:smallCaps w:val="false"/>
        </w:rPr>
      </w:pPr>
      <w:bookmarkStart w:id="875" w:name="xdx_890_eus-gaap--ScheduleOfShareBasedPa"/>
      <w:bookmarkEnd w:id="875"/>
      <w:r>
        <w:rPr>
          <w:caps w:val="false"/>
          <w:smallCaps w:val="false"/>
        </w:rPr>
        <w:t> </w:t>
      </w:r>
      <w:bookmarkStart w:id="876" w:name="xdx_8BF_zwWFuhv0qKu"/>
      <w:bookmarkEnd w:id="876"/>
      <w:r>
        <w:rPr>
          <w:rFonts w:ascii="Times New Roman;Times;Serif" w:hAnsi="Times New Roman;Times;Serif"/>
          <w:b w:val="false"/>
          <w:i w:val="false"/>
          <w:caps w:val="false"/>
          <w:smallCaps w:val="false"/>
          <w:sz w:val="20"/>
        </w:rPr>
        <w:t>SCHEDULE OF VALUATION ASSUMPTIONS OF OPTIONS</w:t>
      </w:r>
    </w:p>
    <w:tbl>
      <w:tblPr>
        <w:tblW w:w="6265" w:type="dxa"/>
        <w:jc w:val="left"/>
        <w:tblInd w:w="0" w:type="dxa"/>
        <w:tblLayout w:type="fixed"/>
        <w:tblCellMar>
          <w:top w:w="0" w:type="dxa"/>
          <w:left w:w="0" w:type="dxa"/>
          <w:bottom w:w="0" w:type="dxa"/>
          <w:right w:w="0" w:type="dxa"/>
        </w:tblCellMar>
      </w:tblPr>
      <w:tblGrid>
        <w:gridCol w:w="4460"/>
        <w:gridCol w:w="60"/>
        <w:gridCol w:w="140"/>
        <w:gridCol w:w="635"/>
        <w:gridCol w:w="60"/>
        <w:gridCol w:w="60"/>
        <w:gridCol w:w="140"/>
        <w:gridCol w:w="635"/>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7" w:name="xdx_980_eus-gaap--ShareBasedCompensation"/>
            <w:bookmarkEnd w:id="877"/>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8" w:name="xdx_988_eus-gaap--ShareBasedCompensation"/>
            <w:bookmarkEnd w:id="878"/>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9" w:name="xdx_98B_eus-gaap--ShareBasedCompensation"/>
            <w:bookmarkEnd w:id="879"/>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0" w:name="xdx_98A_eus-gaap--ShareBasedCompensation"/>
            <w:bookmarkEnd w:id="880"/>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1" w:name="xdx_985_eus-gaap--ShareBasedCompensation"/>
            <w:bookmarkEnd w:id="881"/>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2" w:name="xdx_98B_eus-gaap--ShareBasedCompensation"/>
            <w:bookmarkEnd w:id="882"/>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bookmarkStart w:id="883" w:name="xdx_909_eus-gaap--SharebasedCompensation"/>
            <w:bookmarkEnd w:id="883"/>
            <w:r>
              <w:rPr>
                <w:rFonts w:ascii="Times New Roman;Times;Serif" w:hAnsi="Times New Roman;Times;Serif"/>
              </w:rPr>
              <w:t>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bookmarkStart w:id="884" w:name="xdx_906_eus-gaap--SharebasedCompensation"/>
            <w:bookmarkEnd w:id="884"/>
            <w:r>
              <w:rPr>
                <w:rFonts w:ascii="Times New Roman;Times;Serif" w:hAnsi="Times New Roman;Times;Serif"/>
              </w:rPr>
              <w:t>6.02</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5" w:name="xdx_980_eus-gaap--ShareBasedCompensation"/>
            <w:bookmarkEnd w:id="885"/>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6" w:name="xdx_980_eus-gaap--ShareBasedCompensation"/>
            <w:bookmarkEnd w:id="886"/>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87" w:name="xdx_8AE_zZJ0s21UZrRi"/>
      <w:bookmarkEnd w:id="887"/>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the Company granted </w:t>
      </w:r>
      <w:bookmarkStart w:id="888" w:name="xdx_90E_eus-gaap--ShareBasedCompensation"/>
      <w:bookmarkEnd w:id="888"/>
      <w:r>
        <w:rPr>
          <w:rFonts w:ascii="Times New Roman;Times;Serif" w:hAnsi="Times New Roman;Times;Serif"/>
          <w:b w:val="false"/>
          <w:i w:val="false"/>
          <w:caps w:val="false"/>
          <w:smallCaps w:val="false"/>
          <w:sz w:val="20"/>
        </w:rPr>
        <w:t>180,000 restricted stock units under the 2022 plan which vest one year from the grant date. The fair value of the restricted stock units on the date of grant was $</w:t>
      </w:r>
      <w:bookmarkStart w:id="889" w:name="xdx_906_eus-gaap--StockIssuedDuringPerio"/>
      <w:bookmarkEnd w:id="889"/>
      <w:r>
        <w:rPr>
          <w:rFonts w:ascii="Times New Roman;Times;Serif" w:hAnsi="Times New Roman;Times;Serif"/>
          <w:b w:val="false"/>
          <w:i w:val="false"/>
          <w:caps w:val="false"/>
          <w:smallCaps w:val="false"/>
          <w:sz w:val="20"/>
        </w:rPr>
        <w:t>2,520, which is recognized as compensation expense over the requisite service period based on the value of the underlying shares on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90" w:name="xdx_89C_eus-gaap--ScheduleOfUnvestedRest"/>
      <w:bookmarkEnd w:id="890"/>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year ended December 31, 2022:</w:t>
      </w:r>
    </w:p>
    <w:p>
      <w:pPr>
        <w:pStyle w:val="TextBody"/>
        <w:bidi w:val="0"/>
        <w:jc w:val="both"/>
        <w:rPr>
          <w:caps w:val="false"/>
          <w:smallCaps w:val="false"/>
        </w:rPr>
      </w:pPr>
      <w:r>
        <w:rPr>
          <w:caps w:val="false"/>
          <w:smallCaps w:val="false"/>
        </w:rPr>
        <w:t> </w:t>
      </w:r>
      <w:bookmarkStart w:id="891" w:name="xdx_8B5_zDeJaufAlDF6"/>
      <w:bookmarkEnd w:id="891"/>
      <w:r>
        <w:rPr>
          <w:rFonts w:ascii="Times New Roman;Times;Serif" w:hAnsi="Times New Roman;Times;Serif"/>
          <w:b w:val="false"/>
          <w:i w:val="false"/>
          <w:caps w:val="false"/>
          <w:smallCaps w:val="false"/>
          <w:sz w:val="20"/>
        </w:rPr>
        <w:t>SCHEDULE OF RESTRICTED STOCK UNITS ACTIVITY</w:t>
      </w:r>
    </w:p>
    <w:tbl>
      <w:tblPr>
        <w:tblW w:w="9194" w:type="dxa"/>
        <w:jc w:val="left"/>
        <w:tblInd w:w="0" w:type="dxa"/>
        <w:tblLayout w:type="fixed"/>
        <w:tblCellMar>
          <w:top w:w="0" w:type="dxa"/>
          <w:left w:w="0" w:type="dxa"/>
          <w:bottom w:w="0" w:type="dxa"/>
          <w:right w:w="0" w:type="dxa"/>
        </w:tblCellMar>
      </w:tblPr>
      <w:tblGrid>
        <w:gridCol w:w="3575"/>
        <w:gridCol w:w="60"/>
        <w:gridCol w:w="121"/>
        <w:gridCol w:w="1623"/>
        <w:gridCol w:w="60"/>
        <w:gridCol w:w="60"/>
        <w:gridCol w:w="724"/>
        <w:gridCol w:w="2896"/>
        <w:gridCol w:w="75"/>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0" w:type="dxa"/>
            <w:gridSpan w:val="2"/>
            <w:tcBorders>
              <w:bottom w:val="single" w:sz="12"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Unvested shares, December 31, 2021</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892" w:name="xdx_982_eus-gaap--ShareBasedCompensation"/>
            <w:bookmarkEnd w:id="892"/>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bookmarkStart w:id="893" w:name="xdx_980_eus-gaap--ShareBasedCompensation"/>
            <w:bookmarkEnd w:id="893"/>
          </w:p>
        </w:tc>
        <w:tc>
          <w:tcPr>
            <w:tcW w:w="28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bookmarkStart w:id="894" w:name="xdx_98B_eus-gaap--ShareBasedCompensation"/>
            <w:bookmarkEnd w:id="894"/>
          </w:p>
        </w:tc>
        <w:tc>
          <w:tcPr>
            <w:tcW w:w="1623" w:type="dxa"/>
            <w:tcBorders/>
            <w:shd w:fill="FFFFFF" w:val="clear"/>
            <w:vAlign w:val="center"/>
          </w:tcPr>
          <w:p>
            <w:pPr>
              <w:pStyle w:val="TableContents"/>
              <w:bidi w:val="0"/>
              <w:spacing w:before="0" w:after="283"/>
              <w:jc w:val="right"/>
              <w:rPr/>
            </w:pPr>
            <w:r>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w:t>
            </w:r>
            <w:bookmarkStart w:id="895" w:name="xdx_981_eus-gaap--ShareBasedCompensation"/>
            <w:bookmarkEnd w:id="895"/>
          </w:p>
        </w:tc>
        <w:tc>
          <w:tcPr>
            <w:tcW w:w="2896"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896" w:name="xdx_983_eus-gaap--ShareBasedCompensation"/>
            <w:bookmarkEnd w:id="896"/>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bookmarkStart w:id="897" w:name="xdx_986_eus-gaap--ShareBasedCompensation"/>
            <w:bookmarkEnd w:id="897"/>
          </w:p>
        </w:tc>
        <w:tc>
          <w:tcPr>
            <w:tcW w:w="28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Forfeited/Cancelled</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98" w:name="xdx_984_eus-gaap--ShareBasedCompensation"/>
            <w:bookmarkEnd w:id="898"/>
          </w:p>
        </w:tc>
        <w:tc>
          <w:tcPr>
            <w:tcW w:w="16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99" w:name="xdx_985_eus-gaap--ShareBasedCompensation"/>
            <w:bookmarkEnd w:id="899"/>
          </w:p>
        </w:tc>
        <w:tc>
          <w:tcPr>
            <w:tcW w:w="28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Unvested shares, December 31, 2022</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00" w:name="xdx_98D_eus-gaap--ShareBasedCompensation"/>
            <w:bookmarkEnd w:id="900"/>
          </w:p>
        </w:tc>
        <w:tc>
          <w:tcPr>
            <w:tcW w:w="1623" w:type="dxa"/>
            <w:tcBorders>
              <w:bottom w:val="double" w:sz="6" w:space="0" w:color="000000"/>
            </w:tcBorders>
            <w:shd w:fill="CCEEFF" w:val="clear"/>
            <w:tcMar>
              <w:bottom w:w="28" w:type="dxa"/>
            </w:tcM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1" w:name="xdx_989_eus-gaap--ShareBasedCompensation"/>
            <w:bookmarkEnd w:id="901"/>
          </w:p>
        </w:tc>
        <w:tc>
          <w:tcPr>
            <w:tcW w:w="2896" w:type="dxa"/>
            <w:tcBorders>
              <w:bottom w:val="double" w:sz="6" w:space="0" w:color="000000"/>
            </w:tcBorders>
            <w:shd w:fill="CCEEFF" w:val="clear"/>
            <w:tcMar>
              <w:bottom w:w="28" w:type="dxa"/>
            </w:tcM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Vested as of December 31, 2022</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2" w:name="xdx_98C_eus-gaap--SharebasedCompensation"/>
            <w:bookmarkEnd w:id="902"/>
          </w:p>
        </w:tc>
        <w:tc>
          <w:tcPr>
            <w:tcW w:w="162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03" w:name="xdx_980_ecustom--SharebasedCompensationA"/>
            <w:bookmarkEnd w:id="903"/>
          </w:p>
        </w:tc>
        <w:tc>
          <w:tcPr>
            <w:tcW w:w="289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04" w:name="xdx_8A0_zSqDpAy5ADwl"/>
      <w:bookmarkEnd w:id="90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05" w:name="xdx_805_ecustom--RedeemableNoncontrollin"/>
      <w:bookmarkEnd w:id="905"/>
      <w:r>
        <w:rPr>
          <w:rFonts w:ascii="Times New Roman;Times;Serif" w:hAnsi="Times New Roman;Times;Serif"/>
          <w:b/>
          <w:i w:val="false"/>
          <w:caps/>
          <w:sz w:val="20"/>
        </w:rPr>
        <w:t xml:space="preserve">Note 15 - </w:t>
      </w:r>
      <w:bookmarkStart w:id="906" w:name="xdx_820_zdC07LEYgit8"/>
      <w:bookmarkEnd w:id="906"/>
      <w:r>
        <w:rPr>
          <w:rFonts w:ascii="Times New Roman;Times;Serif" w:hAnsi="Times New Roman;Times;Serif"/>
          <w:b/>
          <w:i w:val="false"/>
          <w:caps/>
          <w:sz w:val="20"/>
        </w:rPr>
        <w:t>REDEEMABLE PREFERRED STOCK RIGHTS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Legacy Redeemable Convertible Preferred Stock previously classified as temporary equity was retroactively adjusted, converted into common stock at an exchange ratio of approximately </w:t>
      </w:r>
      <w:bookmarkStart w:id="907" w:name="xdx_907_ecustom--RecapitalizationExchang"/>
      <w:bookmarkEnd w:id="907"/>
      <w:r>
        <w:rPr>
          <w:rFonts w:ascii="Times New Roman;Times;Serif" w:hAnsi="Times New Roman;Times;Serif"/>
          <w:b w:val="false"/>
          <w:i w:val="false"/>
          <w:caps w:val="false"/>
          <w:smallCaps w:val="false"/>
          <w:sz w:val="20"/>
        </w:rPr>
        <w:t>1.182, and reclassified to permanent equity as a result of the reverse recapitalization. As of December 31, 2022, there was no Legacy Redeemable Convertible Preferred Stock authorized,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rights and preferences of the Legacy Dragonfly Redeemable Convertible Preferred Stock prior to the conversion in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w:t>
      </w:r>
      <w:bookmarkStart w:id="908" w:name="xdx_909_eus-gaap--PreferredStockDividend"/>
      <w:bookmarkEnd w:id="908"/>
      <w:r>
        <w:rPr>
          <w:rFonts w:ascii="Times New Roman;Times;Serif" w:hAnsi="Times New Roman;Times;Serif"/>
          <w:b w:val="false"/>
          <w:i w:val="false"/>
          <w:caps w:val="false"/>
          <w:smallCaps w:val="false"/>
          <w:sz w:val="20"/>
        </w:rPr>
        <w:t>No dividends have been declared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record of the shares of Series A Preferred Stock, exclusively and as a separate class, shall be entitled to elect </w:t>
      </w:r>
      <w:bookmarkStart w:id="909" w:name="xdx_907_ecustom--NumberOfDirectorsElecte"/>
      <w:bookmarkEnd w:id="909"/>
      <w:r>
        <w:rPr>
          <w:rFonts w:ascii="Times New Roman;Times;Serif" w:hAnsi="Times New Roman;Times;Serif"/>
          <w:b w:val="false"/>
          <w:i w:val="false"/>
          <w:caps w:val="false"/>
          <w:smallCaps w:val="false"/>
          <w:sz w:val="20"/>
        </w:rPr>
        <w:t>one director of the Company (the “</w:t>
      </w:r>
      <w:r>
        <w:rPr>
          <w:rFonts w:ascii="Times New Roman;Times;Serif" w:hAnsi="Times New Roman;Times;Serif"/>
          <w:b/>
          <w:i w:val="false"/>
          <w:caps w:val="false"/>
          <w:smallCaps w:val="false"/>
          <w:sz w:val="20"/>
        </w:rPr>
        <w:t>Series A Director</w:t>
      </w:r>
      <w:r>
        <w:rPr>
          <w:rFonts w:ascii="Times New Roman;Times;Serif" w:hAnsi="Times New Roman;Times;Serif"/>
          <w:b w:val="false"/>
          <w:i w:val="false"/>
          <w:caps w:val="false"/>
          <w:smallCaps w:val="false"/>
          <w:sz w:val="20"/>
        </w:rPr>
        <w:t xml:space="preserve">”). The Series A Director shall be given </w:t>
      </w:r>
      <w:bookmarkStart w:id="910" w:name="xdx_90C_ecustom--NumberOfDirectorsElecte"/>
      <w:bookmarkEnd w:id="910"/>
      <w:r>
        <w:rPr>
          <w:rFonts w:ascii="Times New Roman;Times;Serif" w:hAnsi="Times New Roman;Times;Serif"/>
          <w:b w:val="false"/>
          <w:i w:val="false"/>
          <w:caps w:val="false"/>
          <w:smallCaps w:val="false"/>
          <w:sz w:val="20"/>
        </w:rPr>
        <w:t>two votes on any action requiring the vote or approval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record of the shares of common stock, exclusively and as a separate class, shall be entitled to elect </w:t>
      </w:r>
      <w:bookmarkStart w:id="911" w:name="xdx_904_ecustom--NumberOfVotesPerDirecto"/>
      <w:bookmarkEnd w:id="911"/>
      <w:r>
        <w:rPr>
          <w:rFonts w:ascii="Times New Roman;Times;Serif" w:hAnsi="Times New Roman;Times;Serif"/>
          <w:b w:val="false"/>
          <w:i w:val="false"/>
          <w:caps w:val="false"/>
          <w:smallCaps w:val="false"/>
          <w:sz w:val="20"/>
        </w:rPr>
        <w:t>two directors of the Company, the “</w:t>
      </w:r>
      <w:r>
        <w:rPr>
          <w:rFonts w:ascii="Times New Roman;Times;Serif" w:hAnsi="Times New Roman;Times;Serif"/>
          <w:b/>
          <w:i w:val="false"/>
          <w:caps w:val="false"/>
          <w:smallCaps w:val="false"/>
          <w:sz w:val="20"/>
        </w:rPr>
        <w:t>Common Stock Director A</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Common Stock Director B</w:t>
      </w:r>
      <w:r>
        <w:rPr>
          <w:rFonts w:ascii="Times New Roman;Times;Serif" w:hAnsi="Times New Roman;Times;Serif"/>
          <w:b w:val="false"/>
          <w:i w:val="false"/>
          <w:caps w:val="false"/>
          <w:smallCaps w:val="false"/>
          <w:sz w:val="20"/>
        </w:rPr>
        <w:t xml:space="preserve">”). The Common Stock Director A shall be given </w:t>
      </w:r>
      <w:bookmarkStart w:id="912" w:name="xdx_90E_ecustom--NumberOfVotesPerDirecto"/>
      <w:bookmarkEnd w:id="912"/>
      <w:r>
        <w:rPr>
          <w:rFonts w:ascii="Times New Roman;Times;Serif" w:hAnsi="Times New Roman;Times;Serif"/>
          <w:b w:val="false"/>
          <w:i w:val="false"/>
          <w:caps w:val="false"/>
          <w:smallCaps w:val="false"/>
          <w:sz w:val="20"/>
        </w:rPr>
        <w:t xml:space="preserve">three votes on any action requiring the vote or approval of the Board of Directors and the Common Stock Director B shall be given </w:t>
      </w:r>
      <w:bookmarkStart w:id="913" w:name="xdx_90C_ecustom--NumberOfVotesPerDirecto"/>
      <w:bookmarkEnd w:id="913"/>
      <w:r>
        <w:rPr>
          <w:rFonts w:ascii="Times New Roman;Times;Serif" w:hAnsi="Times New Roman;Times;Serif"/>
          <w:b w:val="false"/>
          <w:i w:val="false"/>
          <w:caps w:val="false"/>
          <w:smallCaps w:val="false"/>
          <w:sz w:val="20"/>
        </w:rPr>
        <w:t>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Liquidation, Dissolution or Winding Up; Certain Mergers, Consolidations and Assets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or deemed liquidation event, as defined, the holders of shares of Series A Preferred Stock then outstanding (the “</w:t>
      </w:r>
      <w:r>
        <w:rPr>
          <w:rFonts w:ascii="Times New Roman;Times;Serif" w:hAnsi="Times New Roman;Times;Serif"/>
          <w:b/>
          <w:i w:val="false"/>
          <w:caps w:val="false"/>
          <w:smallCaps w:val="false"/>
          <w:sz w:val="20"/>
        </w:rPr>
        <w:t>Series A shareholders</w:t>
      </w:r>
      <w:r>
        <w:rPr>
          <w:rFonts w:ascii="Times New Roman;Times;Serif" w:hAnsi="Times New Roman;Times;Serif"/>
          <w:b w:val="false"/>
          <w:i w:val="false"/>
          <w:caps w:val="false"/>
          <w:smallCaps w:val="false"/>
          <w:sz w:val="20"/>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Redemption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w:t>
      </w:r>
      <w:bookmarkStart w:id="914" w:name="xdx_907_ecustom--ConversionPrice_pid_c20"/>
      <w:bookmarkEnd w:id="914"/>
      <w:r>
        <w:rPr>
          <w:rFonts w:ascii="Times New Roman;Times;Serif" w:hAnsi="Times New Roman;Times;Serif"/>
          <w:b w:val="false"/>
          <w:i w:val="false"/>
          <w:caps w:val="false"/>
          <w:smallCaps w:val="false"/>
          <w:sz w:val="20"/>
        </w:rPr>
        <w:t>0.20. Such initial conversion price may be converted into common stock,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either (a) the closing of the sale of shares of common stock at a price of at least $</w:t>
      </w:r>
      <w:bookmarkStart w:id="915" w:name="xdx_905_ecustom--StockPriceTriggerForMan"/>
      <w:bookmarkEnd w:id="915"/>
      <w:r>
        <w:rPr>
          <w:rFonts w:ascii="Times New Roman;Times;Serif" w:hAnsi="Times New Roman;Times;Serif"/>
          <w:b w:val="false"/>
          <w:i w:val="false"/>
          <w:caps w:val="false"/>
          <w:smallCaps w:val="false"/>
          <w:sz w:val="20"/>
        </w:rPr>
        <w:t>1.00 per share, in a firm-commitment underwritten public offering pursuant to an effective registration statement under the Securities Act of 1933, as amended, resulting in at least $</w:t>
      </w:r>
      <w:bookmarkStart w:id="916" w:name="xdx_908_ecustom--MinimumGrossProceedsFor"/>
      <w:bookmarkEnd w:id="916"/>
      <w:r>
        <w:rPr>
          <w:rFonts w:ascii="Times New Roman;Times;Serif" w:hAnsi="Times New Roman;Times;Serif"/>
          <w:b w:val="false"/>
          <w:i w:val="false"/>
          <w:caps w:val="false"/>
          <w:smallCaps w:val="false"/>
          <w:sz w:val="20"/>
        </w:rPr>
        <w:t xml:space="preserve">25,000 of gross proceeds to the Company or (b) the date and time, or the occurrence of an event, specified by vote or written consent of the holders of more than </w:t>
      </w:r>
      <w:bookmarkStart w:id="917" w:name="xdx_90B_ecustom--PercentageOfVotesForMan"/>
      <w:bookmarkEnd w:id="917"/>
      <w:r>
        <w:rPr>
          <w:rFonts w:ascii="Times New Roman;Times;Serif" w:hAnsi="Times New Roman;Times;Serif"/>
          <w:b w:val="false"/>
          <w:i w:val="false"/>
          <w:caps w:val="false"/>
          <w:smallCaps w:val="false"/>
          <w:sz w:val="20"/>
        </w:rPr>
        <w:t>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18" w:name="xdx_806_eus-gaap--EarningsPerShareTextBl"/>
      <w:bookmarkEnd w:id="918"/>
      <w:r>
        <w:rPr>
          <w:rFonts w:ascii="Times New Roman;Times;Serif" w:hAnsi="Times New Roman;Times;Serif"/>
          <w:b/>
          <w:i w:val="false"/>
          <w:caps/>
          <w:sz w:val="20"/>
        </w:rPr>
        <w:t xml:space="preserve">Note 16 - </w:t>
      </w:r>
      <w:bookmarkStart w:id="919" w:name="xdx_82E_zxSERjxmmgUd"/>
      <w:bookmarkEnd w:id="919"/>
      <w:r>
        <w:rPr>
          <w:rFonts w:ascii="Times New Roman;Times;Serif" w:hAnsi="Times New Roman;Times;Serif"/>
          <w:b/>
          <w:i w:val="false"/>
          <w:caps/>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20" w:name="xdx_893_eus-gaap--ScheduleOfEarningsPerS"/>
      <w:bookmarkEnd w:id="920"/>
      <w:r>
        <w:rPr>
          <w:rFonts w:ascii="Times New Roman;Times;Serif" w:hAnsi="Times New Roman;Times;Serif"/>
          <w:b w:val="false"/>
          <w:i w:val="false"/>
          <w:caps w:val="false"/>
          <w:smallCaps w:val="false"/>
          <w:sz w:val="20"/>
        </w:rPr>
        <w:t>The following table sets forth the information needed to compute basic and diluted (loss) earnings per share for the years ended December 31, 2022 and December 31, 2021:</w:t>
      </w:r>
    </w:p>
    <w:p>
      <w:pPr>
        <w:pStyle w:val="TextBody"/>
        <w:bidi w:val="0"/>
        <w:spacing w:before="0" w:after="0"/>
        <w:ind w:left="0" w:right="0" w:hanging="0"/>
        <w:jc w:val="left"/>
        <w:rPr>
          <w:caps w:val="false"/>
          <w:smallCaps w:val="false"/>
        </w:rPr>
      </w:pPr>
      <w:r>
        <w:rPr>
          <w:caps w:val="false"/>
          <w:smallCaps w:val="false"/>
        </w:rPr>
        <w:t> </w:t>
      </w:r>
      <w:bookmarkStart w:id="921" w:name="xdx_8B9_zPglhMv919Kl"/>
      <w:bookmarkStart w:id="922" w:name="xdx_8BF_zBpp8QIUHiie"/>
      <w:bookmarkEnd w:id="921"/>
      <w:bookmarkEnd w:id="922"/>
      <w:r>
        <w:rPr>
          <w:rFonts w:ascii="Times New Roman;Times;Serif" w:hAnsi="Times New Roman;Times;Serif"/>
          <w:b w:val="false"/>
          <w:i w:val="false"/>
          <w:caps w:val="false"/>
          <w:smallCaps w:val="false"/>
          <w:sz w:val="20"/>
        </w:rPr>
        <w:t>SCHEDULE OF INFORMATION NEEDED TO COMPUTE BASIC AND DILUTED EARNINGS PER SHARE</w:t>
      </w:r>
    </w:p>
    <w:tbl>
      <w:tblPr>
        <w:tblW w:w="9153" w:type="dxa"/>
        <w:jc w:val="left"/>
        <w:tblInd w:w="0" w:type="dxa"/>
        <w:tblLayout w:type="fixed"/>
        <w:tblCellMar>
          <w:top w:w="0" w:type="dxa"/>
          <w:left w:w="0" w:type="dxa"/>
          <w:bottom w:w="0" w:type="dxa"/>
          <w:right w:w="0" w:type="dxa"/>
        </w:tblCellMar>
      </w:tblPr>
      <w:tblGrid>
        <w:gridCol w:w="5075"/>
        <w:gridCol w:w="60"/>
        <w:gridCol w:w="213"/>
        <w:gridCol w:w="1681"/>
        <w:gridCol w:w="95"/>
        <w:gridCol w:w="60"/>
        <w:gridCol w:w="213"/>
        <w:gridCol w:w="1681"/>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3" w:name="xdx_49D_20220101__20221231_z88hk2fYkF4b"/>
            <w:bookmarkEnd w:id="923"/>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4" w:name="xdx_49F_20210101_20211231"/>
            <w:bookmarkEnd w:id="924"/>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vAlign w:val="center"/>
          </w:tcPr>
          <w:p>
            <w:pPr>
              <w:pStyle w:val="TableContents"/>
              <w:bidi w:val="0"/>
              <w:spacing w:before="0" w:after="283"/>
              <w:jc w:val="left"/>
              <w:rPr/>
            </w:pPr>
            <w:r>
              <w:rPr/>
              <w:t> </w:t>
            </w:r>
            <w:bookmarkStart w:id="925" w:name="xdx_40C_eus-gaap--EarningsPerShareBasicA"/>
            <w:bookmarkEnd w:id="925"/>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(Loss) Earnings per common share: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26" w:name="xdx_40E_eus-gaap--NetIncomeLossAvailable"/>
            <w:bookmarkEnd w:id="926"/>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FFFFFF" w:val="clear"/>
            <w:vAlign w:val="center"/>
          </w:tcPr>
          <w:p>
            <w:pPr>
              <w:pStyle w:val="TableContents"/>
              <w:bidi w:val="0"/>
              <w:spacing w:before="0" w:after="283"/>
              <w:jc w:val="left"/>
              <w:rPr/>
            </w:pPr>
            <w:r>
              <w:rPr/>
              <w:t> </w:t>
            </w:r>
            <w:bookmarkStart w:id="927" w:name="xdx_409_eus-gaap--WeightedAverageNumberO"/>
            <w:bookmarkEnd w:id="927"/>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CCEEFF" w:val="clear"/>
            <w:vAlign w:val="center"/>
          </w:tcPr>
          <w:p>
            <w:pPr>
              <w:pStyle w:val="TableContents"/>
              <w:bidi w:val="0"/>
              <w:spacing w:before="0" w:after="283"/>
              <w:jc w:val="left"/>
              <w:rPr/>
            </w:pPr>
            <w:r>
              <w:rPr/>
              <w:t> </w:t>
            </w:r>
            <w:bookmarkStart w:id="928" w:name="xdx_401_eus-gaap--EarningsPerShareBasic_"/>
            <w:bookmarkEnd w:id="928"/>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basic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29" w:name="xdx_402_eus-gaap--EarningsPerShareDilute"/>
            <w:bookmarkEnd w:id="929"/>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(Loss) earnings per common share: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30" w:name="xdx_405_eus-gaap--NetIncomeLossAvailable"/>
            <w:bookmarkEnd w:id="930"/>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CCEEFF" w:val="clear"/>
            <w:vAlign w:val="center"/>
          </w:tcPr>
          <w:p>
            <w:pPr>
              <w:pStyle w:val="TableContents"/>
              <w:bidi w:val="0"/>
              <w:spacing w:before="0" w:after="283"/>
              <w:jc w:val="left"/>
              <w:rPr/>
            </w:pPr>
            <w:r>
              <w:rPr/>
              <w:t> </w:t>
            </w:r>
            <w:bookmarkStart w:id="931" w:name="xdx_40D_eus-gaap--WeightedAverageNumberO"/>
            <w:bookmarkEnd w:id="931"/>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FFFFFF" w:val="clear"/>
            <w:vAlign w:val="center"/>
          </w:tcPr>
          <w:p>
            <w:pPr>
              <w:pStyle w:val="TableContents"/>
              <w:bidi w:val="0"/>
              <w:spacing w:before="0" w:after="283"/>
              <w:jc w:val="left"/>
              <w:rPr/>
            </w:pPr>
            <w:r>
              <w:rPr/>
              <w:t> </w:t>
            </w:r>
            <w:bookmarkStart w:id="932" w:name="xdx_40D_eus-gaap--IncrementalCommonShare"/>
            <w:bookmarkEnd w:id="932"/>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effect related to stock options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2,163,200</w:t>
            </w:r>
          </w:p>
        </w:tc>
        <w:tc>
          <w:tcPr>
            <w:tcW w:w="75" w:type="dxa"/>
            <w:tcBorders/>
            <w:shd w:fill="CCEEFF" w:val="clear"/>
            <w:vAlign w:val="center"/>
          </w:tcPr>
          <w:p>
            <w:pPr>
              <w:pStyle w:val="TableContents"/>
              <w:bidi w:val="0"/>
              <w:spacing w:before="0" w:after="283"/>
              <w:jc w:val="left"/>
              <w:rPr/>
            </w:pPr>
            <w:r>
              <w:rPr/>
              <w:t> </w:t>
            </w:r>
            <w:bookmarkStart w:id="933" w:name="xdx_400_eus-gaap--WeightedAverageNumberO"/>
            <w:bookmarkEnd w:id="933"/>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37,742,337</w:t>
            </w:r>
          </w:p>
        </w:tc>
        <w:tc>
          <w:tcPr>
            <w:tcW w:w="75" w:type="dxa"/>
            <w:tcBorders/>
            <w:shd w:fill="FFFFFF" w:val="clear"/>
            <w:vAlign w:val="center"/>
          </w:tcPr>
          <w:p>
            <w:pPr>
              <w:pStyle w:val="TableContents"/>
              <w:bidi w:val="0"/>
              <w:spacing w:before="0" w:after="283"/>
              <w:jc w:val="left"/>
              <w:rPr/>
            </w:pPr>
            <w:r>
              <w:rPr/>
              <w:t> </w:t>
            </w:r>
            <w:bookmarkStart w:id="934" w:name="xdx_40C_eus-gaap--EarningsPerShareDilute"/>
            <w:bookmarkEnd w:id="934"/>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diluted</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5" w:name="xdx_8A2_z7zvoUCXon55"/>
      <w:bookmarkEnd w:id="93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6" w:name="xdx_89A_eus-gaap--ScheduleOfAntidilutive"/>
      <w:bookmarkEnd w:id="936"/>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(loss) income per share because their effect was anti-dilutive:</w:t>
      </w:r>
    </w:p>
    <w:p>
      <w:pPr>
        <w:pStyle w:val="TextBody"/>
        <w:bidi w:val="0"/>
        <w:spacing w:before="0" w:after="0"/>
        <w:ind w:left="0" w:right="0" w:hanging="0"/>
        <w:jc w:val="both"/>
        <w:rPr>
          <w:caps w:val="false"/>
          <w:smallCaps w:val="false"/>
        </w:rPr>
      </w:pPr>
      <w:r>
        <w:rPr>
          <w:caps w:val="false"/>
          <w:smallCaps w:val="false"/>
        </w:rPr>
        <w:t> </w:t>
      </w:r>
      <w:bookmarkStart w:id="937" w:name="xdx_8B7_zk4s73Nvk2w9"/>
      <w:bookmarkEnd w:id="937"/>
      <w:r>
        <w:rPr>
          <w:rFonts w:ascii="Times New Roman;Times;Serif" w:hAnsi="Times New Roman;Times;Serif"/>
          <w:b w:val="false"/>
          <w:i w:val="false"/>
          <w:caps w:val="false"/>
          <w:smallCaps w:val="false"/>
          <w:sz w:val="20"/>
        </w:rPr>
        <w:t>SCHEDULE OF POTENTIAL SHARES OF COMMON STOCK EXCLUDED FROM DILUTED NET (LOSS) INCOME PER SHARE</w:t>
      </w:r>
    </w:p>
    <w:p>
      <w:pPr>
        <w:pStyle w:val="TextBody"/>
        <w:bidi w:val="0"/>
        <w:spacing w:before="0" w:after="0"/>
        <w:ind w:left="0" w:right="0" w:hanging="0"/>
        <w:jc w:val="both"/>
        <w:rPr>
          <w:caps w:val="false"/>
          <w:smallCaps w:val="false"/>
        </w:rPr>
      </w:pPr>
      <w:r>
        <w:rPr>
          <w:caps w:val="false"/>
          <w:smallCaps w:val="false"/>
        </w:rPr>
        <w:t> </w:t>
      </w:r>
    </w:p>
    <w:tbl>
      <w:tblPr>
        <w:tblW w:w="8908" w:type="dxa"/>
        <w:jc w:val="left"/>
        <w:tblInd w:w="0" w:type="dxa"/>
        <w:tblLayout w:type="fixed"/>
        <w:tblCellMar>
          <w:top w:w="0" w:type="dxa"/>
          <w:left w:w="0" w:type="dxa"/>
          <w:bottom w:w="0" w:type="dxa"/>
          <w:right w:w="0" w:type="dxa"/>
        </w:tblCellMar>
      </w:tblPr>
      <w:tblGrid>
        <w:gridCol w:w="4865"/>
        <w:gridCol w:w="60"/>
        <w:gridCol w:w="98"/>
        <w:gridCol w:w="1796"/>
        <w:gridCol w:w="60"/>
        <w:gridCol w:w="60"/>
        <w:gridCol w:w="219"/>
        <w:gridCol w:w="1675"/>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938" w:name="xdx_983_eus-gaap--AntidilutiveSecurities"/>
            <w:bookmarkEnd w:id="938"/>
          </w:p>
        </w:tc>
        <w:tc>
          <w:tcPr>
            <w:tcW w:w="1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bookmarkStart w:id="939" w:name="xdx_988_eus-gaap--AntidilutiveSecurities"/>
            <w:bookmarkEnd w:id="939"/>
          </w:p>
        </w:tc>
        <w:tc>
          <w:tcPr>
            <w:tcW w:w="16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940" w:name="xdx_98D_eus-gaap--AntidilutiveSecurities"/>
            <w:bookmarkEnd w:id="940"/>
          </w:p>
        </w:tc>
        <w:tc>
          <w:tcPr>
            <w:tcW w:w="1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bookmarkStart w:id="941" w:name="xdx_98F_eus-gaap--AntidilutiveSecurities"/>
            <w:bookmarkEnd w:id="941"/>
          </w:p>
        </w:tc>
        <w:tc>
          <w:tcPr>
            <w:tcW w:w="16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942" w:name="xdx_988_eus-gaap--AntidilutiveSecurities"/>
            <w:bookmarkEnd w:id="942"/>
          </w:p>
        </w:tc>
        <w:tc>
          <w:tcPr>
            <w:tcW w:w="17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943" w:name="xdx_980_eus-gaap--AntidilutiveSecurities"/>
            <w:bookmarkEnd w:id="943"/>
          </w:p>
        </w:tc>
        <w:tc>
          <w:tcPr>
            <w:tcW w:w="167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4" w:name="xdx_98A_eus-gaap--AntidilutiveSecurities"/>
            <w:bookmarkEnd w:id="944"/>
          </w:p>
        </w:tc>
        <w:tc>
          <w:tcPr>
            <w:tcW w:w="1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45" w:name="xdx_983_eus-gaap--AntidilutiveSecurities"/>
            <w:bookmarkEnd w:id="945"/>
          </w:p>
        </w:tc>
        <w:tc>
          <w:tcPr>
            <w:tcW w:w="16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46" w:name="xdx_8A0_zXsFkdWypmfd"/>
      <w:bookmarkEnd w:id="94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47" w:name="xdx_802_ecustom--ProformaFinancialStatem"/>
      <w:bookmarkEnd w:id="947"/>
      <w:r>
        <w:rPr>
          <w:rFonts w:ascii="Times New Roman;Times;Serif" w:hAnsi="Times New Roman;Times;Serif"/>
          <w:b/>
          <w:i w:val="false"/>
          <w:caps w:val="false"/>
          <w:smallCaps w:val="false"/>
          <w:sz w:val="20"/>
        </w:rPr>
        <w:t xml:space="preserve">NOTE 17 – </w:t>
      </w:r>
      <w:bookmarkStart w:id="948" w:name="xdx_824_zX6pE4NM0aK9"/>
      <w:bookmarkEnd w:id="94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with a board member in the amount of $</w:t>
      </w:r>
      <w:bookmarkStart w:id="949" w:name="xdx_90D_eus-gaap--ConvertibleNotesPayabl"/>
      <w:bookmarkEnd w:id="949"/>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950" w:name="xdx_909_eus-gaap--DebtInstrumentFaceAmou"/>
      <w:bookmarkEnd w:id="950"/>
      <w:r>
        <w:rPr>
          <w:rFonts w:ascii="Times New Roman;Times;Serif" w:hAnsi="Times New Roman;Times;Serif"/>
          <w:b w:val="false"/>
          <w:i w:val="false"/>
          <w:caps w:val="false"/>
          <w:smallCaps w:val="false"/>
          <w:sz w:val="20"/>
        </w:rPr>
        <w:t>100, or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changed its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Pursuant to the Plan of Conversion, the issued and outstanding shares of common stock of the Company were automatically converted into common stock of the reincorporated company at the effective time of the Reincorporation.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Purchase Agreement described in Note 13 the Company issued </w:t>
      </w:r>
      <w:bookmarkStart w:id="951" w:name="xdx_901_eus-gaap--StockIssuedDuringPerio"/>
      <w:bookmarkEnd w:id="951"/>
      <w:r>
        <w:rPr>
          <w:rFonts w:ascii="Times New Roman;Times;Serif" w:hAnsi="Times New Roman;Times;Serif"/>
          <w:b w:val="false"/>
          <w:i w:val="false"/>
          <w:caps w:val="false"/>
          <w:smallCaps w:val="false"/>
          <w:sz w:val="20"/>
        </w:rPr>
        <w:t>98,500 shares pursuant to the Purchase Agreement with CCM LLC for aggregate net proceeds to the Company of $</w:t>
      </w:r>
      <w:bookmarkStart w:id="952" w:name="xdx_904_eus-gaap--ProceedsFromIssuanceOf"/>
      <w:bookmarkEnd w:id="952"/>
      <w:r>
        <w:rPr>
          <w:rFonts w:ascii="Times New Roman;Times;Serif" w:hAnsi="Times New Roman;Times;Serif"/>
          <w:b w:val="false"/>
          <w:i w:val="false"/>
          <w:caps w:val="false"/>
          <w:smallCaps w:val="false"/>
          <w:sz w:val="20"/>
        </w:rPr>
        <w:t>671 through April 17, 2023.</w:t>
      </w:r>
    </w:p>
    <w:p>
      <w:pPr>
        <w:pStyle w:val="TextBody"/>
        <w:bidi w:val="0"/>
        <w:spacing w:before="0" w:after="0"/>
        <w:ind w:left="0" w:right="0" w:hanging="0"/>
        <w:jc w:val="both"/>
        <w:rPr>
          <w:caps w:val="false"/>
          <w:smallCaps w:val="false"/>
        </w:rPr>
      </w:pPr>
      <w:bookmarkStart w:id="953" w:name="xdx_814_zl1Raih2iipl"/>
      <w:bookmarkEnd w:id="9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bookmarkStart w:id="954" w:name="xdx_048_c20230101__20230331_zIibRSBr4tXl"/>
      <w:bookmarkEnd w:id="95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5" w:name="a_003"/>
      <w:bookmarkEnd w:id="955"/>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956" w:name="fs_001"/>
      <w:bookmarkEnd w:id="956"/>
      <w:r>
        <w:rPr>
          <w:rFonts w:ascii="Times New Roman;Times;Serif" w:hAnsi="Times New Roman;Times;Serif"/>
          <w:b/>
          <w:i w:val="false"/>
          <w:caps/>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57" w:name="xdx_302_111_pn3n3_zpsJ9pPgBq18"/>
      <w:bookmarkStart w:id="958" w:name="xdx_302_111_pn3n3_zpsJ9pPgBq18"/>
      <w:bookmarkEnd w:id="958"/>
    </w:p>
    <w:tbl>
      <w:tblPr>
        <w:tblW w:w="10205" w:type="dxa"/>
        <w:jc w:val="left"/>
        <w:tblInd w:w="0" w:type="dxa"/>
        <w:tblLayout w:type="fixed"/>
        <w:tblCellMar>
          <w:top w:w="0" w:type="dxa"/>
          <w:left w:w="0" w:type="dxa"/>
          <w:bottom w:w="0" w:type="dxa"/>
          <w:right w:w="0" w:type="dxa"/>
        </w:tblCellMar>
      </w:tblPr>
      <w:tblGrid>
        <w:gridCol w:w="7428"/>
        <w:gridCol w:w="60"/>
        <w:gridCol w:w="176"/>
        <w:gridCol w:w="951"/>
        <w:gridCol w:w="95"/>
        <w:gridCol w:w="60"/>
        <w:gridCol w:w="206"/>
        <w:gridCol w:w="1117"/>
        <w:gridCol w:w="112"/>
      </w:tblGrid>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9" w:name="xdx_493_20230331_zJ6kVy29rgoh"/>
            <w:bookmarkEnd w:id="959"/>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0" w:name="xdx_49F_20221231_zHEOpW1GO2O2"/>
            <w:bookmarkEnd w:id="960"/>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6"/>
            <w:tcBorders/>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961" w:name="xdx_40D_eus-gaap--AssetsCurrentAbstract_"/>
            <w:bookmarkEnd w:id="961"/>
          </w:p>
        </w:tc>
      </w:tr>
      <w:tr>
        <w:trPr/>
        <w:tc>
          <w:tcPr>
            <w:tcW w:w="7428"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62" w:name="xdx_40D_eus-gaap--CashAndCashEquivalents"/>
            <w:bookmarkEnd w:id="962"/>
          </w:p>
        </w:tc>
      </w:tr>
      <w:tr>
        <w:trPr/>
        <w:tc>
          <w:tcPr>
            <w:tcW w:w="7428"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17,781</w:t>
            </w:r>
          </w:p>
        </w:tc>
        <w:tc>
          <w:tcPr>
            <w:tcW w:w="112" w:type="dxa"/>
            <w:tcBorders/>
            <w:shd w:fill="FFFFFF" w:val="clear"/>
            <w:vAlign w:val="center"/>
          </w:tcPr>
          <w:p>
            <w:pPr>
              <w:pStyle w:val="TableContents"/>
              <w:bidi w:val="0"/>
              <w:spacing w:before="0" w:after="283"/>
              <w:jc w:val="left"/>
              <w:rPr/>
            </w:pPr>
            <w:r>
              <w:rPr/>
              <w:t> </w:t>
            </w:r>
            <w:bookmarkStart w:id="963" w:name="xdx_40D_eus-gaap--AccountsReceivableNetC"/>
            <w:bookmarkEnd w:id="963"/>
          </w:p>
        </w:tc>
      </w:tr>
      <w:tr>
        <w:trPr/>
        <w:tc>
          <w:tcPr>
            <w:tcW w:w="7428"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1,444</w:t>
            </w:r>
          </w:p>
        </w:tc>
        <w:tc>
          <w:tcPr>
            <w:tcW w:w="112" w:type="dxa"/>
            <w:tcBorders/>
            <w:shd w:fill="CCEEFF" w:val="clear"/>
            <w:vAlign w:val="center"/>
          </w:tcPr>
          <w:p>
            <w:pPr>
              <w:pStyle w:val="TableContents"/>
              <w:bidi w:val="0"/>
              <w:spacing w:before="0" w:after="283"/>
              <w:jc w:val="left"/>
              <w:rPr/>
            </w:pPr>
            <w:r>
              <w:rPr/>
              <w:t> </w:t>
            </w:r>
            <w:bookmarkStart w:id="964" w:name="xdx_408_eus-gaap--InventoryNet_i01I_maAC"/>
            <w:bookmarkEnd w:id="964"/>
          </w:p>
        </w:tc>
      </w:tr>
      <w:tr>
        <w:trPr/>
        <w:tc>
          <w:tcPr>
            <w:tcW w:w="742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51,812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49,846</w:t>
            </w:r>
          </w:p>
        </w:tc>
        <w:tc>
          <w:tcPr>
            <w:tcW w:w="112" w:type="dxa"/>
            <w:tcBorders/>
            <w:shd w:fill="FFFFFF" w:val="clear"/>
            <w:vAlign w:val="center"/>
          </w:tcPr>
          <w:p>
            <w:pPr>
              <w:pStyle w:val="TableContents"/>
              <w:bidi w:val="0"/>
              <w:spacing w:before="0" w:after="283"/>
              <w:jc w:val="left"/>
              <w:rPr/>
            </w:pPr>
            <w:r>
              <w:rPr/>
              <w:t> </w:t>
            </w:r>
            <w:bookmarkStart w:id="965" w:name="xdx_40C_ecustom--PrepaidExpenseOtherThan"/>
            <w:bookmarkEnd w:id="965"/>
          </w:p>
        </w:tc>
      </w:tr>
      <w:tr>
        <w:trPr/>
        <w:tc>
          <w:tcPr>
            <w:tcW w:w="742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1,624</w:t>
            </w:r>
          </w:p>
        </w:tc>
        <w:tc>
          <w:tcPr>
            <w:tcW w:w="112" w:type="dxa"/>
            <w:tcBorders/>
            <w:shd w:fill="CCEEFF" w:val="clear"/>
            <w:vAlign w:val="center"/>
          </w:tcPr>
          <w:p>
            <w:pPr>
              <w:pStyle w:val="TableContents"/>
              <w:bidi w:val="0"/>
              <w:spacing w:before="0" w:after="283"/>
              <w:jc w:val="left"/>
              <w:rPr/>
            </w:pPr>
            <w:r>
              <w:rPr/>
              <w:t> </w:t>
            </w:r>
            <w:bookmarkStart w:id="966" w:name="xdx_400_eus-gaap--Supplies_i01I_maACzdsP"/>
            <w:bookmarkEnd w:id="966"/>
          </w:p>
        </w:tc>
      </w:tr>
      <w:tr>
        <w:trPr/>
        <w:tc>
          <w:tcPr>
            <w:tcW w:w="7428"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2,002</w:t>
            </w:r>
          </w:p>
        </w:tc>
        <w:tc>
          <w:tcPr>
            <w:tcW w:w="112" w:type="dxa"/>
            <w:tcBorders/>
            <w:shd w:fill="FFFFFF" w:val="clear"/>
            <w:vAlign w:val="center"/>
          </w:tcPr>
          <w:p>
            <w:pPr>
              <w:pStyle w:val="TableContents"/>
              <w:bidi w:val="0"/>
              <w:spacing w:before="0" w:after="283"/>
              <w:jc w:val="left"/>
              <w:rPr/>
            </w:pPr>
            <w:r>
              <w:rPr/>
              <w:t> </w:t>
            </w:r>
            <w:bookmarkStart w:id="967" w:name="xdx_402_eus-gaap--PrepaidTaxes_i01I_maAC"/>
            <w:bookmarkEnd w:id="967"/>
          </w:p>
        </w:tc>
      </w:tr>
      <w:tr>
        <w:trPr/>
        <w:tc>
          <w:tcPr>
            <w:tcW w:w="7428"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525</w:t>
            </w:r>
          </w:p>
        </w:tc>
        <w:tc>
          <w:tcPr>
            <w:tcW w:w="112" w:type="dxa"/>
            <w:tcBorders/>
            <w:shd w:fill="CCEEFF" w:val="clear"/>
            <w:vAlign w:val="center"/>
          </w:tcPr>
          <w:p>
            <w:pPr>
              <w:pStyle w:val="TableContents"/>
              <w:bidi w:val="0"/>
              <w:spacing w:before="0" w:after="283"/>
              <w:jc w:val="left"/>
              <w:rPr/>
            </w:pPr>
            <w:r>
              <w:rPr/>
              <w:t> </w:t>
            </w:r>
            <w:bookmarkStart w:id="968" w:name="xdx_400_eus-gaap--OtherAssetsCurrent_i01"/>
            <w:bookmarkEnd w:id="968"/>
          </w:p>
        </w:tc>
      </w:tr>
      <w:tr>
        <w:trPr/>
        <w:tc>
          <w:tcPr>
            <w:tcW w:w="7428"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112" w:type="dxa"/>
            <w:tcBorders/>
            <w:shd w:fill="FFFFFF" w:val="clear"/>
            <w:vAlign w:val="center"/>
          </w:tcPr>
          <w:p>
            <w:pPr>
              <w:pStyle w:val="TableContents"/>
              <w:bidi w:val="0"/>
              <w:spacing w:before="0" w:after="283"/>
              <w:jc w:val="left"/>
              <w:rPr/>
            </w:pPr>
            <w:r>
              <w:rPr/>
              <w:t> </w:t>
            </w:r>
            <w:bookmarkStart w:id="969" w:name="xdx_404_eus-gaap--AssetsCurrent_i01TI_mt"/>
            <w:bookmarkEnd w:id="969"/>
          </w:p>
        </w:tc>
      </w:tr>
      <w:tr>
        <w:trPr/>
        <w:tc>
          <w:tcPr>
            <w:tcW w:w="742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75,016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73,489</w:t>
            </w:r>
          </w:p>
        </w:tc>
        <w:tc>
          <w:tcPr>
            <w:tcW w:w="112" w:type="dxa"/>
            <w:tcBorders/>
            <w:shd w:fill="CCEEFF" w:val="clear"/>
            <w:vAlign w:val="center"/>
          </w:tcPr>
          <w:p>
            <w:pPr>
              <w:pStyle w:val="TableContents"/>
              <w:bidi w:val="0"/>
              <w:spacing w:before="0" w:after="283"/>
              <w:jc w:val="left"/>
              <w:rPr/>
            </w:pPr>
            <w:r>
              <w:rPr/>
              <w:t> </w:t>
            </w:r>
            <w:bookmarkStart w:id="970" w:name="xdx_402_eus-gaap--PropertyPlantAndEquipm"/>
            <w:bookmarkEnd w:id="970"/>
          </w:p>
        </w:tc>
      </w:tr>
      <w:tr>
        <w:trPr/>
        <w:tc>
          <w:tcPr>
            <w:tcW w:w="7428"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71" w:name="xdx_40E_eus-gaap--MachineryAndEquipmentG"/>
            <w:bookmarkEnd w:id="971"/>
          </w:p>
        </w:tc>
      </w:tr>
      <w:tr>
        <w:trPr/>
        <w:tc>
          <w:tcPr>
            <w:tcW w:w="7428"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10,214</w:t>
            </w:r>
          </w:p>
        </w:tc>
        <w:tc>
          <w:tcPr>
            <w:tcW w:w="112" w:type="dxa"/>
            <w:tcBorders/>
            <w:shd w:fill="CCEEFF" w:val="clear"/>
            <w:vAlign w:val="center"/>
          </w:tcPr>
          <w:p>
            <w:pPr>
              <w:pStyle w:val="TableContents"/>
              <w:bidi w:val="0"/>
              <w:spacing w:before="0" w:after="283"/>
              <w:jc w:val="left"/>
              <w:rPr/>
            </w:pPr>
            <w:r>
              <w:rPr/>
              <w:t> </w:t>
            </w:r>
            <w:bookmarkStart w:id="972" w:name="xdx_40A_eus-gaap--FurnitureAndFixturesGr"/>
            <w:bookmarkEnd w:id="972"/>
          </w:p>
        </w:tc>
      </w:tr>
      <w:tr>
        <w:trPr/>
        <w:tc>
          <w:tcPr>
            <w:tcW w:w="7428"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275</w:t>
            </w:r>
          </w:p>
        </w:tc>
        <w:tc>
          <w:tcPr>
            <w:tcW w:w="112" w:type="dxa"/>
            <w:tcBorders/>
            <w:shd w:fill="FFFFFF" w:val="clear"/>
            <w:vAlign w:val="center"/>
          </w:tcPr>
          <w:p>
            <w:pPr>
              <w:pStyle w:val="TableContents"/>
              <w:bidi w:val="0"/>
              <w:spacing w:before="0" w:after="283"/>
              <w:jc w:val="left"/>
              <w:rPr/>
            </w:pPr>
            <w:r>
              <w:rPr/>
              <w:t> </w:t>
            </w:r>
            <w:bookmarkStart w:id="973" w:name="xdx_406_eus-gaap--LeaseholdImprovementsG"/>
            <w:bookmarkEnd w:id="973"/>
          </w:p>
        </w:tc>
      </w:tr>
      <w:tr>
        <w:trPr/>
        <w:tc>
          <w:tcPr>
            <w:tcW w:w="7428"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 </w:t>
            </w:r>
            <w:bookmarkStart w:id="974" w:name="xdx_404_ecustom--VehicleGross_i01I_maPPA"/>
            <w:bookmarkEnd w:id="974"/>
          </w:p>
        </w:tc>
      </w:tr>
      <w:tr>
        <w:trPr/>
        <w:tc>
          <w:tcPr>
            <w:tcW w:w="7428"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bookmarkStart w:id="975" w:name="xdx_409_eus-gaap--PropertyPlantAndEquipm"/>
            <w:bookmarkEnd w:id="975"/>
          </w:p>
        </w:tc>
      </w:tr>
      <w:tr>
        <w:trPr/>
        <w:tc>
          <w:tcPr>
            <w:tcW w:w="7428"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13,172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12,393</w:t>
            </w:r>
          </w:p>
        </w:tc>
        <w:tc>
          <w:tcPr>
            <w:tcW w:w="112" w:type="dxa"/>
            <w:tcBorders/>
            <w:shd w:fill="CCEEFF" w:val="clear"/>
            <w:vAlign w:val="center"/>
          </w:tcPr>
          <w:p>
            <w:pPr>
              <w:pStyle w:val="TableContents"/>
              <w:bidi w:val="0"/>
              <w:spacing w:before="0" w:after="283"/>
              <w:jc w:val="left"/>
              <w:rPr/>
            </w:pPr>
            <w:r>
              <w:rPr/>
              <w:t> </w:t>
            </w:r>
            <w:bookmarkStart w:id="976" w:name="xdx_40B_eus-gaap--AccumulatedDepreciatio"/>
            <w:bookmarkEnd w:id="976"/>
          </w:p>
        </w:tc>
      </w:tr>
      <w:tr>
        <w:trPr/>
        <w:tc>
          <w:tcPr>
            <w:tcW w:w="7428"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(1,633</w:t>
            </w:r>
          </w:p>
        </w:tc>
        <w:tc>
          <w:tcPr>
            <w:tcW w:w="112" w:type="dxa"/>
            <w:tcBorders/>
            <w:shd w:fill="FFFFFF" w:val="clear"/>
            <w:vAlign w:val="center"/>
          </w:tcPr>
          <w:p>
            <w:pPr>
              <w:pStyle w:val="TableContents"/>
              <w:bidi w:val="0"/>
              <w:spacing w:before="0" w:after="283"/>
              <w:jc w:val="left"/>
              <w:rPr/>
            </w:pPr>
            <w:r>
              <w:rPr/>
              <w:t>)</w:t>
            </w:r>
            <w:bookmarkStart w:id="977" w:name="xdx_409_eus-gaap--PropertyPlantAndEquipm"/>
            <w:bookmarkEnd w:id="977"/>
          </w:p>
        </w:tc>
      </w:tr>
      <w:tr>
        <w:trPr/>
        <w:tc>
          <w:tcPr>
            <w:tcW w:w="742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10,760</w:t>
            </w:r>
          </w:p>
        </w:tc>
        <w:tc>
          <w:tcPr>
            <w:tcW w:w="112" w:type="dxa"/>
            <w:tcBorders/>
            <w:shd w:fill="CCEEFF" w:val="clear"/>
            <w:vAlign w:val="center"/>
          </w:tcPr>
          <w:p>
            <w:pPr>
              <w:pStyle w:val="TableContents"/>
              <w:bidi w:val="0"/>
              <w:spacing w:before="0" w:after="283"/>
              <w:jc w:val="left"/>
              <w:rPr/>
            </w:pPr>
            <w:r>
              <w:rPr/>
              <w:t> </w:t>
            </w:r>
            <w:bookmarkStart w:id="978" w:name="xdx_40F_eus-gaap--OperatingLeaseRightOfU"/>
            <w:bookmarkEnd w:id="978"/>
          </w:p>
        </w:tc>
      </w:tr>
      <w:tr>
        <w:trPr/>
        <w:tc>
          <w:tcPr>
            <w:tcW w:w="7428"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4,513</w:t>
            </w:r>
          </w:p>
        </w:tc>
        <w:tc>
          <w:tcPr>
            <w:tcW w:w="112" w:type="dxa"/>
            <w:tcBorders/>
            <w:shd w:fill="FFFFFF" w:val="clear"/>
            <w:vAlign w:val="center"/>
          </w:tcPr>
          <w:p>
            <w:pPr>
              <w:pStyle w:val="TableContents"/>
              <w:bidi w:val="0"/>
              <w:spacing w:before="0" w:after="283"/>
              <w:jc w:val="left"/>
              <w:rPr/>
            </w:pPr>
            <w:r>
              <w:rPr/>
              <w:t> </w:t>
            </w:r>
            <w:bookmarkStart w:id="979" w:name="xdx_401_eus-gaap--Assets_iTI_mtAzQCo_zv7"/>
            <w:bookmarkEnd w:id="979"/>
          </w:p>
        </w:tc>
      </w:tr>
      <w:tr>
        <w:trPr/>
        <w:tc>
          <w:tcPr>
            <w:tcW w:w="742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bookmarkStart w:id="980" w:name="xdx_40C_eus-gaap--LiabilitiesCurrentAbst"/>
            <w:bookmarkEnd w:id="980"/>
          </w:p>
        </w:tc>
      </w:tr>
      <w:tr>
        <w:trPr/>
        <w:tc>
          <w:tcPr>
            <w:tcW w:w="7428"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81" w:name="xdx_40A_eus-gaap--AccountsPayableCurrent"/>
            <w:bookmarkEnd w:id="981"/>
          </w:p>
        </w:tc>
      </w:tr>
      <w:tr>
        <w:trPr/>
        <w:tc>
          <w:tcPr>
            <w:tcW w:w="742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18,824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13,475</w:t>
            </w:r>
          </w:p>
        </w:tc>
        <w:tc>
          <w:tcPr>
            <w:tcW w:w="112" w:type="dxa"/>
            <w:tcBorders/>
            <w:shd w:fill="FFFFFF" w:val="clear"/>
            <w:vAlign w:val="center"/>
          </w:tcPr>
          <w:p>
            <w:pPr>
              <w:pStyle w:val="TableContents"/>
              <w:bidi w:val="0"/>
              <w:spacing w:before="0" w:after="283"/>
              <w:jc w:val="left"/>
              <w:rPr/>
            </w:pPr>
            <w:r>
              <w:rPr/>
              <w:t> </w:t>
            </w:r>
            <w:bookmarkStart w:id="982" w:name="xdx_40E_eus-gaap--EmployeeRelatedLiabili"/>
            <w:bookmarkEnd w:id="982"/>
          </w:p>
        </w:tc>
      </w:tr>
      <w:tr>
        <w:trPr/>
        <w:tc>
          <w:tcPr>
            <w:tcW w:w="7428"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6,295</w:t>
            </w:r>
          </w:p>
        </w:tc>
        <w:tc>
          <w:tcPr>
            <w:tcW w:w="112" w:type="dxa"/>
            <w:tcBorders/>
            <w:shd w:fill="CCEEFF" w:val="clear"/>
            <w:vAlign w:val="center"/>
          </w:tcPr>
          <w:p>
            <w:pPr>
              <w:pStyle w:val="TableContents"/>
              <w:bidi w:val="0"/>
              <w:spacing w:before="0" w:after="283"/>
              <w:jc w:val="left"/>
              <w:rPr/>
            </w:pPr>
            <w:r>
              <w:rPr/>
              <w:t> </w:t>
            </w:r>
            <w:bookmarkStart w:id="983" w:name="xdx_401_eus-gaap--ContractWithCustomerLi"/>
            <w:bookmarkEnd w:id="983"/>
          </w:p>
        </w:tc>
      </w:tr>
      <w:tr>
        <w:trPr/>
        <w:tc>
          <w:tcPr>
            <w:tcW w:w="7428"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238</w:t>
            </w:r>
          </w:p>
        </w:tc>
        <w:tc>
          <w:tcPr>
            <w:tcW w:w="112" w:type="dxa"/>
            <w:tcBorders/>
            <w:shd w:fill="FFFFFF" w:val="clear"/>
            <w:vAlign w:val="center"/>
          </w:tcPr>
          <w:p>
            <w:pPr>
              <w:pStyle w:val="TableContents"/>
              <w:bidi w:val="0"/>
              <w:spacing w:before="0" w:after="283"/>
              <w:jc w:val="left"/>
              <w:rPr/>
            </w:pPr>
            <w:r>
              <w:rPr/>
              <w:t> </w:t>
            </w:r>
            <w:bookmarkStart w:id="984" w:name="xdx_405_ecustom--UncertainTaxPositionLia"/>
            <w:bookmarkEnd w:id="984"/>
          </w:p>
        </w:tc>
      </w:tr>
      <w:tr>
        <w:trPr/>
        <w:tc>
          <w:tcPr>
            <w:tcW w:w="7428"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128</w:t>
            </w:r>
          </w:p>
        </w:tc>
        <w:tc>
          <w:tcPr>
            <w:tcW w:w="112" w:type="dxa"/>
            <w:tcBorders/>
            <w:shd w:fill="CCEEFF" w:val="clear"/>
            <w:vAlign w:val="center"/>
          </w:tcPr>
          <w:p>
            <w:pPr>
              <w:pStyle w:val="TableContents"/>
              <w:bidi w:val="0"/>
              <w:spacing w:before="0" w:after="283"/>
              <w:jc w:val="left"/>
              <w:rPr/>
            </w:pPr>
            <w:r>
              <w:rPr/>
              <w:t> </w:t>
            </w:r>
            <w:bookmarkStart w:id="985" w:name="xdx_408_eus-gaap--NotesPayableCurrent_i0"/>
            <w:bookmarkEnd w:id="985"/>
          </w:p>
        </w:tc>
      </w:tr>
      <w:tr>
        <w:trPr/>
        <w:tc>
          <w:tcPr>
            <w:tcW w:w="7428" w:type="dxa"/>
            <w:tcBorders/>
            <w:shd w:fill="FFFFFF" w:val="clear"/>
            <w:vAlign w:val="center"/>
          </w:tcPr>
          <w:p>
            <w:pPr>
              <w:pStyle w:val="TableContents"/>
              <w:bidi w:val="0"/>
              <w:spacing w:before="0" w:after="283"/>
              <w:jc w:val="left"/>
              <w:rPr/>
            </w:pPr>
            <w:r>
              <w:rPr/>
              <w:t>Notes payable, net of deferred financing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20,699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19,242</w:t>
            </w:r>
          </w:p>
        </w:tc>
        <w:tc>
          <w:tcPr>
            <w:tcW w:w="112" w:type="dxa"/>
            <w:tcBorders/>
            <w:shd w:fill="FFFFFF" w:val="clear"/>
            <w:vAlign w:val="center"/>
          </w:tcPr>
          <w:p>
            <w:pPr>
              <w:pStyle w:val="TableContents"/>
              <w:bidi w:val="0"/>
              <w:spacing w:before="0" w:after="283"/>
              <w:jc w:val="left"/>
              <w:rPr/>
            </w:pPr>
            <w:r>
              <w:rPr/>
              <w:t> </w:t>
            </w:r>
            <w:bookmarkStart w:id="986" w:name="xdx_40F_eus-gaap--NotesPayableCurrent_i0"/>
            <w:bookmarkEnd w:id="986"/>
          </w:p>
        </w:tc>
      </w:tr>
      <w:tr>
        <w:trPr/>
        <w:tc>
          <w:tcPr>
            <w:tcW w:w="7428" w:type="dxa"/>
            <w:tcBorders/>
            <w:shd w:fill="CCEEFF" w:val="clear"/>
            <w:vAlign w:val="center"/>
          </w:tcPr>
          <w:p>
            <w:pPr>
              <w:pStyle w:val="TableContents"/>
              <w:bidi w:val="0"/>
              <w:spacing w:before="0" w:after="283"/>
              <w:jc w:val="left"/>
              <w:rPr/>
            </w:pPr>
            <w:r>
              <w:rPr/>
              <w:t>Notes payable, related party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987" w:name="xdx_403_eus-gaap--OperatingLeaseLiabilit"/>
            <w:bookmarkEnd w:id="987"/>
          </w:p>
        </w:tc>
      </w:tr>
      <w:tr>
        <w:trPr/>
        <w:tc>
          <w:tcPr>
            <w:tcW w:w="7428"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1,188</w:t>
            </w:r>
          </w:p>
        </w:tc>
        <w:tc>
          <w:tcPr>
            <w:tcW w:w="112" w:type="dxa"/>
            <w:tcBorders/>
            <w:shd w:fill="FFFFFF" w:val="clear"/>
            <w:vAlign w:val="center"/>
          </w:tcPr>
          <w:p>
            <w:pPr>
              <w:pStyle w:val="TableContents"/>
              <w:bidi w:val="0"/>
              <w:spacing w:before="0" w:after="283"/>
              <w:jc w:val="left"/>
              <w:rPr/>
            </w:pPr>
            <w:r>
              <w:rPr/>
              <w:t> </w:t>
            </w:r>
            <w:bookmarkStart w:id="988" w:name="xdx_406_eus-gaap--LiabilitiesCurrent_i01"/>
            <w:bookmarkEnd w:id="988"/>
          </w:p>
        </w:tc>
      </w:tr>
      <w:tr>
        <w:trPr/>
        <w:tc>
          <w:tcPr>
            <w:tcW w:w="742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50,483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40,566</w:t>
            </w:r>
          </w:p>
        </w:tc>
        <w:tc>
          <w:tcPr>
            <w:tcW w:w="112" w:type="dxa"/>
            <w:tcBorders/>
            <w:shd w:fill="CCEEFF" w:val="clear"/>
            <w:vAlign w:val="center"/>
          </w:tcPr>
          <w:p>
            <w:pPr>
              <w:pStyle w:val="TableContents"/>
              <w:bidi w:val="0"/>
              <w:spacing w:before="0" w:after="283"/>
              <w:jc w:val="left"/>
              <w:rPr/>
            </w:pPr>
            <w:r>
              <w:rPr/>
              <w:t> </w:t>
            </w:r>
            <w:bookmarkStart w:id="989" w:name="xdx_40A_eus-gaap--LiabilitiesNoncurrentA"/>
            <w:bookmarkEnd w:id="989"/>
          </w:p>
        </w:tc>
      </w:tr>
      <w:tr>
        <w:trPr/>
        <w:tc>
          <w:tcPr>
            <w:tcW w:w="7428"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90" w:name="xdx_40E_ecustom--WarrantLiabilityNoncurr"/>
            <w:bookmarkEnd w:id="990"/>
          </w:p>
        </w:tc>
      </w:tr>
      <w:tr>
        <w:trPr/>
        <w:tc>
          <w:tcPr>
            <w:tcW w:w="742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32,831</w:t>
            </w:r>
          </w:p>
        </w:tc>
        <w:tc>
          <w:tcPr>
            <w:tcW w:w="112" w:type="dxa"/>
            <w:tcBorders/>
            <w:shd w:fill="CCEEFF" w:val="clear"/>
            <w:vAlign w:val="center"/>
          </w:tcPr>
          <w:p>
            <w:pPr>
              <w:pStyle w:val="TableContents"/>
              <w:bidi w:val="0"/>
              <w:spacing w:before="0" w:after="283"/>
              <w:jc w:val="left"/>
              <w:rPr/>
            </w:pPr>
            <w:r>
              <w:rPr/>
              <w:t> </w:t>
            </w:r>
            <w:bookmarkStart w:id="991" w:name="xdx_40C_eus-gaap--OtherAccruedLiabilitie"/>
            <w:bookmarkEnd w:id="991"/>
          </w:p>
        </w:tc>
      </w:tr>
      <w:tr>
        <w:trPr/>
        <w:tc>
          <w:tcPr>
            <w:tcW w:w="7428" w:type="dxa"/>
            <w:tcBorders/>
            <w:shd w:fill="FFFFFF" w:val="clear"/>
            <w:vAlign w:val="center"/>
          </w:tcPr>
          <w:p>
            <w:pPr>
              <w:pStyle w:val="TableContents"/>
              <w:bidi w:val="0"/>
              <w:spacing w:before="0" w:after="283"/>
              <w:jc w:val="left"/>
              <w:rPr/>
            </w:pPr>
            <w:r>
              <w:rPr/>
              <w:t>Accrued expenses-long term</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492</w:t>
            </w:r>
          </w:p>
        </w:tc>
        <w:tc>
          <w:tcPr>
            <w:tcW w:w="112" w:type="dxa"/>
            <w:tcBorders/>
            <w:shd w:fill="FFFFFF" w:val="clear"/>
            <w:vAlign w:val="center"/>
          </w:tcPr>
          <w:p>
            <w:pPr>
              <w:pStyle w:val="TableContents"/>
              <w:bidi w:val="0"/>
              <w:spacing w:before="0" w:after="283"/>
              <w:jc w:val="left"/>
              <w:rPr/>
            </w:pPr>
            <w:r>
              <w:rPr/>
              <w:t> </w:t>
            </w:r>
            <w:bookmarkStart w:id="992" w:name="xdx_408_eus-gaap--OperatingLeaseLiabilit"/>
            <w:bookmarkEnd w:id="992"/>
          </w:p>
        </w:tc>
      </w:tr>
      <w:tr>
        <w:trPr/>
        <w:tc>
          <w:tcPr>
            <w:tcW w:w="742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112" w:type="dxa"/>
            <w:tcBorders/>
            <w:shd w:fill="CCEEFF" w:val="clear"/>
            <w:vAlign w:val="center"/>
          </w:tcPr>
          <w:p>
            <w:pPr>
              <w:pStyle w:val="TableContents"/>
              <w:bidi w:val="0"/>
              <w:spacing w:before="0" w:after="283"/>
              <w:jc w:val="left"/>
              <w:rPr/>
            </w:pPr>
            <w:r>
              <w:rPr/>
              <w:t> </w:t>
            </w:r>
            <w:bookmarkStart w:id="993" w:name="xdx_40B_eus-gaap--LiabilitiesNoncurrent_"/>
            <w:bookmarkEnd w:id="993"/>
          </w:p>
        </w:tc>
      </w:tr>
      <w:tr>
        <w:trPr/>
        <w:tc>
          <w:tcPr>
            <w:tcW w:w="7428"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36,864</w:t>
            </w:r>
          </w:p>
        </w:tc>
        <w:tc>
          <w:tcPr>
            <w:tcW w:w="112" w:type="dxa"/>
            <w:tcBorders/>
            <w:shd w:fill="FFFFFF" w:val="clear"/>
            <w:vAlign w:val="center"/>
          </w:tcPr>
          <w:p>
            <w:pPr>
              <w:pStyle w:val="TableContents"/>
              <w:bidi w:val="0"/>
              <w:spacing w:before="0" w:after="283"/>
              <w:jc w:val="left"/>
              <w:rPr/>
            </w:pPr>
            <w:r>
              <w:rPr/>
              <w:t> </w:t>
            </w:r>
            <w:bookmarkStart w:id="994" w:name="xdx_40E_eus-gaap--Liabilities_i01TI_mtLz"/>
            <w:bookmarkEnd w:id="994"/>
          </w:p>
        </w:tc>
      </w:tr>
      <w:tr>
        <w:trPr/>
        <w:tc>
          <w:tcPr>
            <w:tcW w:w="742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58,194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77,430</w:t>
            </w:r>
          </w:p>
        </w:tc>
        <w:tc>
          <w:tcPr>
            <w:tcW w:w="112" w:type="dxa"/>
            <w:tcBorders/>
            <w:shd w:fill="CCEEFF" w:val="clear"/>
            <w:vAlign w:val="center"/>
          </w:tcPr>
          <w:p>
            <w:pPr>
              <w:pStyle w:val="TableContents"/>
              <w:bidi w:val="0"/>
              <w:spacing w:before="0" w:after="283"/>
              <w:jc w:val="left"/>
              <w:rPr/>
            </w:pPr>
            <w:r>
              <w:rPr/>
              <w:t> </w:t>
            </w:r>
            <w:bookmarkStart w:id="995" w:name="xdx_406_eus-gaap--CommitmentsAndContinge"/>
            <w:bookmarkEnd w:id="995"/>
          </w:p>
        </w:tc>
      </w:tr>
      <w:tr>
        <w:trPr/>
        <w:tc>
          <w:tcPr>
            <w:tcW w:w="7428" w:type="dxa"/>
            <w:tcBorders/>
            <w:shd w:fill="FFFFFF" w:val="clear"/>
            <w:vAlign w:val="center"/>
          </w:tcPr>
          <w:p>
            <w:pPr>
              <w:pStyle w:val="TableContents"/>
              <w:bidi w:val="0"/>
              <w:spacing w:before="0" w:after="283"/>
              <w:jc w:val="left"/>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996" w:name="xdx_40E_eus-gaap--StockholdersEquityAbst"/>
            <w:bookmarkEnd w:id="996"/>
          </w:p>
        </w:tc>
      </w:tr>
      <w:tr>
        <w:trPr/>
        <w:tc>
          <w:tcPr>
            <w:tcW w:w="7428"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97" w:name="xdx_402_eus-gaap--CommonStockValue_i01I_"/>
            <w:bookmarkEnd w:id="997"/>
          </w:p>
        </w:tc>
      </w:tr>
      <w:tr>
        <w:trPr/>
        <w:tc>
          <w:tcPr>
            <w:tcW w:w="7428" w:type="dxa"/>
            <w:tcBorders/>
            <w:shd w:fill="FFFFFF" w:val="clear"/>
            <w:vAlign w:val="center"/>
          </w:tcPr>
          <w:p>
            <w:pPr>
              <w:pStyle w:val="TableContents"/>
              <w:bidi w:val="0"/>
              <w:spacing w:before="0" w:after="283"/>
              <w:jc w:val="left"/>
              <w:rPr/>
            </w:pPr>
            <w:r>
              <w:rPr/>
              <w:t xml:space="preserve">Common stock, </w:t>
            </w:r>
            <w:bookmarkStart w:id="998" w:name="xdx_90C_eus-gaap--CommonStockSharesAutho"/>
            <w:bookmarkStart w:id="999" w:name="xdx_90C_eus-gaap--CommonStockSharesAutho"/>
            <w:bookmarkEnd w:id="998"/>
            <w:bookmarkEnd w:id="999"/>
            <w:r>
              <w:rPr/>
              <w:t>170,000,000 shares at $</w:t>
            </w:r>
            <w:bookmarkStart w:id="1000" w:name="xdx_906_eus-gaap--CommonStockParOrStated"/>
            <w:bookmarkStart w:id="1001" w:name="xdx_909_eus-gaap--CommonStockParOrStated"/>
            <w:bookmarkEnd w:id="1000"/>
            <w:bookmarkEnd w:id="1001"/>
            <w:r>
              <w:rPr/>
              <w:t xml:space="preserve">0.0001 par value, authorized, </w:t>
            </w:r>
            <w:bookmarkStart w:id="1002" w:name="xdx_907_eus-gaap--CommonStockSharesIssue"/>
            <w:bookmarkStart w:id="1003" w:name="xdx_90E_eus-gaap--CommonStockSharesOutst"/>
            <w:bookmarkEnd w:id="1002"/>
            <w:bookmarkEnd w:id="1003"/>
            <w:r>
              <w:rPr/>
              <w:t xml:space="preserve">45,795,502 and </w:t>
            </w:r>
            <w:bookmarkStart w:id="1004" w:name="xdx_909_eus-gaap--CommonStockSharesIssue"/>
            <w:bookmarkStart w:id="1005" w:name="xdx_904_eus-gaap--CommonStockSharesOutst"/>
            <w:bookmarkEnd w:id="1004"/>
            <w:bookmarkEnd w:id="1005"/>
            <w:r>
              <w:rPr/>
              <w:t>43,272,728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1006" w:name="xdx_402_eus-gaap--PreferredStockValue_i0"/>
            <w:bookmarkEnd w:id="1006"/>
          </w:p>
        </w:tc>
      </w:tr>
      <w:tr>
        <w:trPr/>
        <w:tc>
          <w:tcPr>
            <w:tcW w:w="7428" w:type="dxa"/>
            <w:tcBorders/>
            <w:shd w:fill="CCEEFF" w:val="clear"/>
            <w:vAlign w:val="center"/>
          </w:tcPr>
          <w:p>
            <w:pPr>
              <w:pStyle w:val="TableContents"/>
              <w:bidi w:val="0"/>
              <w:spacing w:before="0" w:after="283"/>
              <w:jc w:val="left"/>
              <w:rPr/>
            </w:pPr>
            <w:r>
              <w:rPr/>
              <w:t xml:space="preserve">Preferred stock, </w:t>
            </w:r>
            <w:bookmarkStart w:id="1007" w:name="xdx_904_eus-gaap--PreferredStockSharesAu"/>
            <w:bookmarkStart w:id="1008" w:name="xdx_905_eus-gaap--PreferredStockSharesAu"/>
            <w:bookmarkEnd w:id="1007"/>
            <w:bookmarkEnd w:id="1008"/>
            <w:r>
              <w:rPr/>
              <w:t>5,000,000 shares at $</w:t>
            </w:r>
            <w:bookmarkStart w:id="1009" w:name="xdx_90A_eus-gaap--PreferredStockParOrSta"/>
            <w:bookmarkStart w:id="1010" w:name="xdx_902_eus-gaap--PreferredStockParOrSta"/>
            <w:bookmarkEnd w:id="1009"/>
            <w:bookmarkEnd w:id="1010"/>
            <w:r>
              <w:rPr/>
              <w:t xml:space="preserve">0.0001 par value, authorized, </w:t>
            </w:r>
            <w:bookmarkStart w:id="1011" w:name="xdx_909_eus-gaap--PreferredStockSharesIs"/>
            <w:bookmarkStart w:id="1012" w:name="xdx_904_eus-gaap--PreferredStockSharesIs"/>
            <w:bookmarkStart w:id="1013" w:name="xdx_90F_eus-gaap--PreferredStockSharesOu"/>
            <w:bookmarkStart w:id="1014" w:name="xdx_901_eus-gaap--PreferredStockSharesOu"/>
            <w:bookmarkEnd w:id="1011"/>
            <w:bookmarkEnd w:id="1012"/>
            <w:bookmarkEnd w:id="1013"/>
            <w:bookmarkEnd w:id="1014"/>
            <w:r>
              <w:rPr/>
              <w:t>no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15" w:name="xdx_409_eus-gaap--AdditionalPaidInCapita"/>
            <w:bookmarkEnd w:id="1015"/>
          </w:p>
        </w:tc>
      </w:tr>
      <w:tr>
        <w:trPr/>
        <w:tc>
          <w:tcPr>
            <w:tcW w:w="7428"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54,551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38,461</w:t>
            </w:r>
          </w:p>
        </w:tc>
        <w:tc>
          <w:tcPr>
            <w:tcW w:w="112" w:type="dxa"/>
            <w:tcBorders/>
            <w:shd w:fill="FFFFFF" w:val="clear"/>
            <w:vAlign w:val="center"/>
          </w:tcPr>
          <w:p>
            <w:pPr>
              <w:pStyle w:val="TableContents"/>
              <w:bidi w:val="0"/>
              <w:spacing w:before="0" w:after="283"/>
              <w:jc w:val="left"/>
              <w:rPr/>
            </w:pPr>
            <w:r>
              <w:rPr/>
              <w:t> </w:t>
            </w:r>
            <w:bookmarkStart w:id="1016" w:name="xdx_40E_eus-gaap--RetainedEarningsAccumu"/>
            <w:bookmarkEnd w:id="1016"/>
          </w:p>
        </w:tc>
      </w:tr>
      <w:tr>
        <w:trPr/>
        <w:tc>
          <w:tcPr>
            <w:tcW w:w="7428" w:type="dxa"/>
            <w:tcBorders/>
            <w:shd w:fill="CCEEFF" w:val="clear"/>
            <w:vAlign w:val="center"/>
          </w:tcPr>
          <w:p>
            <w:pPr>
              <w:pStyle w:val="TableContents"/>
              <w:bidi w:val="0"/>
              <w:spacing w:before="0" w:after="283"/>
              <w:jc w:val="left"/>
              <w:rPr/>
            </w:pPr>
            <w:r>
              <w:rPr/>
              <w:t>Retained deficit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(22,241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(27,133</w:t>
            </w:r>
          </w:p>
        </w:tc>
        <w:tc>
          <w:tcPr>
            <w:tcW w:w="112" w:type="dxa"/>
            <w:tcBorders/>
            <w:shd w:fill="CCEEFF" w:val="clear"/>
            <w:vAlign w:val="center"/>
          </w:tcPr>
          <w:p>
            <w:pPr>
              <w:pStyle w:val="TableContents"/>
              <w:bidi w:val="0"/>
              <w:spacing w:before="0" w:after="283"/>
              <w:jc w:val="left"/>
              <w:rPr/>
            </w:pPr>
            <w:r>
              <w:rPr/>
              <w:t>)</w:t>
            </w:r>
            <w:bookmarkStart w:id="1017" w:name="xdx_405_eus-gaap--StockholdersEquity_i01"/>
            <w:bookmarkEnd w:id="1017"/>
          </w:p>
        </w:tc>
      </w:tr>
      <w:tr>
        <w:trPr/>
        <w:tc>
          <w:tcPr>
            <w:tcW w:w="7428"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32,315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11,332</w:t>
            </w:r>
          </w:p>
        </w:tc>
        <w:tc>
          <w:tcPr>
            <w:tcW w:w="112" w:type="dxa"/>
            <w:tcBorders/>
            <w:shd w:fill="FFFFFF" w:val="clear"/>
            <w:vAlign w:val="center"/>
          </w:tcPr>
          <w:p>
            <w:pPr>
              <w:pStyle w:val="TableContents"/>
              <w:bidi w:val="0"/>
              <w:spacing w:before="0" w:after="283"/>
              <w:jc w:val="left"/>
              <w:rPr/>
            </w:pPr>
            <w:r>
              <w:rPr/>
              <w:t> </w:t>
            </w:r>
            <w:bookmarkStart w:id="1018" w:name="xdx_401_eus-gaap--LiabilitiesAndStockhol"/>
            <w:bookmarkEnd w:id="1018"/>
          </w:p>
        </w:tc>
      </w:tr>
      <w:tr>
        <w:trPr/>
        <w:tc>
          <w:tcPr>
            <w:tcW w:w="742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19" w:name="a_004"/>
      <w:bookmarkEnd w:id="1019"/>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020" w:name="fs_002"/>
      <w:bookmarkEnd w:id="1020"/>
      <w:r>
        <w:rPr>
          <w:rFonts w:ascii="Times New Roman;Times;Serif" w:hAnsi="Times New Roman;Times;Serif"/>
          <w:b/>
          <w:i w:val="false"/>
          <w:caps/>
          <w:sz w:val="20"/>
        </w:rPr>
        <w:t>Unaudited Condensed Interim Consolidated Statements of Operations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2023 and 2022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21" w:name="xdx_30B_113_pn3n3_zqL4dacJ1ba8"/>
      <w:bookmarkStart w:id="1022" w:name="xdx_30B_113_pn3n3_zqL4dacJ1ba8"/>
      <w:bookmarkEnd w:id="1022"/>
    </w:p>
    <w:tbl>
      <w:tblPr>
        <w:tblW w:w="726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3" w:name="xdx_495_20230101__20230331_zc65WmPuILjg"/>
            <w:bookmarkEnd w:id="102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24" w:name="xdx_497_20220101__20220331_zKGdzYsGBQpf"/>
            <w:bookmarkEnd w:id="1024"/>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25" w:name="xdx_40E_eus-gaap--RevenueFromContractWit"/>
            <w:bookmarkEnd w:id="1025"/>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6" w:name="xdx_40A_eus-gaap--CostOfGoodsAndServices"/>
            <w:bookmarkEnd w:id="1026"/>
          </w:p>
        </w:tc>
      </w:tr>
      <w:tr>
        <w:trPr/>
        <w:tc>
          <w:tcPr>
            <w:tcW w:w="446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7" w:name="xdx_40F_eus-gaap--GrossProfit_iT_mtGPzM3"/>
            <w:bookmarkEnd w:id="1027"/>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8" w:name="xdx_40C_eus-gaap--OperatingExpensesAbstr"/>
            <w:bookmarkEnd w:id="1028"/>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9" w:name="xdx_401_eus-gaap--ResearchAndDevelopment"/>
            <w:bookmarkEnd w:id="1029"/>
          </w:p>
        </w:tc>
      </w:tr>
      <w:tr>
        <w:trPr/>
        <w:tc>
          <w:tcPr>
            <w:tcW w:w="44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bookmarkStart w:id="1030" w:name="xdx_407_eus-gaap--GeneralAndAdministrati"/>
            <w:bookmarkEnd w:id="1030"/>
          </w:p>
        </w:tc>
      </w:tr>
      <w:tr>
        <w:trPr/>
        <w:tc>
          <w:tcPr>
            <w:tcW w:w="44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3,626</w:t>
            </w:r>
          </w:p>
        </w:tc>
        <w:tc>
          <w:tcPr>
            <w:tcW w:w="110" w:type="dxa"/>
            <w:tcBorders/>
            <w:shd w:fill="CCEEFF" w:val="clear"/>
            <w:vAlign w:val="center"/>
          </w:tcPr>
          <w:p>
            <w:pPr>
              <w:pStyle w:val="TableContents"/>
              <w:bidi w:val="0"/>
              <w:spacing w:before="0" w:after="283"/>
              <w:jc w:val="left"/>
              <w:rPr/>
            </w:pPr>
            <w:r>
              <w:rPr/>
              <w:t> </w:t>
            </w:r>
            <w:bookmarkStart w:id="1031" w:name="xdx_405_eus-gaap--SellingAndMarketingExp"/>
            <w:bookmarkEnd w:id="1031"/>
          </w:p>
        </w:tc>
      </w:tr>
      <w:tr>
        <w:trPr/>
        <w:tc>
          <w:tcPr>
            <w:tcW w:w="446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3,092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2" w:name="xdx_40B_eus-gaap--OperatingExpenses_i01T"/>
            <w:bookmarkEnd w:id="1032"/>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3" w:name="xdx_403_eus-gaap--OperatingIncomeLoss_iT"/>
            <w:bookmarkEnd w:id="1033"/>
          </w:p>
        </w:tc>
      </w:tr>
      <w:tr>
        <w:trPr/>
        <w:tc>
          <w:tcPr>
            <w:tcW w:w="446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4" w:name="xdx_409_eus-gaap--NonoperatingIncomeExpe"/>
            <w:bookmarkEnd w:id="1034"/>
          </w:p>
        </w:tc>
      </w:tr>
      <w:tr>
        <w:trPr/>
        <w:tc>
          <w:tcPr>
            <w:tcW w:w="44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5" w:name="xdx_404_eus-gaap--InterestExpense_i01N_d"/>
            <w:bookmarkEnd w:id="1035"/>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bookmarkStart w:id="1036" w:name="xdx_408_eus-gaap--FairValueAdjustmentOfW"/>
            <w:bookmarkEnd w:id="1036"/>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7" w:name="xdx_40E_eus-gaap--NonoperatingIncomeExpe"/>
            <w:bookmarkEnd w:id="1037"/>
          </w:p>
        </w:tc>
      </w:tr>
      <w:tr>
        <w:trPr/>
        <w:tc>
          <w:tcPr>
            <w:tcW w:w="4460"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8" w:name="xdx_404_eus-gaap--IncomeLossFromContinui"/>
            <w:bookmarkEnd w:id="1038"/>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9" w:name="xdx_40A_eus-gaap--IncomeTaxExpenseBenefi"/>
            <w:bookmarkEnd w:id="1039"/>
          </w:p>
        </w:tc>
      </w:tr>
      <w:tr>
        <w:trPr/>
        <w:tc>
          <w:tcPr>
            <w:tcW w:w="446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0" w:name="xdx_404_eus-gaap--NetIncomeLoss_iT_mtNIL"/>
            <w:bookmarkEnd w:id="1040"/>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1" w:name="xdx_405_eus-gaap--EarningsPerShareBasic_"/>
            <w:bookmarkEnd w:id="1041"/>
          </w:p>
        </w:tc>
      </w:tr>
      <w:tr>
        <w:trPr/>
        <w:tc>
          <w:tcPr>
            <w:tcW w:w="4460" w:type="dxa"/>
            <w:tcBorders/>
            <w:shd w:fill="CCEEFF" w:val="clear"/>
            <w:vAlign w:val="center"/>
          </w:tcPr>
          <w:p>
            <w:pPr>
              <w:pStyle w:val="TableContents"/>
              <w:bidi w:val="0"/>
              <w:spacing w:before="0" w:after="283"/>
              <w:jc w:val="left"/>
              <w:rPr/>
            </w:pPr>
            <w:r>
              <w:rPr/>
              <w:t>Income (Loss) Per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bookmarkStart w:id="1042" w:name="xdx_40D_eus-gaap--EarningsPerShareDilute"/>
            <w:bookmarkEnd w:id="1042"/>
          </w:p>
        </w:tc>
      </w:tr>
      <w:tr>
        <w:trPr/>
        <w:tc>
          <w:tcPr>
            <w:tcW w:w="4460" w:type="dxa"/>
            <w:tcBorders/>
            <w:shd w:fill="FFFFFF" w:val="clear"/>
            <w:vAlign w:val="center"/>
          </w:tcPr>
          <w:p>
            <w:pPr>
              <w:pStyle w:val="TableContents"/>
              <w:bidi w:val="0"/>
              <w:spacing w:before="0" w:after="283"/>
              <w:jc w:val="left"/>
              <w:rPr/>
            </w:pPr>
            <w:r>
              <w:rPr/>
              <w:t>Income (Loss) Per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bookmarkStart w:id="1043" w:name="xdx_40F_eus-gaap--WeightedAverageNumberO"/>
            <w:bookmarkEnd w:id="1043"/>
          </w:p>
        </w:tc>
      </w:tr>
      <w:tr>
        <w:trPr/>
        <w:tc>
          <w:tcPr>
            <w:tcW w:w="4460" w:type="dxa"/>
            <w:tcBorders/>
            <w:shd w:fill="CCEEFF" w:val="clear"/>
            <w:vAlign w:val="center"/>
          </w:tcPr>
          <w:p>
            <w:pPr>
              <w:pStyle w:val="TableContents"/>
              <w:bidi w:val="0"/>
              <w:spacing w:before="0" w:after="283"/>
              <w:jc w:val="left"/>
              <w:rPr/>
            </w:pPr>
            <w:r>
              <w:rPr/>
              <w:t>Weighted Average Number of Shares-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45,104,515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bookmarkStart w:id="1044" w:name="xdx_408_eus-gaap--WeightedAverageNumberO"/>
            <w:bookmarkEnd w:id="1044"/>
          </w:p>
        </w:tc>
      </w:tr>
      <w:tr>
        <w:trPr/>
        <w:tc>
          <w:tcPr>
            <w:tcW w:w="4460" w:type="dxa"/>
            <w:tcBorders/>
            <w:shd w:fill="FFFFFF" w:val="clear"/>
            <w:vAlign w:val="center"/>
          </w:tcPr>
          <w:p>
            <w:pPr>
              <w:pStyle w:val="TableContents"/>
              <w:bidi w:val="0"/>
              <w:spacing w:before="0" w:after="283"/>
              <w:jc w:val="left"/>
              <w:rPr/>
            </w:pPr>
            <w:r>
              <w:rPr/>
              <w:t>Weighted Average Number of Shares-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48,455,996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45" w:name="a_005"/>
      <w:bookmarkEnd w:id="1045"/>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046" w:name="fs_003"/>
      <w:bookmarkEnd w:id="1046"/>
      <w:r>
        <w:rPr>
          <w:rFonts w:ascii="Times New Roman;Times;Serif" w:hAnsi="Times New Roman;Times;Serif"/>
          <w:b/>
          <w:i w:val="false"/>
          <w:caps/>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47" w:name="xdx_30B_114_pn3n3_z7eWaUK9rU52"/>
      <w:bookmarkStart w:id="1048" w:name="xdx_30B_114_pn3n3_z7eWaUK9rU52"/>
      <w:bookmarkEnd w:id="1048"/>
    </w:p>
    <w:tbl>
      <w:tblPr>
        <w:tblW w:w="10205" w:type="dxa"/>
        <w:jc w:val="left"/>
        <w:tblInd w:w="0" w:type="dxa"/>
        <w:tblLayout w:type="fixed"/>
        <w:tblCellMar>
          <w:top w:w="0" w:type="dxa"/>
          <w:left w:w="0" w:type="dxa"/>
          <w:bottom w:w="0" w:type="dxa"/>
          <w:right w:w="0" w:type="dxa"/>
        </w:tblCellMar>
      </w:tblPr>
      <w:tblGrid>
        <w:gridCol w:w="2304"/>
        <w:gridCol w:w="60"/>
        <w:gridCol w:w="60"/>
        <w:gridCol w:w="1175"/>
        <w:gridCol w:w="95"/>
        <w:gridCol w:w="60"/>
        <w:gridCol w:w="144"/>
        <w:gridCol w:w="656"/>
        <w:gridCol w:w="95"/>
        <w:gridCol w:w="60"/>
        <w:gridCol w:w="60"/>
        <w:gridCol w:w="1100"/>
        <w:gridCol w:w="60"/>
        <w:gridCol w:w="60"/>
        <w:gridCol w:w="160"/>
        <w:gridCol w:w="640"/>
        <w:gridCol w:w="60"/>
        <w:gridCol w:w="60"/>
        <w:gridCol w:w="175"/>
        <w:gridCol w:w="850"/>
        <w:gridCol w:w="60"/>
        <w:gridCol w:w="60"/>
        <w:gridCol w:w="166"/>
        <w:gridCol w:w="898"/>
        <w:gridCol w:w="95"/>
        <w:gridCol w:w="60"/>
        <w:gridCol w:w="140"/>
        <w:gridCol w:w="680"/>
        <w:gridCol w:w="112"/>
      </w:tblGrid>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9" w:name="xdx_4B6_us-gaap--StatementEquityComponen"/>
            <w:bookmarkEnd w:id="1049"/>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0" w:name="xdx_4B3_us-gaap--StatementEquityComponen"/>
            <w:bookmarkEnd w:id="1050"/>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1" w:name="xdx_4BD_us-gaap--StatementEquityComponen"/>
            <w:bookmarkEnd w:id="1051"/>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2" w:name="xdx_4B1_us-gaap--StatementEquityComponen"/>
            <w:bookmarkEnd w:id="1052"/>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3" w:name="xdx_4BE_zPMOZAIHoBLb"/>
            <w:bookmarkEnd w:id="1053"/>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Redeemable </w:t>
              <w:br/>
              <w:t>Preferred Stock</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jc w:val="center"/>
              <w:rPr/>
            </w:pPr>
            <w:r>
              <w:rPr/>
              <w:t>Additional</w:t>
            </w:r>
          </w:p>
          <w:p>
            <w:pPr>
              <w:pStyle w:val="TableContents"/>
              <w:bidi w:val="0"/>
              <w:spacing w:before="0" w:after="283"/>
              <w:jc w:val="center"/>
              <w:rPr/>
            </w:pPr>
            <w:r>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vAlign w:val="center"/>
          </w:tcPr>
          <w:p>
            <w:pPr>
              <w:pStyle w:val="TableContents"/>
              <w:bidi w:val="0"/>
              <w:spacing w:before="0" w:after="283"/>
              <w:jc w:val="center"/>
              <w:rPr/>
            </w:pPr>
            <w:r>
              <w:rPr/>
              <w: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054" w:name="xdx_431_c20220101__20220331_ecustom--Sto"/>
            <w:bookmarkEnd w:id="1054"/>
          </w:p>
        </w:tc>
      </w:tr>
      <w:tr>
        <w:trPr/>
        <w:tc>
          <w:tcPr>
            <w:tcW w:w="2304" w:type="dxa"/>
            <w:tcBorders/>
            <w:shd w:fill="CCEEFF" w:val="clear"/>
            <w:vAlign w:val="center"/>
          </w:tcPr>
          <w:p>
            <w:pPr>
              <w:pStyle w:val="TableContents"/>
              <w:bidi w:val="0"/>
              <w:spacing w:before="0" w:after="283"/>
              <w:jc w:val="left"/>
              <w:rPr>
                <w:b/>
              </w:rPr>
            </w:pPr>
            <w:r>
              <w:rPr>
                <w:b/>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5" w:name="xdx_98B_ecustom--StockholdersEquityBefor"/>
            <w:bookmarkEnd w:id="1055"/>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6" w:name="xdx_98B_ecustom--StockholdersEquityBefor"/>
            <w:bookmarkEnd w:id="1056"/>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20,875,475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14,061</w:t>
            </w:r>
          </w:p>
        </w:tc>
        <w:tc>
          <w:tcPr>
            <w:tcW w:w="112" w:type="dxa"/>
            <w:tcBorders/>
            <w:shd w:fill="CCEEFF" w:val="clear"/>
            <w:vAlign w:val="center"/>
          </w:tcPr>
          <w:p>
            <w:pPr>
              <w:pStyle w:val="TableContents"/>
              <w:bidi w:val="0"/>
              <w:spacing w:before="0" w:after="283"/>
              <w:jc w:val="left"/>
              <w:rPr/>
            </w:pPr>
            <w:r>
              <w:rPr/>
              <w:t> </w:t>
            </w:r>
            <w:bookmarkStart w:id="1057" w:name="xdx_43A_c20220101__20220331_ecustom--Sto"/>
            <w:bookmarkEnd w:id="1057"/>
          </w:p>
        </w:tc>
      </w:tr>
      <w:tr>
        <w:trPr/>
        <w:tc>
          <w:tcPr>
            <w:tcW w:w="2304" w:type="dxa"/>
            <w:tcBorders/>
            <w:shd w:fill="CCEEFF" w:val="clear"/>
            <w:vAlign w:val="center"/>
          </w:tcPr>
          <w:p>
            <w:pPr>
              <w:pStyle w:val="TableContents"/>
              <w:bidi w:val="0"/>
              <w:spacing w:before="0" w:after="283"/>
              <w:jc w:val="left"/>
              <w:rPr>
                <w:b/>
              </w:rPr>
            </w:pPr>
            <w:r>
              <w:rPr>
                <w:b/>
              </w:rPr>
              <w:t>Before adjusted balance,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8" w:name="xdx_98F_ecustom--StockholdersEquityBefor"/>
            <w:bookmarkEnd w:id="1058"/>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59" w:name="xdx_98A_ecustom--StockholdersEquityBefor"/>
            <w:bookmarkEnd w:id="1059"/>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20,875,475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14,061</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60" w:name="xdx_407_ecustom--StockIssuedDuringPeriod"/>
            <w:bookmarkEnd w:id="1060"/>
          </w:p>
        </w:tc>
      </w:tr>
      <w:tr>
        <w:trPr/>
        <w:tc>
          <w:tcPr>
            <w:tcW w:w="2304" w:type="dxa"/>
            <w:tcBorders/>
            <w:shd w:fill="CCEEFF" w:val="clear"/>
            <w:vAlign w:val="center"/>
          </w:tcPr>
          <w:p>
            <w:pPr>
              <w:pStyle w:val="TableContents"/>
              <w:bidi w:val="0"/>
              <w:spacing w:before="0" w:after="283"/>
              <w:jc w:val="left"/>
              <w:rPr/>
            </w:pPr>
            <w:r>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61" w:name="xdx_980_ecustom--StockIssuedDuringPeriod"/>
            <w:bookmarkEnd w:id="1061"/>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62" w:name="xdx_98D_ecustom--StockIssuedDuringPeriod"/>
            <w:bookmarkEnd w:id="1062"/>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15,621,523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112" w:type="dxa"/>
            <w:tcBorders/>
            <w:shd w:fill="CCEEFF" w:val="clear"/>
            <w:vAlign w:val="center"/>
          </w:tcPr>
          <w:p>
            <w:pPr>
              <w:pStyle w:val="TableContents"/>
              <w:bidi w:val="0"/>
              <w:spacing w:before="0" w:after="283"/>
              <w:jc w:val="left"/>
              <w:rPr/>
            </w:pPr>
            <w:r>
              <w:rPr/>
              <w:t> </w:t>
            </w:r>
            <w:bookmarkStart w:id="1063" w:name="xdx_430_c20220101__20220331_eus-gaap--St"/>
            <w:bookmarkEnd w:id="1063"/>
          </w:p>
        </w:tc>
      </w:tr>
      <w:tr>
        <w:trPr/>
        <w:tc>
          <w:tcPr>
            <w:tcW w:w="2304" w:type="dxa"/>
            <w:tcBorders/>
            <w:shd w:fill="FFFFFF" w:val="clear"/>
            <w:vAlign w:val="center"/>
          </w:tcPr>
          <w:p>
            <w:pPr>
              <w:pStyle w:val="TableContents"/>
              <w:bidi w:val="0"/>
              <w:spacing w:before="0" w:after="283"/>
              <w:jc w:val="left"/>
              <w:rPr/>
            </w:pPr>
            <w:r>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4" w:name="xdx_98F_eus-gaap--SharesOutstanding_iS_p"/>
            <w:bookmarkEnd w:id="1064"/>
          </w:p>
        </w:tc>
        <w:tc>
          <w:tcPr>
            <w:tcW w:w="1100" w:type="dxa"/>
            <w:tcBorders/>
            <w:shd w:fill="FFFFFF" w:val="clear"/>
            <w:vAlign w:val="center"/>
          </w:tcPr>
          <w:p>
            <w:pPr>
              <w:pStyle w:val="TableContents"/>
              <w:bidi w:val="0"/>
              <w:spacing w:before="0" w:after="283"/>
              <w:jc w:val="right"/>
              <w:rPr/>
            </w:pPr>
            <w:r>
              <w:rPr/>
              <w:t>36,496,998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16,061</w:t>
            </w:r>
          </w:p>
        </w:tc>
        <w:tc>
          <w:tcPr>
            <w:tcW w:w="112" w:type="dxa"/>
            <w:tcBorders/>
            <w:shd w:fill="FFFFFF" w:val="clear"/>
            <w:vAlign w:val="center"/>
          </w:tcPr>
          <w:p>
            <w:pPr>
              <w:pStyle w:val="TableContents"/>
              <w:bidi w:val="0"/>
              <w:spacing w:before="0" w:after="283"/>
              <w:jc w:val="left"/>
              <w:rPr/>
            </w:pPr>
            <w:r>
              <w:rPr/>
              <w:t> </w:t>
            </w:r>
            <w:bookmarkStart w:id="1065" w:name="xdx_406_eus-gaap--NetIncomeLoss_pn3n3_zt"/>
            <w:bookmarkEnd w:id="1065"/>
          </w:p>
        </w:tc>
      </w:tr>
      <w:tr>
        <w:trPr/>
        <w:tc>
          <w:tcPr>
            <w:tcW w:w="23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(2,298</w:t>
            </w:r>
          </w:p>
        </w:tc>
        <w:tc>
          <w:tcPr>
            <w:tcW w:w="112" w:type="dxa"/>
            <w:tcBorders/>
            <w:shd w:fill="CCEEFF" w:val="clear"/>
            <w:vAlign w:val="center"/>
          </w:tcPr>
          <w:p>
            <w:pPr>
              <w:pStyle w:val="TableContents"/>
              <w:bidi w:val="0"/>
              <w:spacing w:before="0" w:after="283"/>
              <w:jc w:val="left"/>
              <w:rPr/>
            </w:pPr>
            <w:r>
              <w:rPr/>
              <w:t>)</w:t>
            </w:r>
            <w:bookmarkStart w:id="1066" w:name="xdx_400_eus-gaap--AdjustmentsToAdditiona"/>
            <w:bookmarkEnd w:id="1066"/>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288</w:t>
            </w:r>
          </w:p>
        </w:tc>
        <w:tc>
          <w:tcPr>
            <w:tcW w:w="112" w:type="dxa"/>
            <w:tcBorders/>
            <w:shd w:fill="FFFFFF" w:val="clear"/>
            <w:vAlign w:val="center"/>
          </w:tcPr>
          <w:p>
            <w:pPr>
              <w:pStyle w:val="TableContents"/>
              <w:bidi w:val="0"/>
              <w:spacing w:before="0" w:after="283"/>
              <w:jc w:val="left"/>
              <w:rPr/>
            </w:pPr>
            <w:r>
              <w:rPr/>
              <w:t> </w:t>
            </w:r>
            <w:bookmarkStart w:id="1067" w:name="xdx_403_eus-gaap--StockIssuedDuringPerio"/>
            <w:bookmarkEnd w:id="1067"/>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068" w:name="xdx_98B_eus-gaap--StockIssuedDuringPerio"/>
            <w:bookmarkEnd w:id="1068"/>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100,374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69" w:name="xdx_43B_c20220101__20220331_eus-gaap--St"/>
            <w:bookmarkEnd w:id="1069"/>
          </w:p>
        </w:tc>
      </w:tr>
      <w:tr>
        <w:trPr/>
        <w:tc>
          <w:tcPr>
            <w:tcW w:w="2304" w:type="dxa"/>
            <w:tcBorders/>
            <w:shd w:fill="CCEEFF" w:val="clear"/>
            <w:vAlign w:val="center"/>
          </w:tcPr>
          <w:p>
            <w:pPr>
              <w:pStyle w:val="TableContents"/>
              <w:bidi w:val="0"/>
              <w:spacing w:before="0" w:after="283"/>
              <w:jc w:val="left"/>
              <w:rPr>
                <w:b/>
              </w:rPr>
            </w:pPr>
            <w:r>
              <w:rPr>
                <w:b/>
              </w:rPr>
              <w:t>Balance -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0" w:name="xdx_982_eus-gaap--SharesOutstanding_iE_p"/>
            <w:bookmarkEnd w:id="1070"/>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1" w:name="xdx_984_eus-gaap--SharesOutstanding_iE_p"/>
            <w:bookmarkEnd w:id="107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bookmarkStart w:id="1072" w:name="xdx_43C_c20220101__20220331_eus-gaap--St"/>
            <w:bookmarkEnd w:id="1072"/>
          </w:p>
        </w:tc>
      </w:tr>
      <w:tr>
        <w:trPr/>
        <w:tc>
          <w:tcPr>
            <w:tcW w:w="2304"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3" w:name="xdx_984_eus-gaap--SharesOutstanding_iE_p"/>
            <w:bookmarkEnd w:id="1073"/>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74" w:name="xdx_983_eus-gaap--SharesOutstanding_iE_p"/>
            <w:bookmarkEnd w:id="107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75" w:name="xdx_437_c20230101__20230331_eus-gaap--St"/>
            <w:bookmarkEnd w:id="1075"/>
          </w:p>
        </w:tc>
      </w:tr>
      <w:tr>
        <w:trPr/>
        <w:tc>
          <w:tcPr>
            <w:tcW w:w="2304" w:type="dxa"/>
            <w:tcBorders/>
            <w:shd w:fill="CCEEFF" w:val="clear"/>
            <w:vAlign w:val="center"/>
          </w:tcPr>
          <w:p>
            <w:pPr>
              <w:pStyle w:val="TableContents"/>
              <w:bidi w:val="0"/>
              <w:spacing w:before="0" w:after="283"/>
              <w:jc w:val="left"/>
              <w:rPr>
                <w:b/>
              </w:rPr>
            </w:pPr>
            <w:r>
              <w:rPr>
                <w:b/>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6" w:name="xdx_98A_eus-gaap--SharesOutstanding_iS_p"/>
            <w:bookmarkEnd w:id="1076"/>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7" w:name="xdx_98D_eus-gaap--SharesOutstanding_iS_p"/>
            <w:bookmarkEnd w:id="1077"/>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bookmarkStart w:id="1078" w:name="xdx_434_c20230101__20230331_eus-gaap--St"/>
            <w:bookmarkEnd w:id="1078"/>
          </w:p>
        </w:tc>
      </w:tr>
      <w:tr>
        <w:trPr/>
        <w:tc>
          <w:tcPr>
            <w:tcW w:w="230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79" w:name="xdx_98B_eus-gaap--SharesOutstanding_iS_p"/>
            <w:bookmarkEnd w:id="1079"/>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0" w:name="xdx_98C_eus-gaap--SharesOutstanding_iS_p"/>
            <w:bookmarkEnd w:id="1080"/>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81" w:name="xdx_406_eus-gaap--NetIncomeLoss_pn3n3_zt"/>
            <w:bookmarkEnd w:id="1081"/>
          </w:p>
        </w:tc>
      </w:tr>
      <w:tr>
        <w:trPr/>
        <w:tc>
          <w:tcPr>
            <w:tcW w:w="230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bookmarkStart w:id="1082" w:name="xdx_409_eus-gaap--NetIncomeLoss_pn3n3_z9"/>
            <w:bookmarkEnd w:id="1082"/>
          </w:p>
        </w:tc>
      </w:tr>
      <w:tr>
        <w:trPr/>
        <w:tc>
          <w:tcPr>
            <w:tcW w:w="230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bookmarkStart w:id="1083" w:name="xdx_403_eus-gaap--StockIssuedDuringPerio"/>
            <w:bookmarkEnd w:id="1083"/>
          </w:p>
        </w:tc>
      </w:tr>
      <w:tr>
        <w:trPr/>
        <w:tc>
          <w:tcPr>
            <w:tcW w:w="2304"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4" w:name="xdx_989_eus-gaap--StockIssuedDuringPerio"/>
            <w:bookmarkEnd w:id="1084"/>
          </w:p>
        </w:tc>
        <w:tc>
          <w:tcPr>
            <w:tcW w:w="1100" w:type="dxa"/>
            <w:tcBorders/>
            <w:shd w:fill="FFFFFF" w:val="clear"/>
            <w:vAlign w:val="center"/>
          </w:tcPr>
          <w:p>
            <w:pPr>
              <w:pStyle w:val="TableContents"/>
              <w:bidi w:val="0"/>
              <w:spacing w:before="0" w:after="283"/>
              <w:jc w:val="right"/>
              <w:rPr/>
            </w:pPr>
            <w:r>
              <w:rPr/>
              <w:t>73,500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112" w:type="dxa"/>
            <w:tcBorders/>
            <w:shd w:fill="FFFFFF" w:val="clear"/>
            <w:vAlign w:val="center"/>
          </w:tcPr>
          <w:p>
            <w:pPr>
              <w:pStyle w:val="TableContents"/>
              <w:bidi w:val="0"/>
              <w:spacing w:before="0" w:after="283"/>
              <w:jc w:val="left"/>
              <w:rPr/>
            </w:pPr>
            <w:r>
              <w:rPr/>
              <w:t> </w:t>
            </w:r>
            <w:bookmarkStart w:id="1085" w:name="xdx_403_eus-gaap--StockIssuedDuringPerio"/>
            <w:bookmarkEnd w:id="1085"/>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6" w:name="xdx_982_eus-gaap--StockIssuedDuringPerio"/>
            <w:bookmarkEnd w:id="1086"/>
          </w:p>
        </w:tc>
        <w:tc>
          <w:tcPr>
            <w:tcW w:w="1100" w:type="dxa"/>
            <w:tcBorders/>
            <w:shd w:fill="CCEEFF" w:val="clear"/>
            <w:vAlign w:val="center"/>
          </w:tcPr>
          <w:p>
            <w:pPr>
              <w:pStyle w:val="TableContents"/>
              <w:bidi w:val="0"/>
              <w:spacing w:before="0" w:after="283"/>
              <w:jc w:val="right"/>
              <w:rPr/>
            </w:pPr>
            <w:r>
              <w:rPr/>
              <w:t>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w:t>
            </w:r>
          </w:p>
        </w:tc>
        <w:tc>
          <w:tcPr>
            <w:tcW w:w="112" w:type="dxa"/>
            <w:tcBorders/>
            <w:shd w:fill="CCEEFF" w:val="clear"/>
            <w:vAlign w:val="center"/>
          </w:tcPr>
          <w:p>
            <w:pPr>
              <w:pStyle w:val="TableContents"/>
              <w:bidi w:val="0"/>
              <w:spacing w:before="0" w:after="283"/>
              <w:jc w:val="left"/>
              <w:rPr/>
            </w:pPr>
            <w:r>
              <w:rPr/>
              <w:t> </w:t>
            </w:r>
            <w:bookmarkStart w:id="1087" w:name="xdx_407_ecustom--StockIssuedDuringPeriod"/>
            <w:bookmarkEnd w:id="1087"/>
          </w:p>
        </w:tc>
      </w:tr>
      <w:tr>
        <w:trPr/>
        <w:tc>
          <w:tcPr>
            <w:tcW w:w="2304" w:type="dxa"/>
            <w:tcBorders/>
            <w:shd w:fill="FFFFFF" w:val="clear"/>
            <w:vAlign w:val="center"/>
          </w:tcPr>
          <w:p>
            <w:pPr>
              <w:pStyle w:val="TableContents"/>
              <w:bidi w:val="0"/>
              <w:spacing w:before="0" w:after="283"/>
              <w:jc w:val="left"/>
              <w:rPr/>
            </w:pPr>
            <w:r>
              <w:rPr/>
              <w:t>Exercise of public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8" w:name="xdx_986_ecustom--StockIssuedDuringPeriod"/>
            <w:bookmarkEnd w:id="1088"/>
          </w:p>
        </w:tc>
        <w:tc>
          <w:tcPr>
            <w:tcW w:w="1100" w:type="dxa"/>
            <w:tcBorders/>
            <w:shd w:fill="FFFFFF" w:val="clear"/>
            <w:vAlign w:val="center"/>
          </w:tcPr>
          <w:p>
            <w:pPr>
              <w:pStyle w:val="TableContents"/>
              <w:bidi w:val="0"/>
              <w:spacing w:before="0" w:after="283"/>
              <w:jc w:val="right"/>
              <w:rPr/>
            </w:pPr>
            <w:r>
              <w:rPr/>
              <w:t>64,971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112" w:type="dxa"/>
            <w:tcBorders/>
            <w:shd w:fill="FFFFFF" w:val="clear"/>
            <w:vAlign w:val="center"/>
          </w:tcPr>
          <w:p>
            <w:pPr>
              <w:pStyle w:val="TableContents"/>
              <w:bidi w:val="0"/>
              <w:spacing w:before="0" w:after="283"/>
              <w:jc w:val="left"/>
              <w:rPr/>
            </w:pPr>
            <w:r>
              <w:rPr/>
              <w:t> </w:t>
            </w:r>
            <w:bookmarkStart w:id="1089" w:name="xdx_40B_eus-gaap--StockIssuedDuringPerio"/>
            <w:bookmarkEnd w:id="1089"/>
          </w:p>
        </w:tc>
      </w:tr>
      <w:tr>
        <w:trPr/>
        <w:tc>
          <w:tcPr>
            <w:tcW w:w="2304"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0" w:name="xdx_980_eus-gaap--StockIssuedDuringPerio"/>
            <w:bookmarkEnd w:id="1090"/>
          </w:p>
        </w:tc>
        <w:tc>
          <w:tcPr>
            <w:tcW w:w="1100" w:type="dxa"/>
            <w:tcBorders/>
            <w:shd w:fill="CCEEFF" w:val="clear"/>
            <w:vAlign w:val="center"/>
          </w:tcPr>
          <w:p>
            <w:pPr>
              <w:pStyle w:val="TableContents"/>
              <w:bidi w:val="0"/>
              <w:spacing w:before="0" w:after="283"/>
              <w:jc w:val="right"/>
              <w:rPr/>
            </w:pPr>
            <w:r>
              <w:rPr/>
              <w:t>2,348,294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10,167</w:t>
            </w:r>
          </w:p>
        </w:tc>
        <w:tc>
          <w:tcPr>
            <w:tcW w:w="112" w:type="dxa"/>
            <w:tcBorders/>
            <w:shd w:fill="CCEEFF" w:val="clear"/>
            <w:vAlign w:val="center"/>
          </w:tcPr>
          <w:p>
            <w:pPr>
              <w:pStyle w:val="TableContents"/>
              <w:bidi w:val="0"/>
              <w:spacing w:before="0" w:after="283"/>
              <w:jc w:val="left"/>
              <w:rPr/>
            </w:pPr>
            <w:r>
              <w:rPr/>
              <w:t> </w:t>
            </w:r>
            <w:bookmarkStart w:id="1091" w:name="xdx_407_eus-gaap--AdjustmentsToAdditiona"/>
            <w:bookmarkEnd w:id="1091"/>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92" w:name="xdx_431_c20230101__20230331_eus-gaap--St"/>
            <w:bookmarkEnd w:id="1092"/>
          </w:p>
        </w:tc>
      </w:tr>
      <w:tr>
        <w:trPr/>
        <w:tc>
          <w:tcPr>
            <w:tcW w:w="2304"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3" w:name="xdx_982_eus-gaap--SharesOutstanding_iE_p"/>
            <w:bookmarkEnd w:id="1093"/>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4" w:name="xdx_983_eus-gaap--SharesOutstanding_iE_p"/>
            <w:bookmarkEnd w:id="109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bookmarkStart w:id="1095" w:name="xdx_434_c20230101__20230331_eus-gaap--St"/>
            <w:bookmarkEnd w:id="1095"/>
          </w:p>
        </w:tc>
      </w:tr>
      <w:tr>
        <w:trPr/>
        <w:tc>
          <w:tcPr>
            <w:tcW w:w="2304"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6" w:name="xdx_983_eus-gaap--SharesOutstanding_iE_p"/>
            <w:bookmarkEnd w:id="109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7" w:name="xdx_982_eus-gaap--SharesOutstanding_iE_p"/>
            <w:bookmarkEnd w:id="109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98" w:name="a_006"/>
      <w:bookmarkEnd w:id="1098"/>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099" w:name="fs_004"/>
      <w:bookmarkEnd w:id="1099"/>
      <w:r>
        <w:rPr>
          <w:rFonts w:ascii="Times New Roman;Times;Serif" w:hAnsi="Times New Roman;Times;Serif"/>
          <w:b/>
          <w:i w:val="false"/>
          <w:caps/>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00" w:name="xdx_304_112_pn3n3_zE7WA2kPyLoh"/>
      <w:bookmarkStart w:id="1101" w:name="xdx_304_112_pn3n3_zE7WA2kPyLoh"/>
      <w:bookmarkEnd w:id="1101"/>
    </w:p>
    <w:tbl>
      <w:tblPr>
        <w:tblW w:w="7595" w:type="dxa"/>
        <w:jc w:val="left"/>
        <w:tblInd w:w="0" w:type="dxa"/>
        <w:tblLayout w:type="fixed"/>
        <w:tblCellMar>
          <w:top w:w="0" w:type="dxa"/>
          <w:left w:w="0" w:type="dxa"/>
          <w:bottom w:w="0" w:type="dxa"/>
          <w:right w:w="0" w:type="dxa"/>
        </w:tblCellMar>
      </w:tblPr>
      <w:tblGrid>
        <w:gridCol w:w="5480"/>
        <w:gridCol w:w="60"/>
        <w:gridCol w:w="140"/>
        <w:gridCol w:w="755"/>
        <w:gridCol w:w="95"/>
        <w:gridCol w:w="60"/>
        <w:gridCol w:w="140"/>
        <w:gridCol w:w="755"/>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02" w:name="xdx_49D_20230101__20230331_z8FrJFQp2Or8"/>
            <w:bookmarkEnd w:id="1102"/>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03" w:name="xdx_49A_20220101__20220331_zRbhhWhQw6H"/>
            <w:bookmarkEnd w:id="1103"/>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bookmarkStart w:id="1104" w:name="xdx_400_eus-gaap--NetCashProvidedByUsedI"/>
            <w:bookmarkEnd w:id="1104"/>
          </w:p>
        </w:tc>
      </w:tr>
      <w:tr>
        <w:trPr/>
        <w:tc>
          <w:tcPr>
            <w:tcW w:w="548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5" w:name="xdx_40E_eus-gaap--NetIncomeLoss_i01_maNC"/>
            <w:bookmarkEnd w:id="1105"/>
          </w:p>
        </w:tc>
      </w:tr>
      <w:tr>
        <w:trPr/>
        <w:tc>
          <w:tcPr>
            <w:tcW w:w="548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bookmarkStart w:id="1106" w:name="xdx_40A_eus-gaap--AdjustmentsToReconcile"/>
            <w:bookmarkEnd w:id="1106"/>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7" w:name="xdx_400_eus-gaap--AdjustmentsToReconcile"/>
            <w:bookmarkEnd w:id="1107"/>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8" w:name="xdx_40D_eus-gaap--NetCashProvidedByUsedI"/>
            <w:bookmarkEnd w:id="1108"/>
          </w:p>
        </w:tc>
      </w:tr>
      <w:tr>
        <w:trPr/>
        <w:tc>
          <w:tcPr>
            <w:tcW w:w="548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9" w:name="xdx_404_eus-gaap--ShareBasedCompensation"/>
            <w:bookmarkEnd w:id="1109"/>
          </w:p>
        </w:tc>
      </w:tr>
      <w:tr>
        <w:trPr/>
        <w:tc>
          <w:tcPr>
            <w:tcW w:w="54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bookmarkStart w:id="1110" w:name="xdx_400_eus-gaap--AmortizationOfDebtDisc"/>
            <w:bookmarkEnd w:id="1110"/>
          </w:p>
        </w:tc>
      </w:tr>
      <w:tr>
        <w:trPr/>
        <w:tc>
          <w:tcPr>
            <w:tcW w:w="548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613</w:t>
            </w:r>
          </w:p>
        </w:tc>
        <w:tc>
          <w:tcPr>
            <w:tcW w:w="110" w:type="dxa"/>
            <w:tcBorders/>
            <w:shd w:fill="FFFFFF" w:val="clear"/>
            <w:vAlign w:val="center"/>
          </w:tcPr>
          <w:p>
            <w:pPr>
              <w:pStyle w:val="TableContents"/>
              <w:bidi w:val="0"/>
              <w:spacing w:before="0" w:after="283"/>
              <w:jc w:val="left"/>
              <w:rPr/>
            </w:pPr>
            <w:r>
              <w:rPr/>
              <w:t> </w:t>
            </w:r>
            <w:bookmarkStart w:id="1111" w:name="xdx_401_eus-gaap--FairValueAdjustmentOfW"/>
            <w:bookmarkEnd w:id="1111"/>
          </w:p>
        </w:tc>
      </w:tr>
      <w:tr>
        <w:trPr/>
        <w:tc>
          <w:tcPr>
            <w:tcW w:w="548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12" w:name="xdx_404_eus-gaap--DeferredIncomeTaxExpen"/>
            <w:bookmarkEnd w:id="1112"/>
          </w:p>
        </w:tc>
      </w:tr>
      <w:tr>
        <w:trPr/>
        <w:tc>
          <w:tcPr>
            <w:tcW w:w="548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jc w:val="left"/>
              <w:rPr/>
            </w:pPr>
            <w:r>
              <w:rPr/>
              <w:t>)</w:t>
            </w:r>
            <w:bookmarkStart w:id="1113" w:name="xdx_407_eus-gaap--PaidInKindInterest_i02"/>
            <w:bookmarkEnd w:id="1113"/>
          </w:p>
        </w:tc>
      </w:tr>
      <w:tr>
        <w:trPr/>
        <w:tc>
          <w:tcPr>
            <w:tcW w:w="5480" w:type="dxa"/>
            <w:tcBorders/>
            <w:shd w:fill="CCEEFF" w:val="clear"/>
            <w:vAlign w:val="center"/>
          </w:tcPr>
          <w:p>
            <w:pPr>
              <w:pStyle w:val="TableContents"/>
              <w:bidi w:val="0"/>
              <w:spacing w:before="0" w:after="283"/>
              <w:jc w:val="left"/>
              <w:rPr/>
            </w:pPr>
            <w:r>
              <w:rPr/>
              <w:t>Non-cash interest expense (paid-in 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14" w:name="xdx_408_eus-gaap--ProvisionForDoubtfulAc"/>
            <w:bookmarkEnd w:id="1114"/>
          </w:p>
        </w:tc>
      </w:tr>
      <w:tr>
        <w:trPr/>
        <w:tc>
          <w:tcPr>
            <w:tcW w:w="5480" w:type="dxa"/>
            <w:tcBorders/>
            <w:shd w:fill="FFFFFF" w:val="clear"/>
            <w:vAlign w:val="center"/>
          </w:tcPr>
          <w:p>
            <w:pPr>
              <w:pStyle w:val="TableContents"/>
              <w:bidi w:val="0"/>
              <w:spacing w:before="0" w:after="283"/>
              <w:jc w:val="left"/>
              <w:rPr/>
            </w:pPr>
            <w:r>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15" w:name="xdx_40A_eus-gaap--DepreciationDepletionA"/>
            <w:bookmarkEnd w:id="1115"/>
          </w:p>
        </w:tc>
      </w:tr>
      <w:tr>
        <w:trPr/>
        <w:tc>
          <w:tcPr>
            <w:tcW w:w="54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bookmarkStart w:id="1116" w:name="xdx_409_eus-gaap--GainLossOnSaleOfProper"/>
            <w:bookmarkEnd w:id="1116"/>
          </w:p>
        </w:tc>
      </w:tr>
      <w:tr>
        <w:trPr/>
        <w:tc>
          <w:tcPr>
            <w:tcW w:w="54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7" w:name="xdx_407_eus-gaap--IncreaseDecreaseInOper"/>
            <w:bookmarkEnd w:id="1117"/>
          </w:p>
        </w:tc>
      </w:tr>
      <w:tr>
        <w:trPr/>
        <w:tc>
          <w:tcPr>
            <w:tcW w:w="548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18" w:name="xdx_40C_eus-gaap--IncreaseDecreaseInAcco"/>
            <w:bookmarkEnd w:id="1118"/>
          </w:p>
        </w:tc>
      </w:tr>
      <w:tr>
        <w:trPr/>
        <w:tc>
          <w:tcPr>
            <w:tcW w:w="54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(1,217</w:t>
            </w:r>
          </w:p>
        </w:tc>
        <w:tc>
          <w:tcPr>
            <w:tcW w:w="110" w:type="dxa"/>
            <w:tcBorders/>
            <w:shd w:fill="CCEEFF" w:val="clear"/>
            <w:vAlign w:val="center"/>
          </w:tcPr>
          <w:p>
            <w:pPr>
              <w:pStyle w:val="TableContents"/>
              <w:bidi w:val="0"/>
              <w:spacing w:before="0" w:after="283"/>
              <w:jc w:val="left"/>
              <w:rPr/>
            </w:pPr>
            <w:r>
              <w:rPr/>
              <w:t>)</w:t>
            </w:r>
            <w:bookmarkStart w:id="1119" w:name="xdx_401_eus-gaap--IncreaseDecreaseInInve"/>
            <w:bookmarkEnd w:id="1119"/>
          </w:p>
        </w:tc>
      </w:tr>
      <w:tr>
        <w:trPr/>
        <w:tc>
          <w:tcPr>
            <w:tcW w:w="54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(5,946</w:t>
            </w:r>
          </w:p>
        </w:tc>
        <w:tc>
          <w:tcPr>
            <w:tcW w:w="110" w:type="dxa"/>
            <w:tcBorders/>
            <w:shd w:fill="FFFFFF" w:val="clear"/>
            <w:vAlign w:val="center"/>
          </w:tcPr>
          <w:p>
            <w:pPr>
              <w:pStyle w:val="TableContents"/>
              <w:bidi w:val="0"/>
              <w:spacing w:before="0" w:after="283"/>
              <w:jc w:val="left"/>
              <w:rPr/>
            </w:pPr>
            <w:r>
              <w:rPr/>
              <w:t>)</w:t>
            </w:r>
            <w:bookmarkStart w:id="1120" w:name="xdx_401_eus-gaap--IncreaseDecreaseInPrep"/>
            <w:bookmarkEnd w:id="1120"/>
          </w:p>
        </w:tc>
      </w:tr>
      <w:tr>
        <w:trPr/>
        <w:tc>
          <w:tcPr>
            <w:tcW w:w="548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jc w:val="left"/>
              <w:rPr/>
            </w:pPr>
            <w:r>
              <w:rPr/>
              <w:t>)</w:t>
            </w:r>
            <w:bookmarkStart w:id="1121" w:name="xdx_40F_ecustom--IncreaseDecreaseInPrepa"/>
            <w:bookmarkEnd w:id="1121"/>
          </w:p>
        </w:tc>
      </w:tr>
      <w:tr>
        <w:trPr/>
        <w:tc>
          <w:tcPr>
            <w:tcW w:w="548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2,425</w:t>
            </w:r>
          </w:p>
        </w:tc>
        <w:tc>
          <w:tcPr>
            <w:tcW w:w="110" w:type="dxa"/>
            <w:tcBorders/>
            <w:shd w:fill="FFFFFF" w:val="clear"/>
            <w:vAlign w:val="center"/>
          </w:tcPr>
          <w:p>
            <w:pPr>
              <w:pStyle w:val="TableContents"/>
              <w:bidi w:val="0"/>
              <w:spacing w:before="0" w:after="283"/>
              <w:jc w:val="left"/>
              <w:rPr/>
            </w:pPr>
            <w:r>
              <w:rPr/>
              <w:t> </w:t>
            </w:r>
            <w:bookmarkStart w:id="1122" w:name="xdx_40F_eus-gaap--IncreaseDecreaseInOthe"/>
            <w:bookmarkEnd w:id="1122"/>
          </w:p>
        </w:tc>
      </w:tr>
      <w:tr>
        <w:trPr/>
        <w:tc>
          <w:tcPr>
            <w:tcW w:w="548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w:t>
            </w:r>
            <w:bookmarkStart w:id="1123" w:name="xdx_40B_eus-gaap--IncreaseDecreaseInOthe"/>
            <w:bookmarkEnd w:id="1123"/>
          </w:p>
        </w:tc>
      </w:tr>
      <w:tr>
        <w:trPr/>
        <w:tc>
          <w:tcPr>
            <w:tcW w:w="548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bookmarkStart w:id="1124" w:name="xdx_403_eus-gaap--IncreaseDecreaseInAccr"/>
            <w:bookmarkEnd w:id="1124"/>
          </w:p>
        </w:tc>
      </w:tr>
      <w:tr>
        <w:trPr/>
        <w:tc>
          <w:tcPr>
            <w:tcW w:w="548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125" w:name="xdx_40A_eus-gaap--IncreaseDecreaseInAcco"/>
            <w:bookmarkEnd w:id="1125"/>
          </w:p>
        </w:tc>
      </w:tr>
      <w:tr>
        <w:trPr/>
        <w:tc>
          <w:tcPr>
            <w:tcW w:w="548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(4,119</w:t>
            </w:r>
          </w:p>
        </w:tc>
        <w:tc>
          <w:tcPr>
            <w:tcW w:w="110" w:type="dxa"/>
            <w:tcBorders/>
            <w:shd w:fill="FFFFFF" w:val="clear"/>
            <w:vAlign w:val="center"/>
          </w:tcPr>
          <w:p>
            <w:pPr>
              <w:pStyle w:val="TableContents"/>
              <w:bidi w:val="0"/>
              <w:spacing w:before="0" w:after="283"/>
              <w:jc w:val="left"/>
              <w:rPr/>
            </w:pPr>
            <w:r>
              <w:rPr/>
              <w:t>)</w:t>
            </w:r>
            <w:bookmarkStart w:id="1126" w:name="xdx_40C_eus-gaap--IncreaseDecreaseInCont"/>
            <w:bookmarkEnd w:id="1126"/>
          </w:p>
        </w:tc>
      </w:tr>
      <w:tr>
        <w:trPr/>
        <w:tc>
          <w:tcPr>
            <w:tcW w:w="548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 </w:t>
            </w:r>
            <w:bookmarkStart w:id="1127" w:name="xdx_400_eus-gaap--AdjustmentsToReconcile"/>
            <w:bookmarkEnd w:id="1127"/>
          </w:p>
        </w:tc>
      </w:tr>
      <w:tr>
        <w:trPr/>
        <w:tc>
          <w:tcPr>
            <w:tcW w:w="548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(8,812</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8" w:name="xdx_40B_eus-gaap--NetCashProvidedByUsedI"/>
            <w:bookmarkEnd w:id="1128"/>
          </w:p>
        </w:tc>
      </w:tr>
      <w:tr>
        <w:trPr/>
        <w:tc>
          <w:tcPr>
            <w:tcW w:w="548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(11,110</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9" w:name="xdx_407_eus-gaap--NetCashProvidedByUsedI"/>
            <w:bookmarkEnd w:id="1129"/>
          </w:p>
        </w:tc>
      </w:tr>
      <w:tr>
        <w:trPr/>
        <w:tc>
          <w:tcPr>
            <w:tcW w:w="548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0" w:name="xdx_403_eus-gaap--PaymentsToAcquirePrope"/>
            <w:bookmarkEnd w:id="1130"/>
          </w:p>
        </w:tc>
      </w:tr>
      <w:tr>
        <w:trPr/>
        <w:tc>
          <w:tcPr>
            <w:tcW w:w="548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(4,524</w:t>
            </w:r>
          </w:p>
        </w:tc>
        <w:tc>
          <w:tcPr>
            <w:tcW w:w="110" w:type="dxa"/>
            <w:tcBorders/>
            <w:shd w:fill="CCEEFF" w:val="clear"/>
            <w:vAlign w:val="center"/>
          </w:tcPr>
          <w:p>
            <w:pPr>
              <w:pStyle w:val="TableContents"/>
              <w:bidi w:val="0"/>
              <w:spacing w:before="0" w:after="283"/>
              <w:jc w:val="left"/>
              <w:rPr/>
            </w:pPr>
            <w:r>
              <w:rPr/>
              <w:t>)</w:t>
            </w:r>
            <w:bookmarkStart w:id="1131" w:name="xdx_408_eus-gaap--NetCashProvidedByUsedI"/>
            <w:bookmarkEnd w:id="1131"/>
          </w:p>
        </w:tc>
      </w:tr>
      <w:tr>
        <w:trPr/>
        <w:tc>
          <w:tcPr>
            <w:tcW w:w="548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(4,524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100" w:type="dxa"/>
        <w:jc w:val="left"/>
        <w:tblInd w:w="0" w:type="dxa"/>
        <w:tblLayout w:type="fixed"/>
        <w:tblCellMar>
          <w:top w:w="0" w:type="dxa"/>
          <w:left w:w="0" w:type="dxa"/>
          <w:bottom w:w="0" w:type="dxa"/>
          <w:right w:w="0" w:type="dxa"/>
        </w:tblCellMar>
      </w:tblPr>
      <w:tblGrid>
        <w:gridCol w:w="5060"/>
        <w:gridCol w:w="60"/>
        <w:gridCol w:w="140"/>
        <w:gridCol w:w="680"/>
        <w:gridCol w:w="95"/>
        <w:gridCol w:w="60"/>
        <w:gridCol w:w="140"/>
        <w:gridCol w:w="755"/>
        <w:gridCol w:w="110"/>
      </w:tblGrid>
      <w:tr>
        <w:trPr/>
        <w:tc>
          <w:tcPr>
            <w:tcW w:w="5060" w:type="dxa"/>
            <w:tcBorders/>
            <w:vAlign w:val="center"/>
          </w:tcPr>
          <w:p>
            <w:pPr>
              <w:pStyle w:val="TableContents"/>
              <w:bidi w:val="0"/>
              <w:spacing w:before="0" w:after="283"/>
              <w:jc w:val="left"/>
              <w:rPr/>
            </w:pPr>
            <w:r>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bookmarkStart w:id="1132" w:name="xdx_40D_eus-gaap--NetCashProvidedByUsedI"/>
            <w:bookmarkEnd w:id="1132"/>
          </w:p>
        </w:tc>
      </w:tr>
      <w:tr>
        <w:trPr/>
        <w:tc>
          <w:tcPr>
            <w:tcW w:w="506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3" w:name="xdx_40C_eus-gaap--ProceedsFromIssuanceIn"/>
            <w:bookmarkEnd w:id="1133"/>
          </w:p>
        </w:tc>
      </w:tr>
      <w:tr>
        <w:trPr/>
        <w:tc>
          <w:tcPr>
            <w:tcW w:w="5060" w:type="dxa"/>
            <w:tcBorders/>
            <w:shd w:fill="FFFFFF" w:val="clear"/>
            <w:vAlign w:val="center"/>
          </w:tcPr>
          <w:p>
            <w:pPr>
              <w:pStyle w:val="TableContents"/>
              <w:bidi w:val="0"/>
              <w:spacing w:before="0" w:after="283"/>
              <w:jc w:val="left"/>
              <w:rPr/>
            </w:pPr>
            <w:r>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4" w:name="xdx_407_eus-gaap--ProceedsFromNotesPayab"/>
            <w:bookmarkEnd w:id="1134"/>
          </w:p>
        </w:tc>
      </w:tr>
      <w:tr>
        <w:trPr/>
        <w:tc>
          <w:tcPr>
            <w:tcW w:w="506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35" w:name="xdx_408_eus-gaap--ProceedsFromWarrantExe"/>
            <w:bookmarkEnd w:id="1135"/>
          </w:p>
        </w:tc>
      </w:tr>
      <w:tr>
        <w:trPr/>
        <w:tc>
          <w:tcPr>
            <w:tcW w:w="506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6" w:name="xdx_40E_eus-gaap--ProceedsFromStockOptio"/>
            <w:bookmarkEnd w:id="1136"/>
          </w:p>
        </w:tc>
      </w:tr>
      <w:tr>
        <w:trPr/>
        <w:tc>
          <w:tcPr>
            <w:tcW w:w="506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1137" w:name="xdx_407_eus-gaap--NetCashProvidedByUsedI"/>
            <w:bookmarkEnd w:id="1137"/>
          </w:p>
        </w:tc>
      </w:tr>
      <w:tr>
        <w:trPr/>
        <w:tc>
          <w:tcPr>
            <w:tcW w:w="506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8" w:name="xdx_40F_eus-gaap--CashCashEquivalentsRes"/>
            <w:bookmarkEnd w:id="1138"/>
          </w:p>
        </w:tc>
      </w:tr>
      <w:tr>
        <w:trPr/>
        <w:tc>
          <w:tcPr>
            <w:tcW w:w="5060" w:type="dxa"/>
            <w:tcBorders/>
            <w:shd w:fill="FFFFFF" w:val="clear"/>
            <w:vAlign w:val="center"/>
          </w:tcPr>
          <w:p>
            <w:pPr>
              <w:pStyle w:val="TableContents"/>
              <w:bidi w:val="0"/>
              <w:spacing w:before="0" w:after="283"/>
              <w:jc w:val="left"/>
              <w:rPr/>
            </w:pPr>
            <w:r>
              <w:rPr/>
              <w:t>Net Decrease in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(15,523</w:t>
            </w:r>
          </w:p>
        </w:tc>
        <w:tc>
          <w:tcPr>
            <w:tcW w:w="110" w:type="dxa"/>
            <w:tcBorders/>
            <w:shd w:fill="FFFFFF" w:val="clear"/>
            <w:vAlign w:val="center"/>
          </w:tcPr>
          <w:p>
            <w:pPr>
              <w:pStyle w:val="TableContents"/>
              <w:bidi w:val="0"/>
              <w:spacing w:before="0" w:after="283"/>
              <w:jc w:val="left"/>
              <w:rPr/>
            </w:pPr>
            <w:r>
              <w:rPr/>
              <w:t>)</w:t>
            </w:r>
            <w:bookmarkStart w:id="1139" w:name="xdx_407_eus-gaap--CashCashEquivalentsRes"/>
            <w:bookmarkEnd w:id="1139"/>
          </w:p>
        </w:tc>
      </w:tr>
      <w:tr>
        <w:trPr/>
        <w:tc>
          <w:tcPr>
            <w:tcW w:w="5060" w:type="dxa"/>
            <w:tcBorders/>
            <w:shd w:fill="CCEEFF" w:val="clear"/>
            <w:vAlign w:val="center"/>
          </w:tcPr>
          <w:p>
            <w:pPr>
              <w:pStyle w:val="TableContents"/>
              <w:bidi w:val="0"/>
              <w:spacing w:before="0" w:after="283"/>
              <w:jc w:val="left"/>
              <w:rPr/>
            </w:pPr>
            <w:r>
              <w:rPr/>
              <w:t>Beginning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28,630</w:t>
            </w:r>
          </w:p>
        </w:tc>
        <w:tc>
          <w:tcPr>
            <w:tcW w:w="110" w:type="dxa"/>
            <w:tcBorders/>
            <w:shd w:fill="CCEEFF" w:val="clear"/>
            <w:vAlign w:val="center"/>
          </w:tcPr>
          <w:p>
            <w:pPr>
              <w:pStyle w:val="TableContents"/>
              <w:bidi w:val="0"/>
              <w:spacing w:before="0" w:after="283"/>
              <w:jc w:val="left"/>
              <w:rPr/>
            </w:pPr>
            <w:r>
              <w:rPr/>
              <w:t> </w:t>
            </w:r>
            <w:bookmarkStart w:id="1140" w:name="xdx_40A_eus-gaap--CashCashEquivalentsRes"/>
            <w:bookmarkEnd w:id="1140"/>
          </w:p>
        </w:tc>
      </w:tr>
      <w:tr>
        <w:trPr/>
        <w:tc>
          <w:tcPr>
            <w:tcW w:w="5060" w:type="dxa"/>
            <w:tcBorders/>
            <w:shd w:fill="FFFFFF" w:val="clear"/>
            <w:vAlign w:val="center"/>
          </w:tcPr>
          <w:p>
            <w:pPr>
              <w:pStyle w:val="TableContents"/>
              <w:bidi w:val="0"/>
              <w:spacing w:before="0" w:after="283"/>
              <w:jc w:val="left"/>
              <w:rPr/>
            </w:pPr>
            <w:r>
              <w:rPr/>
              <w:t>Ending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13,107</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1" w:name="xdx_40F_eus-gaap--SupplementalCashFlowIn"/>
            <w:bookmarkEnd w:id="1141"/>
          </w:p>
        </w:tc>
      </w:tr>
      <w:tr>
        <w:trPr/>
        <w:tc>
          <w:tcPr>
            <w:tcW w:w="506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2" w:name="xdx_406_eus-gaap--InterestPaidNet_i01_pp"/>
            <w:bookmarkEnd w:id="1142"/>
          </w:p>
        </w:tc>
      </w:tr>
      <w:tr>
        <w:trPr/>
        <w:tc>
          <w:tcPr>
            <w:tcW w:w="506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658</w:t>
            </w:r>
          </w:p>
        </w:tc>
        <w:tc>
          <w:tcPr>
            <w:tcW w:w="110" w:type="dxa"/>
            <w:tcBorders/>
            <w:shd w:fill="CCEEFF" w:val="clear"/>
            <w:vAlign w:val="center"/>
          </w:tcPr>
          <w:p>
            <w:pPr>
              <w:pStyle w:val="TableContents"/>
              <w:bidi w:val="0"/>
              <w:spacing w:before="0" w:after="283"/>
              <w:jc w:val="left"/>
              <w:rPr/>
            </w:pPr>
            <w:r>
              <w:rPr/>
              <w:t> </w:t>
            </w:r>
            <w:bookmarkStart w:id="1143" w:name="xdx_405_eus-gaap--CashFlowNoncashInvesti"/>
            <w:bookmarkEnd w:id="1143"/>
          </w:p>
        </w:tc>
      </w:tr>
      <w:tr>
        <w:trPr/>
        <w:tc>
          <w:tcPr>
            <w:tcW w:w="506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4" w:name="xdx_40D_ecustom--NonCashReceivableOfOpti"/>
            <w:bookmarkEnd w:id="1144"/>
          </w:p>
        </w:tc>
      </w:tr>
      <w:tr>
        <w:trPr/>
        <w:tc>
          <w:tcPr>
            <w:tcW w:w="5060" w:type="dxa"/>
            <w:tcBorders/>
            <w:shd w:fill="CCEEFF" w:val="clear"/>
            <w:vAlign w:val="center"/>
          </w:tcPr>
          <w:p>
            <w:pPr>
              <w:pStyle w:val="TableContents"/>
              <w:bidi w:val="0"/>
              <w:spacing w:before="0" w:after="283"/>
              <w:jc w:val="left"/>
              <w:rPr/>
            </w:pPr>
            <w:r>
              <w:rPr/>
              <w:t>Receivable of options exercised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1145" w:name="xdx_40F_eus-gaap--CapitalExpendituresInc"/>
            <w:bookmarkEnd w:id="1145"/>
          </w:p>
        </w:tc>
      </w:tr>
      <w:tr>
        <w:trPr/>
        <w:tc>
          <w:tcPr>
            <w:tcW w:w="506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6" w:name="xdx_406_ecustom--CashlessExerciseOfLiabi"/>
            <w:bookmarkEnd w:id="1146"/>
          </w:p>
        </w:tc>
      </w:tr>
      <w:tr>
        <w:trPr/>
        <w:tc>
          <w:tcPr>
            <w:tcW w:w="506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47" w:name="a_007"/>
      <w:bookmarkEnd w:id="1147"/>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bookmarkStart w:id="1148" w:name="fs_005"/>
      <w:bookmarkEnd w:id="1148"/>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149" w:name="xdx_803_eus-gaap--NatureOfOperations_z1j"/>
      <w:bookmarkEnd w:id="1149"/>
      <w:r>
        <w:rPr>
          <w:rFonts w:ascii="Times New Roman;Times;Serif" w:hAnsi="Times New Roman;Times;Serif"/>
          <w:b/>
          <w:i w:val="false"/>
          <w:caps/>
          <w:sz w:val="20"/>
        </w:rPr>
        <w:t xml:space="preserve">NOTE 1 - </w:t>
      </w:r>
      <w:bookmarkStart w:id="1150" w:name="xdx_826_zRnix3BUSf16"/>
      <w:bookmarkEnd w:id="1150"/>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151" w:name="xdx_802_eus-gaap--SignificantAccountingP"/>
      <w:bookmarkEnd w:id="1151"/>
      <w:r>
        <w:rPr>
          <w:rFonts w:ascii="Times New Roman;Times;Serif" w:hAnsi="Times New Roman;Times;Serif"/>
          <w:b/>
          <w:i w:val="false"/>
          <w:caps/>
          <w:sz w:val="20"/>
        </w:rPr>
        <w:t xml:space="preserve">NOTE 2 – </w:t>
      </w:r>
      <w:bookmarkStart w:id="1152" w:name="xdx_823_zPahfl840Sph"/>
      <w:bookmarkEnd w:id="1152"/>
      <w:r>
        <w:rPr>
          <w:rFonts w:ascii="Times New Roman;Times;Serif" w:hAnsi="Times New Roman;Times;Serif"/>
          <w:b/>
          <w:i w:val="false"/>
          <w:caps/>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53" w:name="xdx_863_zopxuaVW4jf6"/>
      <w:bookmarkStart w:id="1154" w:name="xdx_84D_eus-gaap--ConsolidationPolicyTex"/>
      <w:bookmarkEnd w:id="1153"/>
      <w:bookmarkEnd w:id="1154"/>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55" w:name="xdx_86A_zZm6K3mYkdWj"/>
      <w:bookmarkStart w:id="1156" w:name="xdx_849_eus-gaap--BasisOfAccountingPolic"/>
      <w:bookmarkEnd w:id="1155"/>
      <w:bookmarkEnd w:id="1156"/>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57" w:name="xdx_86D_zTd5jCyRKn0b"/>
      <w:bookmarkStart w:id="1158" w:name="xdx_84B_ecustom--GoingConcernPolicyTextB"/>
      <w:bookmarkEnd w:id="1157"/>
      <w:bookmarkEnd w:id="1158"/>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 incurred loss from operations and had negative cash flow from operations. As of March 31, 2023, the Company had $</w:t>
      </w:r>
      <w:bookmarkStart w:id="1159" w:name="xdx_901_eus-gaap--CashAndCashEquivalents"/>
      <w:bookmarkEnd w:id="1159"/>
      <w:r>
        <w:rPr>
          <w:rFonts w:ascii="Times New Roman;Times;Serif" w:hAnsi="Times New Roman;Times;Serif"/>
          <w:b w:val="false"/>
          <w:i w:val="false"/>
          <w:caps w:val="false"/>
          <w:smallCaps w:val="false"/>
          <w:sz w:val="20"/>
        </w:rPr>
        <w:t>15,791 in cash and cash equivalents and working capital of $</w:t>
      </w:r>
      <w:bookmarkStart w:id="1160" w:name="xdx_901_ecustom--WorkingCapital_pn3n3_c2"/>
      <w:bookmarkEnd w:id="1160"/>
      <w:r>
        <w:rPr>
          <w:rFonts w:ascii="Times New Roman;Times;Serif" w:hAnsi="Times New Roman;Times;Serif"/>
          <w:b w:val="false"/>
          <w:i w:val="false"/>
          <w:caps w:val="false"/>
          <w:smallCaps w:val="false"/>
          <w:sz w:val="20"/>
        </w:rPr>
        <w:t>24,533.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1161" w:name="xdx_907_eus-gaap--DebtInstrumentFaceAmou"/>
      <w:bookmarkEnd w:id="1161"/>
      <w:r>
        <w:rPr>
          <w:rFonts w:ascii="Times New Roman;Times;Serif" w:hAnsi="Times New Roman;Times;Serif"/>
          <w:b w:val="false"/>
          <w:i w:val="false"/>
          <w:caps w:val="false"/>
          <w:smallCaps w:val="false"/>
          <w:sz w:val="20"/>
        </w:rPr>
        <w:t>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1162" w:name="xdx_866_zsLdSPK4QCVi"/>
      <w:bookmarkStart w:id="1163" w:name="xdx_84B_ecustom--RecentlyAdoptedAccounti"/>
      <w:bookmarkEnd w:id="1162"/>
      <w:bookmarkEnd w:id="1163"/>
      <w:r>
        <w:rPr>
          <w:rFonts w:ascii="Times New Roman;Times;Serif" w:hAnsi="Times New Roman;Times;Serif"/>
          <w:b w:val="false"/>
          <w:i/>
          <w:caps w:val="false"/>
          <w:smallCaps w:val="false"/>
          <w:sz w:val="20"/>
          <w:u w:val="single"/>
        </w:rPr>
        <w:t>Recently adopted accounting standards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64" w:name="xdx_86E_zMFazYF9n05f"/>
      <w:bookmarkStart w:id="1165" w:name="xdx_84E_eus-gaap--NewAccountingPronounce"/>
      <w:bookmarkEnd w:id="1164"/>
      <w:bookmarkEnd w:id="1165"/>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66" w:name="xdx_869_zWVZfmuUGXwe"/>
      <w:bookmarkStart w:id="1167" w:name="xdx_84B_eus-gaap--TradeAndOtherAccountsR"/>
      <w:bookmarkEnd w:id="1166"/>
      <w:bookmarkEnd w:id="1167"/>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trade receivables are recorded when billed and represent claims against third parties that will be settled in cash. Generally, payment is due from customers within </w:t>
      </w:r>
      <w:bookmarkStart w:id="1168" w:name="xdx_900_ecustom--PeriodWithinWhichPaymen"/>
      <w:bookmarkEnd w:id="1168"/>
      <w:r>
        <w:rPr>
          <w:rFonts w:ascii="Times New Roman;Times;Serif" w:hAnsi="Times New Roman;Times;Serif"/>
          <w:b w:val="false"/>
          <w:i w:val="false"/>
          <w:caps w:val="false"/>
          <w:smallCaps w:val="false"/>
          <w:sz w:val="20"/>
        </w:rPr>
        <w:t>30 – 60 days of the invoice date and the contracts do not have significant financing components. Trade accounts receivables are recorded gross and are net of any applicable allowance. The Company has an allowance for doubtful accounts as of March 31, 2023 and December 31, 2022 of $</w:t>
      </w:r>
      <w:bookmarkStart w:id="1169" w:name="xdx_908_eus-gaap--AllowanceForDoubtfulAc"/>
      <w:bookmarkEnd w:id="1169"/>
      <w:r>
        <w:rPr>
          <w:rFonts w:ascii="Times New Roman;Times;Serif" w:hAnsi="Times New Roman;Times;Serif"/>
          <w:b w:val="false"/>
          <w:i w:val="false"/>
          <w:caps w:val="false"/>
          <w:smallCaps w:val="false"/>
          <w:sz w:val="20"/>
        </w:rPr>
        <w:t>116 and $</w:t>
      </w:r>
      <w:bookmarkStart w:id="1170" w:name="xdx_90E_eus-gaap--AllowanceForDoubtfulAc"/>
      <w:bookmarkEnd w:id="1170"/>
      <w:r>
        <w:rPr>
          <w:rFonts w:ascii="Times New Roman;Times;Serif" w:hAnsi="Times New Roman;Times;Serif"/>
          <w:b w:val="false"/>
          <w:i w:val="false"/>
          <w:caps w:val="false"/>
          <w:smallCaps w:val="false"/>
          <w:sz w:val="20"/>
        </w:rPr>
        <w:t>90,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171" w:name="xdx_863_zjXiYpDFVlt6"/>
      <w:bookmarkStart w:id="1172" w:name="xdx_849_eus-gaap--InventoryPolicyTextBlo"/>
      <w:bookmarkEnd w:id="1171"/>
      <w:bookmarkEnd w:id="1172"/>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2023 and December 31, 2022, no such reserves were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73" w:name="xdx_867_zLvdCzbbCLed"/>
      <w:bookmarkStart w:id="1174" w:name="xdx_846_eus-gaap--PropertyPlantAndEquipm"/>
      <w:bookmarkEnd w:id="1173"/>
      <w:bookmarkEnd w:id="1174"/>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2023 and 2022 was $</w:t>
      </w:r>
      <w:bookmarkStart w:id="1175" w:name="xdx_902_eus-gaap--Depreciation_pn3n3_c20"/>
      <w:bookmarkEnd w:id="1175"/>
      <w:r>
        <w:rPr>
          <w:rFonts w:ascii="Times New Roman;Times;Serif" w:hAnsi="Times New Roman;Times;Serif"/>
          <w:b w:val="false"/>
          <w:i w:val="false"/>
          <w:caps w:val="false"/>
          <w:smallCaps w:val="false"/>
          <w:sz w:val="20"/>
        </w:rPr>
        <w:t>297 and $</w:t>
      </w:r>
      <w:bookmarkStart w:id="1176" w:name="xdx_904_eus-gaap--Depreciation_pn3n3_c20"/>
      <w:bookmarkEnd w:id="1176"/>
      <w:r>
        <w:rPr>
          <w:rFonts w:ascii="Times New Roman;Times;Serif" w:hAnsi="Times New Roman;Times;Serif"/>
          <w:b w:val="false"/>
          <w:i w:val="false"/>
          <w:caps w:val="false"/>
          <w:smallCaps w:val="false"/>
          <w:sz w:val="20"/>
        </w:rPr>
        <w:t>192, respectively. The various classes of property and equipment and estimated useful lives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77" w:name="xdx_8B5_z2r99yqyuNSb"/>
      <w:bookmarkStart w:id="1178" w:name="xdx_89A_eus-gaap--PropertyPlantAndEquipm"/>
      <w:bookmarkEnd w:id="1177"/>
      <w:bookmarkEnd w:id="1178"/>
      <w:r>
        <w:rPr>
          <w:rFonts w:ascii="Times New Roman;Times;Serif" w:hAnsi="Times New Roman;Times;Serif"/>
          <w:b w:val="false"/>
          <w:i w:val="false"/>
          <w:caps w:val="false"/>
          <w:smallCaps w:val="false"/>
          <w:sz w:val="20"/>
        </w:rPr>
        <w:t>SCHEDULE OF VARIOUS CLASSES OF PROPERTY AND EQUIPMENT AND ESTIMATED USEFUL LIVES </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79" w:name="xdx_905_eus-gaap--PropertyPlantAndEquipm"/>
            <w:bookmarkEnd w:id="1179"/>
            <w:r>
              <w:rPr>
                <w:rFonts w:ascii="Times New Roman;Times;Serif" w:hAnsi="Times New Roman;Times;Serif"/>
                <w:b w:val="false"/>
                <w:i w:val="false"/>
                <w:caps w:val="false"/>
                <w:smallCaps w:val="false"/>
                <w:sz w:val="20"/>
              </w:rPr>
              <w:t xml:space="preserve">3 to </w:t>
            </w:r>
            <w:bookmarkStart w:id="1180" w:name="xdx_90D_eus-gaap--PropertyPlantAndEquipm"/>
            <w:bookmarkEnd w:id="1180"/>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1" w:name="xdx_90F_eus-gaap--PropertyPlantAndEquipm"/>
            <w:bookmarkEnd w:id="1181"/>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2" w:name="xdx_90B_eus-gaap--PropertyPlantAndEquipm"/>
            <w:bookmarkEnd w:id="1182"/>
            <w:r>
              <w:rPr>
                <w:rFonts w:ascii="Times New Roman;Times;Serif" w:hAnsi="Times New Roman;Times;Serif"/>
                <w:b w:val="false"/>
                <w:i w:val="false"/>
                <w:caps w:val="false"/>
                <w:smallCaps w:val="false"/>
                <w:sz w:val="20"/>
              </w:rPr>
              <w:t xml:space="preserve">3 to </w:t>
            </w:r>
            <w:bookmarkStart w:id="1183" w:name="xdx_903_eus-gaap--PropertyPlantAndEquipm"/>
            <w:bookmarkEnd w:id="1183"/>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84" w:name="xdx_90C_eus-gaap--PropertyPlantAndEquipm"/>
            <w:bookmarkEnd w:id="1184"/>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bookmarkStart w:id="1185" w:name="xdx_8A0_zAwvvaRGMIb9"/>
      <w:bookmarkEnd w:id="118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86" w:name="xdx_863_zdvUHy7OCtbl"/>
      <w:bookmarkStart w:id="1187" w:name="xdx_846_eus-gaap--UseOfEstimates_zwIIngu"/>
      <w:bookmarkEnd w:id="1186"/>
      <w:bookmarkEnd w:id="1187"/>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88" w:name="xdx_86E_zXPFqnwcHDi9"/>
      <w:bookmarkStart w:id="1189" w:name="xdx_840_ecustom--WarrantsPolicyTextBlock"/>
      <w:bookmarkEnd w:id="1188"/>
      <w:bookmarkEnd w:id="1189"/>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90" w:name="xdx_86D_zZXFS9aFdVfe"/>
      <w:bookmarkStart w:id="1191" w:name="xdx_847_eus-gaap--RevenueFromContractWit"/>
      <w:bookmarkEnd w:id="1190"/>
      <w:bookmarkEnd w:id="1191"/>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1192" w:name="xdx_90D_ecustom--PaymentTermForDistribut"/>
      <w:bookmarkEnd w:id="1192"/>
      <w:r>
        <w:rPr>
          <w:rFonts w:ascii="Times New Roman;Times;Serif" w:hAnsi="Times New Roman;Times;Serif"/>
          <w:b w:val="false"/>
          <w:i w:val="false"/>
          <w:caps w:val="false"/>
          <w:smallCaps w:val="false"/>
          <w:sz w:val="20"/>
        </w:rPr>
        <w:t>30-</w:t>
      </w:r>
      <w:bookmarkStart w:id="1193" w:name="xdx_90D_ecustom--PaymentTermForDistribut"/>
      <w:bookmarkEnd w:id="1193"/>
      <w:r>
        <w:rPr>
          <w:rFonts w:ascii="Times New Roman;Times;Serif" w:hAnsi="Times New Roman;Times;Serif"/>
          <w:b w:val="false"/>
          <w:i w:val="false"/>
          <w:caps w:val="false"/>
          <w:smallCaps w:val="false"/>
          <w:sz w:val="20"/>
        </w:rPr>
        <w:t>60 days after shipment. In such instances, the Company records a customer deposit liability. The Company recognizes these contract liabilities as sales after the revenue criteria are met. As of March 31, 2023 and December 31, 2022, the contract liability related to the Company’s customer deposits approximated $</w:t>
      </w:r>
      <w:bookmarkStart w:id="1194" w:name="xdx_906_eus-gaap--ContractWithCustomerLi"/>
      <w:bookmarkEnd w:id="1194"/>
      <w:r>
        <w:rPr>
          <w:rFonts w:ascii="Times New Roman;Times;Serif" w:hAnsi="Times New Roman;Times;Serif"/>
          <w:b w:val="false"/>
          <w:i w:val="false"/>
          <w:caps w:val="false"/>
          <w:smallCaps w:val="false"/>
          <w:sz w:val="20"/>
        </w:rPr>
        <w:t>418 and $</w:t>
      </w:r>
      <w:bookmarkStart w:id="1195" w:name="xdx_904_eus-gaap--ContractWithCustomerLi"/>
      <w:bookmarkEnd w:id="1195"/>
      <w:r>
        <w:rPr>
          <w:rFonts w:ascii="Times New Roman;Times;Serif" w:hAnsi="Times New Roman;Times;Serif"/>
          <w:b w:val="false"/>
          <w:i w:val="false"/>
          <w:caps w:val="false"/>
          <w:smallCaps w:val="false"/>
          <w:sz w:val="20"/>
        </w:rPr>
        <w:t>238, respectively. The Company recognized $</w:t>
      </w:r>
      <w:bookmarkStart w:id="1196" w:name="xdx_90C_eus-gaap--OtherLiabilities_iI_pn"/>
      <w:bookmarkStart w:id="1197" w:name="xdx_90B_eus-gaap--OtherLiabilities_iI_pn"/>
      <w:bookmarkEnd w:id="1196"/>
      <w:bookmarkEnd w:id="1197"/>
      <w:r>
        <w:rPr>
          <w:rFonts w:ascii="Times New Roman;Times;Serif" w:hAnsi="Times New Roman;Times;Serif"/>
          <w:b w:val="false"/>
          <w:i w:val="false"/>
          <w:caps w:val="false"/>
          <w:smallCaps w:val="false"/>
          <w:sz w:val="20"/>
        </w:rPr>
        <w:t>211 of contract liability pertaining to the year ended December 31, 2022 as of March 31, 2023. The entire contract liability balance of $</w:t>
      </w:r>
      <w:bookmarkStart w:id="1198" w:name="xdx_90D_eus-gaap--Revenues_c20230101__20"/>
      <w:bookmarkEnd w:id="1198"/>
      <w:r>
        <w:rPr>
          <w:rFonts w:ascii="Times New Roman;Times;Serif" w:hAnsi="Times New Roman;Times;Serif"/>
          <w:b w:val="false"/>
          <w:i w:val="false"/>
          <w:caps w:val="false"/>
          <w:smallCaps w:val="false"/>
          <w:sz w:val="20"/>
        </w:rPr>
        <w:t>434 as of January 1, 2022 was recognized as revenue during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199" w:name="xdx_867_zbWPDXe2W63h"/>
      <w:bookmarkStart w:id="1200" w:name="xdx_843_ecustom--DisaggregationOfRevenue"/>
      <w:bookmarkEnd w:id="1199"/>
      <w:bookmarkEnd w:id="1200"/>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1" w:name="xdx_89A_eus-gaap--DisaggregationOfRevenu"/>
      <w:bookmarkEnd w:id="1201"/>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2" w:name="xdx_8B4_zHtI6eLdFbIk"/>
      <w:bookmarkEnd w:id="1202"/>
      <w:r>
        <w:rPr>
          <w:rFonts w:ascii="Times New Roman;Times;Serif" w:hAnsi="Times New Roman;Times;Serif"/>
          <w:b w:val="false"/>
          <w:i w:val="false"/>
          <w:caps w:val="false"/>
          <w:smallCaps w:val="false"/>
          <w:sz w:val="20"/>
        </w:rPr>
        <w:t>SCHEDULE OF DISAGGREGATED REVENUES BY DISTRIBUTION CHANNEL </w:t>
      </w:r>
    </w:p>
    <w:tbl>
      <w:tblPr>
        <w:tblW w:w="5992"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bookmarkStart w:id="1203" w:name="xdx_49B_20230101__20230331_zDh8SMW3SKw2"/>
            <w:bookmarkEnd w:id="1203"/>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1204" w:name="xdx_49E_20220101__20220331_zfgcpoWhMCAg"/>
            <w:bookmarkEnd w:id="1204"/>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jc w:val="center"/>
              <w:rPr/>
            </w:pPr>
            <w:r>
              <w:rPr/>
              <w:t>For the Three Months Ended</w:t>
            </w:r>
          </w:p>
          <w:p>
            <w:pPr>
              <w:pStyle w:val="TableContents"/>
              <w:bidi w:val="0"/>
              <w:spacing w:before="0" w:after="283"/>
              <w:jc w:val="center"/>
              <w:rPr/>
            </w:pPr>
            <w:r>
              <w:rPr/>
              <w:t>March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205" w:name="xdx_400_eus-gaap--RevenueFromContractWit"/>
            <w:bookmarkEnd w:id="1205"/>
          </w:p>
        </w:tc>
      </w:tr>
      <w:tr>
        <w:trPr/>
        <w:tc>
          <w:tcPr>
            <w:tcW w:w="3095" w:type="dxa"/>
            <w:tcBorders/>
            <w:shd w:fill="FFFFFF" w:val="clear"/>
            <w:vAlign w:val="center"/>
          </w:tcPr>
          <w:p>
            <w:pPr>
              <w:pStyle w:val="TableContents"/>
              <w:bidi w:val="0"/>
              <w:spacing w:before="0" w:after="283"/>
              <w:jc w:val="left"/>
              <w:rPr/>
            </w:pPr>
            <w:r>
              <w:rPr/>
              <w:t>Retail</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7,069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13,035</w:t>
            </w:r>
          </w:p>
        </w:tc>
        <w:tc>
          <w:tcPr>
            <w:tcW w:w="75" w:type="dxa"/>
            <w:tcBorders/>
            <w:shd w:fill="FFFFFF" w:val="clear"/>
            <w:vAlign w:val="center"/>
          </w:tcPr>
          <w:p>
            <w:pPr>
              <w:pStyle w:val="TableContents"/>
              <w:bidi w:val="0"/>
              <w:spacing w:before="0" w:after="283"/>
              <w:jc w:val="left"/>
              <w:rPr/>
            </w:pPr>
            <w:r>
              <w:rPr/>
              <w:t> </w:t>
            </w:r>
            <w:bookmarkStart w:id="1206" w:name="xdx_40B_eus-gaap--RevenueFromContractWit"/>
            <w:bookmarkEnd w:id="1206"/>
          </w:p>
        </w:tc>
      </w:tr>
      <w:tr>
        <w:trPr/>
        <w:tc>
          <w:tcPr>
            <w:tcW w:w="3095" w:type="dxa"/>
            <w:tcBorders/>
            <w:shd w:fill="CCEEFF" w:val="clear"/>
            <w:vAlign w:val="center"/>
          </w:tcPr>
          <w:p>
            <w:pPr>
              <w:pStyle w:val="TableContents"/>
              <w:bidi w:val="0"/>
              <w:spacing w:before="0" w:after="283"/>
              <w:jc w:val="left"/>
              <w:rPr/>
            </w:pPr>
            <w:r>
              <w:rPr/>
              <w:t>Distributor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2,968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2,087</w:t>
            </w:r>
          </w:p>
        </w:tc>
        <w:tc>
          <w:tcPr>
            <w:tcW w:w="75" w:type="dxa"/>
            <w:tcBorders/>
            <w:shd w:fill="CCEEFF" w:val="clear"/>
            <w:vAlign w:val="center"/>
          </w:tcPr>
          <w:p>
            <w:pPr>
              <w:pStyle w:val="TableContents"/>
              <w:bidi w:val="0"/>
              <w:spacing w:before="0" w:after="283"/>
              <w:jc w:val="left"/>
              <w:rPr/>
            </w:pPr>
            <w:r>
              <w:rPr/>
              <w:t> </w:t>
            </w:r>
            <w:bookmarkStart w:id="1207" w:name="xdx_400_eus-gaap--RevenueFromContractWit"/>
            <w:bookmarkEnd w:id="1207"/>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8,754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3,181</w:t>
            </w:r>
          </w:p>
        </w:tc>
        <w:tc>
          <w:tcPr>
            <w:tcW w:w="75" w:type="dxa"/>
            <w:tcBorders/>
            <w:shd w:fill="FFFFFF" w:val="clear"/>
            <w:vAlign w:val="center"/>
          </w:tcPr>
          <w:p>
            <w:pPr>
              <w:pStyle w:val="TableContents"/>
              <w:bidi w:val="0"/>
              <w:spacing w:before="0" w:after="283"/>
              <w:jc w:val="left"/>
              <w:rPr/>
            </w:pPr>
            <w:r>
              <w:rPr/>
              <w:t> </w:t>
            </w:r>
            <w:bookmarkStart w:id="1208" w:name="xdx_40A_eus-gaap--RevenueFromContractWit"/>
            <w:bookmarkEnd w:id="1208"/>
          </w:p>
        </w:tc>
      </w:tr>
      <w:tr>
        <w:trPr/>
        <w:tc>
          <w:tcPr>
            <w:tcW w:w="30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bookmarkStart w:id="1209" w:name="xdx_403_eus-gaap--RevenueFromContractWit"/>
            <w:bookmarkEnd w:id="1209"/>
          </w:p>
        </w:tc>
      </w:tr>
      <w:tr>
        <w:trPr/>
        <w:tc>
          <w:tcPr>
            <w:tcW w:w="3095" w:type="dxa"/>
            <w:tcBorders/>
            <w:shd w:fill="CCEEFF" w:val="clear"/>
            <w:vAlign w:val="center"/>
          </w:tcPr>
          <w:p>
            <w:pPr>
              <w:pStyle w:val="TableContents"/>
              <w:bidi w:val="0"/>
              <w:spacing w:before="0" w:after="283"/>
              <w:jc w:val="left"/>
              <w:rPr/>
            </w:pPr>
            <w:r>
              <w:rPr/>
              <w:t>Total sales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10" w:name="xdx_8A0_zRUh3QXhP7Te"/>
      <w:bookmarkEnd w:id="1210"/>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211" w:name="xdx_86D_zwGCf9vSWwhk"/>
      <w:bookmarkStart w:id="1212" w:name="xdx_843_ecustom--ShippingAndHandlingCost"/>
      <w:bookmarkEnd w:id="1211"/>
      <w:bookmarkEnd w:id="1212"/>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1213" w:name="xdx_90C_ecustom--ShippingAndHandlingCost"/>
      <w:bookmarkEnd w:id="1213"/>
      <w:r>
        <w:rPr>
          <w:rFonts w:ascii="Times New Roman;Times;Serif" w:hAnsi="Times New Roman;Times;Serif"/>
          <w:b w:val="false"/>
          <w:i w:val="false"/>
          <w:caps w:val="false"/>
          <w:smallCaps w:val="false"/>
          <w:sz w:val="20"/>
        </w:rPr>
        <w:t>1,007 and $</w:t>
      </w:r>
      <w:bookmarkStart w:id="1214" w:name="xdx_90E_ecustom--ShippingAndHandlingCost"/>
      <w:bookmarkEnd w:id="1214"/>
      <w:r>
        <w:rPr>
          <w:rFonts w:ascii="Times New Roman;Times;Serif" w:hAnsi="Times New Roman;Times;Serif"/>
          <w:b w:val="false"/>
          <w:i w:val="false"/>
          <w:caps w:val="false"/>
          <w:smallCaps w:val="false"/>
          <w:sz w:val="20"/>
        </w:rPr>
        <w:t>1,228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1215" w:name="xdx_86A_z5CZw1G93dA1"/>
      <w:bookmarkStart w:id="1216" w:name="xdx_84E_ecustom--ProductWarrantyPolicyTe"/>
      <w:bookmarkEnd w:id="1215"/>
      <w:bookmarkEnd w:id="1216"/>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1217" w:name="xdx_900_ecustom--ProductWarrantyTermProv"/>
      <w:bookmarkEnd w:id="1217"/>
      <w:r>
        <w:rPr>
          <w:rFonts w:ascii="Times New Roman;Times;Serif" w:hAnsi="Times New Roman;Times;Serif"/>
          <w:b w:val="false"/>
          <w:i w:val="false"/>
          <w:caps w:val="false"/>
          <w:smallCaps w:val="false"/>
          <w:sz w:val="20"/>
        </w:rPr>
        <w:t xml:space="preserve">5 to </w:t>
      </w:r>
      <w:bookmarkStart w:id="1218" w:name="xdx_907_ecustom--ProductWarrantyTermProv"/>
      <w:bookmarkEnd w:id="1218"/>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March 31, 2023 and December 31, 2022 to be $</w:t>
      </w:r>
      <w:bookmarkStart w:id="1219" w:name="xdx_90F_eus-gaap--ProductWarrantyAccrual"/>
      <w:bookmarkEnd w:id="1219"/>
      <w:r>
        <w:rPr>
          <w:rFonts w:ascii="Times New Roman;Times;Serif" w:hAnsi="Times New Roman;Times;Serif"/>
          <w:b w:val="false"/>
          <w:i w:val="false"/>
          <w:caps w:val="false"/>
          <w:smallCaps w:val="false"/>
          <w:sz w:val="20"/>
        </w:rPr>
        <w:t>400 and $</w:t>
      </w:r>
      <w:bookmarkStart w:id="1220" w:name="xdx_90D_eus-gaap--ProductWarrantyAccrual"/>
      <w:bookmarkEnd w:id="1220"/>
      <w:r>
        <w:rPr>
          <w:rFonts w:ascii="Times New Roman;Times;Serif" w:hAnsi="Times New Roman;Times;Serif"/>
          <w:b w:val="false"/>
          <w:i w:val="false"/>
          <w:caps w:val="false"/>
          <w:smallCaps w:val="false"/>
          <w:sz w:val="20"/>
        </w:rPr>
        <w:t>328,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21" w:name="xdx_86A_zyzggZww4OX8"/>
      <w:bookmarkStart w:id="1222" w:name="xdx_84E_eus-gaap--ConcentrationRiskCredi"/>
      <w:bookmarkEnd w:id="1221"/>
      <w:bookmarkEnd w:id="1222"/>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from </w:t>
      </w:r>
      <w:bookmarkStart w:id="1223" w:name="xdx_90E_ecustom--NumberOfCustomers_pid_d"/>
      <w:bookmarkEnd w:id="1223"/>
      <w:r>
        <w:rPr>
          <w:rFonts w:ascii="Times New Roman;Times;Serif" w:hAnsi="Times New Roman;Times;Serif"/>
          <w:b w:val="false"/>
          <w:i w:val="false"/>
          <w:caps w:val="false"/>
          <w:smallCaps w:val="false"/>
          <w:sz w:val="20"/>
        </w:rPr>
        <w:t xml:space="preserve">one customer comprised approximately </w:t>
      </w:r>
      <w:bookmarkStart w:id="1224" w:name="xdx_90D_eus-gaap--ConcentrationRiskPerce"/>
      <w:bookmarkEnd w:id="1224"/>
      <w:r>
        <w:rPr>
          <w:rFonts w:ascii="Times New Roman;Times;Serif" w:hAnsi="Times New Roman;Times;Serif"/>
          <w:b w:val="false"/>
          <w:i w:val="false"/>
          <w:caps w:val="false"/>
          <w:smallCaps w:val="false"/>
          <w:sz w:val="20"/>
        </w:rPr>
        <w:t xml:space="preserve">50% of accounts receivable as of March 31, 2023. Receivables from </w:t>
      </w:r>
      <w:bookmarkStart w:id="1225" w:name="xdx_90C_ecustom--NumberOfCustomers_pid_d"/>
      <w:bookmarkEnd w:id="1225"/>
      <w:r>
        <w:rPr>
          <w:rFonts w:ascii="Times New Roman;Times;Serif" w:hAnsi="Times New Roman;Times;Serif"/>
          <w:b w:val="false"/>
          <w:i w:val="false"/>
          <w:caps w:val="false"/>
          <w:smallCaps w:val="false"/>
          <w:sz w:val="20"/>
        </w:rPr>
        <w:t xml:space="preserve">three customers comprised approximately </w:t>
      </w:r>
      <w:bookmarkStart w:id="1226" w:name="xdx_90D_eus-gaap--ConcentrationRiskPerce"/>
      <w:bookmarkEnd w:id="1226"/>
      <w:r>
        <w:rPr>
          <w:rFonts w:ascii="Times New Roman;Times;Serif" w:hAnsi="Times New Roman;Times;Serif"/>
          <w:b w:val="false"/>
          <w:i w:val="false"/>
          <w:caps w:val="false"/>
          <w:smallCaps w:val="false"/>
          <w:sz w:val="20"/>
        </w:rPr>
        <w:t xml:space="preserve">18%, </w:t>
      </w:r>
      <w:bookmarkStart w:id="1227" w:name="xdx_904_eus-gaap--ConcentrationRiskPerce"/>
      <w:bookmarkEnd w:id="1227"/>
      <w:r>
        <w:rPr>
          <w:rFonts w:ascii="Times New Roman;Times;Serif" w:hAnsi="Times New Roman;Times;Serif"/>
          <w:b w:val="false"/>
          <w:i w:val="false"/>
          <w:caps w:val="false"/>
          <w:smallCaps w:val="false"/>
          <w:sz w:val="20"/>
        </w:rPr>
        <w:t xml:space="preserve">10% and </w:t>
      </w:r>
      <w:bookmarkStart w:id="1228" w:name="xdx_902_eus-gaap--ConcentrationRiskPerce"/>
      <w:bookmarkEnd w:id="1228"/>
      <w:r>
        <w:rPr>
          <w:rFonts w:ascii="Times New Roman;Times;Serif" w:hAnsi="Times New Roman;Times;Serif"/>
          <w:b w:val="false"/>
          <w:i w:val="false"/>
          <w:caps w:val="false"/>
          <w:smallCaps w:val="false"/>
          <w:sz w:val="20"/>
        </w:rPr>
        <w:t>10%, respectively, of accounts receivable as of December 31, 2022. There are no other significant accounts receivable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w:t>
      </w:r>
      <w:bookmarkStart w:id="1229" w:name="xdx_905_ecustom--NumberOfVendors_pid_dc_"/>
      <w:bookmarkEnd w:id="1229"/>
      <w:r>
        <w:rPr>
          <w:rFonts w:ascii="Times New Roman;Times;Serif" w:hAnsi="Times New Roman;Times;Serif"/>
          <w:b w:val="false"/>
          <w:i w:val="false"/>
          <w:caps w:val="false"/>
          <w:smallCaps w:val="false"/>
          <w:sz w:val="20"/>
        </w:rPr>
        <w:t xml:space="preserve">one customer comprised approximately </w:t>
      </w:r>
      <w:bookmarkStart w:id="1230" w:name="xdx_90D_eus-gaap--ConcentrationRiskPerce"/>
      <w:bookmarkEnd w:id="1230"/>
      <w:r>
        <w:rPr>
          <w:rFonts w:ascii="Times New Roman;Times;Serif" w:hAnsi="Times New Roman;Times;Serif"/>
          <w:b w:val="false"/>
          <w:i w:val="false"/>
          <w:caps w:val="false"/>
          <w:smallCaps w:val="false"/>
          <w:sz w:val="20"/>
        </w:rPr>
        <w:t>26% of revenue for the three months ended March 31, 2023. There were no significant revenue concentrations for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Payables to </w:t>
      </w:r>
      <w:bookmarkStart w:id="1231" w:name="xdx_902_ecustom--NumberOfCustomers_dc_uC"/>
      <w:bookmarkEnd w:id="1231"/>
      <w:r>
        <w:rPr>
          <w:rFonts w:ascii="Times New Roman;Times;Serif" w:hAnsi="Times New Roman;Times;Serif"/>
          <w:b w:val="false"/>
          <w:i w:val="false"/>
          <w:caps w:val="false"/>
          <w:smallCaps w:val="false"/>
          <w:sz w:val="20"/>
        </w:rPr>
        <w:t xml:space="preserve">one vendor comprised approximately </w:t>
      </w:r>
      <w:bookmarkStart w:id="1232" w:name="xdx_90F_eus-gaap--ConcentrationRiskPerce"/>
      <w:bookmarkEnd w:id="1232"/>
      <w:r>
        <w:rPr>
          <w:rFonts w:ascii="Times New Roman;Times;Serif" w:hAnsi="Times New Roman;Times;Serif"/>
          <w:b w:val="false"/>
          <w:i w:val="false"/>
          <w:caps w:val="false"/>
          <w:smallCaps w:val="false"/>
          <w:sz w:val="20"/>
        </w:rPr>
        <w:t xml:space="preserve">67% of accounts payables as of March 31, 2023. Payables to </w:t>
      </w:r>
      <w:bookmarkStart w:id="1233" w:name="xdx_902_ecustom--NumberOfCustomers_pid_d"/>
      <w:bookmarkEnd w:id="1233"/>
      <w:r>
        <w:rPr>
          <w:rFonts w:ascii="Times New Roman;Times;Serif" w:hAnsi="Times New Roman;Times;Serif"/>
          <w:b w:val="false"/>
          <w:i w:val="false"/>
          <w:caps w:val="false"/>
          <w:smallCaps w:val="false"/>
          <w:sz w:val="20"/>
        </w:rPr>
        <w:t xml:space="preserve">one vendor comprised approximately </w:t>
      </w:r>
      <w:bookmarkStart w:id="1234" w:name="xdx_90D_eus-gaap--ConcentrationRiskPerce"/>
      <w:bookmarkEnd w:id="1234"/>
      <w:r>
        <w:rPr>
          <w:rFonts w:ascii="Times New Roman;Times;Serif" w:hAnsi="Times New Roman;Times;Serif"/>
          <w:b w:val="false"/>
          <w:i w:val="false"/>
          <w:caps w:val="false"/>
          <w:smallCaps w:val="false"/>
          <w:sz w:val="20"/>
        </w:rPr>
        <w:t>61% of accounts payables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2023, </w:t>
      </w:r>
      <w:bookmarkStart w:id="1235" w:name="xdx_903_ecustom--NumberOfVendors_pid_dc_"/>
      <w:bookmarkEnd w:id="1235"/>
      <w:r>
        <w:rPr>
          <w:rFonts w:ascii="Times New Roman;Times;Serif" w:hAnsi="Times New Roman;Times;Serif"/>
          <w:b w:val="false"/>
          <w:i w:val="false"/>
          <w:caps w:val="false"/>
          <w:smallCaps w:val="false"/>
          <w:sz w:val="20"/>
        </w:rPr>
        <w:t xml:space="preserve">two vendors accounted for approximately </w:t>
      </w:r>
      <w:bookmarkStart w:id="1236" w:name="xdx_90B_eus-gaap--ConcentrationRiskPerce"/>
      <w:bookmarkEnd w:id="1236"/>
      <w:r>
        <w:rPr>
          <w:rFonts w:ascii="Times New Roman;Times;Serif" w:hAnsi="Times New Roman;Times;Serif"/>
          <w:b w:val="false"/>
          <w:i w:val="false"/>
          <w:caps w:val="false"/>
          <w:smallCaps w:val="false"/>
          <w:sz w:val="20"/>
        </w:rPr>
        <w:t xml:space="preserve">38% and </w:t>
      </w:r>
      <w:bookmarkStart w:id="1237" w:name="xdx_908_eus-gaap--ConcentrationRiskPerce"/>
      <w:bookmarkEnd w:id="1237"/>
      <w:r>
        <w:rPr>
          <w:rFonts w:ascii="Times New Roman;Times;Serif" w:hAnsi="Times New Roman;Times;Serif"/>
          <w:b w:val="false"/>
          <w:i w:val="false"/>
          <w:caps w:val="false"/>
          <w:smallCaps w:val="false"/>
          <w:sz w:val="20"/>
        </w:rPr>
        <w:t xml:space="preserve">10%, respectively, of the Company’s total purchases. For the three months ended March 31, 2022, </w:t>
      </w:r>
      <w:bookmarkStart w:id="1238" w:name="xdx_90F_ecustom--NumberOfVendors_pid_dc_"/>
      <w:bookmarkEnd w:id="1238"/>
      <w:r>
        <w:rPr>
          <w:rFonts w:ascii="Times New Roman;Times;Serif" w:hAnsi="Times New Roman;Times;Serif"/>
          <w:b w:val="false"/>
          <w:i w:val="false"/>
          <w:caps w:val="false"/>
          <w:smallCaps w:val="false"/>
          <w:sz w:val="20"/>
        </w:rPr>
        <w:t xml:space="preserve">one vendor accounted for approximately </w:t>
      </w:r>
      <w:bookmarkStart w:id="1239" w:name="xdx_901_eus-gaap--ConcentrationRiskPerce"/>
      <w:bookmarkEnd w:id="1239"/>
      <w:r>
        <w:rPr>
          <w:rFonts w:ascii="Times New Roman;Times;Serif" w:hAnsi="Times New Roman;Times;Serif"/>
          <w:b w:val="false"/>
          <w:i w:val="false"/>
          <w:caps w:val="false"/>
          <w:smallCaps w:val="false"/>
          <w:sz w:val="20"/>
        </w:rPr>
        <w:t>34%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40" w:name="xdx_86E_z6qkUKXnpS2h"/>
      <w:bookmarkStart w:id="1241" w:name="xdx_84B_eus-gaap--AdvertisingCostsPolicy"/>
      <w:bookmarkEnd w:id="1240"/>
      <w:bookmarkEnd w:id="1241"/>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1242" w:name="xdx_903_eus-gaap--AdvertisingExpense_pn3"/>
      <w:bookmarkEnd w:id="1242"/>
      <w:r>
        <w:rPr>
          <w:rFonts w:ascii="Times New Roman;Times;Serif" w:hAnsi="Times New Roman;Times;Serif"/>
          <w:b w:val="false"/>
          <w:i w:val="false"/>
          <w:caps w:val="false"/>
          <w:smallCaps w:val="false"/>
          <w:sz w:val="20"/>
        </w:rPr>
        <w:t>587 and $</w:t>
      </w:r>
      <w:bookmarkStart w:id="1243" w:name="xdx_903_eus-gaap--AdvertisingExpense_pn3"/>
      <w:bookmarkEnd w:id="1243"/>
      <w:r>
        <w:rPr>
          <w:rFonts w:ascii="Times New Roman;Times;Serif" w:hAnsi="Times New Roman;Times;Serif"/>
          <w:b w:val="false"/>
          <w:i w:val="false"/>
          <w:caps w:val="false"/>
          <w:smallCaps w:val="false"/>
          <w:sz w:val="20"/>
        </w:rPr>
        <w:t>781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44" w:name="xdx_86D_zbEy4YaLsX4h"/>
      <w:bookmarkStart w:id="1245" w:name="xdx_844_eus-gaap--CompensationRelatedCos"/>
      <w:bookmarkEnd w:id="1244"/>
      <w:bookmarkEnd w:id="1245"/>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46" w:name="xdx_865_zpH1g0D9kQnc"/>
      <w:bookmarkStart w:id="1247" w:name="xdx_849_eus-gaap--IncomeTaxPolicyTextBlo"/>
      <w:bookmarkEnd w:id="1246"/>
      <w:bookmarkEnd w:id="1247"/>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w:t>
      </w:r>
      <w:bookmarkStart w:id="1248" w:name="xdx_906_eus-gaap--UnrecognizedTaxBenefit"/>
      <w:bookmarkEnd w:id="1248"/>
      <w:r>
        <w:rPr>
          <w:rFonts w:ascii="Times New Roman;Times;Serif" w:hAnsi="Times New Roman;Times;Serif"/>
          <w:b w:val="false"/>
          <w:i w:val="false"/>
          <w:caps w:val="false"/>
          <w:smallCaps w:val="false"/>
          <w:sz w:val="20"/>
        </w:rPr>
        <w:t>128 and $</w:t>
      </w:r>
      <w:bookmarkStart w:id="1249" w:name="xdx_909_eus-gaap--UnrecognizedTaxBenefit"/>
      <w:bookmarkEnd w:id="1249"/>
      <w:r>
        <w:rPr>
          <w:rFonts w:ascii="Times New Roman;Times;Serif" w:hAnsi="Times New Roman;Times;Serif"/>
          <w:b w:val="false"/>
          <w:i w:val="false"/>
          <w:caps w:val="false"/>
          <w:smallCaps w:val="false"/>
          <w:sz w:val="20"/>
        </w:rPr>
        <w:t>128 as of March 31, 2023, and December 31, 2022, respectively, of uncertain tax positions. The Company’s accounting policy is to include penalties and interest related to income taxes if any,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1250" w:name="xdx_86C_z0oAkNTJwUHf"/>
      <w:bookmarkStart w:id="1251" w:name="xdx_84E_eus-gaap--SegmentReportingPolicy"/>
      <w:bookmarkEnd w:id="1250"/>
      <w:bookmarkEnd w:id="1251"/>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w:t>
      </w:r>
      <w:bookmarkStart w:id="1252" w:name="xdx_902_eus-gaap--NumberOfOperatingSegme"/>
      <w:bookmarkEnd w:id="1252"/>
      <w:r>
        <w:rPr>
          <w:rFonts w:ascii="Times New Roman;Times;Serif" w:hAnsi="Times New Roman;Times;Serif"/>
          <w:b w:val="false"/>
          <w:i w:val="false"/>
          <w:caps w:val="false"/>
          <w:smallCaps w:val="false"/>
          <w:sz w:val="20"/>
        </w:rPr>
        <w:t>one operating segment.</w:t>
      </w:r>
    </w:p>
    <w:p>
      <w:pPr>
        <w:pStyle w:val="TextBody"/>
        <w:bidi w:val="0"/>
        <w:spacing w:before="0" w:after="0"/>
        <w:ind w:left="0" w:right="0" w:hanging="0"/>
        <w:jc w:val="left"/>
        <w:rPr>
          <w:caps w:val="false"/>
          <w:smallCaps w:val="false"/>
        </w:rPr>
      </w:pPr>
      <w:bookmarkStart w:id="1253" w:name="xdx_854_zkHa7vCdWiNi"/>
      <w:bookmarkEnd w:id="1253"/>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254" w:name="xdx_800_eus-gaap--FairValueDisclosuresTe"/>
      <w:bookmarkEnd w:id="1254"/>
      <w:r>
        <w:rPr>
          <w:rFonts w:ascii="Times New Roman;Times;Serif" w:hAnsi="Times New Roman;Times;Serif"/>
          <w:b/>
          <w:i w:val="false"/>
          <w:caps/>
          <w:sz w:val="20"/>
        </w:rPr>
        <w:t xml:space="preserve">NOTE 3 - </w:t>
      </w:r>
      <w:bookmarkStart w:id="1255" w:name="xdx_820_z8tDo0S1EfW4"/>
      <w:bookmarkEnd w:id="1255"/>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6" w:name="xdx_892_eus-gaap--ScheduleOfFairValueAss"/>
      <w:bookmarkEnd w:id="1256"/>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7" w:name="xdx_8BB_zkCg6FWJrMMl"/>
      <w:bookmarkEnd w:id="1257"/>
      <w:r>
        <w:rPr>
          <w:rFonts w:ascii="Times New Roman;Times;Serif" w:hAnsi="Times New Roman;Times;Serif"/>
          <w:b w:val="false"/>
          <w:i w:val="false"/>
          <w:caps w:val="false"/>
          <w:smallCaps w:val="false"/>
          <w:sz w:val="20"/>
        </w:rPr>
        <w:t>SCHEDULE OF FAIR VALUE, ASSETS AND LIABILITIES </w:t>
      </w:r>
    </w:p>
    <w:tbl>
      <w:tblPr>
        <w:tblW w:w="9433" w:type="dxa"/>
        <w:jc w:val="left"/>
        <w:tblInd w:w="0" w:type="dxa"/>
        <w:tblLayout w:type="fixed"/>
        <w:tblCellMar>
          <w:top w:w="0" w:type="dxa"/>
          <w:left w:w="0" w:type="dxa"/>
          <w:bottom w:w="0" w:type="dxa"/>
          <w:right w:w="0" w:type="dxa"/>
        </w:tblCellMar>
      </w:tblPr>
      <w:tblGrid>
        <w:gridCol w:w="4250"/>
        <w:gridCol w:w="60"/>
        <w:gridCol w:w="289"/>
        <w:gridCol w:w="1156"/>
        <w:gridCol w:w="60"/>
        <w:gridCol w:w="60"/>
        <w:gridCol w:w="172"/>
        <w:gridCol w:w="688"/>
        <w:gridCol w:w="60"/>
        <w:gridCol w:w="60"/>
        <w:gridCol w:w="221"/>
        <w:gridCol w:w="533"/>
        <w:gridCol w:w="60"/>
        <w:gridCol w:w="60"/>
        <w:gridCol w:w="202"/>
        <w:gridCol w:w="552"/>
        <w:gridCol w:w="60"/>
        <w:gridCol w:w="60"/>
        <w:gridCol w:w="151"/>
        <w:gridCol w:w="604"/>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48" w:type="dxa"/>
            <w:gridSpan w:val="18"/>
            <w:tcBorders>
              <w:bottom w:val="single" w:sz="12" w:space="0" w:color="000000"/>
            </w:tcBorders>
            <w:tcMar>
              <w:bottom w:w="28" w:type="dxa"/>
            </w:tcMar>
            <w:vAlign w:val="center"/>
          </w:tcPr>
          <w:p>
            <w:pPr>
              <w:pStyle w:val="TableContents"/>
              <w:bidi w:val="0"/>
              <w:spacing w:before="0" w:after="283"/>
              <w:jc w:val="center"/>
              <w:rPr/>
            </w:pPr>
            <w:r>
              <w:rPr/>
              <w:t>As of March 31, 2023</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w:t>
            </w:r>
            <w:bookmarkStart w:id="1258" w:name="xdx_989_ecustom--LiabilitiesCarryingValu"/>
            <w:bookmarkEnd w:id="1258"/>
          </w:p>
        </w:tc>
        <w:tc>
          <w:tcPr>
            <w:tcW w:w="1156"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1259" w:name="xdx_98F_eus-gaap--SharesSubjectToMandato"/>
            <w:bookmarkEnd w:id="1259"/>
          </w:p>
        </w:tc>
        <w:tc>
          <w:tcPr>
            <w:tcW w:w="688"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bookmarkStart w:id="1260" w:name="xdx_98B_eus-gaap--SharesSubjectToMandato"/>
            <w:bookmarkEnd w:id="1260"/>
          </w:p>
        </w:tc>
        <w:tc>
          <w:tcPr>
            <w:tcW w:w="533"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bookmarkStart w:id="1261" w:name="xdx_98D_eus-gaap--SharesSubjectToMandato"/>
            <w:bookmarkEnd w:id="1261"/>
          </w:p>
        </w:tc>
        <w:tc>
          <w:tcPr>
            <w:tcW w:w="5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1262" w:name="xdx_989_eus-gaap--SharesSubjectToMandato"/>
            <w:bookmarkEnd w:id="1262"/>
          </w:p>
        </w:tc>
        <w:tc>
          <w:tcPr>
            <w:tcW w:w="604" w:type="dxa"/>
            <w:tcBorders/>
            <w:shd w:fill="FFFFFF" w:val="cle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3" w:name="xdx_985_ecustom--LiabilitiesCarryingValu"/>
            <w:bookmarkEnd w:id="1263"/>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4" w:name="xdx_989_eus-gaap--SharesSubjectToMandato"/>
            <w:bookmarkEnd w:id="1264"/>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5" w:name="xdx_981_eus-gaap--SharesSubjectToMandato"/>
            <w:bookmarkEnd w:id="1265"/>
          </w:p>
        </w:tc>
        <w:tc>
          <w:tcPr>
            <w:tcW w:w="5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6" w:name="xdx_985_eus-gaap--SharesSubjectToMandato"/>
            <w:bookmarkEnd w:id="1266"/>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67" w:name="xdx_98E_eus-gaap--SharesSubjectToMandato"/>
            <w:bookmarkEnd w:id="1267"/>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8" w:name="xdx_981_ecustom--LiabilitiesCarryingValu"/>
            <w:bookmarkEnd w:id="1268"/>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9" w:name="xdx_983_eus-gaap--SharesSubjectToMandato"/>
            <w:bookmarkEnd w:id="1269"/>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70" w:name="xdx_98E_eus-gaap--SharesSubjectToMandato"/>
            <w:bookmarkEnd w:id="1270"/>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71" w:name="xdx_983_eus-gaap--SharesSubjectToMandato"/>
            <w:bookmarkEnd w:id="1271"/>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72" w:name="xdx_987_eus-gaap--SharesSubjectToMandato"/>
            <w:bookmarkEnd w:id="1272"/>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4"/>
        <w:gridCol w:w="60"/>
        <w:gridCol w:w="286"/>
        <w:gridCol w:w="1403"/>
        <w:gridCol w:w="60"/>
        <w:gridCol w:w="60"/>
        <w:gridCol w:w="174"/>
        <w:gridCol w:w="848"/>
        <w:gridCol w:w="60"/>
        <w:gridCol w:w="60"/>
        <w:gridCol w:w="231"/>
        <w:gridCol w:w="654"/>
        <w:gridCol w:w="60"/>
        <w:gridCol w:w="60"/>
        <w:gridCol w:w="177"/>
        <w:gridCol w:w="710"/>
        <w:gridCol w:w="60"/>
        <w:gridCol w:w="60"/>
        <w:gridCol w:w="150"/>
        <w:gridCol w:w="737"/>
        <w:gridCol w:w="81"/>
      </w:tblGrid>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9" w:type="dxa"/>
            <w:gridSpan w:val="2"/>
            <w:tcBorders>
              <w:bottom w:val="single" w:sz="12"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81" w:type="dxa"/>
            <w:tcBorders/>
            <w:vAlign w:val="center"/>
          </w:tcPr>
          <w:p>
            <w:pPr>
              <w:pStyle w:val="TableContents"/>
              <w:bidi w:val="0"/>
              <w:spacing w:before="0" w:after="283"/>
              <w:jc w:val="center"/>
              <w:rPr/>
            </w:pPr>
            <w:r>
              <w:rPr/>
              <w:t> </w:t>
            </w:r>
          </w:p>
        </w:tc>
      </w:tr>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50" w:type="dxa"/>
            <w:gridSpan w:val="18"/>
            <w:tcBorders>
              <w:bottom w:val="single" w:sz="12" w:space="0" w:color="000000"/>
            </w:tcBorders>
            <w:tcMar>
              <w:bottom w:w="28" w:type="dxa"/>
            </w:tcMar>
            <w:vAlign w:val="center"/>
          </w:tcPr>
          <w:p>
            <w:pPr>
              <w:pStyle w:val="TableContents"/>
              <w:bidi w:val="0"/>
              <w:spacing w:before="0" w:after="283"/>
              <w:jc w:val="center"/>
              <w:rPr/>
            </w:pPr>
            <w:r>
              <w:rPr/>
              <w:t>As of December 31, 2022</w:t>
            </w:r>
          </w:p>
        </w:tc>
        <w:tc>
          <w:tcPr>
            <w:tcW w:w="81" w:type="dxa"/>
            <w:tcBorders/>
            <w:vAlign w:val="center"/>
          </w:tcPr>
          <w:p>
            <w:pPr>
              <w:pStyle w:val="TableContents"/>
              <w:bidi w:val="0"/>
              <w:spacing w:before="0" w:after="283"/>
              <w:jc w:val="center"/>
              <w:rPr/>
            </w:pPr>
            <w:r>
              <w:rPr/>
              <w:t> </w:t>
            </w:r>
          </w:p>
        </w:tc>
      </w:tr>
      <w:tr>
        <w:trPr/>
        <w:tc>
          <w:tcPr>
            <w:tcW w:w="4214"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bookmarkStart w:id="1273" w:name="xdx_98B_ecustom--LiabilitiesCarryingValu"/>
            <w:bookmarkEnd w:id="1273"/>
          </w:p>
        </w:tc>
        <w:tc>
          <w:tcPr>
            <w:tcW w:w="1403"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1274" w:name="xdx_980_eus-gaap--SharesSubjectToMandato"/>
            <w:bookmarkEnd w:id="1274"/>
          </w:p>
        </w:tc>
        <w:tc>
          <w:tcPr>
            <w:tcW w:w="848"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bookmarkStart w:id="1275" w:name="xdx_98C_eus-gaap--SharesSubjectToMandato"/>
            <w:bookmarkEnd w:id="1275"/>
          </w:p>
        </w:tc>
        <w:tc>
          <w:tcPr>
            <w:tcW w:w="654"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1276" w:name="xdx_988_eus-gaap--SharesSubjectToMandato"/>
            <w:bookmarkEnd w:id="1276"/>
          </w:p>
        </w:tc>
        <w:tc>
          <w:tcPr>
            <w:tcW w:w="7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bookmarkStart w:id="1277" w:name="xdx_98E_eus-gaap--SharesSubjectToMandato"/>
            <w:bookmarkEnd w:id="1277"/>
          </w:p>
        </w:tc>
        <w:tc>
          <w:tcPr>
            <w:tcW w:w="737" w:type="dxa"/>
            <w:tcBorders/>
            <w:shd w:fill="FFFFFF" w:val="cle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r>
        <w:trPr/>
        <w:tc>
          <w:tcPr>
            <w:tcW w:w="4214"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78" w:name="xdx_984_ecustom--LiabilitiesCarryingValu"/>
            <w:bookmarkEnd w:id="1278"/>
          </w:p>
        </w:tc>
        <w:tc>
          <w:tcPr>
            <w:tcW w:w="1403"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79" w:name="xdx_983_eus-gaap--SharesSubjectToMandato"/>
            <w:bookmarkEnd w:id="1279"/>
          </w:p>
        </w:tc>
        <w:tc>
          <w:tcPr>
            <w:tcW w:w="848"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80" w:name="xdx_980_eus-gaap--SharesSubjectToMandato"/>
            <w:bookmarkEnd w:id="1280"/>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81" w:name="xdx_98A_eus-gaap--SharesSubjectToMandato"/>
            <w:bookmarkEnd w:id="1281"/>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282" w:name="xdx_98F_eus-gaap--SharesSubjectToMandato"/>
            <w:bookmarkEnd w:id="1282"/>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3" w:name="xdx_980_ecustom--LiabilitiesCarryingValu"/>
            <w:bookmarkEnd w:id="1283"/>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4" w:name="xdx_985_eus-gaap--SharesSubjectToMandato"/>
            <w:bookmarkEnd w:id="1284"/>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5" w:name="xdx_98B_eus-gaap--SharesSubjectToMandato"/>
            <w:bookmarkEnd w:id="1285"/>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6" w:name="xdx_988_eus-gaap--SharesSubjectToMandato"/>
            <w:bookmarkEnd w:id="1286"/>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87" w:name="xdx_98F_eus-gaap--SharesSubjectToMandato"/>
            <w:bookmarkEnd w:id="1287"/>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88" w:name="xdx_8A2_zPcYMfJTPBPe"/>
      <w:bookmarkEnd w:id="12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March 31, 2023 and December 31, 2022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March 31, 2023 and December 31, 2022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289" w:name="xdx_807_eus-gaap--InventoryDisclosureTex"/>
      <w:bookmarkEnd w:id="1289"/>
      <w:r>
        <w:rPr>
          <w:rFonts w:ascii="Times New Roman;Times;Serif" w:hAnsi="Times New Roman;Times;Serif"/>
          <w:b/>
          <w:i w:val="false"/>
          <w:caps/>
          <w:sz w:val="20"/>
        </w:rPr>
        <w:t xml:space="preserve">NOTE 4 - </w:t>
      </w:r>
      <w:bookmarkStart w:id="1290" w:name="xdx_82C_z2gzs4rOYIW2"/>
      <w:bookmarkEnd w:id="1290"/>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91" w:name="xdx_899_eus-gaap--ScheduleOfInventoryCur"/>
      <w:bookmarkEnd w:id="1291"/>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92" w:name="xdx_8B1_zWEkuZAKALCa"/>
      <w:bookmarkEnd w:id="1292"/>
      <w:r>
        <w:rPr>
          <w:rFonts w:ascii="Times New Roman;Times;Serif" w:hAnsi="Times New Roman;Times;Serif"/>
          <w:b w:val="false"/>
          <w:i w:val="false"/>
          <w:caps w:val="false"/>
          <w:smallCaps w:val="false"/>
          <w:sz w:val="20"/>
        </w:rPr>
        <w:t>SCHEDULE OF INVENTORY </w:t>
      </w:r>
    </w:p>
    <w:tbl>
      <w:tblPr>
        <w:tblW w:w="5173" w:type="dxa"/>
        <w:jc w:val="left"/>
        <w:tblInd w:w="0" w:type="dxa"/>
        <w:tblLayout w:type="fixed"/>
        <w:tblCellMar>
          <w:top w:w="0" w:type="dxa"/>
          <w:left w:w="0" w:type="dxa"/>
          <w:bottom w:w="0" w:type="dxa"/>
          <w:right w:w="0" w:type="dxa"/>
        </w:tblCellMar>
      </w:tblPr>
      <w:tblGrid>
        <w:gridCol w:w="1490"/>
        <w:gridCol w:w="60"/>
        <w:gridCol w:w="262"/>
        <w:gridCol w:w="1272"/>
        <w:gridCol w:w="60"/>
        <w:gridCol w:w="60"/>
        <w:gridCol w:w="321"/>
        <w:gridCol w:w="15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3" w:name="xdx_491_20230331_zZonenmg2m6h"/>
            <w:bookmarkEnd w:id="1293"/>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4" w:name="xdx_496_20221231_zR1sdcuYZc8l"/>
            <w:bookmarkEnd w:id="1294"/>
          </w:p>
        </w:tc>
        <w:tc>
          <w:tcPr>
            <w:tcW w:w="189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75" w:type="dxa"/>
            <w:tcBorders/>
            <w:vAlign w:val="center"/>
          </w:tcPr>
          <w:p>
            <w:pPr>
              <w:pStyle w:val="TableContents"/>
              <w:bidi w:val="0"/>
              <w:spacing w:before="0" w:after="283"/>
              <w:jc w:val="left"/>
              <w:rPr/>
            </w:pPr>
            <w:r>
              <w:rPr/>
              <w:t> </w:t>
            </w:r>
            <w:bookmarkStart w:id="1295" w:name="xdx_404_eus-gaap--InventoryRawMaterials_"/>
            <w:bookmarkEnd w:id="1295"/>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44,310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42,586</w:t>
            </w:r>
          </w:p>
        </w:tc>
        <w:tc>
          <w:tcPr>
            <w:tcW w:w="75" w:type="dxa"/>
            <w:tcBorders/>
            <w:shd w:fill="CCEEFF" w:val="clear"/>
            <w:vAlign w:val="center"/>
          </w:tcPr>
          <w:p>
            <w:pPr>
              <w:pStyle w:val="TableContents"/>
              <w:bidi w:val="0"/>
              <w:spacing w:before="0" w:after="283"/>
              <w:jc w:val="left"/>
              <w:rPr/>
            </w:pPr>
            <w:r>
              <w:rPr/>
              <w:t> </w:t>
            </w:r>
            <w:bookmarkStart w:id="1296" w:name="xdx_401_eus-gaap--InventoryFinishedGoods"/>
            <w:bookmarkEnd w:id="1296"/>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12" w:space="0" w:color="000000"/>
            </w:tcBorders>
            <w:shd w:fill="FFFFFF" w:val="clear"/>
            <w:tcMar>
              <w:bottom w:w="28" w:type="dxa"/>
            </w:tcMar>
            <w:vAlign w:val="center"/>
          </w:tcPr>
          <w:p>
            <w:pPr>
              <w:pStyle w:val="TableContents"/>
              <w:bidi w:val="0"/>
              <w:spacing w:before="0" w:after="283"/>
              <w:jc w:val="right"/>
              <w:rPr/>
            </w:pPr>
            <w:r>
              <w:rPr/>
              <w:t>7,260</w:t>
            </w:r>
          </w:p>
        </w:tc>
        <w:tc>
          <w:tcPr>
            <w:tcW w:w="75" w:type="dxa"/>
            <w:tcBorders/>
            <w:shd w:fill="FFFFFF" w:val="clear"/>
            <w:vAlign w:val="center"/>
          </w:tcPr>
          <w:p>
            <w:pPr>
              <w:pStyle w:val="TableContents"/>
              <w:bidi w:val="0"/>
              <w:spacing w:before="0" w:after="283"/>
              <w:jc w:val="left"/>
              <w:rPr/>
            </w:pPr>
            <w:r>
              <w:rPr/>
              <w:t> </w:t>
            </w:r>
            <w:bookmarkStart w:id="1297" w:name="xdx_40B_eus-gaap--InventoryNet_iTI_pn3n3"/>
            <w:bookmarkEnd w:id="1297"/>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pPr>
            <w:r>
              <w:rPr/>
              <w:t>51,812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49,846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298" w:name="xdx_8AC_zWbst8yh9dP"/>
      <w:bookmarkEnd w:id="1298"/>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bookmarkStart w:id="1299" w:name="xdx_808_eus-gaap--CommitmentsAndContinge"/>
      <w:bookmarkEnd w:id="1299"/>
      <w:r>
        <w:rPr>
          <w:rFonts w:ascii="Times New Roman;Times;Serif" w:hAnsi="Times New Roman;Times;Serif"/>
          <w:b/>
          <w:i w:val="false"/>
          <w:caps/>
          <w:sz w:val="20"/>
        </w:rPr>
        <w:t xml:space="preserve">NOTE 5 - </w:t>
      </w:r>
      <w:bookmarkStart w:id="1300" w:name="xdx_821_zLyamnpR4Nof"/>
      <w:bookmarkEnd w:id="1300"/>
      <w:r>
        <w:rPr>
          <w:rFonts w:ascii="Times New Roman;Times;Serif" w:hAnsi="Times New Roman;Times;Serif"/>
          <w:b/>
          <w:i w:val="false"/>
          <w:caps/>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w:t>
      </w:r>
      <w:bookmarkStart w:id="1301" w:name="xdx_90B_eus-gaap--OperatingLeasePayments"/>
      <w:bookmarkEnd w:id="1301"/>
      <w:r>
        <w:rPr>
          <w:rFonts w:ascii="Times New Roman;Times;Serif" w:hAnsi="Times New Roman;Times;Serif"/>
          <w:b w:val="false"/>
          <w:i w:val="false"/>
          <w:caps w:val="false"/>
          <w:smallCaps w:val="false"/>
          <w:sz w:val="20"/>
        </w:rPr>
        <w:t>111 to $</w:t>
      </w:r>
      <w:bookmarkStart w:id="1302" w:name="xdx_908_eus-gaap--OperatingLeasePayments"/>
      <w:bookmarkEnd w:id="1302"/>
      <w:r>
        <w:rPr>
          <w:rFonts w:ascii="Times New Roman;Times;Serif" w:hAnsi="Times New Roman;Times;Serif"/>
          <w:b w:val="false"/>
          <w:i w:val="false"/>
          <w:caps w:val="false"/>
          <w:smallCaps w:val="false"/>
          <w:sz w:val="20"/>
        </w:rPr>
        <w:t>128. On February 2, 2022, the Company entered into a 124-month lease agreement in Reno, Nevada. The lease calls for monthly base rent of $</w:t>
      </w:r>
      <w:bookmarkStart w:id="1303" w:name="xdx_906_ecustom--LesseeOperatingLeaseMon"/>
      <w:bookmarkEnd w:id="1303"/>
      <w:r>
        <w:rPr>
          <w:rFonts w:ascii="Times New Roman;Times;Serif" w:hAnsi="Times New Roman;Times;Serif"/>
          <w:b w:val="false"/>
          <w:i w:val="false"/>
          <w:caps w:val="false"/>
          <w:smallCaps w:val="false"/>
          <w:sz w:val="20"/>
        </w:rPr>
        <w:t>230, $</w:t>
      </w:r>
      <w:bookmarkStart w:id="1304" w:name="xdx_902_eus-gaap--OperatingLeaseCost_pn3"/>
      <w:bookmarkEnd w:id="1304"/>
      <w:r>
        <w:rPr>
          <w:rFonts w:ascii="Times New Roman;Times;Serif" w:hAnsi="Times New Roman;Times;Serif"/>
          <w:b w:val="false"/>
          <w:i w:val="false"/>
          <w:caps w:val="false"/>
          <w:smallCaps w:val="false"/>
          <w:sz w:val="20"/>
        </w:rPr>
        <w:t>23 of fixed operating expense costs, and estimated monthly property taxes of $</w:t>
      </w:r>
      <w:bookmarkStart w:id="1305" w:name="xdx_90A_ecustom--LesseeOperatingLeaseEst"/>
      <w:bookmarkEnd w:id="1305"/>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1306" w:name="xdx_90B_ecustom--LesseeOperatingLeasePer"/>
      <w:bookmarkEnd w:id="1306"/>
      <w:r>
        <w:rPr>
          <w:rFonts w:ascii="Times New Roman;Times;Serif" w:hAnsi="Times New Roman;Times;Serif"/>
          <w:b w:val="false"/>
          <w:i w:val="false"/>
          <w:caps w:val="false"/>
          <w:smallCaps w:val="false"/>
          <w:sz w:val="20"/>
        </w:rPr>
        <w:t xml:space="preserve">3% and </w:t>
      </w:r>
      <w:bookmarkStart w:id="1307" w:name="xdx_904_ecustom--LesseeOperatingLeasePer"/>
      <w:bookmarkEnd w:id="1307"/>
      <w:r>
        <w:rPr>
          <w:rFonts w:ascii="Times New Roman;Times;Serif" w:hAnsi="Times New Roman;Times;Serif"/>
          <w:b w:val="false"/>
          <w:i w:val="false"/>
          <w:caps w:val="false"/>
          <w:smallCaps w:val="false"/>
          <w:sz w:val="20"/>
        </w:rPr>
        <w:t xml:space="preserve">2.4%, respectively, on an annual basis. The first payment is due upon substantial completion of construction of the building which is expected to be within </w:t>
      </w:r>
      <w:bookmarkStart w:id="1308" w:name="xdx_903_ecustom--LesseeOperatingLeaseTer"/>
      <w:bookmarkEnd w:id="1308"/>
      <w:r>
        <w:rPr>
          <w:rFonts w:ascii="Times New Roman;Times;Serif" w:hAnsi="Times New Roman;Times;Serif"/>
          <w:b w:val="false"/>
          <w:i w:val="false"/>
          <w:caps w:val="false"/>
          <w:smallCaps w:val="false"/>
          <w:sz w:val="20"/>
        </w:rPr>
        <w:t>2 years from the effective date. As of March 31, 2023, the lease has not commenced as the Company does not have control over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09" w:name="xdx_89F_ecustom--DisclosureForBreakoutOf"/>
      <w:bookmarkEnd w:id="1309"/>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10" w:name="xdx_8B8_zUIzlC1yoRo5"/>
      <w:bookmarkEnd w:id="1310"/>
      <w:r>
        <w:rPr>
          <w:rFonts w:ascii="Times New Roman;Times;Serif" w:hAnsi="Times New Roman;Times;Serif"/>
          <w:b w:val="false"/>
          <w:i w:val="false"/>
          <w:caps w:val="false"/>
          <w:smallCaps w:val="false"/>
          <w:sz w:val="20"/>
        </w:rPr>
        <w:t>SCHEDULE OF TABLE REPRESENTING THE BREAKOUT OF THE OPERATING LEASES </w:t>
      </w:r>
    </w:p>
    <w:tbl>
      <w:tblPr>
        <w:tblW w:w="7883" w:type="dxa"/>
        <w:jc w:val="left"/>
        <w:tblInd w:w="0" w:type="dxa"/>
        <w:tblLayout w:type="fixed"/>
        <w:tblCellMar>
          <w:top w:w="0" w:type="dxa"/>
          <w:left w:w="0" w:type="dxa"/>
          <w:bottom w:w="0" w:type="dxa"/>
          <w:right w:w="0" w:type="dxa"/>
        </w:tblCellMar>
      </w:tblPr>
      <w:tblGrid>
        <w:gridCol w:w="3755"/>
        <w:gridCol w:w="60"/>
        <w:gridCol w:w="256"/>
        <w:gridCol w:w="1353"/>
        <w:gridCol w:w="215"/>
        <w:gridCol w:w="60"/>
        <w:gridCol w:w="309"/>
        <w:gridCol w:w="1645"/>
        <w:gridCol w:w="23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1" w:name="xdx_49F_20230331_zACeMGMctnNc"/>
            <w:bookmarkEnd w:id="1311"/>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2" w:name="xdx_495_20221231_zANCg23cSCge"/>
            <w:bookmarkEnd w:id="1312"/>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230" w:type="dxa"/>
            <w:tcBorders/>
            <w:vAlign w:val="center"/>
          </w:tcPr>
          <w:p>
            <w:pPr>
              <w:pStyle w:val="TableContents"/>
              <w:bidi w:val="0"/>
              <w:spacing w:before="0" w:after="283"/>
              <w:jc w:val="left"/>
              <w:rPr/>
            </w:pPr>
            <w:r>
              <w:rPr/>
              <w:t> </w:t>
            </w:r>
            <w:bookmarkStart w:id="1313" w:name="xdx_40E_eus-gaap--OperatingLeaseRightOfU"/>
            <w:bookmarkEnd w:id="1313"/>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4,205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4,513</w:t>
            </w:r>
          </w:p>
        </w:tc>
        <w:tc>
          <w:tcPr>
            <w:tcW w:w="230" w:type="dxa"/>
            <w:tcBorders/>
            <w:shd w:fill="CCEEFF" w:val="clear"/>
            <w:vAlign w:val="center"/>
          </w:tcPr>
          <w:p>
            <w:pPr>
              <w:pStyle w:val="TableContents"/>
              <w:bidi w:val="0"/>
              <w:spacing w:before="0" w:after="283"/>
              <w:jc w:val="left"/>
              <w:rPr/>
            </w:pPr>
            <w:r>
              <w:rPr/>
              <w:t> </w:t>
            </w:r>
            <w:bookmarkStart w:id="1314" w:name="xdx_402_eus-gaap--OperatingLeaseLiabilit"/>
            <w:bookmarkEnd w:id="1314"/>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1,215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1,188</w:t>
            </w:r>
          </w:p>
        </w:tc>
        <w:tc>
          <w:tcPr>
            <w:tcW w:w="230" w:type="dxa"/>
            <w:tcBorders/>
            <w:shd w:fill="FFFFFF" w:val="clear"/>
            <w:vAlign w:val="center"/>
          </w:tcPr>
          <w:p>
            <w:pPr>
              <w:pStyle w:val="TableContents"/>
              <w:bidi w:val="0"/>
              <w:spacing w:before="0" w:after="283"/>
              <w:jc w:val="left"/>
              <w:rPr/>
            </w:pPr>
            <w:r>
              <w:rPr/>
              <w:t> </w:t>
            </w:r>
            <w:bookmarkStart w:id="1315" w:name="xdx_401_eus-gaap--OperatingLeaseLiabilit"/>
            <w:bookmarkEnd w:id="1315"/>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230" w:type="dxa"/>
            <w:tcBorders/>
            <w:shd w:fill="CCEEFF" w:val="clear"/>
            <w:vAlign w:val="center"/>
          </w:tcPr>
          <w:p>
            <w:pPr>
              <w:pStyle w:val="TableContents"/>
              <w:bidi w:val="0"/>
              <w:spacing w:before="0" w:after="283"/>
              <w:jc w:val="left"/>
              <w:rPr/>
            </w:pPr>
            <w:r>
              <w:rPr/>
              <w:t> </w:t>
            </w:r>
            <w:bookmarkStart w:id="1316" w:name="xdx_409_eus-gaap--OperatingLeaseLiabilit"/>
            <w:bookmarkEnd w:id="1316"/>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4,424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pPr>
            <w:r>
              <w:rPr/>
              <w:t>4,729</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sz w:val="20"/>
              </w:rPr>
            </w:pPr>
            <w:bookmarkStart w:id="1317" w:name="xdx_905_eus-gaap--OperatingLeaseWeighted"/>
            <w:bookmarkEnd w:id="1317"/>
            <w:r>
              <w:rPr>
                <w:rFonts w:ascii="Times New Roman;Times;Serif" w:hAnsi="Times New Roman;Times;Serif"/>
                <w:sz w:val="20"/>
              </w:rPr>
              <w:t>3.4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rFonts w:ascii="Times New Roman;Times;Serif" w:hAnsi="Times New Roman;Times;Serif"/>
                <w:sz w:val="20"/>
              </w:rPr>
            </w:pPr>
            <w:bookmarkStart w:id="1318" w:name="xdx_901_eus-gaap--OperatingLeaseWeighted"/>
            <w:bookmarkEnd w:id="1318"/>
            <w:r>
              <w:rPr>
                <w:rFonts w:ascii="Times New Roman;Times;Serif" w:hAnsi="Times New Roman;Times;Serif"/>
                <w:sz w:val="20"/>
              </w:rPr>
              <w:t>3.6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bookmarkStart w:id="1319" w:name="xdx_90A_eus-gaap--OperatingLeaseWeighted"/>
            <w:bookmarkEnd w:id="1319"/>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bookmarkStart w:id="1320" w:name="xdx_90C_eus-gaap--OperatingLeaseWeighted"/>
            <w:bookmarkEnd w:id="1320"/>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321" w:name="xdx_8A2_zzxgsMsbJA4l"/>
      <w:bookmarkEnd w:id="132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2" w:name="xdx_895_eus-gaap--LesseeOperatingLeaseLi"/>
      <w:bookmarkEnd w:id="1322"/>
      <w:r>
        <w:rPr>
          <w:rFonts w:ascii="Times New Roman;Times;Serif" w:hAnsi="Times New Roman;Times;Serif"/>
          <w:b w:val="false"/>
          <w:i w:val="false"/>
          <w:caps w:val="false"/>
          <w:smallCaps w:val="false"/>
          <w:sz w:val="20"/>
        </w:rPr>
        <w:t>At March 31, 2023, the future minimum lease payments under these operating leases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3" w:name="xdx_8BE_zc5dI0pA5wi8"/>
      <w:bookmarkEnd w:id="1323"/>
      <w:r>
        <w:rPr>
          <w:rFonts w:ascii="Times New Roman;Times;Serif" w:hAnsi="Times New Roman;Times;Serif"/>
          <w:b w:val="false"/>
          <w:i w:val="false"/>
          <w:caps w:val="false"/>
          <w:smallCaps w:val="false"/>
          <w:sz w:val="20"/>
        </w:rPr>
        <w:t>SCHEDULE OF THE FUTURE MINIMUM LEASE PAYMENTS UNDER THE OPERATING LEASES </w:t>
      </w:r>
    </w:p>
    <w:tbl>
      <w:tblPr>
        <w:tblW w:w="3895" w:type="dxa"/>
        <w:jc w:val="left"/>
        <w:tblInd w:w="0" w:type="dxa"/>
        <w:tblLayout w:type="fixed"/>
        <w:tblCellMar>
          <w:top w:w="0" w:type="dxa"/>
          <w:left w:w="0" w:type="dxa"/>
          <w:bottom w:w="0" w:type="dxa"/>
          <w:right w:w="0" w:type="dxa"/>
        </w:tblCellMar>
      </w:tblPr>
      <w:tblGrid>
        <w:gridCol w:w="2900"/>
        <w:gridCol w:w="60"/>
        <w:gridCol w:w="172"/>
        <w:gridCol w:w="688"/>
        <w:gridCol w:w="75"/>
      </w:tblGrid>
      <w:tr>
        <w:trPr/>
        <w:tc>
          <w:tcPr>
            <w:tcW w:w="2900" w:type="dxa"/>
            <w:tcBorders/>
            <w:vAlign w:val="center"/>
          </w:tcPr>
          <w:p>
            <w:pPr>
              <w:pStyle w:val="TableContents"/>
              <w:bidi w:val="0"/>
              <w:spacing w:before="0" w:after="283"/>
              <w:jc w:val="left"/>
              <w:rPr>
                <w:b/>
              </w:rPr>
            </w:pPr>
            <w:r>
              <w:rPr>
                <w:b/>
              </w:rPr>
              <w:t>Fiscal Years Ending</w:t>
            </w:r>
          </w:p>
        </w:tc>
        <w:tc>
          <w:tcPr>
            <w:tcW w:w="60" w:type="dxa"/>
            <w:tcBorders/>
            <w:vAlign w:val="center"/>
          </w:tcPr>
          <w:p>
            <w:pPr>
              <w:pStyle w:val="TableContents"/>
              <w:bidi w:val="0"/>
              <w:spacing w:before="0" w:after="283"/>
              <w:jc w:val="left"/>
              <w:rPr/>
            </w:pPr>
            <w:r>
              <w:rPr/>
              <w:t> </w:t>
            </w:r>
            <w:bookmarkStart w:id="1324" w:name="xdx_497_20230331_z8HxzJVxLVB"/>
            <w:bookmarkEnd w:id="1324"/>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1325" w:name="xdx_406_eus-gaap--LesseeOperatingLeaseLi"/>
            <w:bookmarkEnd w:id="1325"/>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December 31, 2023 </w:t>
            </w:r>
            <w:bookmarkStart w:id="1326" w:name="xdx_F43_zLubQUkxsXg"/>
            <w:bookmarkEnd w:id="1326"/>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bookmarkStart w:id="1327" w:name="xdx_402_eus-gaap--LesseeOperatingLeaseLi"/>
            <w:bookmarkEnd w:id="1327"/>
          </w:p>
        </w:tc>
      </w:tr>
      <w:tr>
        <w:trPr/>
        <w:tc>
          <w:tcPr>
            <w:tcW w:w="2900" w:type="dxa"/>
            <w:tcBorders/>
            <w:shd w:fill="FFFFFF" w:val="clear"/>
            <w:vAlign w:val="center"/>
          </w:tcPr>
          <w:p>
            <w:pPr>
              <w:pStyle w:val="TableContents"/>
              <w:bidi w:val="0"/>
              <w:spacing w:before="0" w:after="283"/>
              <w:jc w:val="left"/>
              <w:rPr/>
            </w:pPr>
            <w:r>
              <w:rPr/>
              <w:t>December 31, 2024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1,435</w:t>
            </w:r>
          </w:p>
        </w:tc>
        <w:tc>
          <w:tcPr>
            <w:tcW w:w="75" w:type="dxa"/>
            <w:tcBorders/>
            <w:shd w:fill="FFFFFF" w:val="clear"/>
            <w:vAlign w:val="center"/>
          </w:tcPr>
          <w:p>
            <w:pPr>
              <w:pStyle w:val="TableContents"/>
              <w:bidi w:val="0"/>
              <w:spacing w:before="0" w:after="283"/>
              <w:jc w:val="left"/>
              <w:rPr/>
            </w:pPr>
            <w:r>
              <w:rPr/>
              <w:t> </w:t>
            </w:r>
            <w:bookmarkStart w:id="1328" w:name="xdx_403_eus-gaap--LesseeOperatingLeaseLi"/>
            <w:bookmarkEnd w:id="1328"/>
          </w:p>
        </w:tc>
      </w:tr>
      <w:tr>
        <w:trPr/>
        <w:tc>
          <w:tcPr>
            <w:tcW w:w="290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bookmarkStart w:id="1329" w:name="xdx_402_eus-gaap--LesseeOperatingLeaseLi"/>
            <w:bookmarkEnd w:id="1329"/>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893</w:t>
            </w:r>
          </w:p>
        </w:tc>
        <w:tc>
          <w:tcPr>
            <w:tcW w:w="75" w:type="dxa"/>
            <w:tcBorders/>
            <w:shd w:fill="FFFFFF" w:val="clear"/>
            <w:vAlign w:val="center"/>
          </w:tcPr>
          <w:p>
            <w:pPr>
              <w:pStyle w:val="TableContents"/>
              <w:bidi w:val="0"/>
              <w:spacing w:before="0" w:after="283"/>
              <w:jc w:val="left"/>
              <w:rPr/>
            </w:pPr>
            <w:r>
              <w:rPr/>
              <w:t> </w:t>
            </w:r>
            <w:bookmarkStart w:id="1330" w:name="xdx_408_eus-gaap--LesseeOperatingLeaseLi"/>
            <w:bookmarkEnd w:id="1330"/>
          </w:p>
        </w:tc>
      </w:tr>
      <w:tr>
        <w:trPr/>
        <w:tc>
          <w:tcPr>
            <w:tcW w:w="290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4,817</w:t>
            </w:r>
          </w:p>
        </w:tc>
        <w:tc>
          <w:tcPr>
            <w:tcW w:w="75" w:type="dxa"/>
            <w:tcBorders/>
            <w:shd w:fill="CCEEFF" w:val="clear"/>
            <w:vAlign w:val="center"/>
          </w:tcPr>
          <w:p>
            <w:pPr>
              <w:pStyle w:val="TableContents"/>
              <w:bidi w:val="0"/>
              <w:spacing w:before="0" w:after="283"/>
              <w:jc w:val="left"/>
              <w:rPr/>
            </w:pPr>
            <w:r>
              <w:rPr/>
              <w:t> </w:t>
            </w:r>
            <w:bookmarkStart w:id="1331" w:name="xdx_40E_eus-gaap--LesseeOperatingLeaseLi"/>
            <w:bookmarkEnd w:id="1331"/>
          </w:p>
        </w:tc>
      </w:tr>
      <w:tr>
        <w:trPr/>
        <w:tc>
          <w:tcPr>
            <w:tcW w:w="290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393</w:t>
            </w:r>
          </w:p>
        </w:tc>
        <w:tc>
          <w:tcPr>
            <w:tcW w:w="75" w:type="dxa"/>
            <w:tcBorders/>
            <w:shd w:fill="FFFFFF" w:val="clear"/>
            <w:vAlign w:val="center"/>
          </w:tcPr>
          <w:p>
            <w:pPr>
              <w:pStyle w:val="TableContents"/>
              <w:bidi w:val="0"/>
              <w:spacing w:before="0" w:after="283"/>
              <w:jc w:val="left"/>
              <w:rPr/>
            </w:pPr>
            <w:r>
              <w:rPr/>
              <w:t> </w:t>
            </w:r>
            <w:bookmarkStart w:id="1332" w:name="xdx_40A_eus-gaap--OperatingLeaseLiabilit"/>
            <w:bookmarkEnd w:id="1332"/>
          </w:p>
        </w:tc>
      </w:tr>
      <w:tr>
        <w:trPr/>
        <w:tc>
          <w:tcPr>
            <w:tcW w:w="2900"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4,424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4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33" w:name="xdx_F0E_zpHGWEZY1tpj"/>
            <w:bookmarkEnd w:id="1333"/>
            <w:r>
              <w:rPr>
                <w:rFonts w:ascii="Times New Roman;Times;Serif" w:hAnsi="Times New Roman;Times;Serif"/>
                <w:b w:val="false"/>
                <w:i w:val="false"/>
                <w:caps w:val="false"/>
                <w:smallCaps w:val="false"/>
                <w:sz w:val="20"/>
              </w:rPr>
              <w:t>(1)</w:t>
            </w:r>
          </w:p>
        </w:tc>
        <w:tc>
          <w:tcPr>
            <w:tcW w:w="7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34" w:name="xdx_F13_zEj5NSdn3Xrb"/>
            <w:bookmarkEnd w:id="1334"/>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left"/>
        <w:rPr>
          <w:caps w:val="false"/>
          <w:smallCaps w:val="false"/>
        </w:rPr>
      </w:pPr>
      <w:bookmarkStart w:id="1335" w:name="xdx_8A4_zfFYfAITIaFe"/>
      <w:bookmarkEnd w:id="1335"/>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336" w:name="xdx_8B1_zg9bHaXMkWxc"/>
      <w:bookmarkStart w:id="1337" w:name="xdx_894_eus-gaap--LeaseCostTableTextBloc"/>
      <w:bookmarkEnd w:id="1336"/>
      <w:bookmarkEnd w:id="1337"/>
      <w:r>
        <w:rPr>
          <w:rFonts w:ascii="Times New Roman;Times;Serif" w:hAnsi="Times New Roman;Times;Serif"/>
          <w:b w:val="false"/>
          <w:i w:val="false"/>
          <w:caps w:val="false"/>
          <w:smallCaps w:val="false"/>
          <w:sz w:val="20"/>
        </w:rPr>
        <w:t>SCHEDULE OF LEASE COST </w:t>
      </w:r>
    </w:p>
    <w:tbl>
      <w:tblPr>
        <w:tblW w:w="8043" w:type="dxa"/>
        <w:jc w:val="left"/>
        <w:tblInd w:w="0" w:type="dxa"/>
        <w:tblLayout w:type="fixed"/>
        <w:tblCellMar>
          <w:top w:w="0" w:type="dxa"/>
          <w:left w:w="0" w:type="dxa"/>
          <w:bottom w:w="28" w:type="dxa"/>
          <w:right w:w="0" w:type="dxa"/>
        </w:tblCellMar>
      </w:tblPr>
      <w:tblGrid>
        <w:gridCol w:w="1940"/>
        <w:gridCol w:w="60"/>
        <w:gridCol w:w="2570"/>
        <w:gridCol w:w="60"/>
        <w:gridCol w:w="433"/>
        <w:gridCol w:w="1176"/>
        <w:gridCol w:w="60"/>
        <w:gridCol w:w="60"/>
        <w:gridCol w:w="433"/>
        <w:gridCol w:w="1176"/>
        <w:gridCol w:w="75"/>
      </w:tblGrid>
      <w:tr>
        <w:trPr/>
        <w:tc>
          <w:tcPr>
            <w:tcW w:w="194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cost</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2022</w:t>
            </w:r>
          </w:p>
        </w:tc>
        <w:tc>
          <w:tcPr>
            <w:tcW w:w="75" w:type="dxa"/>
            <w:tcBorders/>
            <w:tcMar>
              <w:bottom w:w="0" w:type="dxa"/>
            </w:tcMar>
            <w:vAlign w:val="center"/>
          </w:tcPr>
          <w:p>
            <w:pPr>
              <w:pStyle w:val="TableContents"/>
              <w:bidi w:val="0"/>
              <w:spacing w:before="0" w:after="283"/>
              <w:jc w:val="center"/>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bookmarkStart w:id="1338" w:name="xdx_98B_eus-gaap--OperatingLeaseCost_pn3"/>
            <w:bookmarkEnd w:id="1338"/>
          </w:p>
        </w:tc>
        <w:tc>
          <w:tcPr>
            <w:tcW w:w="1176" w:type="dxa"/>
            <w:tcBorders/>
            <w:shd w:fill="CCEEFF" w:val="clear"/>
            <w:tcMar>
              <w:bottom w:w="0" w:type="dxa"/>
            </w:tcMar>
            <w:vAlign w:val="center"/>
          </w:tcPr>
          <w:p>
            <w:pPr>
              <w:pStyle w:val="TableContents"/>
              <w:bidi w:val="0"/>
              <w:spacing w:before="0" w:after="283"/>
              <w:jc w:val="right"/>
              <w:rPr/>
            </w:pPr>
            <w:r>
              <w:rPr/>
              <w:t>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bookmarkStart w:id="1339" w:name="xdx_98C_eus-gaap--OperatingLeaseCost_pn3"/>
            <w:bookmarkEnd w:id="1339"/>
          </w:p>
        </w:tc>
        <w:tc>
          <w:tcPr>
            <w:tcW w:w="1176" w:type="dxa"/>
            <w:tcBorders/>
            <w:shd w:fill="CCEEFF" w:val="clear"/>
            <w:tcMar>
              <w:bottom w:w="0" w:type="dxa"/>
            </w:tcMar>
            <w:vAlign w:val="center"/>
          </w:tcPr>
          <w:p>
            <w:pPr>
              <w:pStyle w:val="TableContents"/>
              <w:bidi w:val="0"/>
              <w:spacing w:before="0" w:after="283"/>
              <w:jc w:val="right"/>
              <w:rPr/>
            </w:pPr>
            <w:r>
              <w:rPr/>
              <w:t>172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bookmarkStart w:id="1340" w:name="xdx_988_eus-gaap--OperatingLeaseCost_pn3"/>
            <w:bookmarkEnd w:id="1340"/>
          </w:p>
        </w:tc>
        <w:tc>
          <w:tcPr>
            <w:tcW w:w="1176" w:type="dxa"/>
            <w:tcBorders/>
            <w:shd w:fill="FFFFFF" w:val="clear"/>
            <w:tcMar>
              <w:bottom w:w="0" w:type="dxa"/>
            </w:tcMar>
            <w:vAlign w:val="center"/>
          </w:tcPr>
          <w:p>
            <w:pPr>
              <w:pStyle w:val="TableContents"/>
              <w:bidi w:val="0"/>
              <w:spacing w:before="0" w:after="283"/>
              <w:jc w:val="righ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bookmarkStart w:id="1341" w:name="xdx_985_eus-gaap--OperatingLeaseCost_pn3"/>
            <w:bookmarkEnd w:id="1341"/>
          </w:p>
        </w:tc>
        <w:tc>
          <w:tcPr>
            <w:tcW w:w="1176" w:type="dxa"/>
            <w:tcBorders/>
            <w:shd w:fill="FFFFFF" w:val="clear"/>
            <w:tcMar>
              <w:bottom w:w="0" w:type="dxa"/>
            </w:tcMar>
            <w:vAlign w:val="center"/>
          </w:tcPr>
          <w:p>
            <w:pPr>
              <w:pStyle w:val="TableContents"/>
              <w:bidi w:val="0"/>
              <w:spacing w:before="0" w:after="283"/>
              <w:jc w:val="right"/>
              <w:rPr/>
            </w:pPr>
            <w:r>
              <w:rPr/>
              <w:t>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bookmarkStart w:id="1342" w:name="xdx_982_eus-gaap--OperatingLeaseCost_pn3"/>
            <w:bookmarkEnd w:id="1342"/>
          </w:p>
        </w:tc>
        <w:tc>
          <w:tcPr>
            <w:tcW w:w="1176"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bookmarkStart w:id="1343" w:name="xdx_980_eus-gaap--OperatingLeaseCost_pn3"/>
            <w:bookmarkEnd w:id="1343"/>
          </w:p>
        </w:tc>
        <w:tc>
          <w:tcPr>
            <w:tcW w:w="1176"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bookmarkStart w:id="1344" w:name="xdx_981_eus-gaap--OperatingLeaseCost_pn3"/>
            <w:bookmarkEnd w:id="1344"/>
          </w:p>
        </w:tc>
        <w:tc>
          <w:tcPr>
            <w:tcW w:w="1176" w:type="dxa"/>
            <w:tcBorders>
              <w:bottom w:val="double" w:sz="6" w:space="0" w:color="000000"/>
            </w:tcBorders>
            <w:shd w:fill="FFFFFF" w:val="cle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bookmarkStart w:id="1345" w:name="xdx_989_eus-gaap--OperatingLeaseCost_pn3"/>
            <w:bookmarkEnd w:id="1345"/>
          </w:p>
        </w:tc>
        <w:tc>
          <w:tcPr>
            <w:tcW w:w="1176" w:type="dxa"/>
            <w:tcBorders>
              <w:bottom w:val="double" w:sz="6" w:space="0" w:color="000000"/>
            </w:tcBorders>
            <w:shd w:fill="FFFFFF" w:val="clear"/>
            <w:vAlign w:val="center"/>
          </w:tcPr>
          <w:p>
            <w:pPr>
              <w:pStyle w:val="TableContents"/>
              <w:bidi w:val="0"/>
              <w:spacing w:before="0" w:after="283"/>
              <w:jc w:val="right"/>
              <w:rPr/>
            </w:pPr>
            <w:r>
              <w:rPr/>
              <w:t>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bookmarkStart w:id="1346" w:name="xdx_980_eus-gaap--OperatingLeaseCost_pn3"/>
            <w:bookmarkEnd w:id="1346"/>
          </w:p>
        </w:tc>
        <w:tc>
          <w:tcPr>
            <w:tcW w:w="1176" w:type="dxa"/>
            <w:tcBorders>
              <w:bottom w:val="double" w:sz="6" w:space="0" w:color="000000"/>
            </w:tcBorders>
            <w:shd w:fill="CCEEFF" w:val="clear"/>
            <w:vAlign w:val="center"/>
          </w:tcPr>
          <w:p>
            <w:pPr>
              <w:pStyle w:val="TableContents"/>
              <w:bidi w:val="0"/>
              <w:spacing w:before="0" w:after="283"/>
              <w:jc w:val="right"/>
              <w:rPr/>
            </w:pPr>
            <w:r>
              <w:rPr/>
              <w:t>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bookmarkStart w:id="1347" w:name="xdx_980_eus-gaap--OperatingLeaseCost_pn3"/>
            <w:bookmarkEnd w:id="1347"/>
          </w:p>
        </w:tc>
        <w:tc>
          <w:tcPr>
            <w:tcW w:w="1176" w:type="dxa"/>
            <w:tcBorders>
              <w:bottom w:val="double" w:sz="6" w:space="0" w:color="000000"/>
            </w:tcBorders>
            <w:shd w:fill="CCEEFF" w:val="clear"/>
            <w:vAlign w:val="center"/>
          </w:tcPr>
          <w:p>
            <w:pPr>
              <w:pStyle w:val="TableContents"/>
              <w:bidi w:val="0"/>
              <w:spacing w:before="0" w:after="283"/>
              <w:jc w:val="right"/>
              <w:rPr/>
            </w:pPr>
            <w:r>
              <w:rPr/>
              <w:t>215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48" w:name="xdx_8A9_zVXVzmdM6V12"/>
      <w:bookmarkEnd w:id="134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former holders of shares of Legacy Dragonfly common stock (including shares received as a result of the conversion of Legacy Dragonfly Preferred Stock into New Dragonfly Common Stock) are entitled to receive their pro rata share of up to </w:t>
      </w:r>
      <w:bookmarkStart w:id="1349" w:name="xdx_90E_ecustom--BusinessAcquisitionEqui"/>
      <w:bookmarkEnd w:id="1349"/>
      <w:r>
        <w:rPr>
          <w:rFonts w:ascii="Times New Roman;Times;Serif" w:hAnsi="Times New Roman;Times;Serif"/>
          <w:b w:val="false"/>
          <w:i w:val="false"/>
          <w:caps w:val="false"/>
          <w:smallCaps w:val="false"/>
          <w:sz w:val="20"/>
        </w:rPr>
        <w:t xml:space="preserve">40,000,000 additional shares of common stock (the “Earnout Shares”). The Earnout Shares are issuable in three tranches. The first tranche of </w:t>
      </w:r>
      <w:bookmarkStart w:id="1350" w:name="xdx_900_ecustom--EarnoutSharesIssuable_i"/>
      <w:bookmarkEnd w:id="1350"/>
      <w:r>
        <w:rPr>
          <w:rFonts w:ascii="Times New Roman;Times;Serif" w:hAnsi="Times New Roman;Times;Serif"/>
          <w:b w:val="false"/>
          <w:i w:val="false"/>
          <w:caps w:val="false"/>
          <w:smallCaps w:val="false"/>
          <w:sz w:val="20"/>
        </w:rPr>
        <w:t>15,000,000 shares is issuable if New Dragonfly’s 2023 total audited revenue is equal to or greater than $</w:t>
      </w:r>
      <w:bookmarkStart w:id="1351" w:name="xdx_90B_ecustom--AuditedRevenue_pn3n3_c2"/>
      <w:bookmarkEnd w:id="1351"/>
      <w:r>
        <w:rPr>
          <w:rFonts w:ascii="Times New Roman;Times;Serif" w:hAnsi="Times New Roman;Times;Serif"/>
          <w:b w:val="false"/>
          <w:i w:val="false"/>
          <w:caps w:val="false"/>
          <w:smallCaps w:val="false"/>
          <w:sz w:val="20"/>
        </w:rPr>
        <w:t>250,000 and New Dragonfly’s 2023 audited operating income is equal to or greater than $</w:t>
      </w:r>
      <w:bookmarkStart w:id="1352" w:name="xdx_908_ecustom--AuditedOperatingIncome_"/>
      <w:bookmarkEnd w:id="1352"/>
      <w:r>
        <w:rPr>
          <w:rFonts w:ascii="Times New Roman;Times;Serif" w:hAnsi="Times New Roman;Times;Serif"/>
          <w:b w:val="false"/>
          <w:i w:val="false"/>
          <w:caps w:val="false"/>
          <w:smallCaps w:val="false"/>
          <w:sz w:val="20"/>
        </w:rPr>
        <w:t xml:space="preserve">35,000. The second tranche of </w:t>
      </w:r>
      <w:bookmarkStart w:id="1353" w:name="xdx_904_ecustom--EarnoutSharesIssuable_i"/>
      <w:bookmarkEnd w:id="1353"/>
      <w:r>
        <w:rPr>
          <w:rFonts w:ascii="Times New Roman;Times;Serif" w:hAnsi="Times New Roman;Times;Serif"/>
          <w:b w:val="false"/>
          <w:i w:val="false"/>
          <w:caps w:val="false"/>
          <w:smallCaps w:val="false"/>
          <w:sz w:val="20"/>
        </w:rPr>
        <w:t>12,500,000 shares is issuable upon achieving a volume-weighted average trading price threshold of at least $</w:t>
      </w:r>
      <w:bookmarkStart w:id="1354" w:name="xdx_909_ecustom--VolumeWeightedAveragePr"/>
      <w:bookmarkEnd w:id="1354"/>
      <w:r>
        <w:rPr>
          <w:rFonts w:ascii="Times New Roman;Times;Serif" w:hAnsi="Times New Roman;Times;Serif"/>
          <w:b w:val="false"/>
          <w:i w:val="false"/>
          <w:caps w:val="false"/>
          <w:smallCaps w:val="false"/>
          <w:sz w:val="20"/>
        </w:rPr>
        <w:t xml:space="preserve">22.50 on or prior to December 31, 2026 and the third tranche of </w:t>
      </w:r>
      <w:bookmarkStart w:id="1355" w:name="xdx_903_ecustom--EarnoutSharesIssuable_i"/>
      <w:bookmarkEnd w:id="1355"/>
      <w:r>
        <w:rPr>
          <w:rFonts w:ascii="Times New Roman;Times;Serif" w:hAnsi="Times New Roman;Times;Serif"/>
          <w:b w:val="false"/>
          <w:i w:val="false"/>
          <w:caps w:val="false"/>
          <w:smallCaps w:val="false"/>
          <w:sz w:val="20"/>
        </w:rPr>
        <w:t>12,500,000 is issuable upon achieving a volume-weighted average trading price threshold of at least $</w:t>
      </w:r>
      <w:bookmarkStart w:id="1356" w:name="xdx_903_ecustom--VolumeWeightedAveragePr"/>
      <w:bookmarkEnd w:id="1356"/>
      <w:r>
        <w:rPr>
          <w:rFonts w:ascii="Times New Roman;Times;Serif" w:hAnsi="Times New Roman;Times;Serif"/>
          <w:b w:val="false"/>
          <w:i w:val="false"/>
          <w:caps w:val="false"/>
          <w:smallCaps w:val="false"/>
          <w:sz w:val="20"/>
        </w:rPr>
        <w:t>32.50 on or prior to December 31, 2028. To the extent not previously earned, the second tranche is issuable if the $</w:t>
      </w:r>
      <w:bookmarkStart w:id="1357" w:name="xdx_909_ecustom--VolumeWeightedAveragePr"/>
      <w:bookmarkEnd w:id="1357"/>
      <w:r>
        <w:rPr>
          <w:rFonts w:ascii="Times New Roman;Times;Serif" w:hAnsi="Times New Roman;Times;Serif"/>
          <w:b w:val="false"/>
          <w:i w:val="false"/>
          <w:caps w:val="false"/>
          <w:smallCaps w:val="false"/>
          <w:sz w:val="20"/>
        </w:rPr>
        <w:t>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1358" w:name="xdx_80D_eus-gaap--DebtDisclosureTextBloc"/>
      <w:bookmarkEnd w:id="1358"/>
      <w:r>
        <w:rPr>
          <w:rFonts w:ascii="Times New Roman;Times;Serif" w:hAnsi="Times New Roman;Times;Serif"/>
          <w:b/>
          <w:i w:val="false"/>
          <w:caps/>
          <w:sz w:val="20"/>
        </w:rPr>
        <w:t xml:space="preserve">NOTE 6 - </w:t>
      </w:r>
      <w:bookmarkStart w:id="1359" w:name="xdx_82B_zQ5cDH08FZtk"/>
      <w:bookmarkEnd w:id="1359"/>
      <w:r>
        <w:rPr>
          <w:rFonts w:ascii="Times New Roman;Times;Serif" w:hAnsi="Times New Roman;Times;Serif"/>
          <w:b/>
          <w:i w:val="false"/>
          <w:caps/>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w:t>
      </w:r>
      <w:bookmarkStart w:id="1360" w:name="xdx_90F_eus-gaap--DebtInstrumentFaceAmou"/>
      <w:bookmarkEnd w:id="1360"/>
      <w:r>
        <w:rPr>
          <w:rFonts w:ascii="Times New Roman;Times;Serif" w:hAnsi="Times New Roman;Times;Serif"/>
          <w:b w:val="false"/>
          <w:i w:val="false"/>
          <w:caps w:val="false"/>
          <w:smallCaps w:val="false"/>
          <w:sz w:val="20"/>
        </w:rPr>
        <w:t>45,000 in fixed rate senior notes (Series 2021 6 Notes) pursuant to a Trust Indenture held by UMB Bank, as trustee and disbursing agent, and Newlight Capital, LLC as servicer. The trust and debt documents also require a Lender Collateral Residual Value Insurance Policy (the “Insurance Policy”, with UMB Bank as named insured for $</w:t>
      </w:r>
      <w:bookmarkStart w:id="1361" w:name="xdx_90E_ecustom--DebtInstrumentInsuredAm"/>
      <w:bookmarkEnd w:id="1361"/>
      <w:r>
        <w:rPr>
          <w:rFonts w:ascii="Times New Roman;Times;Serif" w:hAnsi="Times New Roman;Times;Serif"/>
          <w:b w:val="false"/>
          <w:i w:val="false"/>
          <w:caps w:val="false"/>
          <w:smallCaps w:val="false"/>
          <w:sz w:val="20"/>
        </w:rPr>
        <w:t>45,000), and a placement agent, which is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w:t>
      </w:r>
      <w:bookmarkStart w:id="1362" w:name="xdx_90B_eus-gaap--GainsLossesOnExtinguis"/>
      <w:bookmarkEnd w:id="1362"/>
      <w:r>
        <w:rPr>
          <w:rFonts w:ascii="Times New Roman;Times;Serif" w:hAnsi="Times New Roman;Times;Serif"/>
          <w:b w:val="false"/>
          <w:i w:val="false"/>
          <w:caps w:val="false"/>
          <w:smallCaps w:val="false"/>
          <w:sz w:val="20"/>
        </w:rPr>
        <w:t>4,824 was recognized upon settlement. During the three months ended March 31, 2022, a total of $</w:t>
      </w:r>
      <w:bookmarkStart w:id="1363" w:name="xdx_905_eus-gaap--InterestExpense_pn3n3_"/>
      <w:bookmarkEnd w:id="1363"/>
      <w:r>
        <w:rPr>
          <w:rFonts w:ascii="Times New Roman;Times;Serif" w:hAnsi="Times New Roman;Times;Serif"/>
          <w:b w:val="false"/>
          <w:i w:val="false"/>
          <w:caps w:val="false"/>
          <w:smallCaps w:val="false"/>
          <w:sz w:val="20"/>
        </w:rPr>
        <w:t>619 of interest expense was incurred under the debt. Amortization of the debt issuance costs amounted to $</w:t>
      </w:r>
      <w:bookmarkStart w:id="1364" w:name="xdx_906_eus-gaap--AmortizationOfFinancin"/>
      <w:bookmarkEnd w:id="1364"/>
      <w:r>
        <w:rPr>
          <w:rFonts w:ascii="Times New Roman;Times;Serif" w:hAnsi="Times New Roman;Times;Serif"/>
          <w:b w:val="false"/>
          <w:i w:val="false"/>
          <w:caps w:val="false"/>
          <w:smallCaps w:val="false"/>
          <w:sz w:val="20"/>
        </w:rPr>
        <w:t>613 during the three months ended March 31,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w:t>
      </w:r>
      <w:bookmarkStart w:id="1365" w:name="xdx_902_ecustom--DebtInstrumentAmortizat"/>
      <w:bookmarkEnd w:id="1365"/>
      <w:r>
        <w:rPr>
          <w:rFonts w:ascii="Times New Roman;Times;Serif" w:hAnsi="Times New Roman;Times;Serif"/>
          <w:b w:val="false"/>
          <w:i w:val="false"/>
          <w:caps w:val="false"/>
          <w:smallCaps w:val="false"/>
          <w:sz w:val="20"/>
        </w:rPr>
        <w:t>5% per annum (or $</w:t>
      </w:r>
      <w:bookmarkStart w:id="1366" w:name="xdx_908_ecustom--DebtInstrumentAmortizat"/>
      <w:bookmarkEnd w:id="1366"/>
      <w:r>
        <w:rPr>
          <w:rFonts w:ascii="Times New Roman;Times;Serif" w:hAnsi="Times New Roman;Times;Serif"/>
          <w:b w:val="false"/>
          <w:i w:val="false"/>
          <w:caps w:val="false"/>
          <w:smallCaps w:val="false"/>
          <w:sz w:val="20"/>
        </w:rPr>
        <w:t xml:space="preserve">937.5 on the first day of each calendar quarter) beginning </w:t>
      </w:r>
      <w:bookmarkStart w:id="1367" w:name="xdx_90D_ecustom--DebtInstrumentAmortizat"/>
      <w:bookmarkEnd w:id="1367"/>
      <w:r>
        <w:rPr>
          <w:rFonts w:ascii="Times New Roman;Times;Serif" w:hAnsi="Times New Roman;Times;Serif"/>
          <w:b w:val="false"/>
          <w:i w:val="false"/>
          <w:caps w:val="false"/>
          <w:smallCaps w:val="false"/>
          <w:sz w:val="20"/>
        </w:rPr>
        <w:t xml:space="preserve">24 months after the Closing Date and matures on the fourth anniversary of the Closing Date (“Maturity Date”). The Term Loan accrues interest (i) until April 1, 2023, at a per annum rate equal to the adjusted Secured Overnight Financing Rate (“SOFR”) plus a margin equal to </w:t>
      </w:r>
      <w:bookmarkStart w:id="1368" w:name="xdx_906_eus-gaap--DebtInstrumentBasisSpr"/>
      <w:bookmarkEnd w:id="1368"/>
      <w:r>
        <w:rPr>
          <w:rFonts w:ascii="Times New Roman;Times;Serif" w:hAnsi="Times New Roman;Times;Serif"/>
          <w:b w:val="false"/>
          <w:i w:val="false"/>
          <w:caps w:val="false"/>
          <w:smallCaps w:val="false"/>
          <w:sz w:val="20"/>
        </w:rPr>
        <w:t xml:space="preserve">13.5%, of which </w:t>
      </w:r>
      <w:bookmarkStart w:id="1369" w:name="xdx_900_ecustom--DebtInstrumentBasisSpre"/>
      <w:bookmarkEnd w:id="1369"/>
      <w:r>
        <w:rPr>
          <w:rFonts w:ascii="Times New Roman;Times;Serif" w:hAnsi="Times New Roman;Times;Serif"/>
          <w:b w:val="false"/>
          <w:i w:val="false"/>
          <w:caps w:val="false"/>
          <w:smallCaps w:val="false"/>
          <w:sz w:val="20"/>
        </w:rPr>
        <w:t xml:space="preserve">7% will be payable in cash and </w:t>
      </w:r>
      <w:bookmarkStart w:id="1370" w:name="xdx_908_ecustom--DebtInstrumentBasisSpre"/>
      <w:bookmarkEnd w:id="1370"/>
      <w:r>
        <w:rPr>
          <w:rFonts w:ascii="Times New Roman;Times;Serif" w:hAnsi="Times New Roman;Times;Serif"/>
          <w:b w:val="false"/>
          <w:i w:val="false"/>
          <w:caps w:val="false"/>
          <w:smallCaps w:val="false"/>
          <w:sz w:val="20"/>
        </w:rPr>
        <w:t xml:space="preserve">6.5% will be paid in kind, (ii) thereafter until October 1, 2024, at a per annum rate equal to adjusted SOFR plus </w:t>
      </w:r>
      <w:bookmarkStart w:id="1371" w:name="xdx_906_ecustom--DebtInstrumentBasisSpre"/>
      <w:bookmarkEnd w:id="1371"/>
      <w:r>
        <w:rPr>
          <w:rFonts w:ascii="Times New Roman;Times;Serif" w:hAnsi="Times New Roman;Times;Serif"/>
          <w:b w:val="false"/>
          <w:i w:val="false"/>
          <w:caps w:val="false"/>
          <w:smallCaps w:val="false"/>
          <w:sz w:val="20"/>
        </w:rPr>
        <w:t xml:space="preserve">7% payable in cash plus an amount ranging from </w:t>
      </w:r>
      <w:bookmarkStart w:id="1372" w:name="xdx_906_ecustom--DebtInstrumentBasisSpre"/>
      <w:bookmarkEnd w:id="1372"/>
      <w:r>
        <w:rPr>
          <w:rFonts w:ascii="Times New Roman;Times;Serif" w:hAnsi="Times New Roman;Times;Serif"/>
          <w:b w:val="false"/>
          <w:i w:val="false"/>
          <w:caps w:val="false"/>
          <w:smallCaps w:val="false"/>
          <w:sz w:val="20"/>
        </w:rPr>
        <w:t xml:space="preserve">4.5% to </w:t>
      </w:r>
      <w:bookmarkStart w:id="1373" w:name="xdx_900_ecustom--DebtInstrumentBasisSpre"/>
      <w:bookmarkEnd w:id="1373"/>
      <w:r>
        <w:rPr>
          <w:rFonts w:ascii="Times New Roman;Times;Serif" w:hAnsi="Times New Roman;Times;Serif"/>
          <w:b w:val="false"/>
          <w:i w:val="false"/>
          <w:caps w:val="false"/>
          <w:smallCaps w:val="false"/>
          <w:sz w:val="20"/>
        </w:rPr>
        <w:t xml:space="preserve">6.5%, depending on the senior leverage ratio of the consolidated company, which will be paid in kind and (iii) at all times thereafter, at a per annum rate equal to adjusted SOFR plus a margin ranging from </w:t>
      </w:r>
      <w:bookmarkStart w:id="1374" w:name="xdx_90F_ecustom--DebtInstrumentBasisSpre"/>
      <w:bookmarkEnd w:id="1374"/>
      <w:r>
        <w:rPr>
          <w:rFonts w:ascii="Times New Roman;Times;Serif" w:hAnsi="Times New Roman;Times;Serif"/>
          <w:b w:val="false"/>
          <w:i w:val="false"/>
          <w:caps w:val="false"/>
          <w:smallCaps w:val="false"/>
          <w:sz w:val="20"/>
        </w:rPr>
        <w:t xml:space="preserve">11.5% to </w:t>
      </w:r>
      <w:bookmarkStart w:id="1375" w:name="xdx_90F_ecustom--DebtInstrumentBasisSpre"/>
      <w:bookmarkEnd w:id="1375"/>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1376" w:name="xdx_900_eus-gaap--DebtInstrumentBasisSpr"/>
      <w:bookmarkEnd w:id="1376"/>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a total of $</w:t>
      </w:r>
      <w:bookmarkStart w:id="1377" w:name="xdx_907_eus-gaap--InterestExpenseDebtExc"/>
      <w:bookmarkEnd w:id="1377"/>
      <w:r>
        <w:rPr>
          <w:rFonts w:ascii="Times New Roman;Times;Serif" w:hAnsi="Times New Roman;Times;Serif"/>
          <w:b w:val="false"/>
          <w:i w:val="false"/>
          <w:caps w:val="false"/>
          <w:smallCaps w:val="false"/>
          <w:sz w:val="20"/>
        </w:rPr>
        <w:t>3,496 of interest expense was incurred under the debt. Amortization of the debt issuance costs amounted to $</w:t>
      </w:r>
      <w:bookmarkStart w:id="1378" w:name="xdx_908_eus-gaap--AmortizationOfFinancin"/>
      <w:bookmarkEnd w:id="1378"/>
      <w:r>
        <w:rPr>
          <w:rFonts w:ascii="Times New Roman;Times;Serif" w:hAnsi="Times New Roman;Times;Serif"/>
          <w:b w:val="false"/>
          <w:i w:val="false"/>
          <w:caps w:val="false"/>
          <w:smallCaps w:val="false"/>
          <w:sz w:val="20"/>
        </w:rPr>
        <w:t>219 during the three months ended March 31, 2023. The carrying balance of $</w:t>
      </w:r>
      <w:bookmarkStart w:id="1379" w:name="xdx_903_eus-gaap--LongTermDebt_iI_pn3n3_"/>
      <w:bookmarkEnd w:id="1379"/>
      <w:r>
        <w:rPr>
          <w:rFonts w:ascii="Times New Roman;Times;Serif" w:hAnsi="Times New Roman;Times;Serif"/>
          <w:b w:val="false"/>
          <w:i w:val="false"/>
          <w:caps w:val="false"/>
          <w:smallCaps w:val="false"/>
          <w:sz w:val="20"/>
        </w:rPr>
        <w:t>20,699 on March 31, 2023 consisted of $</w:t>
      </w:r>
      <w:bookmarkStart w:id="1380" w:name="xdx_90F_eus-gaap--DebtInstrumentFaceAmou"/>
      <w:bookmarkEnd w:id="1380"/>
      <w:r>
        <w:rPr>
          <w:rFonts w:ascii="Times New Roman;Times;Serif" w:hAnsi="Times New Roman;Times;Serif"/>
          <w:b w:val="false"/>
          <w:i w:val="false"/>
          <w:caps w:val="false"/>
          <w:smallCaps w:val="false"/>
          <w:sz w:val="20"/>
        </w:rPr>
        <w:t>75,000 in principal, plus $</w:t>
      </w:r>
      <w:bookmarkStart w:id="1381" w:name="xdx_90B_eus-gaap--PaidInKindInterest_pn3"/>
      <w:bookmarkEnd w:id="1381"/>
      <w:r>
        <w:rPr>
          <w:rFonts w:ascii="Times New Roman;Times;Serif" w:hAnsi="Times New Roman;Times;Serif"/>
          <w:b w:val="false"/>
          <w:i w:val="false"/>
          <w:caps w:val="false"/>
          <w:smallCaps w:val="false"/>
          <w:sz w:val="20"/>
        </w:rPr>
        <w:t>2,430 PIK interest, less $</w:t>
      </w:r>
      <w:bookmarkStart w:id="1382" w:name="xdx_90B_eus-gaap--DeferredFinanceCostsNe"/>
      <w:bookmarkEnd w:id="1382"/>
      <w:r>
        <w:rPr>
          <w:rFonts w:ascii="Times New Roman;Times;Serif" w:hAnsi="Times New Roman;Times;Serif"/>
          <w:b w:val="false"/>
          <w:i w:val="false"/>
          <w:caps w:val="false"/>
          <w:smallCaps w:val="false"/>
          <w:sz w:val="20"/>
        </w:rPr>
        <w:t>56,731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83" w:name="xdx_900_eus-gaap--DebtInstrumentDescript"/>
      <w:bookmarkEnd w:id="1383"/>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84" w:name="xdx_8B5_zQNzMQ9BaYlj"/>
      <w:bookmarkStart w:id="1385" w:name="xdx_895_ecustom--ScheduleOfLeverageRatio"/>
      <w:bookmarkEnd w:id="1384"/>
      <w:bookmarkEnd w:id="1385"/>
      <w:r>
        <w:rPr>
          <w:rFonts w:ascii="Times New Roman;Times;Serif" w:hAnsi="Times New Roman;Times;Serif"/>
          <w:b w:val="false"/>
          <w:i w:val="false"/>
          <w:caps w:val="false"/>
          <w:smallCaps w:val="false"/>
          <w:sz w:val="20"/>
        </w:rPr>
        <w:t>SCHEDULE OF LEVERAGE RATION </w:t>
      </w:r>
    </w:p>
    <w:tbl>
      <w:tblPr>
        <w:tblW w:w="5155" w:type="dxa"/>
        <w:jc w:val="left"/>
        <w:tblInd w:w="0" w:type="dxa"/>
        <w:tblLayout w:type="fixed"/>
        <w:tblCellMar>
          <w:top w:w="0" w:type="dxa"/>
          <w:left w:w="0" w:type="dxa"/>
          <w:bottom w:w="28" w:type="dxa"/>
          <w:right w:w="0" w:type="dxa"/>
        </w:tblCellMar>
      </w:tblPr>
      <w:tblGrid>
        <w:gridCol w:w="3620"/>
        <w:gridCol w:w="60"/>
        <w:gridCol w:w="60"/>
        <w:gridCol w:w="1340"/>
        <w:gridCol w:w="75"/>
      </w:tblGrid>
      <w:tr>
        <w:trPr/>
        <w:tc>
          <w:tcPr>
            <w:tcW w:w="3620" w:type="dxa"/>
            <w:tcBorders>
              <w:bottom w:val="single" w:sz="12" w:space="0" w:color="000000"/>
            </w:tcBorders>
            <w:shd w:fill="FFFFFF" w:val="clear"/>
            <w:vAlign w:val="center"/>
          </w:tcPr>
          <w:p>
            <w:pPr>
              <w:pStyle w:val="TableContents"/>
              <w:bidi w:val="0"/>
              <w:spacing w:before="0" w:after="283"/>
              <w:jc w:val="left"/>
              <w:rPr>
                <w:b/>
              </w:rPr>
            </w:pPr>
            <w:r>
              <w:rPr>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Leverage Ratio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6" w:name="xdx_90D_eus-gaap--DebtInstrumentDescript"/>
            <w:bookmarkEnd w:id="1386"/>
            <w:r>
              <w:rPr>
                <w:rFonts w:ascii="Times New Roman;Times;Serif" w:hAnsi="Times New Roman;Times;Serif"/>
                <w:sz w:val="20"/>
              </w:rPr>
              <w:t>6.75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7" w:name="xdx_90B_eus-gaap--DebtInstrumentDescript"/>
            <w:bookmarkEnd w:id="1387"/>
            <w:r>
              <w:rPr>
                <w:rFonts w:ascii="Times New Roman;Times;Serif" w:hAnsi="Times New Roman;Times;Serif"/>
                <w:sz w:val="20"/>
              </w:rPr>
              <w:t>6.00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8" w:name="xdx_907_eus-gaap--DebtInstrumentDescript"/>
            <w:bookmarkEnd w:id="1388"/>
            <w:r>
              <w:rPr>
                <w:rFonts w:ascii="Times New Roman;Times;Serif" w:hAnsi="Times New Roman;Times;Serif"/>
                <w:sz w:val="20"/>
              </w:rPr>
              <w:t>5.00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389" w:name="xdx_906_eus-gaap--DebtInstrumentDescript"/>
            <w:bookmarkEnd w:id="1389"/>
            <w:r>
              <w:rPr>
                <w:rFonts w:ascii="Times New Roman;Times;Serif" w:hAnsi="Times New Roman;Times;Serif"/>
                <w:sz w:val="20"/>
              </w:rPr>
              <w:t>4.00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1390" w:name="xdx_904_eus-gaap--DebtInstrumentDescript"/>
            <w:bookmarkEnd w:id="1390"/>
            <w:r>
              <w:rPr>
                <w:rFonts w:ascii="Times New Roman;Times;Serif" w:hAnsi="Times New Roman;Times;Serif"/>
                <w:sz w:val="20"/>
              </w:rPr>
              <w:t>3.25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1391" w:name="xdx_908_eus-gaap--DebtInstrumentDescript"/>
            <w:bookmarkEnd w:id="1391"/>
            <w:r>
              <w:rPr>
                <w:rFonts w:ascii="Times New Roman;Times;Serif" w:hAnsi="Times New Roman;Times;Serif"/>
                <w:sz w:val="20"/>
              </w:rPr>
              <w:t>3.00 to 1.00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92" w:name="xdx_8AD_zM5n48DAKQL7"/>
      <w:bookmarkEnd w:id="13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3" w:name="xdx_90C_ecustom--LiquidityDescription_c2"/>
      <w:bookmarkEnd w:id="1393"/>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4" w:name="xdx_900_ecustom--FixedChargeCoverageRati"/>
      <w:bookmarkEnd w:id="1394"/>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5" w:name="xdx_907_ecustom--CapitalExpendituresDesc"/>
      <w:bookmarkEnd w:id="1395"/>
      <w:r>
        <w:rPr>
          <w:rFonts w:ascii="Times New Roman;Times;Serif" w:hAnsi="Times New Roman;Times;Serif"/>
          <w:b w:val="false"/>
          <w:i w:val="false"/>
          <w:caps w:val="false"/>
          <w:smallCaps w:val="false"/>
          <w:sz w:val="20"/>
        </w:rPr>
        <w:t>If consolidated EBITDA for the trailing twelve 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Alter Domus (US) LLC, as administrative agent for the lenders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6" w:name="xdx_89A_eus-gaap--ScheduleOfMaturitiesOf"/>
      <w:bookmarkEnd w:id="1396"/>
      <w:r>
        <w:rPr>
          <w:rFonts w:ascii="Times New Roman;Times;Serif" w:hAnsi="Times New Roman;Times;Serif"/>
          <w:b w:val="false"/>
          <w:i w:val="false"/>
          <w:caps w:val="false"/>
          <w:smallCaps w:val="false"/>
          <w:sz w:val="20"/>
        </w:rPr>
        <w:t>At March 31, 2023, the future debt maturities, based on contractual principal payments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7" w:name="xdx_8BD_zRiJ2Y8aDuKj"/>
      <w:bookmarkEnd w:id="1397"/>
      <w:r>
        <w:rPr>
          <w:rFonts w:ascii="Times New Roman;Times;Serif" w:hAnsi="Times New Roman;Times;Serif"/>
          <w:b w:val="false"/>
          <w:i w:val="false"/>
          <w:caps w:val="false"/>
          <w:smallCaps w:val="false"/>
          <w:sz w:val="20"/>
        </w:rPr>
        <w:t>SCHEDULE OF FUTURE DEBT MATURITIES </w:t>
      </w:r>
    </w:p>
    <w:tbl>
      <w:tblPr>
        <w:tblW w:w="5870" w:type="dxa"/>
        <w:jc w:val="left"/>
        <w:tblInd w:w="0" w:type="dxa"/>
        <w:tblLayout w:type="fixed"/>
        <w:tblCellMar>
          <w:top w:w="0" w:type="dxa"/>
          <w:left w:w="0" w:type="dxa"/>
          <w:bottom w:w="0" w:type="dxa"/>
          <w:right w:w="0" w:type="dxa"/>
        </w:tblCellMar>
      </w:tblPr>
      <w:tblGrid>
        <w:gridCol w:w="4805"/>
        <w:gridCol w:w="60"/>
        <w:gridCol w:w="140"/>
        <w:gridCol w:w="755"/>
        <w:gridCol w:w="110"/>
      </w:tblGrid>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8" w:name="xdx_49A_20230331_zLhuXyVYbPIl"/>
            <w:bookmarkEnd w:id="1398"/>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For Year Ended December 31,</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399" w:name="xdx_408_eus-gaap--LongTermDebtMaturities"/>
            <w:bookmarkEnd w:id="139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2023 </w:t>
            </w:r>
            <w:bookmarkStart w:id="1400" w:name="xdx_F4E_zjgDSMGwxmrd"/>
            <w:bookmarkEnd w:id="1400"/>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01" w:name="xdx_40E_eus-gaap--LongTermDebtMaturities"/>
            <w:bookmarkEnd w:id="1401"/>
          </w:p>
        </w:tc>
      </w:tr>
      <w:tr>
        <w:trPr/>
        <w:tc>
          <w:tcPr>
            <w:tcW w:w="4805"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938</w:t>
            </w:r>
          </w:p>
        </w:tc>
        <w:tc>
          <w:tcPr>
            <w:tcW w:w="110" w:type="dxa"/>
            <w:tcBorders/>
            <w:shd w:fill="CCEEFF" w:val="clear"/>
            <w:vAlign w:val="center"/>
          </w:tcPr>
          <w:p>
            <w:pPr>
              <w:pStyle w:val="TableContents"/>
              <w:bidi w:val="0"/>
              <w:spacing w:before="0" w:after="283"/>
              <w:jc w:val="left"/>
              <w:rPr/>
            </w:pPr>
            <w:r>
              <w:rPr/>
              <w:t> </w:t>
            </w:r>
            <w:bookmarkStart w:id="1402" w:name="xdx_404_eus-gaap--LongTermDebtMaturities"/>
            <w:bookmarkEnd w:id="1402"/>
          </w:p>
        </w:tc>
      </w:tr>
      <w:tr>
        <w:trPr/>
        <w:tc>
          <w:tcPr>
            <w:tcW w:w="480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w:t>
            </w:r>
          </w:p>
        </w:tc>
        <w:tc>
          <w:tcPr>
            <w:tcW w:w="110" w:type="dxa"/>
            <w:tcBorders/>
            <w:shd w:fill="FFFFFF" w:val="clear"/>
            <w:vAlign w:val="center"/>
          </w:tcPr>
          <w:p>
            <w:pPr>
              <w:pStyle w:val="TableContents"/>
              <w:bidi w:val="0"/>
              <w:spacing w:before="0" w:after="283"/>
              <w:jc w:val="left"/>
              <w:rPr/>
            </w:pPr>
            <w:r>
              <w:rPr/>
              <w:t> </w:t>
            </w:r>
            <w:bookmarkStart w:id="1403" w:name="xdx_402_eus-gaap--LongTermDebtMaturities"/>
            <w:bookmarkEnd w:id="1403"/>
          </w:p>
        </w:tc>
      </w:tr>
      <w:tr>
        <w:trPr/>
        <w:tc>
          <w:tcPr>
            <w:tcW w:w="48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91,775</w:t>
            </w:r>
          </w:p>
        </w:tc>
        <w:tc>
          <w:tcPr>
            <w:tcW w:w="110" w:type="dxa"/>
            <w:tcBorders/>
            <w:shd w:fill="CCEEFF" w:val="clear"/>
            <w:vAlign w:val="center"/>
          </w:tcPr>
          <w:p>
            <w:pPr>
              <w:pStyle w:val="TableContents"/>
              <w:bidi w:val="0"/>
              <w:spacing w:before="0" w:after="283"/>
              <w:jc w:val="left"/>
              <w:rPr/>
            </w:pPr>
            <w:r>
              <w:rPr/>
              <w:t> </w:t>
            </w:r>
            <w:bookmarkStart w:id="1404" w:name="xdx_408_ecustom--LongTermDebtMaturitiesR"/>
            <w:bookmarkEnd w:id="1404"/>
          </w:p>
        </w:tc>
      </w:tr>
      <w:tr>
        <w:trPr/>
        <w:tc>
          <w:tcPr>
            <w:tcW w:w="48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96,463</w:t>
            </w:r>
          </w:p>
        </w:tc>
        <w:tc>
          <w:tcPr>
            <w:tcW w:w="110" w:type="dxa"/>
            <w:tcBorders/>
            <w:shd w:fill="FFFFFF" w:val="clear"/>
            <w:vAlign w:val="center"/>
          </w:tcPr>
          <w:p>
            <w:pPr>
              <w:pStyle w:val="TableContents"/>
              <w:bidi w:val="0"/>
              <w:spacing w:before="0" w:after="283"/>
              <w:jc w:val="left"/>
              <w:rPr/>
            </w:pPr>
            <w:r>
              <w:rPr/>
              <w:t> </w:t>
            </w:r>
            <w:bookmarkStart w:id="1405" w:name="xdx_402_ecustom--EstimatedInterestPaidin"/>
            <w:bookmarkEnd w:id="1405"/>
          </w:p>
        </w:tc>
      </w:tr>
      <w:tr>
        <w:trPr/>
        <w:tc>
          <w:tcPr>
            <w:tcW w:w="4805" w:type="dxa"/>
            <w:tcBorders/>
            <w:shd w:fill="CCEEFF" w:val="clear"/>
            <w:vAlign w:val="center"/>
          </w:tcPr>
          <w:p>
            <w:pPr>
              <w:pStyle w:val="TableContents"/>
              <w:bidi w:val="0"/>
              <w:spacing w:before="0" w:after="283"/>
              <w:jc w:val="left"/>
              <w:rPr/>
            </w:pPr>
            <w:r>
              <w:rPr/>
              <w:t>Less: Estimated interest paid-in-kind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(19,033</w:t>
            </w:r>
          </w:p>
        </w:tc>
        <w:tc>
          <w:tcPr>
            <w:tcW w:w="110" w:type="dxa"/>
            <w:tcBorders/>
            <w:shd w:fill="CCEEFF" w:val="clear"/>
            <w:vAlign w:val="center"/>
          </w:tcPr>
          <w:p>
            <w:pPr>
              <w:pStyle w:val="TableContents"/>
              <w:bidi w:val="0"/>
              <w:spacing w:before="0" w:after="283"/>
              <w:jc w:val="left"/>
              <w:rPr/>
            </w:pPr>
            <w:r>
              <w:rPr/>
              <w:t>)</w:t>
            </w:r>
            <w:bookmarkStart w:id="1406" w:name="xdx_401_eus-gaap--LongTermDebt_iTI_pn3n3"/>
            <w:bookmarkEnd w:id="1406"/>
          </w:p>
        </w:tc>
      </w:tr>
      <w:tr>
        <w:trPr/>
        <w:tc>
          <w:tcPr>
            <w:tcW w:w="4805"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77,430</w:t>
            </w:r>
          </w:p>
        </w:tc>
        <w:tc>
          <w:tcPr>
            <w:tcW w:w="110" w:type="dxa"/>
            <w:tcBorders/>
            <w:shd w:fill="FFFFFF" w:val="clear"/>
            <w:vAlign w:val="center"/>
          </w:tcPr>
          <w:p>
            <w:pPr>
              <w:pStyle w:val="TableContents"/>
              <w:bidi w:val="0"/>
              <w:spacing w:before="0" w:after="283"/>
              <w:jc w:val="left"/>
              <w:rPr/>
            </w:pPr>
            <w:r>
              <w:rPr/>
              <w:t> </w:t>
            </w:r>
            <w:bookmarkStart w:id="1407" w:name="xdx_407_eus-gaap--DeferredFinanceCostsNe"/>
            <w:bookmarkEnd w:id="1407"/>
          </w:p>
        </w:tc>
      </w:tr>
      <w:tr>
        <w:trPr/>
        <w:tc>
          <w:tcPr>
            <w:tcW w:w="4805" w:type="dxa"/>
            <w:tcBorders/>
            <w:shd w:fill="CCEEFF" w:val="clear"/>
            <w:vAlign w:val="center"/>
          </w:tcPr>
          <w:p>
            <w:pPr>
              <w:pStyle w:val="TableContents"/>
              <w:bidi w:val="0"/>
              <w:spacing w:before="0" w:after="283"/>
              <w:jc w:val="left"/>
              <w:rPr/>
            </w:pPr>
            <w:r>
              <w:rPr/>
              <w:t>Less: Unamortized debt issuance costs,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(56,731</w:t>
            </w:r>
          </w:p>
        </w:tc>
        <w:tc>
          <w:tcPr>
            <w:tcW w:w="110" w:type="dxa"/>
            <w:tcBorders/>
            <w:shd w:fill="CCEEFF" w:val="clear"/>
            <w:vAlign w:val="center"/>
          </w:tcPr>
          <w:p>
            <w:pPr>
              <w:pStyle w:val="TableContents"/>
              <w:bidi w:val="0"/>
              <w:spacing w:before="0" w:after="283"/>
              <w:jc w:val="left"/>
              <w:rPr/>
            </w:pPr>
            <w:r>
              <w:rPr/>
              <w:t>)</w:t>
            </w:r>
            <w:bookmarkStart w:id="1408" w:name="xdx_40F_eus-gaap--DebtInstrumentCarrying"/>
            <w:bookmarkEnd w:id="1408"/>
          </w:p>
        </w:tc>
      </w:tr>
      <w:tr>
        <w:trPr/>
        <w:tc>
          <w:tcPr>
            <w:tcW w:w="4805" w:type="dxa"/>
            <w:tcBorders/>
            <w:shd w:fill="FFFFFF" w:val="clear"/>
            <w:vAlign w:val="center"/>
          </w:tcPr>
          <w:p>
            <w:pPr>
              <w:pStyle w:val="TableContents"/>
              <w:bidi w:val="0"/>
              <w:spacing w:before="0" w:after="283"/>
              <w:jc w:val="left"/>
              <w:rPr/>
            </w:pPr>
            <w:r>
              <w:rPr/>
              <w:t>Total 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20,699</w:t>
            </w:r>
          </w:p>
        </w:tc>
        <w:tc>
          <w:tcPr>
            <w:tcW w:w="110" w:type="dxa"/>
            <w:tcBorders/>
            <w:shd w:fill="FFFFFF" w:val="clear"/>
            <w:vAlign w:val="center"/>
          </w:tcPr>
          <w:p>
            <w:pPr>
              <w:pStyle w:val="TableContents"/>
              <w:bidi w:val="0"/>
              <w:spacing w:before="0" w:after="283"/>
              <w:jc w:val="left"/>
              <w:rPr/>
            </w:pPr>
            <w:r>
              <w:rPr/>
              <w:t> </w:t>
            </w:r>
            <w:bookmarkStart w:id="1409" w:name="xdx_407_eus-gaap--LongTermDebtCurrent_iN"/>
            <w:bookmarkEnd w:id="1409"/>
          </w:p>
        </w:tc>
      </w:tr>
      <w:tr>
        <w:trPr/>
        <w:tc>
          <w:tcPr>
            <w:tcW w:w="4805" w:type="dxa"/>
            <w:tcBorders/>
            <w:shd w:fill="CCEEFF" w:val="clear"/>
            <w:vAlign w:val="center"/>
          </w:tcPr>
          <w:p>
            <w:pPr>
              <w:pStyle w:val="TableContents"/>
              <w:bidi w:val="0"/>
              <w:spacing w:before="0" w:after="283"/>
              <w:jc w:val="left"/>
              <w:rPr/>
            </w:pPr>
            <w:r>
              <w:rPr/>
              <w:t>Less: Current portion of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(20,699</w:t>
            </w:r>
          </w:p>
        </w:tc>
        <w:tc>
          <w:tcPr>
            <w:tcW w:w="110" w:type="dxa"/>
            <w:tcBorders/>
            <w:shd w:fill="CCEEFF" w:val="clear"/>
            <w:vAlign w:val="center"/>
          </w:tcPr>
          <w:p>
            <w:pPr>
              <w:pStyle w:val="TableContents"/>
              <w:bidi w:val="0"/>
              <w:spacing w:before="0" w:after="283"/>
              <w:jc w:val="left"/>
              <w:rPr/>
            </w:pPr>
            <w:r>
              <w:rPr/>
              <w:t>)</w:t>
            </w:r>
            <w:bookmarkStart w:id="1410" w:name="xdx_401_eus-gaap--LongTermDebtNoncurrent"/>
            <w:bookmarkEnd w:id="1410"/>
          </w:p>
        </w:tc>
      </w:tr>
      <w:tr>
        <w:trPr/>
        <w:tc>
          <w:tcPr>
            <w:tcW w:w="4805"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11" w:name="xdx_F04_zNFlD67V8a8a"/>
            <w:bookmarkEnd w:id="1411"/>
            <w:r>
              <w:rPr>
                <w:rFonts w:ascii="Times New Roman;Times;Serif" w:hAnsi="Times New Roman;Times;Serif"/>
                <w:b w:val="false"/>
                <w:i w:val="false"/>
                <w:caps w:val="false"/>
                <w:smallCaps w:val="false"/>
                <w:sz w:val="20"/>
              </w:rPr>
              <w:t>(1)</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12" w:name="xdx_F1B_z2jRjrZrunc8"/>
            <w:bookmarkEnd w:id="1412"/>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both"/>
        <w:rPr>
          <w:caps w:val="false"/>
          <w:smallCaps w:val="false"/>
        </w:rPr>
      </w:pPr>
      <w:bookmarkStart w:id="1413" w:name="xdx_8A8_zxd2jxCvdWP2"/>
      <w:bookmarkEnd w:id="1413"/>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14" w:name="xdx_801_eus-gaap--AssetAcquisitionTextBl"/>
      <w:bookmarkEnd w:id="1414"/>
      <w:r>
        <w:rPr>
          <w:rFonts w:ascii="Times New Roman;Times;Serif" w:hAnsi="Times New Roman;Times;Serif"/>
          <w:b/>
          <w:i w:val="false"/>
          <w:caps/>
          <w:sz w:val="20"/>
        </w:rPr>
        <w:t xml:space="preserve">NOTE 7 - </w:t>
      </w:r>
      <w:bookmarkStart w:id="1415" w:name="xdx_82C_zTUtulXWmgj3"/>
      <w:bookmarkEnd w:id="1415"/>
      <w:r>
        <w:rPr>
          <w:rFonts w:ascii="Times New Roman;Times;Serif" w:hAnsi="Times New Roman;Times;Serif"/>
          <w:b/>
          <w:i w:val="false"/>
          <w:caps/>
          <w:sz w:val="20"/>
        </w:rPr>
        <w:t>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Bourns Production,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w:t>
      </w:r>
      <w:bookmarkStart w:id="1416" w:name="xdx_905_eus-gaap--AssetAcquisitionConsid"/>
      <w:bookmarkEnd w:id="1416"/>
      <w:r>
        <w:rPr>
          <w:rFonts w:ascii="Times New Roman;Times;Serif" w:hAnsi="Times New Roman;Times;Serif"/>
          <w:b w:val="false"/>
          <w:i w:val="false"/>
          <w:caps w:val="false"/>
          <w:smallCaps w:val="false"/>
          <w:sz w:val="20"/>
        </w:rPr>
        <w:t>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(the “April 2022 Asset Purchase Agreement”) with William Thomason, Richard Jones, and Thomason Jones Company, LLC (“Thomason Jones”) whereby the Company acquired inventory and intellectual property assets for up to $</w:t>
      </w:r>
      <w:bookmarkStart w:id="1417" w:name="xdx_901_eus-gaap--AssetAcquisitionConsid"/>
      <w:bookmarkEnd w:id="1417"/>
      <w:r>
        <w:rPr>
          <w:rFonts w:ascii="Times New Roman;Times;Serif" w:hAnsi="Times New Roman;Times;Serif"/>
          <w:b w:val="false"/>
          <w:i w:val="false"/>
          <w:caps w:val="false"/>
          <w:smallCaps w:val="false"/>
          <w:sz w:val="20"/>
        </w:rPr>
        <w:t>700 cash plus contingent payments of $</w:t>
      </w:r>
      <w:bookmarkStart w:id="1418" w:name="xdx_90C_eus-gaap--AssetAcquisitionConsid"/>
      <w:bookmarkEnd w:id="1418"/>
      <w:r>
        <w:rPr>
          <w:rFonts w:ascii="Times New Roman;Times;Serif" w:hAnsi="Times New Roman;Times;Serif"/>
          <w:b w:val="false"/>
          <w:i w:val="false"/>
          <w:caps w:val="false"/>
          <w:smallCaps w:val="false"/>
          <w:sz w:val="20"/>
        </w:rPr>
        <w:t>1,000 each to William Thomason and Richard Jones (the “Earn Out”). The Company determined the contingent consideration to be recognized as contingent compensation to Mr. Thomason and Mr. Jones. The Company concluded the purchase price to be $</w:t>
      </w:r>
      <w:bookmarkStart w:id="1419" w:name="xdx_901_eus-gaap--AssetAcquisitionConsid"/>
      <w:bookmarkEnd w:id="1419"/>
      <w:r>
        <w:rPr>
          <w:rFonts w:ascii="Times New Roman;Times;Serif" w:hAnsi="Times New Roman;Times;Serif"/>
          <w:b w:val="false"/>
          <w:i w:val="false"/>
          <w:caps w:val="false"/>
          <w:smallCaps w:val="false"/>
          <w:sz w:val="20"/>
        </w:rPr>
        <w:t>444 and was allocated in its entirety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w:t>
      </w:r>
      <w:bookmarkStart w:id="1420" w:name="xdx_90B_eus-gaap--Revenues_pn3n3_c202301"/>
      <w:bookmarkEnd w:id="1420"/>
      <w:r>
        <w:rPr>
          <w:rFonts w:ascii="Times New Roman;Times;Serif" w:hAnsi="Times New Roman;Times;Serif"/>
          <w:b w:val="false"/>
          <w:i w:val="false"/>
          <w:caps w:val="false"/>
          <w:smallCaps w:val="false"/>
          <w:sz w:val="20"/>
        </w:rPr>
        <w:t>3,000 in gross sales of product either (a) sold under the Wakespeed brand and/or (b) which incorporates any portion of Purchased IP as listed within the agreement, then the Company will pay to Thomason and Jones each the amount of $</w:t>
      </w:r>
      <w:bookmarkStart w:id="1421" w:name="xdx_907_eus-gaap--OtherLiabilities_iI_pn"/>
      <w:bookmarkEnd w:id="1421"/>
      <w:r>
        <w:rPr>
          <w:rFonts w:ascii="Times New Roman;Times;Serif" w:hAnsi="Times New Roman;Times;Serif"/>
          <w:b w:val="false"/>
          <w:i w:val="false"/>
          <w:caps w:val="false"/>
          <w:smallCaps w:val="false"/>
          <w:sz w:val="20"/>
        </w:rPr>
        <w:t>1,000 as soon as reasonably practicable. This payment may be made in cash or common stock, in the sole discretion of the Company. As a result, the Company determined that a liability should be recorded ratably over the 24 month period. The Company recognized immediate compensation expense within sales and marketing of $</w:t>
      </w:r>
      <w:bookmarkStart w:id="1422" w:name="xdx_907_eus-gaap--SellingAndMarketingExp"/>
      <w:bookmarkEnd w:id="1422"/>
      <w:r>
        <w:rPr>
          <w:rFonts w:ascii="Times New Roman;Times;Serif" w:hAnsi="Times New Roman;Times;Serif"/>
          <w:b w:val="false"/>
          <w:i w:val="false"/>
          <w:caps w:val="false"/>
          <w:smallCaps w:val="false"/>
          <w:sz w:val="20"/>
        </w:rPr>
        <w:t>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an accrual related to the Earn Out in the amount of $</w:t>
      </w:r>
      <w:bookmarkStart w:id="1423" w:name="xdx_900_eus-gaap--AccruedLiabilitiesAndO"/>
      <w:bookmarkEnd w:id="1423"/>
      <w:r>
        <w:rPr>
          <w:rFonts w:ascii="Times New Roman;Times;Serif" w:hAnsi="Times New Roman;Times;Serif"/>
          <w:b w:val="false"/>
          <w:i w:val="false"/>
          <w:caps w:val="false"/>
          <w:smallCaps w:val="false"/>
          <w:sz w:val="20"/>
        </w:rPr>
        <w:t>1,147 and $</w:t>
      </w:r>
      <w:bookmarkStart w:id="1424" w:name="xdx_908_eus-gaap--AccruedLiabilitiesAndO"/>
      <w:bookmarkEnd w:id="1424"/>
      <w:r>
        <w:rPr>
          <w:rFonts w:ascii="Times New Roman;Times;Serif" w:hAnsi="Times New Roman;Times;Serif"/>
          <w:b w:val="false"/>
          <w:i w:val="false"/>
          <w:caps w:val="false"/>
          <w:smallCaps w:val="false"/>
          <w:sz w:val="20"/>
        </w:rPr>
        <w:t>782 as of March 31, 2023 and December 31,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25" w:name="xdx_800_eus-gaap--RelatedPartyTransactio"/>
      <w:bookmarkEnd w:id="1425"/>
      <w:r>
        <w:rPr>
          <w:rFonts w:ascii="Times New Roman;Times;Serif" w:hAnsi="Times New Roman;Times;Serif"/>
          <w:b/>
          <w:i w:val="false"/>
          <w:caps/>
          <w:sz w:val="20"/>
        </w:rPr>
        <w:t xml:space="preserve">NOTE 8 - </w:t>
      </w:r>
      <w:bookmarkStart w:id="1426" w:name="xdx_82A_zFVWfVdygwi3"/>
      <w:bookmarkEnd w:id="1426"/>
      <w:r>
        <w:rPr>
          <w:rFonts w:ascii="Times New Roman;Times;Serif" w:hAnsi="Times New Roman;Times;Serif"/>
          <w:b/>
          <w:i w:val="false"/>
          <w:caps/>
          <w:sz w:val="20"/>
        </w:rPr>
        <w:t>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w:t>
      </w:r>
      <w:bookmarkStart w:id="1427" w:name="xdx_902_eus-gaap--RelatedPartyTransactio"/>
      <w:bookmarkEnd w:id="1427"/>
      <w:r>
        <w:rPr>
          <w:rFonts w:ascii="Times New Roman;Times;Serif" w:hAnsi="Times New Roman;Times;Serif"/>
          <w:b w:val="false"/>
          <w:i w:val="false"/>
          <w:caps w:val="false"/>
          <w:smallCaps w:val="false"/>
          <w:sz w:val="20"/>
        </w:rPr>
        <w:t>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w:t>
      </w:r>
      <w:bookmarkStart w:id="1428" w:name="xdx_90F_eus-gaap--RelatedPartyTransactio"/>
      <w:bookmarkEnd w:id="1428"/>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1429" w:name="xdx_90D_eus-gaap--OtherLiabilities_iI_pn"/>
      <w:bookmarkEnd w:id="1429"/>
      <w:r>
        <w:rPr>
          <w:rFonts w:ascii="Times New Roman;Times;Serif" w:hAnsi="Times New Roman;Times;Serif"/>
          <w:b w:val="false"/>
          <w:i w:val="false"/>
          <w:caps w:val="false"/>
          <w:smallCaps w:val="false"/>
          <w:sz w:val="20"/>
        </w:rPr>
        <w:t>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ownership of a Company van was transferred to the former COO in connection with his severance. The Company accounted for the cost of the van as an employee bonus, resulting in $116 of general and administrative expense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w:t>
      </w:r>
      <w:bookmarkStart w:id="1430" w:name="xdx_902_eus-gaap--ConvertibleNotesPayabl"/>
      <w:bookmarkEnd w:id="1430"/>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1431" w:name="xdx_90D_eus-gaap--DebtInstrumentFaceAmou"/>
      <w:bookmarkEnd w:id="1431"/>
      <w:r>
        <w:rPr>
          <w:rFonts w:ascii="Times New Roman;Times;Serif" w:hAnsi="Times New Roman;Times;Serif"/>
          <w:b w:val="false"/>
          <w:i w:val="false"/>
          <w:caps w:val="false"/>
          <w:smallCaps w:val="false"/>
          <w:sz w:val="20"/>
        </w:rPr>
        <w:t>100 (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32" w:name="xdx_804_ecustom--WarrantLiabilitiesDiscl"/>
      <w:bookmarkEnd w:id="1432"/>
      <w:r>
        <w:rPr>
          <w:rFonts w:ascii="Times New Roman;Times;Serif" w:hAnsi="Times New Roman;Times;Serif"/>
          <w:b/>
          <w:i w:val="false"/>
          <w:caps/>
          <w:sz w:val="20"/>
        </w:rPr>
        <w:t xml:space="preserve">NOTE 9 - </w:t>
      </w:r>
      <w:bookmarkStart w:id="1433" w:name="xdx_82B_z7OC6RNs6iv5"/>
      <w:bookmarkEnd w:id="1433"/>
      <w:r>
        <w:rPr>
          <w:rFonts w:ascii="Times New Roman;Times;Serif" w:hAnsi="Times New Roman;Times;Serif"/>
          <w:b/>
          <w:i w:val="false"/>
          <w:caps/>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1434" w:name="xdx_905_eus-gaap--ClassOfWarrantOrRightE"/>
      <w:bookmarkEnd w:id="1434"/>
      <w:r>
        <w:rPr>
          <w:rFonts w:ascii="Times New Roman;Times;Serif" w:hAnsi="Times New Roman;Times;Serif"/>
          <w:b w:val="false"/>
          <w:i w:val="false"/>
          <w:caps w:val="false"/>
          <w:smallCaps w:val="false"/>
          <w:sz w:val="20"/>
        </w:rPr>
        <w:t>11.50 per share. No fractional shares will be issued upon exercise of the Public Warrants. The Company may elect to redeem the Public Warrants subject to certain conditions, in whole and not in part, at a price of $</w:t>
      </w:r>
      <w:bookmarkStart w:id="1435" w:name="xdx_900_eus-gaap--ClassOfWarrantOrRightE"/>
      <w:bookmarkEnd w:id="1435"/>
      <w:r>
        <w:rPr>
          <w:rFonts w:ascii="Times New Roman;Times;Serif" w:hAnsi="Times New Roman;Times;Serif"/>
          <w:b w:val="false"/>
          <w:i w:val="false"/>
          <w:caps w:val="false"/>
          <w:smallCaps w:val="false"/>
          <w:sz w:val="20"/>
        </w:rPr>
        <w:t>0.01 per Public Warrant if (i) 30 days’ prior written notice of redemption is provided to the holders, and (ii) the last reported sale price of the Company’s common stock equals or exceeds $</w:t>
      </w:r>
      <w:bookmarkStart w:id="1436" w:name="xdx_90C_eus-gaap--SharePrice_iI_pid_c202"/>
      <w:bookmarkEnd w:id="1436"/>
      <w:r>
        <w:rPr>
          <w:rFonts w:ascii="Times New Roman;Times;Serif" w:hAnsi="Times New Roman;Times;Serif"/>
          <w:b w:val="false"/>
          <w:i w:val="false"/>
          <w:caps w:val="false"/>
          <w:smallCaps w:val="false"/>
          <w:sz w:val="20"/>
        </w:rPr>
        <w:t xml:space="preserve">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1437" w:name="xdx_900_eus-gaap--ClassOfWarrantOrRightO"/>
      <w:bookmarkEnd w:id="1437"/>
      <w:r>
        <w:rPr>
          <w:rFonts w:ascii="Times New Roman;Times;Serif" w:hAnsi="Times New Roman;Times;Serif"/>
          <w:b w:val="false"/>
          <w:i w:val="false"/>
          <w:caps w:val="false"/>
          <w:smallCaps w:val="false"/>
          <w:sz w:val="20"/>
        </w:rPr>
        <w:t>9,487,500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Company received proceeds from public warrant exercises of $</w:t>
      </w:r>
      <w:bookmarkStart w:id="1438" w:name="xdx_901_ecustom--StockIssuedDuringPeriod"/>
      <w:bookmarkEnd w:id="1438"/>
      <w:r>
        <w:rPr>
          <w:rFonts w:ascii="Times New Roman;Times;Serif" w:hAnsi="Times New Roman;Times;Serif"/>
          <w:b w:val="false"/>
          <w:i w:val="false"/>
          <w:caps w:val="false"/>
          <w:smallCaps w:val="false"/>
          <w:sz w:val="20"/>
        </w:rPr>
        <w:t xml:space="preserve">747 in exchange for </w:t>
      </w:r>
      <w:bookmarkStart w:id="1439" w:name="xdx_90F_ecustom--StockIssuedDuringPeriod"/>
      <w:bookmarkEnd w:id="1439"/>
      <w:r>
        <w:rPr>
          <w:rFonts w:ascii="Times New Roman;Times;Serif" w:hAnsi="Times New Roman;Times;Serif"/>
          <w:b w:val="false"/>
          <w:i w:val="false"/>
          <w:caps w:val="false"/>
          <w:smallCaps w:val="false"/>
          <w:sz w:val="20"/>
        </w:rPr>
        <w:t>64,971 common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three months ended March 31, 2023, private placement warrant holders exercised </w:t>
      </w:r>
      <w:bookmarkStart w:id="1440" w:name="xdx_90F_eus-gaap--ClassOfWarrantOrRightN"/>
      <w:bookmarkEnd w:id="1440"/>
      <w:r>
        <w:rPr>
          <w:rFonts w:ascii="Times New Roman;Times;Serif" w:hAnsi="Times New Roman;Times;Serif"/>
          <w:b w:val="false"/>
          <w:i w:val="false"/>
          <w:caps w:val="false"/>
          <w:smallCaps w:val="false"/>
          <w:sz w:val="20"/>
        </w:rPr>
        <w:t xml:space="preserve">3,126,472 warrants on a cashless basis, with the Company agreeing to issue </w:t>
      </w:r>
      <w:bookmarkStart w:id="1441" w:name="xdx_902_eus-gaap--StockIssuedDuringPerio"/>
      <w:bookmarkEnd w:id="1441"/>
      <w:r>
        <w:rPr>
          <w:rFonts w:ascii="Times New Roman;Times;Serif" w:hAnsi="Times New Roman;Times;Serif"/>
          <w:b w:val="false"/>
          <w:i w:val="false"/>
          <w:caps w:val="false"/>
          <w:smallCaps w:val="false"/>
          <w:sz w:val="20"/>
        </w:rPr>
        <w:t xml:space="preserve">1,100,000 shares of common stock in connection with such exercise. There were </w:t>
      </w:r>
      <w:bookmarkStart w:id="1442" w:name="xdx_90B_eus-gaap--ClassOfWarrantOrRightO"/>
      <w:bookmarkEnd w:id="1442"/>
      <w:r>
        <w:rPr>
          <w:rFonts w:ascii="Times New Roman;Times;Serif" w:hAnsi="Times New Roman;Times;Serif"/>
          <w:b w:val="false"/>
          <w:i w:val="false"/>
          <w:caps w:val="false"/>
          <w:smallCaps w:val="false"/>
          <w:sz w:val="20"/>
        </w:rPr>
        <w:t xml:space="preserve">1,501,386 and </w:t>
      </w:r>
      <w:bookmarkStart w:id="1443" w:name="xdx_90F_eus-gaap--ClassOfWarrantOrRightO"/>
      <w:bookmarkEnd w:id="1443"/>
      <w:r>
        <w:rPr>
          <w:rFonts w:ascii="Times New Roman;Times;Serif" w:hAnsi="Times New Roman;Times;Serif"/>
          <w:b w:val="false"/>
          <w:i w:val="false"/>
          <w:caps w:val="false"/>
          <w:smallCaps w:val="false"/>
          <w:sz w:val="20"/>
        </w:rPr>
        <w:t>4,627,858 private warrants issued and outstanding as of March 31,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1444" w:name="xdx_906_eus-gaap--ClassOfWarrantOrRightN"/>
      <w:bookmarkEnd w:id="1444"/>
      <w:r>
        <w:rPr>
          <w:rFonts w:ascii="Times New Roman;Times;Serif" w:hAnsi="Times New Roman;Times;Serif"/>
          <w:b w:val="false"/>
          <w:i w:val="false"/>
          <w:caps w:val="false"/>
          <w:smallCaps w:val="false"/>
          <w:sz w:val="20"/>
        </w:rPr>
        <w:t xml:space="preserve">2,593,056 shares (the “Penny Warrants”) and (ii) the $10 warrants to issue warrants to the Term Loan Lenders exercisable to purchase an aggregate of </w:t>
      </w:r>
      <w:bookmarkStart w:id="1445" w:name="xdx_901_eus-gaap--ClassOfWarrantOrRightN"/>
      <w:bookmarkEnd w:id="1445"/>
      <w:r>
        <w:rPr>
          <w:rFonts w:ascii="Times New Roman;Times;Serif" w:hAnsi="Times New Roman;Times;Serif"/>
          <w:b w:val="false"/>
          <w:i w:val="false"/>
          <w:caps w:val="false"/>
          <w:smallCaps w:val="false"/>
          <w:sz w:val="20"/>
        </w:rPr>
        <w:t>1,600,000 shares of common stock at $</w:t>
      </w:r>
      <w:bookmarkStart w:id="1446" w:name="xdx_907_eus-gaap--SharePrice_iI_pid_c202"/>
      <w:bookmarkEnd w:id="1446"/>
      <w:r>
        <w:rPr>
          <w:rFonts w:ascii="Times New Roman;Times;Serif" w:hAnsi="Times New Roman;Times;Serif"/>
          <w:b w:val="false"/>
          <w:i w:val="false"/>
          <w:caps w:val="false"/>
          <w:smallCaps w:val="false"/>
          <w:sz w:val="20"/>
        </w:rPr>
        <w:t xml:space="preserve">10 per share (the “$10 Warrants” and, together with the Penny Warrants, the “Term Loan Warrants”). The $10 Warrants were exercised on a cashless basis on October 10, 2022, with the Company issuing </w:t>
      </w:r>
      <w:bookmarkStart w:id="1447" w:name="xdx_90D_eus-gaap--ClassOfWarrantOrRightN"/>
      <w:bookmarkEnd w:id="1447"/>
      <w:r>
        <w:rPr>
          <w:rFonts w:ascii="Times New Roman;Times;Serif" w:hAnsi="Times New Roman;Times;Serif"/>
          <w:b w:val="false"/>
          <w:i w:val="false"/>
          <w:caps w:val="false"/>
          <w:smallCaps w:val="false"/>
          <w:sz w:val="20"/>
        </w:rPr>
        <w:t xml:space="preserve">457,142 shares of Common Stock in connection with such exercise. During the three months ended March 31, 2023, penny warrant holders exercised </w:t>
      </w:r>
      <w:bookmarkStart w:id="1448" w:name="xdx_90C_eus-gaap--ClassOfWarrantOrRightN"/>
      <w:bookmarkEnd w:id="1448"/>
      <w:r>
        <w:rPr>
          <w:rFonts w:ascii="Times New Roman;Times;Serif" w:hAnsi="Times New Roman;Times;Serif"/>
          <w:b w:val="false"/>
          <w:i w:val="false"/>
          <w:caps w:val="false"/>
          <w:smallCaps w:val="false"/>
          <w:sz w:val="20"/>
        </w:rPr>
        <w:t xml:space="preserve">1,250,000 warrants on a cashless basis, with the Company agreeing to issue </w:t>
      </w:r>
      <w:bookmarkStart w:id="1449" w:name="xdx_904_eus-gaap--ClassOfWarrantOrRightN"/>
      <w:bookmarkEnd w:id="1449"/>
      <w:r>
        <w:rPr>
          <w:rFonts w:ascii="Times New Roman;Times;Serif" w:hAnsi="Times New Roman;Times;Serif"/>
          <w:b w:val="false"/>
          <w:i w:val="false"/>
          <w:caps w:val="false"/>
          <w:smallCaps w:val="false"/>
          <w:sz w:val="20"/>
        </w:rPr>
        <w:t>1,248,294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50" w:name="xdx_89A_eus-gaap--DisclosureOfShareBased"/>
      <w:bookmarkEnd w:id="1450"/>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51" w:name="xdx_8B9_zgK1AlVD0xm"/>
      <w:bookmarkEnd w:id="1451"/>
      <w:r>
        <w:rPr>
          <w:rFonts w:ascii="Times New Roman;Times;Serif" w:hAnsi="Times New Roman;Times;Serif"/>
          <w:b w:val="false"/>
          <w:i w:val="false"/>
          <w:caps w:val="false"/>
          <w:smallCaps w:val="false"/>
          <w:sz w:val="20"/>
        </w:rPr>
        <w:t>SCHEDULE FAIR VALUE WARRANTS  </w:t>
      </w:r>
    </w:p>
    <w:tbl>
      <w:tblPr>
        <w:tblW w:w="5995" w:type="dxa"/>
        <w:jc w:val="left"/>
        <w:tblInd w:w="0" w:type="dxa"/>
        <w:tblLayout w:type="fixed"/>
        <w:tblCellMar>
          <w:top w:w="0" w:type="dxa"/>
          <w:left w:w="0" w:type="dxa"/>
          <w:bottom w:w="0" w:type="dxa"/>
          <w:right w:w="0" w:type="dxa"/>
        </w:tblCellMar>
      </w:tblPr>
      <w:tblGrid>
        <w:gridCol w:w="2000"/>
        <w:gridCol w:w="60"/>
        <w:gridCol w:w="307"/>
        <w:gridCol w:w="1228"/>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December 31, 2022</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1452" w:name="xdx_983_eus-gaap--SharePrice_iI_pid_c202"/>
            <w:bookmarkEnd w:id="1452"/>
          </w:p>
        </w:tc>
        <w:tc>
          <w:tcPr>
            <w:tcW w:w="1228" w:type="dxa"/>
            <w:tcBorders/>
            <w:shd w:fill="CCEEFF" w:val="clear"/>
            <w:vAlign w:val="center"/>
          </w:tcPr>
          <w:p>
            <w:pPr>
              <w:pStyle w:val="TableContents"/>
              <w:bidi w:val="0"/>
              <w:spacing w:before="0" w:after="283"/>
              <w:jc w:val="right"/>
              <w:rPr/>
            </w:pPr>
            <w:r>
              <w:rPr/>
              <w:t>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1453" w:name="xdx_982_eus-gaap--SharePrice_iI_pid_c202"/>
            <w:bookmarkEnd w:id="1453"/>
          </w:p>
        </w:tc>
        <w:tc>
          <w:tcPr>
            <w:tcW w:w="1516" w:type="dxa"/>
            <w:tcBorders/>
            <w:shd w:fill="CCEEFF" w:val="clear"/>
            <w:vAlign w:val="center"/>
          </w:tcPr>
          <w:p>
            <w:pPr>
              <w:pStyle w:val="TableContents"/>
              <w:bidi w:val="0"/>
              <w:spacing w:before="0" w:after="283"/>
              <w:jc w:val="right"/>
              <w:rPr/>
            </w:pPr>
            <w:r>
              <w:rPr/>
              <w:t>11.09</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1454" w:name="xdx_98C_eus-gaap--WarrantsAndRightsOutst"/>
            <w:bookmarkEnd w:id="1454"/>
          </w:p>
        </w:tc>
        <w:tc>
          <w:tcPr>
            <w:tcW w:w="1228"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1455" w:name="xdx_982_eus-gaap--WarrantsAndRightsOutst"/>
            <w:bookmarkEnd w:id="1455"/>
          </w:p>
        </w:tc>
        <w:tc>
          <w:tcPr>
            <w:tcW w:w="1516"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bookmarkStart w:id="1456" w:name="xdx_909_eus-gaap--WarrantsAndRightsOutst"/>
            <w:bookmarkEnd w:id="1456"/>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1457" w:name="xdx_90E_eus-gaap--WarrantsAndRightsOutst"/>
            <w:bookmarkEnd w:id="1457"/>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bookmarkStart w:id="1458" w:name="xdx_90E_eus-gaap--WarrantsAndRightsOutst"/>
            <w:bookmarkEnd w:id="1458"/>
            <w:r>
              <w:rPr/>
              <w:t>9.52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1459" w:name="xdx_904_eus-gaap--WarrantsAndRightsOutst"/>
            <w:bookmarkEnd w:id="1459"/>
            <w:r>
              <w:rPr/>
              <w:t>9.77</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bookmarkStart w:id="1460" w:name="xdx_981_eus-gaap--WarrantsAndRightsOutst"/>
            <w:bookmarkEnd w:id="1460"/>
          </w:p>
        </w:tc>
        <w:tc>
          <w:tcPr>
            <w:tcW w:w="1228" w:type="dxa"/>
            <w:tcBorders/>
            <w:shd w:fill="CCEEFF" w:val="clear"/>
            <w:vAlign w:val="center"/>
          </w:tcPr>
          <w:p>
            <w:pPr>
              <w:pStyle w:val="TableContents"/>
              <w:bidi w:val="0"/>
              <w:spacing w:before="0" w:after="283"/>
              <w:jc w:val="right"/>
              <w:rPr/>
            </w:pPr>
            <w:r>
              <w:rPr/>
              <w:t>89.00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1461" w:name="xdx_983_eus-gaap--WarrantsAndRightsOutst"/>
            <w:bookmarkEnd w:id="1461"/>
          </w:p>
        </w:tc>
        <w:tc>
          <w:tcPr>
            <w:tcW w:w="1516" w:type="dxa"/>
            <w:tcBorders/>
            <w:shd w:fill="CCEEFF" w:val="clear"/>
            <w:vAlign w:val="center"/>
          </w:tcPr>
          <w:p>
            <w:pPr>
              <w:pStyle w:val="TableContents"/>
              <w:bidi w:val="0"/>
              <w:spacing w:before="0" w:after="283"/>
              <w:jc w:val="right"/>
              <w:rPr/>
            </w:pPr>
            <w:r>
              <w:rPr/>
              <w:t>90.00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1462" w:name="xdx_987_eus-gaap--WarrantsAndRightsOutst"/>
            <w:bookmarkEnd w:id="1462"/>
          </w:p>
        </w:tc>
        <w:tc>
          <w:tcPr>
            <w:tcW w:w="1228" w:type="dxa"/>
            <w:tcBorders/>
            <w:shd w:fill="FFFFFF" w:val="clear"/>
            <w:vAlign w:val="center"/>
          </w:tcPr>
          <w:p>
            <w:pPr>
              <w:pStyle w:val="TableContents"/>
              <w:bidi w:val="0"/>
              <w:spacing w:before="0" w:after="283"/>
              <w:jc w:val="right"/>
              <w:rPr/>
            </w:pPr>
            <w:r>
              <w:rPr/>
              <w:t>3.43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1463" w:name="xdx_981_eus-gaap--WarrantsAndRightsOutst"/>
            <w:bookmarkEnd w:id="1463"/>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1464" w:name="xdx_98C_ecustom--FairValueOfWarrant_iI_p"/>
            <w:bookmarkEnd w:id="1464"/>
          </w:p>
        </w:tc>
        <w:tc>
          <w:tcPr>
            <w:tcW w:w="1228" w:type="dxa"/>
            <w:tcBorders/>
            <w:shd w:fill="CCEEFF" w:val="clear"/>
            <w:vAlign w:val="center"/>
          </w:tcPr>
          <w:p>
            <w:pPr>
              <w:pStyle w:val="TableContents"/>
              <w:bidi w:val="0"/>
              <w:spacing w:before="0" w:after="283"/>
              <w:jc w:val="right"/>
              <w:rPr/>
            </w:pPr>
            <w:r>
              <w:rPr/>
              <w:t>2.99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1465" w:name="xdx_98F_ecustom--FairValueOfWarrant_iI_p"/>
            <w:bookmarkEnd w:id="1465"/>
          </w:p>
        </w:tc>
        <w:tc>
          <w:tcPr>
            <w:tcW w:w="1516" w:type="dxa"/>
            <w:tcBorders/>
            <w:shd w:fill="CCEEFF" w:val="clear"/>
            <w:vAlign w:val="center"/>
          </w:tcPr>
          <w:p>
            <w:pPr>
              <w:pStyle w:val="TableContents"/>
              <w:bidi w:val="0"/>
              <w:spacing w:before="0" w:after="283"/>
              <w:jc w:val="right"/>
              <w:rPr/>
            </w:pPr>
            <w:r>
              <w:rPr/>
              <w:t>11.89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66" w:name="xdx_8A2_zrWvcdJPGiha"/>
      <w:bookmarkEnd w:id="14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67" w:name="xdx_891_eus-gaap--ScheduleOfStockholders"/>
      <w:bookmarkEnd w:id="1467"/>
      <w:r>
        <w:rPr>
          <w:rFonts w:ascii="Times New Roman;Times;Serif" w:hAnsi="Times New Roman;Times;Serif"/>
          <w:b w:val="false"/>
          <w:i w:val="false"/>
          <w:caps w:val="false"/>
          <w:smallCaps w:val="false"/>
          <w:sz w:val="20"/>
        </w:rPr>
        <w:t>The following table presents a roll-forward of the Company’s warrants from January 1, 2023 to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68" w:name="xdx_8B0_zBeXHweQ8xPi"/>
      <w:bookmarkEnd w:id="1468"/>
      <w:r>
        <w:rPr>
          <w:rFonts w:ascii="Times New Roman;Times;Serif" w:hAnsi="Times New Roman;Times;Serif"/>
          <w:b w:val="false"/>
          <w:i w:val="false"/>
          <w:caps w:val="false"/>
          <w:smallCaps w:val="false"/>
          <w:sz w:val="20"/>
        </w:rPr>
        <w:t>SCHEDULE OF ROLL FORWARD IN WARRANTS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69" w:name="xdx_496_20230101__20230331__us-gaap--Sta"/>
            <w:bookmarkEnd w:id="1469"/>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1470" w:name="xdx_40A_eus-gaap--ShareBasedCompensation"/>
            <w:bookmarkEnd w:id="1470"/>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4,627,858</w:t>
            </w:r>
          </w:p>
        </w:tc>
        <w:tc>
          <w:tcPr>
            <w:tcW w:w="110" w:type="dxa"/>
            <w:tcBorders/>
            <w:shd w:fill="CCEEFF" w:val="clear"/>
            <w:vAlign w:val="center"/>
          </w:tcPr>
          <w:p>
            <w:pPr>
              <w:pStyle w:val="TableContents"/>
              <w:bidi w:val="0"/>
              <w:spacing w:before="0" w:after="283"/>
              <w:jc w:val="left"/>
              <w:rPr/>
            </w:pPr>
            <w:r>
              <w:rPr/>
              <w:t> </w:t>
            </w:r>
            <w:bookmarkStart w:id="1471" w:name="xdx_409_eus-gaap--ShareBasedCompensation"/>
            <w:bookmarkEnd w:id="1471"/>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(3,126,472</w:t>
            </w:r>
          </w:p>
        </w:tc>
        <w:tc>
          <w:tcPr>
            <w:tcW w:w="110" w:type="dxa"/>
            <w:tcBorders/>
            <w:shd w:fill="FFFFFF" w:val="clear"/>
            <w:vAlign w:val="center"/>
          </w:tcPr>
          <w:p>
            <w:pPr>
              <w:pStyle w:val="TableContents"/>
              <w:bidi w:val="0"/>
              <w:spacing w:before="0" w:after="283"/>
              <w:jc w:val="left"/>
              <w:rPr/>
            </w:pPr>
            <w:r>
              <w:rPr/>
              <w:t>)</w:t>
            </w:r>
            <w:bookmarkStart w:id="1472" w:name="xdx_40E_eus-gaap--ShareBasedCompensation"/>
            <w:bookmarkEnd w:id="1472"/>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1,501,386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private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6"/>
        <w:gridCol w:w="1418"/>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3" w:name="xdx_490_20230101__20230331__us-gaap--Sta"/>
            <w:bookmarkEnd w:id="1473"/>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1474" w:name="xdx_40A_eus-gaap--ShareBasedCompensation"/>
            <w:bookmarkEnd w:id="1474"/>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9,487,500</w:t>
            </w:r>
          </w:p>
        </w:tc>
        <w:tc>
          <w:tcPr>
            <w:tcW w:w="110" w:type="dxa"/>
            <w:tcBorders/>
            <w:shd w:fill="CCEEFF" w:val="clear"/>
            <w:vAlign w:val="center"/>
          </w:tcPr>
          <w:p>
            <w:pPr>
              <w:pStyle w:val="TableContents"/>
              <w:bidi w:val="0"/>
              <w:spacing w:before="0" w:after="283"/>
              <w:jc w:val="left"/>
              <w:rPr/>
            </w:pPr>
            <w:r>
              <w:rPr/>
              <w:t> </w:t>
            </w:r>
            <w:bookmarkStart w:id="1475" w:name="xdx_40A_eus-gaap--ShareBasedCompensation"/>
            <w:bookmarkEnd w:id="1475"/>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pPr>
            <w:r>
              <w:rPr/>
              <w:t>(64,971</w:t>
            </w:r>
          </w:p>
        </w:tc>
        <w:tc>
          <w:tcPr>
            <w:tcW w:w="110" w:type="dxa"/>
            <w:tcBorders/>
            <w:shd w:fill="FFFFFF" w:val="clear"/>
            <w:vAlign w:val="center"/>
          </w:tcPr>
          <w:p>
            <w:pPr>
              <w:pStyle w:val="TableContents"/>
              <w:bidi w:val="0"/>
              <w:spacing w:before="0" w:after="283"/>
              <w:jc w:val="left"/>
              <w:rPr/>
            </w:pPr>
            <w:r>
              <w:rPr/>
              <w:t>)</w:t>
            </w:r>
            <w:bookmarkStart w:id="1476" w:name="xdx_40E_eus-gaap--ShareBasedCompensation"/>
            <w:bookmarkEnd w:id="1476"/>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pPr>
            <w:r>
              <w:rPr/>
              <w:t>9,422,529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public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77" w:name="xdx_492_20230101__20230331__us-gaap--Sta"/>
            <w:bookmarkEnd w:id="1477"/>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1478" w:name="xdx_40C_eus-gaap--ShareBasedCompensation"/>
            <w:bookmarkEnd w:id="1478"/>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2,593,056</w:t>
            </w:r>
          </w:p>
        </w:tc>
        <w:tc>
          <w:tcPr>
            <w:tcW w:w="110" w:type="dxa"/>
            <w:tcBorders/>
            <w:shd w:fill="CCEEFF" w:val="clear"/>
            <w:vAlign w:val="center"/>
          </w:tcPr>
          <w:p>
            <w:pPr>
              <w:pStyle w:val="TableContents"/>
              <w:bidi w:val="0"/>
              <w:spacing w:before="0" w:after="283"/>
              <w:jc w:val="left"/>
              <w:rPr/>
            </w:pPr>
            <w:r>
              <w:rPr/>
              <w:t> </w:t>
            </w:r>
            <w:bookmarkStart w:id="1479" w:name="xdx_404_eus-gaap--ShareBasedCompensation"/>
            <w:bookmarkEnd w:id="1479"/>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110" w:type="dxa"/>
            <w:tcBorders/>
            <w:shd w:fill="FFFFFF" w:val="clear"/>
            <w:vAlign w:val="center"/>
          </w:tcPr>
          <w:p>
            <w:pPr>
              <w:pStyle w:val="TableContents"/>
              <w:bidi w:val="0"/>
              <w:spacing w:before="0" w:after="283"/>
              <w:jc w:val="left"/>
              <w:rPr/>
            </w:pPr>
            <w:r>
              <w:rPr/>
              <w:t>)</w:t>
            </w:r>
            <w:bookmarkStart w:id="1480" w:name="xdx_40A_eus-gaap--ShareBasedCompensation"/>
            <w:bookmarkEnd w:id="1480"/>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1,343,056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term loan warrants issued, exercised and outstanding from the period January 1, 2022 through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both"/>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81" w:name="xdx_49F_20230101__20230331__us-gaap--Sta"/>
            <w:bookmarkEnd w:id="1481"/>
          </w:p>
        </w:tc>
        <w:tc>
          <w:tcPr>
            <w:tcW w:w="1639"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jc w:val="left"/>
              <w:rPr/>
            </w:pPr>
            <w:r>
              <w:rPr/>
              <w:t> </w:t>
            </w:r>
            <w:bookmarkStart w:id="1482" w:name="xdx_400_eus-gaap--SharesSubjectToMandato"/>
            <w:bookmarkEnd w:id="1482"/>
          </w:p>
        </w:tc>
      </w:tr>
      <w:tr>
        <w:trPr/>
        <w:tc>
          <w:tcPr>
            <w:tcW w:w="3080"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jc w:val="left"/>
              <w:rPr/>
            </w:pPr>
            <w:r>
              <w:rPr/>
              <w:t> </w:t>
            </w:r>
            <w:bookmarkStart w:id="1483" w:name="xdx_40A_ecustom--ExerciseOfWarrants_iN_p"/>
            <w:bookmarkEnd w:id="1483"/>
          </w:p>
        </w:tc>
      </w:tr>
      <w:tr>
        <w:trPr/>
        <w:tc>
          <w:tcPr>
            <w:tcW w:w="308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(8,822</w:t>
            </w:r>
          </w:p>
        </w:tc>
        <w:tc>
          <w:tcPr>
            <w:tcW w:w="110" w:type="dxa"/>
            <w:tcBorders/>
            <w:shd w:fill="FFFFFF" w:val="clear"/>
            <w:vAlign w:val="center"/>
          </w:tcPr>
          <w:p>
            <w:pPr>
              <w:pStyle w:val="TableContents"/>
              <w:bidi w:val="0"/>
              <w:spacing w:before="0" w:after="283"/>
              <w:jc w:val="left"/>
              <w:rPr/>
            </w:pPr>
            <w:r>
              <w:rPr/>
              <w:t>)</w:t>
            </w:r>
            <w:bookmarkStart w:id="1484" w:name="xdx_407_eus-gaap--FairValueAdjustmentOfW"/>
            <w:bookmarkEnd w:id="1484"/>
          </w:p>
        </w:tc>
      </w:tr>
      <w:tr>
        <w:trPr/>
        <w:tc>
          <w:tcPr>
            <w:tcW w:w="3080" w:type="dxa"/>
            <w:tcBorders/>
            <w:shd w:fill="CCEEFF" w:val="clear"/>
            <w:vAlign w:val="center"/>
          </w:tcPr>
          <w:p>
            <w:pPr>
              <w:pStyle w:val="TableContents"/>
              <w:bidi w:val="0"/>
              <w:spacing w:before="0" w:after="283"/>
              <w:jc w:val="both"/>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(17,998</w:t>
            </w:r>
          </w:p>
        </w:tc>
        <w:tc>
          <w:tcPr>
            <w:tcW w:w="110" w:type="dxa"/>
            <w:tcBorders/>
            <w:shd w:fill="CCEEFF" w:val="clear"/>
            <w:vAlign w:val="center"/>
          </w:tcPr>
          <w:p>
            <w:pPr>
              <w:pStyle w:val="TableContents"/>
              <w:bidi w:val="0"/>
              <w:spacing w:before="0" w:after="283"/>
              <w:jc w:val="left"/>
              <w:rPr/>
            </w:pPr>
            <w:r>
              <w:rPr/>
              <w:t>)</w:t>
            </w:r>
            <w:bookmarkStart w:id="1485" w:name="xdx_404_eus-gaap--SharesSubjectToMandato"/>
            <w:bookmarkEnd w:id="1485"/>
          </w:p>
        </w:tc>
      </w:tr>
      <w:tr>
        <w:trPr/>
        <w:tc>
          <w:tcPr>
            <w:tcW w:w="3080" w:type="dxa"/>
            <w:tcBorders/>
            <w:shd w:fill="FFFFFF" w:val="clear"/>
            <w:vAlign w:val="center"/>
          </w:tcPr>
          <w:p>
            <w:pPr>
              <w:pStyle w:val="TableContents"/>
              <w:bidi w:val="0"/>
              <w:spacing w:before="0" w:after="283"/>
              <w:jc w:val="both"/>
              <w:rPr/>
            </w:pPr>
            <w:r>
              <w:rPr/>
              <w:t>Balances, March 31, 2023</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86" w:name="xdx_8A2_z5fchmM6Avzh"/>
      <w:bookmarkEnd w:id="148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487" w:name="xdx_801_eus-gaap--StockholdersEquityNote"/>
      <w:bookmarkEnd w:id="1487"/>
      <w:r>
        <w:rPr>
          <w:rFonts w:ascii="Times New Roman;Times;Serif" w:hAnsi="Times New Roman;Times;Serif"/>
          <w:b/>
          <w:i w:val="false"/>
          <w:caps/>
          <w:sz w:val="20"/>
        </w:rPr>
        <w:t xml:space="preserve">NOTE 10 - </w:t>
      </w:r>
      <w:bookmarkStart w:id="1488" w:name="xdx_822_ztE5lCQZE5Nf"/>
      <w:bookmarkEnd w:id="1488"/>
      <w:r>
        <w:rPr>
          <w:rFonts w:ascii="Times New Roman;Times;Serif" w:hAnsi="Times New Roman;Times;Serif"/>
          <w:b/>
          <w:i w:val="false"/>
          <w:caps/>
          <w:sz w:val="20"/>
        </w:rPr>
        <w:t>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1489" w:name="xdx_90F_eus-gaap--CommonStockSharesAutho"/>
      <w:bookmarkEnd w:id="1489"/>
      <w:r>
        <w:rPr>
          <w:rFonts w:ascii="Times New Roman;Times;Serif" w:hAnsi="Times New Roman;Times;Serif"/>
          <w:b w:val="false"/>
          <w:i w:val="false"/>
          <w:caps w:val="false"/>
          <w:smallCaps w:val="false"/>
          <w:sz w:val="20"/>
        </w:rPr>
        <w:t>170,000,000 shares of common stock with $</w:t>
      </w:r>
      <w:bookmarkStart w:id="1490" w:name="xdx_909_eus-gaap--CommonStockParOrStated"/>
      <w:bookmarkEnd w:id="1490"/>
      <w:r>
        <w:rPr>
          <w:rFonts w:ascii="Times New Roman;Times;Serif" w:hAnsi="Times New Roman;Times;Serif"/>
          <w:b w:val="false"/>
          <w:i w:val="false"/>
          <w:caps w:val="false"/>
          <w:smallCaps w:val="false"/>
          <w:sz w:val="20"/>
        </w:rPr>
        <w:t>0.0001 par value. Common stockholders are entitled to dividends if and when declared by the Board of Directors subject to the rights of the preferred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91" w:name="xdx_899_ecustom--SummaryOfReservedShares"/>
      <w:bookmarkEnd w:id="1491"/>
      <w:r>
        <w:rPr>
          <w:rFonts w:ascii="Times New Roman;Times;Serif" w:hAnsi="Times New Roman;Times;Serif"/>
          <w:b w:val="false"/>
          <w:i w:val="false"/>
          <w:caps w:val="false"/>
          <w:smallCaps w:val="false"/>
          <w:sz w:val="20"/>
        </w:rPr>
        <w:t>For the three months ended March 31, 2023 and 2022,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92" w:name="xdx_8B6_zvGq0t1dEtV8"/>
      <w:bookmarkEnd w:id="1492"/>
      <w:r>
        <w:rPr>
          <w:rFonts w:ascii="Times New Roman;Times;Serif" w:hAnsi="Times New Roman;Times;Serif"/>
          <w:b w:val="false"/>
          <w:i w:val="false"/>
          <w:caps w:val="false"/>
          <w:smallCaps w:val="false"/>
          <w:sz w:val="20"/>
        </w:rPr>
        <w:t>SUMMARY OF RESERVED SHARES OF COMMON STOCK FOR ISSUANCE </w:t>
      </w:r>
    </w:p>
    <w:tbl>
      <w:tblPr>
        <w:tblW w:w="6688" w:type="dxa"/>
        <w:jc w:val="left"/>
        <w:tblInd w:w="0" w:type="dxa"/>
        <w:tblLayout w:type="fixed"/>
        <w:tblCellMar>
          <w:top w:w="0" w:type="dxa"/>
          <w:left w:w="0" w:type="dxa"/>
          <w:bottom w:w="0" w:type="dxa"/>
          <w:right w:w="0" w:type="dxa"/>
        </w:tblCellMar>
      </w:tblPr>
      <w:tblGrid>
        <w:gridCol w:w="3365"/>
        <w:gridCol w:w="60"/>
        <w:gridCol w:w="71"/>
        <w:gridCol w:w="1463"/>
        <w:gridCol w:w="60"/>
        <w:gridCol w:w="60"/>
        <w:gridCol w:w="79"/>
        <w:gridCol w:w="1455"/>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3" w:name="xdx_495_20230331_zoaQ6IzTuZCd"/>
            <w:bookmarkEnd w:id="1493"/>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4" w:name="xdx_49B_20220331_zRUL0DM0oX6e"/>
            <w:bookmarkEnd w:id="1494"/>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bookmarkStart w:id="1495" w:name="xdx_40E_eus-gaap--ShareBasedCompensation"/>
            <w:bookmarkEnd w:id="1495"/>
          </w:p>
        </w:tc>
      </w:tr>
      <w:tr>
        <w:trPr/>
        <w:tc>
          <w:tcPr>
            <w:tcW w:w="3365"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3,731,392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bookmarkStart w:id="1496" w:name="xdx_40F_eus-gaap--CommonStockSharesOutst"/>
            <w:bookmarkEnd w:id="1496"/>
          </w:p>
        </w:tc>
      </w:tr>
      <w:tr>
        <w:trPr/>
        <w:tc>
          <w:tcPr>
            <w:tcW w:w="3365"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36,581,910</w:t>
            </w:r>
          </w:p>
        </w:tc>
        <w:tc>
          <w:tcPr>
            <w:tcW w:w="75" w:type="dxa"/>
            <w:tcBorders/>
            <w:shd w:fill="FFFFFF" w:val="clear"/>
            <w:vAlign w:val="center"/>
          </w:tcPr>
          <w:p>
            <w:pPr>
              <w:pStyle w:val="TableContents"/>
              <w:bidi w:val="0"/>
              <w:spacing w:before="0" w:after="283"/>
              <w:jc w:val="left"/>
              <w:rPr/>
            </w:pPr>
            <w:r>
              <w:rPr/>
              <w:t> </w:t>
            </w:r>
            <w:bookmarkStart w:id="1497" w:name="xdx_406_eus-gaap--ClassOfWarrantOrRightO"/>
            <w:bookmarkEnd w:id="1497"/>
          </w:p>
        </w:tc>
      </w:tr>
      <w:tr>
        <w:trPr/>
        <w:tc>
          <w:tcPr>
            <w:tcW w:w="3365"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12,266,971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498" w:name="xdx_403_ecustom--EarnoutShares_iI_pid_zr"/>
            <w:bookmarkEnd w:id="1498"/>
          </w:p>
        </w:tc>
      </w:tr>
      <w:tr>
        <w:trPr/>
        <w:tc>
          <w:tcPr>
            <w:tcW w:w="3365"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499" w:name="xdx_40D_eus-gaap--ShareBasedCompensation"/>
            <w:bookmarkEnd w:id="1499"/>
          </w:p>
        </w:tc>
      </w:tr>
      <w:tr>
        <w:trPr/>
        <w:tc>
          <w:tcPr>
            <w:tcW w:w="3365" w:type="dxa"/>
            <w:tcBorders/>
            <w:shd w:fill="CCEEFF" w:val="clear"/>
            <w:vAlign w:val="center"/>
          </w:tcPr>
          <w:p>
            <w:pPr>
              <w:pStyle w:val="TableContents"/>
              <w:bidi w:val="0"/>
              <w:spacing w:before="0" w:after="283"/>
              <w:jc w:val="left"/>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12" w:space="0" w:color="000000"/>
            </w:tcBorders>
            <w:shd w:fill="CCEEFF" w:val="clear"/>
            <w:tcMar>
              <w:bottom w:w="28" w:type="dxa"/>
            </w:tcMar>
            <w:vAlign w:val="center"/>
          </w:tcPr>
          <w:p>
            <w:pPr>
              <w:pStyle w:val="TableContents"/>
              <w:bidi w:val="0"/>
              <w:spacing w:before="0" w:after="283"/>
              <w:jc w:val="right"/>
              <w:rPr/>
            </w:pPr>
            <w:r>
              <w:rPr/>
              <w:t>4,319,309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1,205,790</w:t>
            </w:r>
          </w:p>
        </w:tc>
        <w:tc>
          <w:tcPr>
            <w:tcW w:w="75" w:type="dxa"/>
            <w:tcBorders/>
            <w:shd w:fill="CCEEFF" w:val="clear"/>
            <w:vAlign w:val="center"/>
          </w:tcPr>
          <w:p>
            <w:pPr>
              <w:pStyle w:val="TableContents"/>
              <w:bidi w:val="0"/>
              <w:spacing w:before="0" w:after="283"/>
              <w:jc w:val="left"/>
              <w:rPr/>
            </w:pPr>
            <w:r>
              <w:rPr/>
              <w:t> </w:t>
            </w:r>
            <w:bookmarkStart w:id="1500" w:name="xdx_40E_eus-gaap--CommonStockCapitalShar"/>
            <w:bookmarkEnd w:id="1500"/>
          </w:p>
        </w:tc>
      </w:tr>
      <w:tr>
        <w:trPr/>
        <w:tc>
          <w:tcPr>
            <w:tcW w:w="33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pPr>
            <w:r>
              <w:rPr/>
              <w:t>106,113,174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double" w:sz="6" w:space="0" w:color="000000"/>
            </w:tcBorders>
            <w:shd w:fill="FFFFFF" w:val="clear"/>
            <w:tcMar>
              <w:bottom w:w="28" w:type="dxa"/>
            </w:tcMar>
            <w:vAlign w:val="center"/>
          </w:tcPr>
          <w:p>
            <w:pPr>
              <w:pStyle w:val="TableContents"/>
              <w:bidi w:val="0"/>
              <w:spacing w:before="0" w:after="283"/>
              <w:jc w:val="right"/>
              <w:rPr/>
            </w:pPr>
            <w:r>
              <w:rPr/>
              <w:t>41,418,702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01" w:name="xdx_8AD_zk3GHsjO0wDa"/>
      <w:bookmarkEnd w:id="1501"/>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w:t>
      </w:r>
      <w:bookmarkStart w:id="1502" w:name="xdx_909_ecustom--PlanOfMergerMaximumAggr"/>
      <w:bookmarkEnd w:id="1502"/>
      <w:r>
        <w:rPr>
          <w:rFonts w:ascii="Times New Roman;Times;Serif" w:hAnsi="Times New Roman;Times;Serif"/>
          <w:b w:val="false"/>
          <w:i w:val="false"/>
          <w:caps w:val="false"/>
          <w:smallCaps w:val="false"/>
          <w:sz w:val="20"/>
        </w:rPr>
        <w:t xml:space="preserve">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w:t>
      </w:r>
      <w:bookmarkStart w:id="1503" w:name="xdx_903_eus-gaap--StockIssuedDuringPerio"/>
      <w:bookmarkEnd w:id="1503"/>
      <w:r>
        <w:rPr>
          <w:rFonts w:ascii="Times New Roman;Times;Serif" w:hAnsi="Times New Roman;Times;Serif"/>
          <w:b w:val="false"/>
          <w:i w:val="false"/>
          <w:caps w:val="false"/>
          <w:smallCaps w:val="false"/>
          <w:sz w:val="20"/>
        </w:rPr>
        <w:t>73,500 shares pursuant to the Purchase Agreement with CCM LLC for aggregate net proceeds to the Company of $</w:t>
      </w:r>
      <w:bookmarkStart w:id="1504" w:name="xdx_902_eus-gaap--ProceedsFromIssuanceOf"/>
      <w:bookmarkEnd w:id="1504"/>
      <w:r>
        <w:rPr>
          <w:rFonts w:ascii="Times New Roman;Times;Serif" w:hAnsi="Times New Roman;Times;Serif"/>
          <w:b w:val="false"/>
          <w:i w:val="false"/>
          <w:caps w:val="false"/>
          <w:smallCaps w:val="false"/>
          <w:sz w:val="20"/>
        </w:rPr>
        <w:t>597 from the period January 1, 2023 through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505" w:name="xdx_80E_eus-gaap--DisclosureOfCompensati"/>
      <w:bookmarkEnd w:id="1505"/>
      <w:r>
        <w:rPr>
          <w:rFonts w:ascii="Times New Roman;Times;Serif" w:hAnsi="Times New Roman;Times;Serif"/>
          <w:b/>
          <w:i w:val="false"/>
          <w:caps/>
          <w:sz w:val="20"/>
        </w:rPr>
        <w:t xml:space="preserve">NOTE 11 - </w:t>
      </w:r>
      <w:bookmarkStart w:id="1506" w:name="xdx_82F_z4shRzZzMUWd"/>
      <w:bookmarkEnd w:id="1506"/>
      <w:r>
        <w:rPr>
          <w:rFonts w:ascii="Times New Roman;Times;Serif" w:hAnsi="Times New Roman;Times;Serif"/>
          <w:b/>
          <w:i w:val="false"/>
          <w:caps/>
          <w:sz w:val="20"/>
        </w:rPr>
        <w:t>STOCK-BASED COMPENSATION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1507" w:name="xdx_905_eus-gaap--AllocatedShareBasedCom"/>
      <w:bookmarkEnd w:id="1507"/>
      <w:r>
        <w:rPr>
          <w:rFonts w:ascii="Times New Roman;Times;Serif" w:hAnsi="Times New Roman;Times;Serif"/>
          <w:b w:val="false"/>
          <w:i w:val="false"/>
          <w:caps w:val="false"/>
          <w:smallCaps w:val="false"/>
          <w:sz w:val="20"/>
        </w:rPr>
        <w:t>4,487 and $</w:t>
      </w:r>
      <w:bookmarkStart w:id="1508" w:name="xdx_902_eus-gaap--AllocatedShareBasedCom"/>
      <w:bookmarkEnd w:id="1508"/>
      <w:r>
        <w:rPr>
          <w:rFonts w:ascii="Times New Roman;Times;Serif" w:hAnsi="Times New Roman;Times;Serif"/>
          <w:b w:val="false"/>
          <w:i w:val="false"/>
          <w:caps w:val="false"/>
          <w:smallCaps w:val="false"/>
          <w:sz w:val="20"/>
        </w:rPr>
        <w:t>288 was recognized in the Company’s consolidated statements of operations for the three months ended March 31, 2023 and 2022, respectively. Of the $</w:t>
      </w:r>
      <w:bookmarkStart w:id="1509" w:name="xdx_905_eus-gaap--AllocatedShareBasedCom"/>
      <w:bookmarkEnd w:id="1509"/>
      <w:r>
        <w:rPr>
          <w:rFonts w:ascii="Times New Roman;Times;Serif" w:hAnsi="Times New Roman;Times;Serif"/>
          <w:b w:val="false"/>
          <w:i w:val="false"/>
          <w:caps w:val="false"/>
          <w:smallCaps w:val="false"/>
          <w:sz w:val="20"/>
        </w:rPr>
        <w:t>4,487 of share-based compensation incurred during the three months ended March 31, 2023, $</w:t>
      </w:r>
      <w:bookmarkStart w:id="1510" w:name="xdx_902_eus-gaap--AllocatedShareBasedCom"/>
      <w:bookmarkEnd w:id="1510"/>
      <w:r>
        <w:rPr>
          <w:rFonts w:ascii="Times New Roman;Times;Serif" w:hAnsi="Times New Roman;Times;Serif"/>
          <w:b w:val="false"/>
          <w:i w:val="false"/>
          <w:caps w:val="false"/>
          <w:smallCaps w:val="false"/>
          <w:sz w:val="20"/>
        </w:rPr>
        <w:t>36 is allocated to cost of goods sold, $</w:t>
      </w:r>
      <w:bookmarkStart w:id="1511" w:name="xdx_90A_eus-gaap--AllocatedShareBasedCom"/>
      <w:bookmarkEnd w:id="1511"/>
      <w:r>
        <w:rPr>
          <w:rFonts w:ascii="Times New Roman;Times;Serif" w:hAnsi="Times New Roman;Times;Serif"/>
          <w:b w:val="false"/>
          <w:i w:val="false"/>
          <w:caps w:val="false"/>
          <w:smallCaps w:val="false"/>
          <w:sz w:val="20"/>
        </w:rPr>
        <w:t>29 to research and development, $</w:t>
      </w:r>
      <w:bookmarkStart w:id="1512" w:name="xdx_901_eus-gaap--AllocatedShareBasedCom"/>
      <w:bookmarkEnd w:id="1512"/>
      <w:r>
        <w:rPr>
          <w:rFonts w:ascii="Times New Roman;Times;Serif" w:hAnsi="Times New Roman;Times;Serif"/>
          <w:b w:val="false"/>
          <w:i w:val="false"/>
          <w:caps w:val="false"/>
          <w:smallCaps w:val="false"/>
          <w:sz w:val="20"/>
        </w:rPr>
        <w:t>856 to selling and marketing, and $</w:t>
      </w:r>
      <w:bookmarkStart w:id="1513" w:name="xdx_906_eus-gaap--AllocatedShareBasedCom"/>
      <w:bookmarkEnd w:id="1513"/>
      <w:r>
        <w:rPr>
          <w:rFonts w:ascii="Times New Roman;Times;Serif" w:hAnsi="Times New Roman;Times;Serif"/>
          <w:b w:val="false"/>
          <w:i w:val="false"/>
          <w:caps w:val="false"/>
          <w:smallCaps w:val="false"/>
          <w:sz w:val="20"/>
        </w:rPr>
        <w:t>3,566 to general and administrative expenses. Of the $</w:t>
      </w:r>
      <w:bookmarkStart w:id="1514" w:name="xdx_90B_eus-gaap--AllocatedShareBasedCom"/>
      <w:bookmarkEnd w:id="1514"/>
      <w:r>
        <w:rPr>
          <w:rFonts w:ascii="Times New Roman;Times;Serif" w:hAnsi="Times New Roman;Times;Serif"/>
          <w:b w:val="false"/>
          <w:i w:val="false"/>
          <w:caps w:val="false"/>
          <w:smallCaps w:val="false"/>
          <w:sz w:val="20"/>
        </w:rPr>
        <w:t>288 of share-based compensation incurred during the three months ended March 31, 2022, $</w:t>
      </w:r>
      <w:bookmarkStart w:id="1515" w:name="xdx_904_eus-gaap--AllocatedShareBasedCom"/>
      <w:bookmarkEnd w:id="1515"/>
      <w:r>
        <w:rPr>
          <w:rFonts w:ascii="Times New Roman;Times;Serif" w:hAnsi="Times New Roman;Times;Serif"/>
          <w:b w:val="false"/>
          <w:i w:val="false"/>
          <w:caps w:val="false"/>
          <w:smallCaps w:val="false"/>
          <w:sz w:val="20"/>
        </w:rPr>
        <w:t>97 is allocated to cost of goods sold, $</w:t>
      </w:r>
      <w:bookmarkStart w:id="1516" w:name="xdx_90F_eus-gaap--AllocatedShareBasedCom"/>
      <w:bookmarkEnd w:id="1516"/>
      <w:r>
        <w:rPr>
          <w:rFonts w:ascii="Times New Roman;Times;Serif" w:hAnsi="Times New Roman;Times;Serif"/>
          <w:b w:val="false"/>
          <w:i w:val="false"/>
          <w:caps w:val="false"/>
          <w:smallCaps w:val="false"/>
          <w:sz w:val="20"/>
        </w:rPr>
        <w:t>37 to research and development, $</w:t>
      </w:r>
      <w:bookmarkStart w:id="1517" w:name="xdx_901_eus-gaap--AllocatedShareBasedCom"/>
      <w:bookmarkEnd w:id="1517"/>
      <w:r>
        <w:rPr>
          <w:rFonts w:ascii="Times New Roman;Times;Serif" w:hAnsi="Times New Roman;Times;Serif"/>
          <w:b w:val="false"/>
          <w:i w:val="false"/>
          <w:caps w:val="false"/>
          <w:smallCaps w:val="false"/>
          <w:sz w:val="20"/>
        </w:rPr>
        <w:t>60 to selling and marketing, and $</w:t>
      </w:r>
      <w:bookmarkStart w:id="1518" w:name="xdx_90E_eus-gaap--AllocatedShareBasedCom"/>
      <w:bookmarkEnd w:id="1518"/>
      <w:r>
        <w:rPr>
          <w:rFonts w:ascii="Times New Roman;Times;Serif" w:hAnsi="Times New Roman;Times;Serif"/>
          <w:b w:val="false"/>
          <w:i w:val="false"/>
          <w:caps w:val="false"/>
          <w:smallCaps w:val="false"/>
          <w:sz w:val="20"/>
        </w:rPr>
        <w:t>94 to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19" w:name="xdx_892_eus-gaap--ScheduleOfShareBasedCo"/>
      <w:bookmarkEnd w:id="1519"/>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20" w:name="xdx_8B0_zPNjKyC1i9b1"/>
      <w:bookmarkEnd w:id="1520"/>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386"/>
        <w:gridCol w:w="60"/>
        <w:gridCol w:w="60"/>
        <w:gridCol w:w="980"/>
        <w:gridCol w:w="95"/>
        <w:gridCol w:w="60"/>
        <w:gridCol w:w="215"/>
        <w:gridCol w:w="1605"/>
        <w:gridCol w:w="60"/>
        <w:gridCol w:w="60"/>
        <w:gridCol w:w="240"/>
        <w:gridCol w:w="1580"/>
        <w:gridCol w:w="60"/>
        <w:gridCol w:w="60"/>
        <w:gridCol w:w="181"/>
        <w:gridCol w:w="2243"/>
        <w:gridCol w:w="60"/>
        <w:gridCol w:w="60"/>
        <w:gridCol w:w="181"/>
        <w:gridCol w:w="883"/>
        <w:gridCol w:w="76"/>
      </w:tblGrid>
      <w:tr>
        <w:trPr/>
        <w:tc>
          <w:tcPr>
            <w:tcW w:w="1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w:t>
            </w:r>
            <w:bookmarkStart w:id="1521" w:name="xdx_F5B_zOgfIDlBTjZe"/>
            <w:bookmarkEnd w:id="1521"/>
            <w:r>
              <w:rPr>
                <w:rFonts w:ascii="Times New Roman;Times;Serif" w:hAnsi="Times New Roman;Times;Serif"/>
                <w:b w:val="false"/>
                <w:i w:val="false"/>
                <w:caps w:val="false"/>
                <w:smallCaps w:val="false"/>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jc w:val="center"/>
              <w:rPr/>
            </w:pPr>
            <w:r>
              <w:rPr/>
              <w:t>Grant</w:t>
            </w:r>
          </w:p>
          <w:p>
            <w:pPr>
              <w:pStyle w:val="TableContents"/>
              <w:bidi w:val="0"/>
              <w:jc w:val="center"/>
              <w:rPr/>
            </w:pPr>
            <w:r>
              <w:rPr/>
              <w:t>Date Fair</w:t>
            </w:r>
          </w:p>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4" w:type="dxa"/>
            <w:gridSpan w:val="2"/>
            <w:tcBorders>
              <w:bottom w:val="single" w:sz="12" w:space="0" w:color="000000"/>
            </w:tcBorders>
            <w:tcMar>
              <w:bottom w:w="30"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jc w:val="center"/>
              <w:rPr/>
            </w:pPr>
            <w:r>
              <w:rPr/>
              <w:t>Aggregate</w:t>
            </w:r>
          </w:p>
          <w:p>
            <w:pPr>
              <w:pStyle w:val="TableContents"/>
              <w:bidi w:val="0"/>
              <w:spacing w:before="0" w:after="283"/>
              <w:jc w:val="center"/>
              <w:rPr/>
            </w:pPr>
            <w:r>
              <w:rPr/>
              <w:t>intrinsic value</w:t>
            </w:r>
          </w:p>
        </w:tc>
        <w:tc>
          <w:tcPr>
            <w:tcW w:w="76" w:type="dxa"/>
            <w:tcBorders/>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2" w:name="xdx_98B_eus-gaap--ShareBasedCompensation"/>
            <w:bookmarkEnd w:id="1522"/>
          </w:p>
        </w:tc>
        <w:tc>
          <w:tcPr>
            <w:tcW w:w="980" w:type="dxa"/>
            <w:tcBorders/>
            <w:shd w:fill="CCEEFF" w:val="clear"/>
            <w:vAlign w:val="center"/>
          </w:tcPr>
          <w:p>
            <w:pPr>
              <w:pStyle w:val="TableContents"/>
              <w:bidi w:val="0"/>
              <w:spacing w:before="0" w:after="283"/>
              <w:jc w:val="right"/>
              <w:rPr/>
            </w:pPr>
            <w:r>
              <w:rPr/>
              <w:t>3,690,955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23" w:name="xdx_984_eus-gaap--ShareBasedCompensation"/>
            <w:bookmarkEnd w:id="1523"/>
          </w:p>
        </w:tc>
        <w:tc>
          <w:tcPr>
            <w:tcW w:w="1605" w:type="dxa"/>
            <w:tcBorders/>
            <w:shd w:fill="CCEEFF" w:val="clear"/>
            <w:vAlign w:val="center"/>
          </w:tcPr>
          <w:p>
            <w:pPr>
              <w:pStyle w:val="TableContents"/>
              <w:bidi w:val="0"/>
              <w:spacing w:before="0" w:after="283"/>
              <w:jc w:val="right"/>
              <w:rPr/>
            </w:pPr>
            <w:r>
              <w:rPr/>
              <w:t>          </w:t>
            </w: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1524" w:name="xdx_98F_eus-gaap--SharebasedCompensation"/>
            <w:bookmarkEnd w:id="1524"/>
          </w:p>
        </w:tc>
        <w:tc>
          <w:tcPr>
            <w:tcW w:w="1580" w:type="dxa"/>
            <w:tcBorders/>
            <w:shd w:fill="CCEEFF" w:val="clear"/>
            <w:vAlign w:val="center"/>
          </w:tcPr>
          <w:p>
            <w:pPr>
              <w:pStyle w:val="TableContents"/>
              <w:bidi w:val="0"/>
              <w:spacing w:before="0" w:after="283"/>
              <w:jc w:val="right"/>
              <w:rPr/>
            </w:pPr>
            <w:r>
              <w:rPr/>
              <w:t>        </w:t>
            </w: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bookmarkStart w:id="1525" w:name="xdx_90E_ecustom--SharebasedCompensationA"/>
            <w:bookmarkEnd w:id="1525"/>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26" w:name="xdx_983_eus-gaap--ShareBasedCompensation"/>
            <w:bookmarkEnd w:id="1526"/>
          </w:p>
        </w:tc>
        <w:tc>
          <w:tcPr>
            <w:tcW w:w="883" w:type="dxa"/>
            <w:tcBorders/>
            <w:shd w:fill="CCEEFF" w:val="clear"/>
            <w:vAlign w:val="center"/>
          </w:tcPr>
          <w:p>
            <w:pPr>
              <w:pStyle w:val="TableContents"/>
              <w:bidi w:val="0"/>
              <w:spacing w:before="0" w:after="283"/>
              <w:jc w:val="right"/>
              <w:rPr/>
            </w:pPr>
            <w:r>
              <w:rPr/>
              <w:t>6,550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7" w:name="xdx_989_eus-gaap--ShareBasedCompensation"/>
            <w:bookmarkEnd w:id="1527"/>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528" w:name="xdx_983_eus-gaap--ShareBasedCompensation"/>
            <w:bookmarkEnd w:id="1528"/>
          </w:p>
        </w:tc>
        <w:tc>
          <w:tcPr>
            <w:tcW w:w="1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1529" w:name="xdx_980_eus-gaap--ShareBasedCompensation"/>
            <w:bookmarkEnd w:id="1529"/>
          </w:p>
        </w:tc>
        <w:tc>
          <w:tcPr>
            <w:tcW w:w="15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1530" w:name="xdx_98C_ecustom--ShareBasedCompensationA"/>
            <w:bookmarkEnd w:id="1530"/>
          </w:p>
        </w:tc>
        <w:tc>
          <w:tcPr>
            <w:tcW w:w="883"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1" w:name="xdx_981_eus-gaap--ShareBasedCompensation"/>
            <w:bookmarkEnd w:id="1531"/>
          </w:p>
        </w:tc>
        <w:tc>
          <w:tcPr>
            <w:tcW w:w="980" w:type="dxa"/>
            <w:tcBorders/>
            <w:shd w:fill="CCEEFF" w:val="clear"/>
            <w:vAlign w:val="center"/>
          </w:tcPr>
          <w:p>
            <w:pPr>
              <w:pStyle w:val="TableContents"/>
              <w:bidi w:val="0"/>
              <w:spacing w:before="0" w:after="283"/>
              <w:jc w:val="right"/>
              <w:rPr/>
            </w:pPr>
            <w:r>
              <w:rPr/>
              <w:t>(11,584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532" w:name="xdx_989_eus-gaap--ShareBasedCompensation"/>
            <w:bookmarkEnd w:id="1532"/>
          </w:p>
        </w:tc>
        <w:tc>
          <w:tcPr>
            <w:tcW w:w="1605" w:type="dxa"/>
            <w:tcBorders/>
            <w:shd w:fill="CCEEFF" w:val="cle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bookmarkStart w:id="1533" w:name="xdx_982_eus-gaap--SharebasedCompensation"/>
            <w:bookmarkEnd w:id="1533"/>
          </w:p>
        </w:tc>
        <w:tc>
          <w:tcPr>
            <w:tcW w:w="1580"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534" w:name="xdx_986_ecustom--ShareBasedCompensationA"/>
            <w:bookmarkEnd w:id="1534"/>
          </w:p>
        </w:tc>
        <w:tc>
          <w:tcPr>
            <w:tcW w:w="883"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5" w:name="xdx_987_eus-gaap--StockIssuedDuringPerio"/>
            <w:bookmarkEnd w:id="1535"/>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6" w:name="xdx_980_eus-gaap--ShareBasedCompensation"/>
            <w:bookmarkEnd w:id="1536"/>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7" w:name="xdx_986_eus-gaap--SharebasedCompensation"/>
            <w:bookmarkEnd w:id="1537"/>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38" w:name="xdx_987_eus-gaap--ShareBasedCompensation"/>
            <w:bookmarkEnd w:id="1538"/>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9" w:name="xdx_98F_eus-gaap--ShareBasedCompensation"/>
            <w:bookmarkEnd w:id="1539"/>
          </w:p>
        </w:tc>
        <w:tc>
          <w:tcPr>
            <w:tcW w:w="980" w:type="dxa"/>
            <w:tcBorders/>
            <w:shd w:fill="CCEEFF" w:val="clear"/>
            <w:vAlign w:val="center"/>
          </w:tcPr>
          <w:p>
            <w:pPr>
              <w:pStyle w:val="TableContents"/>
              <w:bidi w:val="0"/>
              <w:spacing w:before="0" w:after="283"/>
              <w:jc w:val="right"/>
              <w:rPr/>
            </w:pPr>
            <w:r>
              <w:rPr/>
              <w:t>3,631,002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40" w:name="xdx_980_eus-gaap--ShareBasedCompensation"/>
            <w:bookmarkEnd w:id="1540"/>
          </w:p>
        </w:tc>
        <w:tc>
          <w:tcPr>
            <w:tcW w:w="1605"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1541" w:name="xdx_98C_eus-gaap--SharebasedCompensation"/>
            <w:bookmarkEnd w:id="1541"/>
          </w:p>
        </w:tc>
        <w:tc>
          <w:tcPr>
            <w:tcW w:w="1580"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42" w:name="xdx_900_eus-gaap--SharebasedCompensation"/>
            <w:bookmarkEnd w:id="1542"/>
            <w:r>
              <w:rPr/>
              <w:t>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43" w:name="xdx_980_eus-gaap--ShareBasedCompensation"/>
            <w:bookmarkEnd w:id="1543"/>
          </w:p>
        </w:tc>
        <w:tc>
          <w:tcPr>
            <w:tcW w:w="883" w:type="dxa"/>
            <w:tcBorders/>
            <w:shd w:fill="CCEEFF" w:val="clear"/>
            <w:vAlign w:val="center"/>
          </w:tcPr>
          <w:p>
            <w:pPr>
              <w:pStyle w:val="TableContents"/>
              <w:bidi w:val="0"/>
              <w:spacing w:before="0" w:after="283"/>
              <w:jc w:val="right"/>
              <w:rPr/>
            </w:pPr>
            <w:r>
              <w:rPr/>
              <w:t>6,377</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4" w:name="xdx_98F_eus-gaap--ShareBasedCompensation"/>
            <w:bookmarkEnd w:id="1544"/>
          </w:p>
        </w:tc>
        <w:tc>
          <w:tcPr>
            <w:tcW w:w="980" w:type="dxa"/>
            <w:tcBorders/>
            <w:shd w:fill="CCEEFF" w:val="clear"/>
            <w:vAlign w:val="center"/>
          </w:tcPr>
          <w:p>
            <w:pPr>
              <w:pStyle w:val="TableContents"/>
              <w:bidi w:val="0"/>
              <w:spacing w:before="0" w:after="283"/>
              <w:jc w:val="right"/>
              <w:rPr/>
            </w:pPr>
            <w:r>
              <w:rPr/>
              <w:t>3,642,958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45" w:name="xdx_981_eus-gaap--ShareBasedCompensation"/>
            <w:bookmarkEnd w:id="1545"/>
          </w:p>
        </w:tc>
        <w:tc>
          <w:tcPr>
            <w:tcW w:w="1605"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1546" w:name="xdx_982_eus-gaap--SharebasedCompensation"/>
            <w:bookmarkEnd w:id="1546"/>
          </w:p>
        </w:tc>
        <w:tc>
          <w:tcPr>
            <w:tcW w:w="158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47" w:name="xdx_90A_ecustom--SharebasedCompensationA"/>
            <w:bookmarkEnd w:id="1547"/>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48" w:name="xdx_98C_eus-gaap--ShareBasedCompensation"/>
            <w:bookmarkEnd w:id="1548"/>
          </w:p>
        </w:tc>
        <w:tc>
          <w:tcPr>
            <w:tcW w:w="883" w:type="dxa"/>
            <w:tcBorders/>
            <w:shd w:fill="CCEEFF" w:val="clear"/>
            <w:vAlign w:val="center"/>
          </w:tcPr>
          <w:p>
            <w:pPr>
              <w:pStyle w:val="TableContents"/>
              <w:bidi w:val="0"/>
              <w:spacing w:before="0" w:after="283"/>
              <w:jc w:val="right"/>
              <w:rPr/>
            </w:pPr>
            <w:r>
              <w:rPr/>
              <w:t>35,989</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49" w:name="xdx_982_eus-gaap--ShareBasedCompensation"/>
            <w:bookmarkEnd w:id="1549"/>
          </w:p>
        </w:tc>
        <w:tc>
          <w:tcPr>
            <w:tcW w:w="980" w:type="dxa"/>
            <w:tcBorders/>
            <w:shd w:fill="FFFFFF" w:val="clear"/>
            <w:vAlign w:val="center"/>
          </w:tcPr>
          <w:p>
            <w:pPr>
              <w:pStyle w:val="TableContents"/>
              <w:bidi w:val="0"/>
              <w:spacing w:before="0" w:after="283"/>
              <w:jc w:val="right"/>
              <w:rPr/>
            </w:pPr>
            <w:r>
              <w:rPr/>
              <w:t>143,607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550" w:name="xdx_98B_eus-gaap--ShareBasedCompensation"/>
            <w:bookmarkEnd w:id="1550"/>
          </w:p>
        </w:tc>
        <w:tc>
          <w:tcPr>
            <w:tcW w:w="1605" w:type="dxa"/>
            <w:tcBorders/>
            <w:shd w:fill="FFFFFF" w:val="clear"/>
            <w:vAlign w:val="center"/>
          </w:tcPr>
          <w:p>
            <w:pPr>
              <w:pStyle w:val="TableContents"/>
              <w:bidi w:val="0"/>
              <w:spacing w:before="0" w:after="283"/>
              <w:jc w:val="right"/>
              <w:rPr/>
            </w:pPr>
            <w:r>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1551" w:name="xdx_986_eus-gaap--ShareBasedCompensation"/>
            <w:bookmarkEnd w:id="1551"/>
          </w:p>
        </w:tc>
        <w:tc>
          <w:tcPr>
            <w:tcW w:w="1580" w:type="dxa"/>
            <w:tcBorders/>
            <w:shd w:fill="FFFFFF" w:val="clear"/>
            <w:vAlign w:val="center"/>
          </w:tcPr>
          <w:p>
            <w:pPr>
              <w:pStyle w:val="TableContents"/>
              <w:bidi w:val="0"/>
              <w:spacing w:before="0" w:after="283"/>
              <w:jc w:val="right"/>
              <w:rPr/>
            </w:pPr>
            <w:r>
              <w:rPr/>
              <w:t>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1552" w:name="xdx_98D_ecustom--ShareBasedCompensationA"/>
            <w:bookmarkEnd w:id="1552"/>
          </w:p>
        </w:tc>
        <w:tc>
          <w:tcPr>
            <w:tcW w:w="883" w:type="dxa"/>
            <w:tcBorders/>
            <w:shd w:fill="FFFFFF" w:val="clear"/>
            <w:vAlign w:val="center"/>
          </w:tcPr>
          <w:p>
            <w:pPr>
              <w:pStyle w:val="TableContents"/>
              <w:bidi w:val="0"/>
              <w:spacing w:before="0" w:after="283"/>
              <w:jc w:val="right"/>
              <w:rPr/>
            </w:pPr>
            <w:r>
              <w:rPr/>
              <w:t>632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3" w:name="xdx_98A_eus-gaap--ShareBasedCompensation"/>
            <w:bookmarkEnd w:id="1553"/>
          </w:p>
        </w:tc>
        <w:tc>
          <w:tcPr>
            <w:tcW w:w="980" w:type="dxa"/>
            <w:tcBorders/>
            <w:shd w:fill="CCEEFF" w:val="clear"/>
            <w:vAlign w:val="center"/>
          </w:tcPr>
          <w:p>
            <w:pPr>
              <w:pStyle w:val="TableContents"/>
              <w:bidi w:val="0"/>
              <w:spacing w:before="0" w:after="283"/>
              <w:jc w:val="right"/>
              <w:rPr/>
            </w:pPr>
            <w:r>
              <w:rPr/>
              <w:t>(19,164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554" w:name="xdx_984_eus-gaap--ShareBasedCompensation"/>
            <w:bookmarkEnd w:id="1554"/>
          </w:p>
        </w:tc>
        <w:tc>
          <w:tcPr>
            <w:tcW w:w="1605" w:type="dxa"/>
            <w:tcBorders/>
            <w:shd w:fill="CCEEFF" w:val="clear"/>
            <w:vAlign w:val="center"/>
          </w:tcPr>
          <w:p>
            <w:pPr>
              <w:pStyle w:val="TableContents"/>
              <w:bidi w:val="0"/>
              <w:spacing w:before="0" w:after="283"/>
              <w:jc w:val="right"/>
              <w:rPr/>
            </w:pPr>
            <w:r>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bookmarkStart w:id="1555" w:name="xdx_984_eus-gaap--SharebasedCompensation"/>
            <w:bookmarkEnd w:id="1555"/>
          </w:p>
        </w:tc>
        <w:tc>
          <w:tcPr>
            <w:tcW w:w="1580"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556" w:name="xdx_986_ecustom--ShareBasedCompensationA"/>
            <w:bookmarkEnd w:id="1556"/>
          </w:p>
        </w:tc>
        <w:tc>
          <w:tcPr>
            <w:tcW w:w="883" w:type="dxa"/>
            <w:tcBorders/>
            <w:shd w:fill="CCEEFF" w:val="clear"/>
            <w:vAlign w:val="center"/>
          </w:tcPr>
          <w:p>
            <w:pPr>
              <w:pStyle w:val="TableContents"/>
              <w:bidi w:val="0"/>
              <w:spacing w:before="0" w:after="283"/>
              <w:jc w:val="right"/>
              <w:rPr/>
            </w:pPr>
            <w:r>
              <w:rPr/>
              <w:t>6</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7" w:name="xdx_98B_eus-gaap--StockIssuedDuringPerio"/>
            <w:bookmarkEnd w:id="1557"/>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(36,009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8" w:name="xdx_988_eus-gaap--ShareBasedCompensation"/>
            <w:bookmarkEnd w:id="1558"/>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59" w:name="xdx_982_eus-gaap--SharebasedCompensation"/>
            <w:bookmarkEnd w:id="1559"/>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560" w:name="xdx_98A_eus-gaap--ShareBasedCompensation"/>
            <w:bookmarkEnd w:id="1560"/>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232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61" w:name="xdx_983_eus-gaap--ShareBasedCompensation"/>
            <w:bookmarkEnd w:id="156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2" w:name="xdx_98C_eus-gaap--ShareBasedCompensation"/>
            <w:bookmarkEnd w:id="1562"/>
          </w:p>
        </w:tc>
        <w:tc>
          <w:tcPr>
            <w:tcW w:w="1605" w:type="dxa"/>
            <w:tcBorders>
              <w:bottom w:val="double" w:sz="6" w:space="0" w:color="000000"/>
            </w:tcBorders>
            <w:shd w:fill="CCEEFF" w:val="clear"/>
            <w:tcMar>
              <w:bottom w:w="28" w:type="dxa"/>
            </w:tcM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3" w:name="xdx_983_eus-gaap--SharebasedCompensation"/>
            <w:bookmarkEnd w:id="1563"/>
          </w:p>
        </w:tc>
        <w:tc>
          <w:tcPr>
            <w:tcW w:w="1580" w:type="dxa"/>
            <w:tcBorders>
              <w:bottom w:val="double" w:sz="6" w:space="0" w:color="000000"/>
            </w:tcBorders>
            <w:shd w:fill="CCEEFF" w:val="clear"/>
            <w:tcMar>
              <w:bottom w:w="28" w:type="dxa"/>
            </w:tcM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64" w:name="xdx_90E_eus-gaap--SharebasedCompensation"/>
            <w:bookmarkEnd w:id="1564"/>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5" w:name="xdx_987_eus-gaap--ShareBasedCompensation"/>
            <w:bookmarkEnd w:id="1565"/>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6" w:name="xdx_98B_eus-gaap--ShareBasedCompensation"/>
            <w:bookmarkEnd w:id="1566"/>
          </w:p>
        </w:tc>
        <w:tc>
          <w:tcPr>
            <w:tcW w:w="980" w:type="dxa"/>
            <w:tcBorders/>
            <w:shd w:fill="FFFFFF" w:val="clear"/>
            <w:vAlign w:val="center"/>
          </w:tcPr>
          <w:p>
            <w:pPr>
              <w:pStyle w:val="TableContents"/>
              <w:bidi w:val="0"/>
              <w:spacing w:before="0" w:after="283"/>
              <w:jc w:val="right"/>
              <w:rPr/>
            </w:pPr>
            <w:r>
              <w:rPr/>
              <w:t>2,029,985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bookmarkStart w:id="1567" w:name="xdx_982_eus-gaap--ShareBasedCompensation"/>
            <w:bookmarkEnd w:id="1567"/>
          </w:p>
        </w:tc>
        <w:tc>
          <w:tcPr>
            <w:tcW w:w="1605"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bookmarkStart w:id="1568" w:name="xdx_90B_eus-gaap--SharebasedCompensation"/>
            <w:bookmarkEnd w:id="1568"/>
            <w:r>
              <w:rPr/>
              <w:t>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bookmarkStart w:id="1569" w:name="xdx_982_eus-gaap--ShareBasedCompensation"/>
            <w:bookmarkEnd w:id="1569"/>
          </w:p>
        </w:tc>
        <w:tc>
          <w:tcPr>
            <w:tcW w:w="883" w:type="dxa"/>
            <w:tcBorders/>
            <w:shd w:fill="FFFFFF" w:val="clear"/>
            <w:vAlign w:val="center"/>
          </w:tcPr>
          <w:p>
            <w:pPr>
              <w:pStyle w:val="TableContents"/>
              <w:bidi w:val="0"/>
              <w:spacing w:before="0" w:after="283"/>
              <w:jc w:val="right"/>
              <w:rPr/>
            </w:pPr>
            <w:r>
              <w:rPr/>
              <w:t>3,120</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0" w:name="xdx_98B_eus-gaap--ShareBasedCompensation"/>
            <w:bookmarkEnd w:id="1570"/>
          </w:p>
        </w:tc>
        <w:tc>
          <w:tcPr>
            <w:tcW w:w="980" w:type="dxa"/>
            <w:tcBorders/>
            <w:shd w:fill="CCEEFF" w:val="cle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571" w:name="xdx_984_eus-gaap--ShareBasedCompensation"/>
            <w:bookmarkEnd w:id="1571"/>
          </w:p>
        </w:tc>
        <w:tc>
          <w:tcPr>
            <w:tcW w:w="1605" w:type="dxa"/>
            <w:tcBorders/>
            <w:shd w:fill="CCEEFF" w:val="cle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1572" w:name="xdx_901_eus-gaap--SharebasedCompensation"/>
            <w:bookmarkEnd w:id="1572"/>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1573" w:name="xdx_98E_eus-gaap--ShareBasedCompensation"/>
            <w:bookmarkEnd w:id="1573"/>
          </w:p>
        </w:tc>
        <w:tc>
          <w:tcPr>
            <w:tcW w:w="883" w:type="dxa"/>
            <w:tcBorders/>
            <w:shd w:fill="CCEEFF" w:val="cle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right"/>
              <w:rPr>
                <w:rFonts w:ascii="Times New Roman;Times;Serif" w:hAnsi="Times New Roman;Times;Serif"/>
                <w:sz w:val="20"/>
              </w:rPr>
            </w:pPr>
            <w:bookmarkStart w:id="1574" w:name="xdx_F08_zcUw0P8GhtV"/>
            <w:bookmarkEnd w:id="1574"/>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bookmarkStart w:id="1575" w:name="xdx_F1C_z4NoZtaT67Mk"/>
            <w:bookmarkEnd w:id="1575"/>
            <w:r>
              <w:rPr>
                <w:rFonts w:ascii="Times New Roman;Times;Serif" w:hAnsi="Times New Roman;Times;Serif"/>
                <w:sz w:val="20"/>
              </w:rPr>
              <w:t xml:space="preserve">Number of options and weighted average exercise price has been adjusted to reflect the exchange of Legacy Dragonfly’s stock options for New Dragonfly stock options at an exchange ratio of approximately </w:t>
            </w:r>
            <w:bookmarkStart w:id="1576" w:name="xdx_900_eus-gaap--StockholdersEquityNote"/>
            <w:bookmarkEnd w:id="1576"/>
            <w:r>
              <w:rPr>
                <w:rFonts w:ascii="Times New Roman;Times;Serif" w:hAnsi="Times New Roman;Times;Serif"/>
                <w:sz w:val="20"/>
              </w:rPr>
              <w:t>1.182 as a result of the merger.</w:t>
            </w:r>
          </w:p>
        </w:tc>
      </w:tr>
    </w:tbl>
    <w:p>
      <w:pPr>
        <w:pStyle w:val="TextBody"/>
        <w:bidi w:val="0"/>
        <w:spacing w:before="0" w:after="0"/>
        <w:ind w:left="0" w:right="0" w:hanging="0"/>
        <w:jc w:val="both"/>
        <w:rPr>
          <w:caps w:val="false"/>
          <w:smallCaps w:val="false"/>
        </w:rPr>
      </w:pPr>
      <w:bookmarkStart w:id="1577" w:name="xdx_8A3_zSw64sGHWSj7"/>
      <w:bookmarkEnd w:id="1577"/>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the Company granted </w:t>
      </w:r>
      <w:bookmarkStart w:id="1578" w:name="xdx_90A_eus-gaap--ShareBasedCompensation"/>
      <w:bookmarkEnd w:id="1578"/>
      <w:r>
        <w:rPr>
          <w:rFonts w:ascii="Times New Roman;Times;Serif" w:hAnsi="Times New Roman;Times;Serif"/>
          <w:b w:val="false"/>
          <w:i w:val="false"/>
          <w:caps w:val="false"/>
          <w:smallCaps w:val="false"/>
          <w:sz w:val="20"/>
        </w:rPr>
        <w:t>180,000 restricted stock units under the 2022 plan which vest one year from the grant date. The fair value of the restricted stock units on the date of grant was $</w:t>
      </w:r>
      <w:bookmarkStart w:id="1579" w:name="xdx_905_eus-gaap--StockIssuedDuringPerio"/>
      <w:bookmarkEnd w:id="1579"/>
      <w:r>
        <w:rPr>
          <w:rFonts w:ascii="Times New Roman;Times;Serif" w:hAnsi="Times New Roman;Times;Serif"/>
          <w:b w:val="false"/>
          <w:i w:val="false"/>
          <w:caps w:val="false"/>
          <w:smallCaps w:val="false"/>
          <w:sz w:val="20"/>
        </w:rPr>
        <w:t xml:space="preserve">2,520, which is recognized as compensation expense over the requisite service period based on the value of the underlying shares on the date of grant. On February 10, 2023, the Company granted </w:t>
      </w:r>
      <w:bookmarkStart w:id="1580" w:name="xdx_904_eus-gaap--ShareBasedCompensation"/>
      <w:bookmarkEnd w:id="1580"/>
      <w:r>
        <w:rPr>
          <w:rFonts w:ascii="Times New Roman;Times;Serif" w:hAnsi="Times New Roman;Times;Serif"/>
          <w:b w:val="false"/>
          <w:i w:val="false"/>
          <w:caps w:val="false"/>
          <w:smallCaps w:val="false"/>
          <w:sz w:val="20"/>
        </w:rPr>
        <w:t>461,998 restricted stock units under the 2022 plan which vest immediately. The fair value of the restricted stock units on the date of grant was $</w:t>
      </w:r>
      <w:bookmarkStart w:id="1581" w:name="xdx_902_eus-gaap--StockIssuedDuringPerio"/>
      <w:bookmarkEnd w:id="1581"/>
      <w:r>
        <w:rPr>
          <w:rFonts w:ascii="Times New Roman;Times;Serif" w:hAnsi="Times New Roman;Times;Serif"/>
          <w:b w:val="false"/>
          <w:i w:val="false"/>
          <w:caps w:val="false"/>
          <w:smallCaps w:val="false"/>
          <w:sz w:val="20"/>
        </w:rPr>
        <w:t>3,464 and was recorded as compensation expense.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82" w:name="xdx_89C_eus-gaap--ScheduleOfUnvestedRest"/>
      <w:bookmarkEnd w:id="1582"/>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three months ended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83" w:name="xdx_8BC_zWNykOTCHlw1"/>
      <w:bookmarkEnd w:id="1583"/>
      <w:r>
        <w:rPr>
          <w:rFonts w:ascii="Times New Roman;Times;Serif" w:hAnsi="Times New Roman;Times;Serif"/>
          <w:b w:val="false"/>
          <w:i w:val="false"/>
          <w:caps w:val="false"/>
          <w:smallCaps w:val="false"/>
          <w:sz w:val="20"/>
        </w:rPr>
        <w:t>SCHEDULE OF RESTRICTED STOCK UNITS ACTIVITY </w:t>
      </w:r>
    </w:p>
    <w:tbl>
      <w:tblPr>
        <w:tblW w:w="6544" w:type="dxa"/>
        <w:jc w:val="left"/>
        <w:tblInd w:w="0" w:type="dxa"/>
        <w:tblLayout w:type="fixed"/>
        <w:tblCellMar>
          <w:top w:w="0" w:type="dxa"/>
          <w:left w:w="0" w:type="dxa"/>
          <w:bottom w:w="0" w:type="dxa"/>
          <w:right w:w="0" w:type="dxa"/>
        </w:tblCellMar>
      </w:tblPr>
      <w:tblGrid>
        <w:gridCol w:w="3380"/>
        <w:gridCol w:w="60"/>
        <w:gridCol w:w="67"/>
        <w:gridCol w:w="987"/>
        <w:gridCol w:w="95"/>
        <w:gridCol w:w="60"/>
        <w:gridCol w:w="364"/>
        <w:gridCol w:w="14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jc w:val="center"/>
              <w:rPr/>
            </w:pPr>
            <w:r>
              <w:rPr/>
              <w:t>Number of</w:t>
            </w:r>
          </w:p>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Fair Market 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Unvested shares at January 1, 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584" w:name="xdx_984_eus-gaap--ShareBasedCompensation"/>
            <w:bookmarkEnd w:id="1584"/>
          </w:p>
        </w:tc>
        <w:tc>
          <w:tcPr>
            <w:tcW w:w="987" w:type="dxa"/>
            <w:tcBorders/>
            <w:shd w:fill="CCEEFF" w:val="clear"/>
            <w:vAlign w:val="center"/>
          </w:tcPr>
          <w:p>
            <w:pPr>
              <w:pStyle w:val="TableContents"/>
              <w:bidi w:val="0"/>
              <w:spacing w:before="0" w:after="283"/>
              <w:jc w:val="right"/>
              <w:rPr/>
            </w:pPr>
            <w:r>
              <w:rPr/>
              <w:t>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w:t>
            </w:r>
            <w:bookmarkStart w:id="1585" w:name="xdx_98C_eus-gaap--ShareBasedCompensation"/>
            <w:bookmarkEnd w:id="1585"/>
          </w:p>
        </w:tc>
        <w:tc>
          <w:tcPr>
            <w:tcW w:w="1456" w:type="dxa"/>
            <w:tcBorders/>
            <w:shd w:fill="CCEEFF" w:val="cle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586" w:name="xdx_984_eus-gaap--ShareBasedCompensation"/>
            <w:bookmarkEnd w:id="1586"/>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bookmarkStart w:id="1587" w:name="xdx_98D_eus-gaap--ShareBasedCompensation"/>
            <w:bookmarkEnd w:id="1587"/>
          </w:p>
        </w:tc>
        <w:tc>
          <w:tcPr>
            <w:tcW w:w="1456"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588" w:name="xdx_984_eus-gaap--ShareBasedCompensation"/>
            <w:bookmarkEnd w:id="1588"/>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(461,998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bookmarkStart w:id="1589" w:name="xdx_987_eus-gaap--ShareBasedCompensation"/>
            <w:bookmarkEnd w:id="1589"/>
          </w:p>
        </w:tc>
        <w:tc>
          <w:tcPr>
            <w:tcW w:w="1456" w:type="dxa"/>
            <w:tcBorders/>
            <w:shd w:fill="CCEEFF" w:val="cle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Unvested shares,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90" w:name="xdx_985_eus-gaap--ShareBasedCompensation"/>
            <w:bookmarkEnd w:id="1590"/>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w:t>
            </w:r>
            <w:bookmarkStart w:id="1591" w:name="xdx_989_eus-gaap--ShareBasedCompensation"/>
            <w:bookmarkEnd w:id="1591"/>
          </w:p>
        </w:tc>
        <w:tc>
          <w:tcPr>
            <w:tcW w:w="1456"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Vested as of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592" w:name="xdx_984_eus-gaap--SharebasedCompensation"/>
            <w:bookmarkEnd w:id="1592"/>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w:t>
            </w:r>
            <w:bookmarkStart w:id="1593" w:name="xdx_98B_ecustom--SharebasedCompensationA"/>
            <w:bookmarkEnd w:id="1593"/>
          </w:p>
        </w:tc>
        <w:tc>
          <w:tcPr>
            <w:tcW w:w="1456"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94" w:name="xdx_8A0_zQ0qlyT1Rdf9"/>
      <w:bookmarkEnd w:id="15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there were </w:t>
      </w:r>
      <w:bookmarkStart w:id="1595" w:name="xdx_903_eus-gaap--ClassOfWarrantOrRightU"/>
      <w:bookmarkEnd w:id="1595"/>
      <w:r>
        <w:rPr>
          <w:rFonts w:ascii="Times New Roman;Times;Serif" w:hAnsi="Times New Roman;Times;Serif"/>
          <w:b w:val="false"/>
          <w:i w:val="false"/>
          <w:caps w:val="false"/>
          <w:smallCaps w:val="false"/>
          <w:sz w:val="20"/>
        </w:rPr>
        <w:t>4,319,309 shares of unissued authorized and available for future awards under the 2022 Equity Incentive Plan and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596" w:name="xdx_806_eus-gaap--EarningsPerShareTextBl"/>
      <w:bookmarkEnd w:id="1596"/>
      <w:r>
        <w:rPr>
          <w:rFonts w:ascii="Times New Roman;Times;Serif" w:hAnsi="Times New Roman;Times;Serif"/>
          <w:b/>
          <w:i w:val="false"/>
          <w:caps/>
          <w:sz w:val="20"/>
        </w:rPr>
        <w:t xml:space="preserve">NOTE 12 - </w:t>
      </w:r>
      <w:bookmarkStart w:id="1597" w:name="xdx_824_zjHF7DbJWfKb"/>
      <w:bookmarkEnd w:id="1597"/>
      <w:r>
        <w:rPr>
          <w:rFonts w:ascii="Times New Roman;Times;Serif" w:hAnsi="Times New Roman;Times;Serif"/>
          <w:b/>
          <w:i w:val="false"/>
          <w:caps/>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98" w:name="xdx_893_eus-gaap--ScheduleOfEarningsPerS"/>
      <w:bookmarkEnd w:id="1598"/>
      <w:r>
        <w:rPr>
          <w:rFonts w:ascii="Times New Roman;Times;Serif" w:hAnsi="Times New Roman;Times;Serif"/>
          <w:b w:val="false"/>
          <w:i w:val="false"/>
          <w:caps w:val="false"/>
          <w:smallCaps w:val="false"/>
          <w:sz w:val="20"/>
        </w:rPr>
        <w:t>The following table sets forth the information needed to compute basic and diluted earnings (loss) per share for the three months ended March 31, 2023 and 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99" w:name="xdx_8B0_z9XbL80feS03"/>
      <w:bookmarkEnd w:id="1599"/>
      <w:r>
        <w:rPr>
          <w:rFonts w:ascii="Times New Roman;Times;Serif" w:hAnsi="Times New Roman;Times;Serif"/>
          <w:b w:val="false"/>
          <w:i w:val="false"/>
          <w:caps w:val="false"/>
          <w:smallCaps w:val="false"/>
          <w:sz w:val="20"/>
        </w:rPr>
        <w:t>SCHEDULE OF INFORMATION NEEDED TO COMPUTE BASIC AND DILUTED EARNINGS PER SHARE </w:t>
      </w:r>
    </w:p>
    <w:tbl>
      <w:tblPr>
        <w:tblW w:w="8433" w:type="dxa"/>
        <w:jc w:val="left"/>
        <w:tblInd w:w="0" w:type="dxa"/>
        <w:tblLayout w:type="fixed"/>
        <w:tblCellMar>
          <w:top w:w="0" w:type="dxa"/>
          <w:left w:w="0" w:type="dxa"/>
          <w:bottom w:w="0" w:type="dxa"/>
          <w:right w:w="0" w:type="dxa"/>
        </w:tblCellMar>
      </w:tblPr>
      <w:tblGrid>
        <w:gridCol w:w="5075"/>
        <w:gridCol w:w="60"/>
        <w:gridCol w:w="173"/>
        <w:gridCol w:w="1361"/>
        <w:gridCol w:w="60"/>
        <w:gridCol w:w="60"/>
        <w:gridCol w:w="173"/>
        <w:gridCol w:w="1361"/>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0" w:name="xdx_497_20230101__20230331_z7H29eiDWkze"/>
            <w:bookmarkEnd w:id="1600"/>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1" w:name="xdx_49E_20220101__20220331_zHT4YtuoHjZ"/>
            <w:bookmarkEnd w:id="1601"/>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110" w:type="dxa"/>
            <w:tcBorders/>
            <w:vAlign w:val="center"/>
          </w:tcPr>
          <w:p>
            <w:pPr>
              <w:pStyle w:val="TableContents"/>
              <w:bidi w:val="0"/>
              <w:spacing w:before="0" w:after="283"/>
              <w:jc w:val="left"/>
              <w:rPr/>
            </w:pPr>
            <w:r>
              <w:rPr/>
              <w:t> </w:t>
            </w:r>
            <w:bookmarkStart w:id="1602" w:name="xdx_402_eus-gaap--EarningsPerShareBasicA"/>
            <w:bookmarkEnd w:id="1602"/>
          </w:p>
        </w:tc>
      </w:tr>
      <w:tr>
        <w:trPr/>
        <w:tc>
          <w:tcPr>
            <w:tcW w:w="5075" w:type="dxa"/>
            <w:tcBorders/>
            <w:shd w:fill="CCEEFF" w:val="clear"/>
            <w:vAlign w:val="center"/>
          </w:tcPr>
          <w:p>
            <w:pPr>
              <w:pStyle w:val="TableContents"/>
              <w:bidi w:val="0"/>
              <w:spacing w:before="0" w:after="283"/>
              <w:jc w:val="left"/>
              <w:rPr>
                <w:b/>
              </w:rPr>
            </w:pPr>
            <w:r>
              <w:rPr>
                <w:b/>
              </w:rPr>
              <w:t>Basic Earnings (Loss) per common share: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3" w:name="xdx_405_eus-gaap--NetIncomeLossAvailable"/>
            <w:bookmarkEnd w:id="1603"/>
          </w:p>
        </w:tc>
      </w:tr>
      <w:tr>
        <w:trPr/>
        <w:tc>
          <w:tcPr>
            <w:tcW w:w="5075" w:type="dxa"/>
            <w:tcBorders/>
            <w:shd w:fill="FFFFFF" w:val="clear"/>
            <w:vAlign w:val="center"/>
          </w:tcPr>
          <w:p>
            <w:pPr>
              <w:pStyle w:val="TableContents"/>
              <w:bidi w:val="0"/>
              <w:spacing w:before="0" w:after="283"/>
              <w:jc w:val="left"/>
              <w:rPr/>
            </w:pPr>
            <w:r>
              <w:rPr/>
              <w:t>Net Income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4,892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bookmarkStart w:id="1604" w:name="xdx_405_eus-gaap--WeightedAverageNumberO"/>
            <w:bookmarkEnd w:id="1604"/>
          </w:p>
        </w:tc>
      </w:tr>
      <w:tr>
        <w:trPr/>
        <w:tc>
          <w:tcPr>
            <w:tcW w:w="5075" w:type="dxa"/>
            <w:tcBorders/>
            <w:shd w:fill="CCEEFF" w:val="clear"/>
            <w:vAlign w:val="center"/>
          </w:tcPr>
          <w:p>
            <w:pPr>
              <w:pStyle w:val="TableContents"/>
              <w:bidi w:val="0"/>
              <w:spacing w:before="0" w:after="283"/>
              <w:jc w:val="left"/>
              <w:rPr/>
            </w:pPr>
            <w:r>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45,104,515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bookmarkStart w:id="1605" w:name="xdx_404_eus-gaap--EarningsPerShareBasic_"/>
            <w:bookmarkEnd w:id="1605"/>
          </w:p>
        </w:tc>
      </w:tr>
      <w:tr>
        <w:trPr/>
        <w:tc>
          <w:tcPr>
            <w:tcW w:w="5075" w:type="dxa"/>
            <w:tcBorders/>
            <w:shd w:fill="FFFFFF" w:val="clear"/>
            <w:vAlign w:val="center"/>
          </w:tcPr>
          <w:p>
            <w:pPr>
              <w:pStyle w:val="TableContents"/>
              <w:bidi w:val="0"/>
              <w:spacing w:before="0" w:after="283"/>
              <w:jc w:val="left"/>
              <w:rPr/>
            </w:pPr>
            <w:r>
              <w:rPr/>
              <w:t>Earnings (Loss) per share, basic</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6" w:name="xdx_40A_eus-gaap--EarningsPerShareDilute"/>
            <w:bookmarkEnd w:id="1606"/>
          </w:p>
        </w:tc>
      </w:tr>
      <w:tr>
        <w:trPr/>
        <w:tc>
          <w:tcPr>
            <w:tcW w:w="5075" w:type="dxa"/>
            <w:tcBorders/>
            <w:shd w:fill="FFFFFF" w:val="clear"/>
            <w:vAlign w:val="center"/>
          </w:tcPr>
          <w:p>
            <w:pPr>
              <w:pStyle w:val="TableContents"/>
              <w:bidi w:val="0"/>
              <w:spacing w:before="0" w:after="283"/>
              <w:jc w:val="left"/>
              <w:rPr>
                <w:b/>
              </w:rPr>
            </w:pPr>
            <w:r>
              <w:rPr>
                <w:b/>
              </w:rPr>
              <w:t>Diluted Earnings (Loss) per common share: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7" w:name="xdx_40F_eus-gaap--NetIncomeLossAvailable"/>
            <w:bookmarkEnd w:id="1607"/>
          </w:p>
        </w:tc>
      </w:tr>
      <w:tr>
        <w:trPr/>
        <w:tc>
          <w:tcPr>
            <w:tcW w:w="5075" w:type="dxa"/>
            <w:tcBorders/>
            <w:shd w:fill="CCEEFF" w:val="clear"/>
            <w:vAlign w:val="center"/>
          </w:tcPr>
          <w:p>
            <w:pPr>
              <w:pStyle w:val="TableContents"/>
              <w:bidi w:val="0"/>
              <w:spacing w:before="0" w:after="283"/>
              <w:jc w:val="left"/>
              <w:rPr/>
            </w:pPr>
            <w:r>
              <w:rPr/>
              <w:t>Net Income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bookmarkStart w:id="1608" w:name="xdx_40D_eus-gaap--WeightedAverageNumberO"/>
            <w:bookmarkEnd w:id="1608"/>
          </w:p>
        </w:tc>
      </w:tr>
      <w:tr>
        <w:trPr/>
        <w:tc>
          <w:tcPr>
            <w:tcW w:w="507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45,104,515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bookmarkStart w:id="1609" w:name="xdx_40D_eus-gaap--IncrementalCommonShare"/>
            <w:bookmarkEnd w:id="1609"/>
          </w:p>
        </w:tc>
      </w:tr>
      <w:tr>
        <w:trPr/>
        <w:tc>
          <w:tcPr>
            <w:tcW w:w="5075" w:type="dxa"/>
            <w:tcBorders/>
            <w:shd w:fill="CCEEFF" w:val="clear"/>
            <w:vAlign w:val="center"/>
          </w:tcPr>
          <w:p>
            <w:pPr>
              <w:pStyle w:val="TableContents"/>
              <w:bidi w:val="0"/>
              <w:spacing w:before="0" w:after="283"/>
              <w:jc w:val="left"/>
              <w:rPr/>
            </w:pPr>
            <w:r>
              <w:rPr/>
              <w:t>Dilutive effect related to stock options and warrants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3,351,481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10" w:name="xdx_400_eus-gaap--WeightedAverageNumberO"/>
            <w:bookmarkEnd w:id="1610"/>
          </w:p>
        </w:tc>
      </w:tr>
      <w:tr>
        <w:trPr/>
        <w:tc>
          <w:tcPr>
            <w:tcW w:w="5075" w:type="dxa"/>
            <w:tcBorders/>
            <w:shd w:fill="FFFFFF" w:val="clear"/>
            <w:vAlign w:val="center"/>
          </w:tcPr>
          <w:p>
            <w:pPr>
              <w:pStyle w:val="TableContents"/>
              <w:bidi w:val="0"/>
              <w:spacing w:before="0" w:after="283"/>
              <w:jc w:val="left"/>
              <w:rPr/>
            </w:pPr>
            <w:r>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48,455,996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bookmarkStart w:id="1611" w:name="xdx_40C_eus-gaap--EarningsPerShareDilute"/>
            <w:bookmarkEnd w:id="1611"/>
          </w:p>
        </w:tc>
      </w:tr>
      <w:tr>
        <w:trPr/>
        <w:tc>
          <w:tcPr>
            <w:tcW w:w="5075" w:type="dxa"/>
            <w:tcBorders/>
            <w:shd w:fill="CCEEFF" w:val="clear"/>
            <w:vAlign w:val="center"/>
          </w:tcPr>
          <w:p>
            <w:pPr>
              <w:pStyle w:val="TableContents"/>
              <w:bidi w:val="0"/>
              <w:spacing w:before="0" w:after="283"/>
              <w:jc w:val="left"/>
              <w:rPr/>
            </w:pPr>
            <w:r>
              <w:rPr/>
              <w:t>Earnings (Loss) per share, diluted</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612" w:name="xdx_8A4_zUziNFKc9COh"/>
      <w:bookmarkEnd w:id="16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13" w:name="xdx_89A_eus-gaap--ScheduleOfAntidilutive"/>
      <w:bookmarkEnd w:id="1613"/>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income (loss) per share because their effect was anti-dilutive: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14" w:name="xdx_8B1_zNH58TzjrNpd"/>
      <w:bookmarkEnd w:id="1614"/>
      <w:r>
        <w:rPr>
          <w:rFonts w:ascii="Times New Roman;Times;Serif" w:hAnsi="Times New Roman;Times;Serif"/>
          <w:b w:val="false"/>
          <w:i w:val="false"/>
          <w:caps w:val="false"/>
          <w:smallCaps w:val="false"/>
          <w:sz w:val="20"/>
        </w:rPr>
        <w:t>SCHEDULE OF POTENTIAL SHARES OF COMMON STOCK EXCLUDED FROM DILUTED NET (LOSS) INCOME PER SHARE </w:t>
      </w:r>
    </w:p>
    <w:tbl>
      <w:tblPr>
        <w:tblW w:w="8188" w:type="dxa"/>
        <w:jc w:val="left"/>
        <w:tblInd w:w="0" w:type="dxa"/>
        <w:tblLayout w:type="fixed"/>
        <w:tblCellMar>
          <w:top w:w="0" w:type="dxa"/>
          <w:left w:w="0" w:type="dxa"/>
          <w:bottom w:w="0" w:type="dxa"/>
          <w:right w:w="0" w:type="dxa"/>
        </w:tblCellMar>
      </w:tblPr>
      <w:tblGrid>
        <w:gridCol w:w="4865"/>
        <w:gridCol w:w="60"/>
        <w:gridCol w:w="79"/>
        <w:gridCol w:w="1455"/>
        <w:gridCol w:w="60"/>
        <w:gridCol w:w="60"/>
        <w:gridCol w:w="88"/>
        <w:gridCol w:w="1446"/>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615" w:name="xdx_98E_eus-gaap--AntidilutiveSecurities"/>
            <w:bookmarkEnd w:id="1615"/>
          </w:p>
        </w:tc>
        <w:tc>
          <w:tcPr>
            <w:tcW w:w="1455" w:type="dxa"/>
            <w:tcBorders/>
            <w:shd w:fill="CCEEFF" w:val="clear"/>
            <w:vAlign w:val="center"/>
          </w:tcPr>
          <w:p>
            <w:pPr>
              <w:pStyle w:val="TableContents"/>
              <w:bidi w:val="0"/>
              <w:spacing w:before="0" w:after="283"/>
              <w:jc w:val="right"/>
              <w:rPr/>
            </w:pPr>
            <w:r>
              <w:rPr/>
              <w:t>10,923,915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1616" w:name="xdx_98B_eus-gaap--AntidilutiveSecurities"/>
            <w:bookmarkEnd w:id="1616"/>
          </w:p>
        </w:tc>
        <w:tc>
          <w:tcPr>
            <w:tcW w:w="144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1617" w:name="xdx_981_eus-gaap--AntidilutiveSecurities"/>
            <w:bookmarkEnd w:id="1617"/>
          </w:p>
        </w:tc>
        <w:tc>
          <w:tcPr>
            <w:tcW w:w="1455" w:type="dxa"/>
            <w:tcBorders/>
            <w:shd w:fill="FFFFFF" w:val="clear"/>
            <w:vAlign w:val="center"/>
          </w:tcPr>
          <w:p>
            <w:pPr>
              <w:pStyle w:val="TableContents"/>
              <w:bidi w:val="0"/>
              <w:spacing w:before="0" w:after="283"/>
              <w:jc w:val="right"/>
              <w:rPr/>
            </w:pPr>
            <w:r>
              <w:rPr/>
              <w:t>111,015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bookmarkStart w:id="1618" w:name="xdx_98E_eus-gaap--AntidilutiveSecurities"/>
            <w:bookmarkEnd w:id="1618"/>
          </w:p>
        </w:tc>
        <w:tc>
          <w:tcPr>
            <w:tcW w:w="144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619" w:name="xdx_98B_eus-gaap--AntidilutiveSecurities"/>
            <w:bookmarkEnd w:id="1619"/>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620" w:name="xdx_987_eus-gaap--AntidilutiveSecurities"/>
            <w:bookmarkEnd w:id="1620"/>
          </w:p>
        </w:tc>
        <w:tc>
          <w:tcPr>
            <w:tcW w:w="1446" w:type="dxa"/>
            <w:tcBorders>
              <w:bottom w:val="single" w:sz="12" w:space="0" w:color="000000"/>
            </w:tcBorders>
            <w:shd w:fill="CCEEFF" w:val="clear"/>
            <w:tcMar>
              <w:bottom w:w="28" w:type="dxa"/>
            </w:tcM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621" w:name="xdx_989_eus-gaap--AntidilutiveSecurities"/>
            <w:bookmarkEnd w:id="1621"/>
          </w:p>
        </w:tc>
        <w:tc>
          <w:tcPr>
            <w:tcW w:w="1455" w:type="dxa"/>
            <w:tcBorders>
              <w:bottom w:val="single" w:sz="12" w:space="0" w:color="000000"/>
            </w:tcBorders>
            <w:shd w:fill="FFFFFF" w:val="clear"/>
            <w:tcMar>
              <w:bottom w:w="28" w:type="dxa"/>
            </w:tcMar>
            <w:vAlign w:val="center"/>
          </w:tcPr>
          <w:p>
            <w:pPr>
              <w:pStyle w:val="TableContents"/>
              <w:bidi w:val="0"/>
              <w:spacing w:before="0" w:after="283"/>
              <w:jc w:val="right"/>
              <w:rPr/>
            </w:pPr>
            <w:r>
              <w:rPr/>
              <w:t>11,034,930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1622" w:name="xdx_98D_eus-gaap--AntidilutiveSecurities"/>
            <w:bookmarkEnd w:id="1622"/>
          </w:p>
        </w:tc>
        <w:tc>
          <w:tcPr>
            <w:tcW w:w="1446" w:type="dxa"/>
            <w:tcBorders>
              <w:bottom w:val="single" w:sz="12" w:space="0" w:color="000000"/>
            </w:tcBorders>
            <w:shd w:fill="FFFFFF" w:val="clear"/>
            <w:tcMar>
              <w:bottom w:w="28" w:type="dxa"/>
            </w:tcMar>
            <w:vAlign w:val="center"/>
          </w:tcPr>
          <w:p>
            <w:pPr>
              <w:pStyle w:val="TableContents"/>
              <w:bidi w:val="0"/>
              <w:spacing w:before="0" w:after="283"/>
              <w:jc w:val="right"/>
              <w:rPr/>
            </w:pPr>
            <w:r>
              <w:rPr/>
              <w:t>3,631,002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23" w:name="xdx_8A7_zLjL2AeWCoR7"/>
      <w:bookmarkEnd w:id="162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24" w:name="xdx_804_eus-gaap--IncomeTaxDisclosureTex"/>
      <w:bookmarkEnd w:id="1624"/>
      <w:r>
        <w:rPr>
          <w:rFonts w:ascii="Times New Roman;Times;Serif" w:hAnsi="Times New Roman;Times;Serif"/>
          <w:b/>
          <w:i w:val="false"/>
          <w:caps w:val="false"/>
          <w:smallCaps w:val="false"/>
          <w:sz w:val="20"/>
        </w:rPr>
        <w:t xml:space="preserve">NOTE 13 – </w:t>
      </w:r>
      <w:bookmarkStart w:id="1625" w:name="xdx_825_zZgPxI5Cjoz5"/>
      <w:bookmarkEnd w:id="1625"/>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provision and the resulting effective tax rate for interim periods is determined based upon its estimated annual effective tax rate adjusted for the effect of discrete items arising in that quarter. The Company recorded an income tax expense (benefit) of $</w:t>
      </w:r>
      <w:bookmarkStart w:id="1626" w:name="xdx_90B_eus-gaap--IncomeTaxExpenseBenefi"/>
      <w:bookmarkEnd w:id="1626"/>
      <w:r>
        <w:rPr>
          <w:rFonts w:ascii="Times New Roman;Times;Serif" w:hAnsi="Times New Roman;Times;Serif"/>
          <w:b w:val="false"/>
          <w:i w:val="false"/>
          <w:caps w:val="false"/>
          <w:smallCaps w:val="false"/>
          <w:sz w:val="20"/>
        </w:rPr>
        <w:t>0 and ($</w:t>
      </w:r>
      <w:bookmarkStart w:id="1627" w:name="xdx_904_eus-gaap--IncomeTaxExpenseBenefi"/>
      <w:bookmarkEnd w:id="1627"/>
      <w:r>
        <w:rPr>
          <w:rFonts w:ascii="Times New Roman;Times;Serif" w:hAnsi="Times New Roman;Times;Serif"/>
          <w:b w:val="false"/>
          <w:i w:val="false"/>
          <w:caps w:val="false"/>
          <w:smallCaps w:val="false"/>
          <w:sz w:val="20"/>
        </w:rPr>
        <w:t>527) during the three months ended March 31,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28" w:name="xdx_80A_eus-gaap--SubsequentEventsTextBl"/>
      <w:bookmarkEnd w:id="1628"/>
      <w:r>
        <w:rPr>
          <w:rFonts w:ascii="Times New Roman;Times;Serif" w:hAnsi="Times New Roman;Times;Serif"/>
          <w:b/>
          <w:i w:val="false"/>
          <w:caps w:val="false"/>
          <w:smallCaps w:val="false"/>
          <w:sz w:val="20"/>
        </w:rPr>
        <w:t xml:space="preserve">NOTE 14 – </w:t>
      </w:r>
      <w:bookmarkStart w:id="1629" w:name="xdx_82C_zZPLjaxbwqek"/>
      <w:bookmarkEnd w:id="162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the Company paid the $</w:t>
      </w:r>
      <w:bookmarkStart w:id="1630" w:name="xdx_909_eus-gaap--ConvertibleNotesPayabl"/>
      <w:bookmarkEnd w:id="1630"/>
      <w:r>
        <w:rPr>
          <w:rFonts w:ascii="Times New Roman;Times;Serif" w:hAnsi="Times New Roman;Times;Serif"/>
          <w:b w:val="false"/>
          <w:i w:val="false"/>
          <w:caps w:val="false"/>
          <w:smallCaps w:val="false"/>
          <w:sz w:val="20"/>
        </w:rPr>
        <w:t>1,000 Principal Amount on the Note previously issued to Brian Nelson on March 5, 2023. Upon execution of the Note and funding of the Principal Amount, a payment of the $</w:t>
      </w:r>
      <w:bookmarkStart w:id="1631" w:name="xdx_900_eus-gaap--DebtInstrumentFaceAmou"/>
      <w:bookmarkEnd w:id="1631"/>
      <w:r>
        <w:rPr>
          <w:rFonts w:ascii="Times New Roman;Times;Serif" w:hAnsi="Times New Roman;Times;Serif"/>
          <w:b w:val="false"/>
          <w:i w:val="false"/>
          <w:caps w:val="false"/>
          <w:smallCaps w:val="false"/>
          <w:sz w:val="20"/>
        </w:rPr>
        <w:t>100 Loan Fee, was fully earned as of the date of the note and was due and paid in full in cash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“Separation Date”), the Company’s Chief Legal Officer’s employment with the Company ended and her employment agreement was deemed terminated as of that date by the Company without cause for purposes of determining severance thereunder. Under the terms of her employment agreement, Ms. Harvey is entitled to receive cash severance equal to $</w:t>
      </w:r>
      <w:bookmarkStart w:id="1632" w:name="xdx_905_eus-gaap--Cash_iI_pn3n3_c2023042"/>
      <w:bookmarkEnd w:id="1632"/>
      <w:r>
        <w:rPr>
          <w:rFonts w:ascii="Times New Roman;Times;Serif" w:hAnsi="Times New Roman;Times;Serif"/>
          <w:b w:val="false"/>
          <w:i w:val="false"/>
          <w:caps w:val="false"/>
          <w:smallCaps w:val="false"/>
          <w:sz w:val="20"/>
        </w:rPr>
        <w:t>334,000 payable in 52 biweekly installments commencing 30 days from the Separation Date. Ms. Harvey’s outstanding options granted by the Company fully vested, and are exercisable for three (3) months following the Separation Date.</w:t>
      </w:r>
    </w:p>
    <w:p>
      <w:pPr>
        <w:pStyle w:val="TextBody"/>
        <w:bidi w:val="0"/>
        <w:spacing w:before="0" w:after="0"/>
        <w:ind w:left="0" w:right="0" w:hanging="0"/>
        <w:jc w:val="left"/>
        <w:rPr>
          <w:caps w:val="false"/>
          <w:smallCaps w:val="false"/>
        </w:rPr>
      </w:pPr>
      <w:bookmarkStart w:id="1633" w:name="xdx_814_zUiOa95WpNCk"/>
      <w:bookmarkEnd w:id="163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120" w:after="283"/>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38275" cy="971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38275" cy="9715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Shares of Common Stock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035"/>
        <w:gridCol w:w="1250"/>
      </w:tblGrid>
      <w:tr>
        <w:trPr/>
        <w:tc>
          <w:tcPr>
            <w:tcW w:w="3035"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Roth Capital Partners</w:t>
            </w:r>
          </w:p>
        </w:tc>
        <w:tc>
          <w:tcPr>
            <w:tcW w:w="1250"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Chardan</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 2023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and the Financial Industry Regulatory Authority, Inc. (“FINRA”) filing fee.</w:t>
      </w:r>
    </w:p>
    <w:p>
      <w:pPr>
        <w:pStyle w:val="TextBody"/>
        <w:bidi w:val="0"/>
        <w:jc w:val="left"/>
        <w:rPr>
          <w:caps w:val="false"/>
          <w:smallCaps w:val="false"/>
        </w:rPr>
      </w:pPr>
      <w:r>
        <w:rPr>
          <w:caps w:val="false"/>
          <w:smallCaps w:val="false"/>
        </w:rPr>
        <w:t> </w:t>
      </w:r>
    </w:p>
    <w:tbl>
      <w:tblPr>
        <w:tblW w:w="4419" w:type="dxa"/>
        <w:jc w:val="left"/>
        <w:tblInd w:w="0" w:type="dxa"/>
        <w:tblLayout w:type="fixed"/>
        <w:tblCellMar>
          <w:top w:w="0" w:type="dxa"/>
          <w:left w:w="0" w:type="dxa"/>
          <w:bottom w:w="0" w:type="dxa"/>
          <w:right w:w="0" w:type="dxa"/>
        </w:tblCellMar>
      </w:tblPr>
      <w:tblGrid>
        <w:gridCol w:w="3140"/>
        <w:gridCol w:w="60"/>
        <w:gridCol w:w="191"/>
        <w:gridCol w:w="953"/>
        <w:gridCol w:w="75"/>
      </w:tblGrid>
      <w:tr>
        <w:trPr/>
        <w:tc>
          <w:tcPr>
            <w:tcW w:w="3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4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to be</w:t>
            </w:r>
          </w:p>
        </w:tc>
        <w:tc>
          <w:tcPr>
            <w:tcW w:w="75" w:type="dxa"/>
            <w:tcBorders/>
            <w:shd w:fill="FFFFFF" w:val="clear"/>
            <w:vAlign w:val="center"/>
          </w:tcPr>
          <w:p>
            <w:pPr>
              <w:pStyle w:val="TableContents"/>
              <w:bidi w:val="0"/>
              <w:spacing w:before="0" w:after="283"/>
              <w:jc w:val="center"/>
              <w:rPr/>
            </w:pPr>
            <w:r>
              <w:rPr/>
              <w:t> </w:t>
            </w:r>
          </w:p>
        </w:tc>
      </w:tr>
      <w:tr>
        <w:trPr/>
        <w:tc>
          <w:tcPr>
            <w:tcW w:w="31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44"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w:t>
            </w:r>
          </w:p>
        </w:tc>
        <w:tc>
          <w:tcPr>
            <w:tcW w:w="75" w:type="dxa"/>
            <w:tcBorders/>
            <w:shd w:fill="FFFFFF" w:val="clear"/>
            <w:vAlign w:val="center"/>
          </w:tcPr>
          <w:p>
            <w:pPr>
              <w:pStyle w:val="TableContents"/>
              <w:bidi w:val="0"/>
              <w:spacing w:before="0" w:after="283"/>
              <w:jc w:val="center"/>
              <w:rPr/>
            </w:pPr>
            <w:r>
              <w:rPr/>
              <w:t> </w:t>
            </w:r>
          </w:p>
        </w:tc>
      </w:tr>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953" w:type="dxa"/>
            <w:tcBorders/>
            <w:shd w:fill="CCEEFF" w:val="clear"/>
            <w:vAlign w:val="center"/>
          </w:tcPr>
          <w:p>
            <w:pPr>
              <w:pStyle w:val="TableContents"/>
              <w:bidi w:val="0"/>
              <w:spacing w:before="0" w:after="283"/>
              <w:jc w:val="right"/>
              <w:rPr/>
            </w:pPr>
            <w:r>
              <w:rPr/>
              <w:t>2,535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275,000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Transfer Agent’s fees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Miscellaneous fees and expenses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completed by amendment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120" w:after="283"/>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the undertakings set out in response to Item 17 of this Registration Statement.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 and Business Combination Issuances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Business Combination,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issued an additional 15,000 shares to CCM pursuant to the terms of the Subscription Agreement. See “</w:t>
      </w:r>
      <w:r>
        <w:rPr>
          <w:rFonts w:ascii="Times New Roman;Times;Serif" w:hAnsi="Times New Roman;Times;Serif"/>
          <w:b w:val="false"/>
          <w:i/>
          <w:caps w:val="false"/>
          <w:smallCaps w:val="false"/>
          <w:sz w:val="20"/>
        </w:rPr>
        <w:t>Management’s Discussion and Analysis — The Business Combination — PIPE Investment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in connection with the entry into the Term Loan Agreement, we entered into (i) the Penny Warrants and (ii) the $10 Warrants. See “</w:t>
      </w:r>
      <w:r>
        <w:rPr>
          <w:rFonts w:ascii="Times New Roman;Times;Serif" w:hAnsi="Times New Roman;Times;Serif"/>
          <w:b w:val="false"/>
          <w:i/>
          <w:caps w:val="false"/>
          <w:smallCaps w:val="false"/>
          <w:sz w:val="20"/>
        </w:rPr>
        <w:t>Certain Relationships and Related Person Transactions — Debt Financing — Warrant Agreements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RSU Grants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granted each of our non-employee directors (i.e. Jonathan Bellows, Perry Boyle, Karina Edmonds, Luisa Ingargiola, Brian Nelson, and Rick Parod) an award of 30,000 restricted stock units (“RSUs”) under the Dragonfly Energy Holdings Corp. 2022 Equity Incentive Plan. The RSUs are eligible to vest on the first anniversary of the grant date, subject to each director’s continued service on our board through the vesting date.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“Principal Amount”) to Brian Nelson (the “Note”), one of our directors, in a private placement in exchange for cash in an equal amount. The Note became due and payable in full on April 1, 2023. We were also obligated to pay a loan fee in the amount of $100,000 to Mr. Nelson on April 4, 2023 (the “Loan Fee”). The Principal Amount of the Note was paid in full on April 1, 2023 and the Loan Fee was paid in full on April 4, 2023.</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120" w:after="283"/>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60"/>
        <w:gridCol w:w="6771"/>
        <w:gridCol w:w="60"/>
        <w:gridCol w:w="500"/>
        <w:gridCol w:w="263"/>
        <w:gridCol w:w="650"/>
        <w:gridCol w:w="485"/>
        <w:gridCol w:w="665"/>
      </w:tblGrid>
      <w:tr>
        <w:trPr/>
        <w:tc>
          <w:tcPr>
            <w:tcW w:w="7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77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563"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5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pPr>
            <w:r>
              <w:rPr/>
              <w:t> </w:t>
            </w:r>
          </w:p>
        </w:tc>
        <w:tc>
          <w:tcPr>
            <w:tcW w:w="677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263"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"https://www.sec.gov/Archives/edgar/data/1847986/000110465922081684/cntq-20210630xs4.htm" \l "AnnexA_168524"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as of May 15, 2022, by and among Dragonfly Energy Holdings Corp. (f/k/a Chardan NexTech Acquisition 2 Corp.), Bronco Merger Sub, Inc. and Dragonfly Energy Corp. (included as Annex A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Amendment to Agreement and Plan of Merger, dated as of July 12, 2022, by and among Dragonfly Energy Holdings Corp. (f/k/a Chardan NexTech Acquisition 2 Corp.), Bronco Merger Sub, Inc. and Dragonfly Energy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Plan of Conversion.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 xml:space="preserve">Articles of Incorporation of Dragonfly Energy Holdings Corp. </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 xml:space="preserve">Bylaws of Dragonfly Energy Holdings Corp. </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$10 Warrant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Penny Warrant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Warrant Agreement, dated as of October 19, 2022, between Dragonfly Energy Holdings Corp. and American Stock Transfer &amp; Trust Company,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10/21/2022</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Specimen Warrant Certificate of Dragonfly Energy Holdings Corp.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Underwriter Warrant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Opinion of Parsons Behle &amp; Latimer.</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"tANNE"</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Sponsor Support Agreement, dated as of May 15, 2022, by and among Chardan NexTech Investments 2 LLC, Dragonfly Energy Corp. and Chardan NexTech Investments 2 LLC (included as Annex E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263"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485" w:type="dxa"/>
            <w:tcBorders/>
            <w:vAlign w:val="center"/>
          </w:tcPr>
          <w:p>
            <w:pPr>
              <w:pStyle w:val="TableContents"/>
              <w:bidi w:val="0"/>
              <w:spacing w:before="0" w:after="283"/>
              <w:jc w:val="both"/>
              <w:rPr>
                <w:caps w:val="false"/>
                <w:smallCaps w:val="false"/>
              </w:rPr>
            </w:pPr>
            <w:r>
              <w:rPr>
                <w:caps w:val="false"/>
                <w:smallCaps w:val="false"/>
              </w:rPr>
              <w:t> </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"tANNJ"</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Commitment Letter, dated as of May 15, 2022, by and among Dragonfly Energy Holdings Corp. (f/k/a Chardan NexTech Acquisition 2 Corp.), Dragonfly Energy Corp., CCM Investments 5 LLC and EICF Agent LLC (included as Annex J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"tANNK"</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Equity Facility Letter Agreement, dated as of May 15, 2022, by and among Dragonfly Energy Corp., Dragonfly Energy Holdings Corp. (f/k/a Chardan NexTech Acquisition 2 Corp.) and CCM Investments 5 LLC (included as Annex K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"https://www.sec.gov/Archives/edgar/data/1847986/000110465922100022/tm2218377-26_s4a.htm" \l "tANNF"</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Subscription Agreement, dated as of May 15, 2022, between Dragonfly Energy Holdings Corp. (f/k/a Chardan NexTech Acquisition 2 Corp.) and Chardan NexTech Investments 2 LLC (included as Annex F to the proxy statement/prospectus).</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Director Indemnification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S-4/A</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Multi-tenant Industrial Triple Net Lease, dated as of March 1, 2021, between Dragonfly Energy Corp. and Icon Reno Property Owner Pool 3 Nevada,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Lease, dated as of February 8, 2022, between Dragonfly Energy Corp. and Prologis, L.P.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7/22/2022</w:t>
            </w:r>
          </w:p>
        </w:tc>
      </w:tr>
      <w:tr>
        <w:trPr/>
        <w:tc>
          <w:tcPr>
            <w:tcW w:w="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pPr>
            <w:r>
              <w:rPr/>
              <w:t> </w:t>
            </w:r>
          </w:p>
        </w:tc>
        <w:tc>
          <w:tcPr>
            <w:tcW w:w="6771"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Purchase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
        <w:gridCol w:w="60"/>
        <w:gridCol w:w="7267"/>
        <w:gridCol w:w="60"/>
        <w:gridCol w:w="505"/>
        <w:gridCol w:w="60"/>
        <w:gridCol w:w="657"/>
        <w:gridCol w:w="60"/>
        <w:gridCol w:w="739"/>
      </w:tblGrid>
      <w:tr>
        <w:trPr/>
        <w:tc>
          <w:tcPr>
            <w:tcW w:w="7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6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021"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9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pPr>
            <w:r>
              <w:rPr/>
              <w:t> </w:t>
            </w:r>
          </w:p>
        </w:tc>
        <w:tc>
          <w:tcPr>
            <w:tcW w:w="726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pPr>
            <w:r>
              <w:rPr/>
              <w:t> </w:t>
            </w:r>
          </w:p>
        </w:tc>
        <w:tc>
          <w:tcPr>
            <w:tcW w:w="5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Registration Rights Agreement, dated as of October 7, 2022, between Dragonfly Energy Holdings Corp. and Chardan Capital Markets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Term Loan Agreement, dated as of October 7, 2022, by and among the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Pledge Agreement, dated as of October 7, 2022, by and among Dragonfly Energy Holdings Corp.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Employment Agreement, dated as of January 1,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Denis Phares.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Employment Agreement, dated as of January 1, 2022, by and between Dragonfly Energy Corp. and Sean Nichols.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Amendment to Employment Agreement, dated as of May 15, 2022, by and between Dragonfly Energy Corp. and Sean Nichols.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Employment Agreement, dated as of August 17, 2021, by and between Dragonfly Energy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Dragonfly Energy Corp. 2019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Dragonfly Energy Corp. 2021 Stock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Amended and Restated Registration Rights Agreement, dated as of October 7, 2022, by and among Dragonfly Energy Holdings Corp. and each of the stockholders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Denis Phares.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John Marchetti.</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11/4/2022</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First Amended and Restated Employment Agreement, dated February 24, 2023, by and between Dragonfly Energy Holdings Corp. and John Marchetti.</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Separation Agreement by and between Dragonfly Energy Holdings Corp. and Sean Nichols, dated October 25, 2022.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First Amendment to Separation Agreement by and between Dragonfly Energy Holdings Corp. and Sean Nichols, dated November 14, 2022.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Asset Purchase Agreement, dated April 22, 2022, by and among Dragonfly Energy Corp., Thomason Jones Company, LLC, William Thomason and Richard Jones.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Manufacturing Supply Agreement, dated November 19, 2021, by and between Dragonfly Energy Holdings Corp. and Keystone RV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Asset Purchase Agreement, dated January 1, 2022, by and between Dragonfly Energy Holdings Corp. and Bourns Productions,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Assignment and Assumption Agreement, dated January 1, 2022, by and between Dragonfly Energy Corp. and Bourns Productions,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Assignment and Assumption of Lease Agreement, dated January 1, 2022, by and among Dragonfly Energy Corp., Bourns Productions, Inc. and Los Angeles &amp; Steel Co.</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Research and Development Lab Lease, dated April 25, 2019, by and between Dragonfly Energy Corp. and BRE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Amendment No. 1 to Research and Lab Lease, dated March 12, 2020, by and between Dragonfly Energy Corp. and DRE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67"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Amendment No. 2 to Research and Lab Lease, dated July 27, 2020, by and between Dragonfly Energy Corp. and DRE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
        <w:gridCol w:w="60"/>
        <w:gridCol w:w="7337"/>
        <w:gridCol w:w="60"/>
        <w:gridCol w:w="535"/>
        <w:gridCol w:w="60"/>
        <w:gridCol w:w="650"/>
        <w:gridCol w:w="60"/>
        <w:gridCol w:w="680"/>
      </w:tblGrid>
      <w:tr>
        <w:trPr/>
        <w:tc>
          <w:tcPr>
            <w:tcW w:w="7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33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98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6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pPr>
            <w:r>
              <w:rPr/>
              <w:t> </w:t>
            </w:r>
          </w:p>
        </w:tc>
        <w:tc>
          <w:tcPr>
            <w:tcW w:w="733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pPr>
            <w:r>
              <w:rPr/>
              <w:t> </w:t>
            </w:r>
          </w:p>
        </w:tc>
        <w:tc>
          <w:tcPr>
            <w:tcW w:w="5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Amendment No. 3 to Research and Lab Lease, dated August 26, 2020, by and between Dragonfly Energy Corp. and DRE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Amendment No. 4 to Research and Lab Lease, dated December 16, 2020, by and between Dragonfly Energy Corp. and BRS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Amendment No. 5 to Research and Lab Lease, dated January 28, 2022, by and between Dragonfly Energy Corp. and BRS RS Greg Park Owner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Nicole Harvey.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List of Subsidiaries.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LLP.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Parsons Behle &amp; Latimer (included in Exhibit 5.1 hereto).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"https://www.sec.gov/Archives/edgar/data/1847986/000149315223020044/forms-1.htm" \l "Z_001"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to the prospectus which forms part of this registration statement).</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06/02/2023</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337"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Filing Fee Exhibit.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06/02/2023</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by amendment.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schedules and exhibits to the agreement have been omitted pursuant to Item 601(b)(2) of Regulation S-K. A copy of any omitted schedule and/or exhibit will be furnished to the Securities and Exchange Commission upon request.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120" w:after="283"/>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ind w:left="0" w:right="0" w:firstLine="72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120" w:after="283"/>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Reno, State of Nevada, on June 9, 2023.</w:t>
      </w:r>
    </w:p>
    <w:p>
      <w:pPr>
        <w:pStyle w:val="TextBody"/>
        <w:bidi w:val="0"/>
        <w:ind w:left="0" w:right="0" w:firstLine="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1634" w:name="Z_001"/>
      <w:bookmarkEnd w:id="1634"/>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both"/>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2150"/>
        <w:gridCol w:w="60"/>
        <w:gridCol w:w="3965"/>
        <w:gridCol w:w="60"/>
        <w:gridCol w:w="1070"/>
      </w:tblGrid>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Marchetti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jc w:val="left"/>
        <w:rPr>
          <w:caps w:val="false"/>
          <w:smallCaps w:val="false"/>
        </w:rPr>
      </w:pPr>
      <w:r>
        <w:rPr>
          <w:caps w:val="false"/>
          <w:smallCaps w:val="false"/>
        </w:rPr>
        <w:t> </w:t>
      </w:r>
    </w:p>
    <w:p>
      <w:pPr>
        <w:pStyle w:val="TextBody"/>
        <w:bidi w:val="0"/>
        <w:ind w:left="0" w:right="0" w:hanging="0"/>
        <w:jc w:val="center"/>
        <w:rPr>
          <w:caps w:val="false"/>
          <w:smallCaps w:val="false"/>
        </w:rPr>
      </w:pPr>
      <w:bookmarkStart w:id="1635" w:name="ex23-1.htm"/>
      <w:bookmarkStart w:id="1636" w:name="ksex231"/>
      <w:bookmarkEnd w:id="1635"/>
      <w:bookmarkEnd w:id="163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April 17, 2023, relating to the consolidated financial statements of Dragonfly Energy Holdings Corp., which is contained in that Prospectus. Our report contains an explanatory paragraph regarding the Company’s ability to continue as a going concern.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847986/000110465922081684/cntq-20210630xex2d1a.htm" TargetMode="External"/><Relationship Id="rId12" Type="http://schemas.openxmlformats.org/officeDocument/2006/relationships/hyperlink" Target="https://www.sec.gov/Archives/edgar/data/1847986/000149315223010262/ex2-1.htm" TargetMode="External"/><Relationship Id="rId13" Type="http://schemas.openxmlformats.org/officeDocument/2006/relationships/hyperlink" Target="https://www.sec.gov/Archives/edgar/data/1847986/000149315223010262/ex3-1.htm" TargetMode="External"/><Relationship Id="rId14" Type="http://schemas.openxmlformats.org/officeDocument/2006/relationships/hyperlink" Target="https://www.sec.gov/Archives/edgar/data/1847986/000149315223010262/ex3-2.htm" TargetMode="External"/><Relationship Id="rId15" Type="http://schemas.openxmlformats.org/officeDocument/2006/relationships/hyperlink" Target="https://www.sec.gov/Archives/edgar/data/1847986/000110465922107212/tm2222125d3_ex4-1.htm" TargetMode="External"/><Relationship Id="rId16" Type="http://schemas.openxmlformats.org/officeDocument/2006/relationships/hyperlink" Target="https://www.sec.gov/Archives/edgar/data/1847986/000110465922107212/tm2222125d3_ex4-2.htm" TargetMode="External"/><Relationship Id="rId17" Type="http://schemas.openxmlformats.org/officeDocument/2006/relationships/hyperlink" Target="https://www.sec.gov/Archives/edgar/data/1847986/000110465922107212/tm2222125d3_ex4-3.htm" TargetMode="External"/><Relationship Id="rId18" Type="http://schemas.openxmlformats.org/officeDocument/2006/relationships/hyperlink" Target="https://www.sec.gov/Archives/edgar/data/1847986/000110465922110688/dfli-20220630xex4d4.htm" TargetMode="External"/><Relationship Id="rId19" Type="http://schemas.openxmlformats.org/officeDocument/2006/relationships/hyperlink" Target="https://www.sec.gov/Archives/edgar/data/1847986/000149315223012533/ex4-5.htm" TargetMode="External"/><Relationship Id="rId20" Type="http://schemas.openxmlformats.org/officeDocument/2006/relationships/hyperlink" Target="https://www.sec.gov/Archives/edgar/data/1847986/000149315223007147/ex4-1.htm" TargetMode="External"/><Relationship Id="rId21" Type="http://schemas.openxmlformats.org/officeDocument/2006/relationships/hyperlink" Target="https://www.sec.gov/Archives/edgar/data/1847986/000149315223012533/ex4-7.htm" TargetMode="External"/><Relationship Id="rId22" Type="http://schemas.openxmlformats.org/officeDocument/2006/relationships/hyperlink" Target="https://www.sec.gov/Archives/edgar/data/1847986/000110465922107212/tm2222125d3_ex10-5.htm" TargetMode="External"/><Relationship Id="rId23" Type="http://schemas.openxmlformats.org/officeDocument/2006/relationships/hyperlink" Target="https://www.sec.gov/Archives/edgar/data/1847986/000110465922107212/tm2222125d3_ex10-6.htm" TargetMode="External"/><Relationship Id="rId24" Type="http://schemas.openxmlformats.org/officeDocument/2006/relationships/hyperlink" Target="https://www.sec.gov/Archives/edgar/data/1847986/000110465922099731/tm2218377d21_ex10-10.htm" TargetMode="External"/><Relationship Id="rId25" Type="http://schemas.openxmlformats.org/officeDocument/2006/relationships/hyperlink" Target="https://www.sec.gov/Archives/edgar/data/1847986/000110465922081684/cntq-20210630xex10d11.htm" TargetMode="External"/><Relationship Id="rId26" Type="http://schemas.openxmlformats.org/officeDocument/2006/relationships/hyperlink" Target="https://www.sec.gov/Archives/edgar/data/1847986/000110465922081684/cntq-20210630xex10d12.htm" TargetMode="External"/><Relationship Id="rId27" Type="http://schemas.openxmlformats.org/officeDocument/2006/relationships/hyperlink" Target="https://www.sec.gov/Archives/edgar/data/1847986/000110465922107212/tm2222125d3_ex10-10.htm" TargetMode="External"/><Relationship Id="rId28" Type="http://schemas.openxmlformats.org/officeDocument/2006/relationships/hyperlink" Target="https://www.sec.gov/Archives/edgar/data/1847986/000110465922107212/tm2222125d3_ex10-11.htm" TargetMode="External"/><Relationship Id="rId29" Type="http://schemas.openxmlformats.org/officeDocument/2006/relationships/hyperlink" Target="https://www.sec.gov/Archives/edgar/data/1847986/000110465922107212/tm2222125d3_ex10-12.htm" TargetMode="External"/><Relationship Id="rId30" Type="http://schemas.openxmlformats.org/officeDocument/2006/relationships/hyperlink" Target="https://www.sec.gov/Archives/edgar/data/1847986/000110465922107212/tm2222125d3_ex10-13.htm" TargetMode="External"/><Relationship Id="rId31" Type="http://schemas.openxmlformats.org/officeDocument/2006/relationships/hyperlink" Target="https://www.sec.gov/Archives/edgar/data/1847986/000110465922107212/tm2222125d3_ex10-14.htm" TargetMode="External"/><Relationship Id="rId32" Type="http://schemas.openxmlformats.org/officeDocument/2006/relationships/hyperlink" Target="https://www.sec.gov/Archives/edgar/data/1847986/000110465922107212/tm2222125d3_ex10-15.htm" TargetMode="External"/><Relationship Id="rId33" Type="http://schemas.openxmlformats.org/officeDocument/2006/relationships/hyperlink" Target="https://www.sec.gov/Archives/edgar/data/1847986/000110465922107212/tm2222125d3_ex10-16.htm" TargetMode="External"/><Relationship Id="rId34" Type="http://schemas.openxmlformats.org/officeDocument/2006/relationships/hyperlink" Target="https://www.sec.gov/Archives/edgar/data/1847986/000110465922107212/tm2222125d3_ex10-17.htm" TargetMode="External"/><Relationship Id="rId35" Type="http://schemas.openxmlformats.org/officeDocument/2006/relationships/hyperlink" Target="https://www.sec.gov/Archives/edgar/data/1847986/000110465922107212/tm2222125d3_ex10-18.htm" TargetMode="External"/><Relationship Id="rId36" Type="http://schemas.openxmlformats.org/officeDocument/2006/relationships/hyperlink" Target="https://www.sec.gov/Archives/edgar/data/1847986/000110465922107212/tm2222125d3_ex10-19.htm" TargetMode="External"/><Relationship Id="rId37" Type="http://schemas.openxmlformats.org/officeDocument/2006/relationships/hyperlink" Target="https://www.sec.gov/Archives/edgar/data/1847986/000110465922107212/tm2222125d3_ex10-20.htm" TargetMode="External"/><Relationship Id="rId38" Type="http://schemas.openxmlformats.org/officeDocument/2006/relationships/hyperlink" Target="https://www.sec.gov/Archives/edgar/data/1847986/000110465922107212/tm2222125d3_ex10-21.htm" TargetMode="External"/><Relationship Id="rId39" Type="http://schemas.openxmlformats.org/officeDocument/2006/relationships/hyperlink" Target="https://www.sec.gov/Archives/edgar/data/1847986/000110465922114961/dfli-20220630xex10d22.htm" TargetMode="External"/><Relationship Id="rId40" Type="http://schemas.openxmlformats.org/officeDocument/2006/relationships/hyperlink" Target="https://www.sec.gov/Archives/edgar/data/1847986/000110465922114961/dfli-20220630xex10d23.htm" TargetMode="External"/><Relationship Id="rId41" Type="http://schemas.openxmlformats.org/officeDocument/2006/relationships/hyperlink" Target="https://www.sec.gov/Archives/edgar/data/1847986/000110465922114961/dfli-20220630xex10d24.htm" TargetMode="External"/><Relationship Id="rId42" Type="http://schemas.openxmlformats.org/officeDocument/2006/relationships/hyperlink" Target="https://www.sec.gov/Archives/edgar/data/1847986/000149315223006564/ex10-1.htm" TargetMode="External"/><Relationship Id="rId43" Type="http://schemas.openxmlformats.org/officeDocument/2006/relationships/hyperlink" Target="https://www.sec.gov/Archives/edgar/data/1847986/000149315223012533/ex10-26.htm" TargetMode="External"/><Relationship Id="rId44" Type="http://schemas.openxmlformats.org/officeDocument/2006/relationships/hyperlink" Target="https://www.sec.gov/Archives/edgar/data/1847986/000149315223012533/ex10-27.htm" TargetMode="External"/><Relationship Id="rId45" Type="http://schemas.openxmlformats.org/officeDocument/2006/relationships/hyperlink" Target="https://www.sec.gov/Archives/edgar/data/1847986/000149315223012533/ex10-28.htm" TargetMode="External"/><Relationship Id="rId46" Type="http://schemas.openxmlformats.org/officeDocument/2006/relationships/hyperlink" Target="https://www.sec.gov/Archives/edgar/data/1847986/000149315223012533/ex10-29.htm" TargetMode="External"/><Relationship Id="rId47" Type="http://schemas.openxmlformats.org/officeDocument/2006/relationships/hyperlink" Target="https://www.sec.gov/Archives/edgar/data/1847986/000149315223012533/ex10-30.htm" TargetMode="External"/><Relationship Id="rId48" Type="http://schemas.openxmlformats.org/officeDocument/2006/relationships/hyperlink" Target="https://www.sec.gov/Archives/edgar/data/1847986/000149315223012533/ex10-31.htm" TargetMode="External"/><Relationship Id="rId49" Type="http://schemas.openxmlformats.org/officeDocument/2006/relationships/hyperlink" Target="https://www.sec.gov/Archives/edgar/data/1847986/000149315223012533/ex10-32.htm" TargetMode="External"/><Relationship Id="rId50" Type="http://schemas.openxmlformats.org/officeDocument/2006/relationships/hyperlink" Target="https://www.sec.gov/Archives/edgar/data/1847986/000149315223012533/ex10-33.htm" TargetMode="External"/><Relationship Id="rId51" Type="http://schemas.openxmlformats.org/officeDocument/2006/relationships/hyperlink" Target="https://www.sec.gov/Archives/edgar/data/1847986/000149315223012533/ex10-34.htm" TargetMode="External"/><Relationship Id="rId52" Type="http://schemas.openxmlformats.org/officeDocument/2006/relationships/hyperlink" Target="https://www.sec.gov/Archives/edgar/data/1847986/000149315223012533/ex10-35.htm" TargetMode="External"/><Relationship Id="rId53" Type="http://schemas.openxmlformats.org/officeDocument/2006/relationships/hyperlink" Target="https://www.sec.gov/Archives/edgar/data/1847986/000149315223012533/ex10-36.htm" TargetMode="External"/><Relationship Id="rId54" Type="http://schemas.openxmlformats.org/officeDocument/2006/relationships/hyperlink" Target="https://www.sec.gov/Archives/edgar/data/1847986/000149315223012533/ex10-37.htm" TargetMode="External"/><Relationship Id="rId55" Type="http://schemas.openxmlformats.org/officeDocument/2006/relationships/hyperlink" Target="https://www.sec.gov/Archives/edgar/data/1847986/000149315223012533/ex10-38.htm" TargetMode="External"/><Relationship Id="rId56" Type="http://schemas.openxmlformats.org/officeDocument/2006/relationships/hyperlink" Target="https://www.sec.gov/Archives/edgar/data/1847986/000149315223009479/ex10-1.htm" TargetMode="External"/><Relationship Id="rId57" Type="http://schemas.openxmlformats.org/officeDocument/2006/relationships/hyperlink" Target="https://www.sec.gov/Archives/edgar/data/1847986/000149315223014966/ex10-1.htm" TargetMode="External"/><Relationship Id="rId58" Type="http://schemas.openxmlformats.org/officeDocument/2006/relationships/hyperlink" Target="https://www.sec.gov/Archives/edgar/data/1847986/000110465922107212/tm2222125d3_ex21-1.htm" TargetMode="External"/><Relationship Id="rId59" Type="http://schemas.openxmlformats.org/officeDocument/2006/relationships/hyperlink" Target="https://www.sec.gov/Archives/edgar/data/1847986/000149315223020044/ex107.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103243</Words>
  <Characters>556401</Characters>
  <CharactersWithSpaces>663041</CharactersWithSpaces>
  <Paragraphs>14937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