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30,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30, 2026, Dragonfly Energy Holdings Corp. (the “Company”) entered into an Equity Distribution Agreement (the “Agreement”) with Canaccord Genuity LLC (the “Lead Agent”), as representative of the several sales agents identified on Schedule 1 thereto (together with the Lead Agent, the “Agents”), pursuant to which the Company may offer and sell, from time to time, through the Lead Agent, up to $50.0 million of shares (the “Shares”) of its common stock, par value $0.0001 per share (the “Common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not obligated to sell any Shares under the Agreement. Subject to the terms and conditions of the Agreement, the Lead Agent will use commercially reasonable efforts consistent with its normal trading and sales practices, applicable state and federal law, rules and regulations and the rules of The Nasdaq Capital Market to sell Shares from time to time based upon the Company’s instructions, including any price, time or size limits specified by the Company. Upon delivery of a placement notice, and subject to the Company’s instructions in that notice, and the terms and conditions of the Agreement generally, the Lead Agent may sell Shares by any method permitted by law deemed to be an “at the market offering” as defined by Rule 415(a)(4) promulgated under the Securities Act of 1933, as amended. The Lead Agent’s obligations to sell Shares under the Agreement are subject to satisfaction of certain conditions, including customary closing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pay the Agents a commission of 3.0% of the aggregate gross proceeds from each sale of Shares and has agreed to provide the Agents with customary indemnification and contribution rights. The Company has also agreed to reimburse the Agents for certain specified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will be offered and sold pursuant to the Company’s effective shelf registration statement on Form S-3 (File No. 333-275559) filed by the Company with the U.S. Securities and Exchange Commission (the “SEC”) on November 15, 2023, and declared effective by the SEC on November 24, 2023, and the accompanying base prospectus included therein, as supplemented by the prospectus supplement, dated January 30, 2026, filed with the SEC.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Agreement does not purport to be complete and is qualified in its entirety by reference to the full text of the Agreement which is attached hereto as Exhibit 1.1 and incorporated by reference herein.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legal opinion and consent of Parsons, Behle &amp; Latimer relating to the Shares being offered and sold pursuant to the Agreement is attached hereto as Exhibit 5.1.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any Shares under the Agreement, nor shall there be any sale of such shares in any state in which such offer, solicitation or sale would be unlawful prior to registration or qualification under the securities laws of any such state.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4"/>
                <w:szCs w:val="14"/>
                <w:color w:val="auto"/>
              </w:rPr>
            </w:pPr>
          </w:p>
        </w:tc>
        <w:tc>
          <w:tcPr>
            <w:tcW w:w="9900" w:type="dxa"/>
            <w:vAlign w:val="bottom"/>
            <w:tcBorders>
              <w:top w:val="single" w:sz="8" w:color="auto"/>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Equity Distribution Agreement, dated January 30, 2026, by and between Dragonfly Energy Holdings Corp. and Canaccord Genuity LLC.</w:t>
            </w:r>
          </w:p>
        </w:tc>
        <w:tc>
          <w:tcPr>
            <w:tcW w:w="240" w:type="dxa"/>
            <w:vAlign w:val="bottom"/>
            <w:tcBorders>
              <w:top w:val="single" w:sz="8" w:color="auto"/>
            </w:tcBorders>
          </w:tcPr>
          <w:p>
            <w:pPr>
              <w:spacing w:after="0"/>
              <w:rPr>
                <w:sz w:val="14"/>
                <w:szCs w:val="14"/>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27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Parsons, Behle &amp; Latimer.</w:t>
            </w:r>
          </w:p>
        </w:tc>
        <w:tc>
          <w:tcPr>
            <w:tcW w:w="740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Consent of Parsons, Behle &amp; Latimer (contained in Exhibit 5.01).</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20" w:type="dxa"/>
            <w:vAlign w:val="bottom"/>
            <w:gridSpan w:val="2"/>
            <w:shd w:val="clear" w:color="auto" w:fill="0000EE"/>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30, 2026</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700" w:type="dxa"/>
            <w:vAlign w:val="bottom"/>
          </w:tcPr>
          <w:p>
            <w:pPr>
              <w:spacing w:after="0"/>
              <w:rPr>
                <w:sz w:val="18"/>
                <w:szCs w:val="18"/>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$0.0001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Post Office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Dragonfly Energy Holdings Corp.,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with Canaccord Genuity LLC, as representative of the several sales agents identified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(each, individually, an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as follows:</w:t>
      </w:r>
    </w:p>
    <w:p>
      <w:pPr>
        <w:spacing w:after="0" w:line="176" w:lineRule="exact"/>
        <w:rPr>
          <w:sz w:val="20"/>
          <w:szCs w:val="20"/>
          <w:color w:val="auto"/>
        </w:rPr>
      </w:pPr>
    </w:p>
    <w:p>
      <w:pPr>
        <w:jc w:val="both"/>
        <w:ind w:firstLine="656"/>
        <w:spacing w:after="0" w:line="253" w:lineRule="auto"/>
        <w:tabs>
          <w:tab w:leader="none" w:pos="8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or to Canaccord Genuity LLC, acting as sales agent on behalf of the Agents or principal, shares (the “</w:t>
      </w:r>
      <w:r>
        <w:rPr>
          <w:rFonts w:ascii="Times New Roman" w:cs="Times New Roman" w:eastAsia="Times New Roman" w:hAnsi="Times New Roman"/>
          <w:sz w:val="18"/>
          <w:szCs w:val="18"/>
          <w:u w:val="single" w:color="auto"/>
          <w:color w:val="auto"/>
        </w:rPr>
        <w:t>Placement 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having an aggregate offering price of up to $50,000,000;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Company issue or sell through the Agents such number of Placement Shares that (a) exceeds the number of shares or dollar amount of Common Stock registered on the effective Registration Statement (as defined below) pursuant to which the offering is being made (including any limit set forth in General Instruction I.B.6 thereof, if applicable) or (b) exceeds the number of shares or dollar amount registered on the Prospectus Supplement (as defined below) (the lesser of (a) or (b)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xml:space="preserve"> that in no event shall the aggregate number of Placement Shares sold pursuant to this Agreement exceed the number of authorized but unissued shares of Common Stock. Notwithstanding anything to the contrary contained herein, the parties hereto agree that compliance with the limitations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number of Placement Shares issued and sold under this Agreement shall be the sole responsibility of the Company and that the Agents shall have no obligation in connection with such compliance. The issuance and sale of Placement Shares through the Agents will be effected pursuant to the Registration Statement (as defined below), although nothing in this Agreement shall be construed as requiring the Company to use the Registration Statement to issue any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of 1933, as amended and the rules and regulations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on Form S-3 (File No. 333-275559),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Company has prepared a prospectus supplement to the base prospectus included as part of such registration statement specifically relating to the Placement Shares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Company will furnish to the Agents, for use by the Agents, copies of the base prospectus included as part of such registration statement, as supplemented by the Prospectus Supplement, relating to the Placement Shares. Except where the context otherwise requires, such registration statement,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to cover any Placement Shares, is herein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base prospectus, including all documents incorporated or deemed incorporated therein by reference to the extent such information has not been superseded or modified in accordance with Rule 412 under the Securities Act (as qualified by Rule 430B(g) of the Securities Act), included in the Registration Statement, as it may be supplemented by the Prospectus Supplement, in the form in which such base prospectus and/or Prospectus Supplement have most recently been filed by the Company with the Commission pursuant to Rule 424(b) under the Securities Act is herein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incorporated by reference therein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both"/>
        <w:ind w:firstLine="656"/>
        <w:spacing w:after="0" w:line="252"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Placement Shares hereunder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it will notify Canaccord Genuity LLC (the “</w:t>
      </w:r>
      <w:r>
        <w:rPr>
          <w:rFonts w:ascii="Times New Roman" w:cs="Times New Roman" w:eastAsia="Times New Roman" w:hAnsi="Times New Roman"/>
          <w:sz w:val="18"/>
          <w:szCs w:val="18"/>
          <w:u w:val="single" w:color="auto"/>
          <w:color w:val="auto"/>
        </w:rPr>
        <w:t>Lead Agent</w:t>
      </w:r>
      <w:r>
        <w:rPr>
          <w:rFonts w:ascii="Times New Roman" w:cs="Times New Roman" w:eastAsia="Times New Roman" w:hAnsi="Times New Roman"/>
          <w:sz w:val="18"/>
          <w:szCs w:val="18"/>
          <w:color w:val="auto"/>
        </w:rPr>
        <w:t>”) by electronic mail (or other method mutually agreed to in writing by the Company and the Lead Agent) of the number or dollar value of Placement Shares to be issued, the time period during which sales are requested to be made, any limitation on the number of Placement Shares that may be sold in any one Trading Day (as defined below) and any minimum price below which sales may not be made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the form of which is attached hereto as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Lead Agent set forth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may be amended from time to time. The Placement Notice shall be effective immediately upon receipt by the Lead Agent unless and until (i) in accordance with the notice requirements set forth in Section 14, the Lead Agent declines to accept the terms contained therein for any reason, in its sole discretion, (ii) the entire amount of the Placement Shares thereunder has been sold, (iii) in accordance with the notice requirements set forth in Section 14, the Company suspends or terminates the Placement Notice, which suspension and termination rights may be exercised by the Company in its sole discretion, (iv) the Company issues a subsequent Placement Notice with parameters superseding those on the earlier dated Placement Notice, or (v) this Agreement has been terminated under the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The amount of any discount, commission or other compensation to be paid by the Company to the Lead Agent in connection with the sale of the Placement Shares shall be calculated in accordance with the terms set forth in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It is expressly acknowledged and agreed that neither the Company nor the Lead Agent will have any obligation whatsoever with respect to a Placement or any Placement Shares unless and until the Company delivers a Placement Notice to the Lead Agent and the Lead Agent does not decline such Placement Notice pursuant to the terms set forth above, and then only upon the terms specified therein and herein. In the event of a conflict between the terms of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this Agreement and the terms of a Placement Notice, the terms of the Placement Notice will control.</w:t>
      </w:r>
    </w:p>
    <w:p>
      <w:pPr>
        <w:spacing w:after="0" w:line="193"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Agents</w:t>
      </w:r>
      <w:r>
        <w:rPr>
          <w:rFonts w:ascii="Times New Roman" w:cs="Times New Roman" w:eastAsia="Times New Roman" w:hAnsi="Times New Roman"/>
          <w:sz w:val="18"/>
          <w:szCs w:val="18"/>
          <w:color w:val="auto"/>
        </w:rPr>
        <w:t>. Subject to the terms and conditions of this Agreement, for the period specified in a Placement Notice, the Lead Agent will use its commercially reasonable efforts consistent with its normal trading and sales practices and applicable state and federal laws, rules and regulations and the rules of the Nasdaq Capital Market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to sell the Placement Shares up to the amount specified in, and otherwise in accordance with the terms of, such Placement Notice. The Lead Agent will provide written confirmation to the Company no later than the opening of the Trading Day immediately following the Trading Day on which it has made sales of Placement Shares hereunder setting forth the number of Placement Shares sold on such day, the volume weighted average trading price of the Placement Shares sold, the compensation payable by the Company to the Lead Agent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such sales, and the Net Proceeds (as defined below) payable to the Company, with an itemization of the deductions made by the Lead Agent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from the gross proceeds that it receives from such sales. Subject to the terms of a Placement Notice, the Lead Agent may sell Placement Shares by any method permitted by law deemed to be an “at the market offering” as defined in Rule 415 of the Securities Act.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shares of Common Stock are purchased and sold on the Exchange.</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The Company or the Lead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suspend any sale of Placement Shares (a “</w:t>
      </w:r>
      <w:r>
        <w:rPr>
          <w:rFonts w:ascii="Times New Roman" w:cs="Times New Roman" w:eastAsia="Times New Roman" w:hAnsi="Times New Roman"/>
          <w:sz w:val="18"/>
          <w:szCs w:val="18"/>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18"/>
          <w:szCs w:val="18"/>
          <w:u w:val="single" w:color="auto"/>
          <w:color w:val="auto"/>
        </w:rPr>
        <w:t>Sections 7(l)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with respect to the delivery of certificates, opinions, or comfort letters to the Agents, shall be waived.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any other party unless it is made to one of the individuals named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hereto, as such Schedule may be amended from time to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ind w:left="840" w:hanging="184"/>
        <w:spacing w:after="0"/>
        <w:tabs>
          <w:tab w:leader="none" w:pos="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to the Lead Agent; Settlement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upon the Lead Agent’s acceptance of the terms of a Placement Notice, and unless the sale of the Placement Shares described therein has been declined, suspended, or otherwise terminated in accordance with the terms of this Agreement, the Lead Agent, for the period specified in the Placement Notice, will use its commercially reasonable efforts consistent with its normal trading and sales practices and applicable state and federal laws, rules and regulations and the rules of the Exchange to sell such Placement Shares up to the amount specified in, and otherwise in accordance with the terms of, such Placement Notice. The Company acknowledges and agrees that (i) there can be no assurance that the Lead Agent will be successful in selling Placement Shares, (ii) the Lead Agent will incur no liability or obligation to the Company or any other person or entity if it does not sell Placement Shares for any reason other than a failure by the Lead Agent to use its commercially reasonable efforts consistent with its normal trading and sales practices and applicable state and federal laws, rules and regulations and the rules of the Exchange to sell such Placement Shares as required under this Agreement and</w:t>
      </w:r>
    </w:p>
    <w:p>
      <w:pPr>
        <w:spacing w:after="0" w:line="6" w:lineRule="exact"/>
        <w:rPr>
          <w:rFonts w:ascii="Times New Roman" w:cs="Times New Roman" w:eastAsia="Times New Roman" w:hAnsi="Times New Roman"/>
          <w:sz w:val="18"/>
          <w:szCs w:val="18"/>
          <w:color w:val="auto"/>
        </w:rPr>
      </w:pPr>
    </w:p>
    <w:p>
      <w:pPr>
        <w:ind w:right="20" w:firstLine="8"/>
        <w:spacing w:after="0" w:line="260" w:lineRule="auto"/>
        <w:tabs>
          <w:tab w:leader="none" w:pos="3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Agent shall be under no obligation to purchase Placement Shares on a principal basis pursuant to this Agreement, except as otherwise agreed by the Lead Agent and the Company.</w:t>
      </w:r>
    </w:p>
    <w:p>
      <w:pPr>
        <w:spacing w:after="0" w:line="18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first (1st) Trading Day following the date on which such sales are made (each,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The Lead Agent shall notify the Company of each sale of Placement Shares no later than the opening of the Trading Day immediately following the Trading Day that the Lead Agent sold Placement Shares. The amount of proceeds to be delivered to the Company on a Settlement Date against receipt of the Placement Shares sold (the “</w:t>
      </w:r>
      <w:r>
        <w:rPr>
          <w:rFonts w:ascii="Times New Roman" w:cs="Times New Roman" w:eastAsia="Times New Roman" w:hAnsi="Times New Roman"/>
          <w:sz w:val="18"/>
          <w:szCs w:val="18"/>
          <w:u w:val="single" w:color="auto"/>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xml:space="preserve">”) will be equal to the aggregate sales price received by the Lead Agent for the Placement Shares sold, after deduction for (i) the Lead Agent’s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(ii) any transaction fees imposed by any governmental or self-regulatory organization in respect of such sales.</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xml:space="preserve">. On or before each Settlement Date, the Company will, or will cause its transfer agent to, electronically transfer the Placement Shares being sold by crediting the Lead Agent’s or its designee’s account (provided the Lead Agent shall have given the Company written notice of such designee and such designee’s account information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Lead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through no fault of the Lead Agent, then in addition to and in no way limiting the rights and obligations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hereto, it will (i) hold the Lead Agent harmless against any loss, claim, damage, or reasonable, documented expense (including reasonable and documented legal fees and expenses), as incurred, arising out of or in connection with such default by the Company or its transfer agent (if applicable) and (ii) pay to the Lead Agent (without duplication) any commission, discount, or other compensation to which it would otherwise have been entitled absent such default.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both"/>
        <w:ind w:firstLine="1304"/>
        <w:spacing w:after="0" w:line="254" w:lineRule="auto"/>
        <w:tabs>
          <w:tab w:leader="none" w:pos="155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Placement Shares if, after giving effect to the sale of such Placement Shares, the aggregate number of Placement Shares sold pursuant to this Agreement would exceed the lesser of (A) together with all sales of Placement Shares under this Agreement, the Maximum Amount, (B) the amount available for offer and sale under the currently effective Registration Statement (including any limit set forth in General Instruction I.B.6 thereof, if applicable) and (C) the amount authorized from time to time to be issued and sold under this Agreement by the Company’s board of directors, a duly authorized committee thereof or a duly authorized executive committee, and notified to the Lead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the Lead Agent in writing.</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Through the Agents</w:t>
      </w:r>
      <w:r>
        <w:rPr>
          <w:rFonts w:ascii="Times New Roman" w:cs="Times New Roman" w:eastAsia="Times New Roman" w:hAnsi="Times New Roman"/>
          <w:sz w:val="18"/>
          <w:szCs w:val="18"/>
          <w:color w:val="auto"/>
        </w:rPr>
        <w:t xml:space="preserve">. The Company agrees that any offer to sell, any solicitation of an offer to buy, or any sales of Placement Shares hereunder shall only be effected by or through the Lead Agent, and only the Lead Agent, on any single given date, and in no event shall the Company request any other Agent sell Placement Shares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limitation shall not apply to (A) exercise of any option, warrant, right or any conversion privilege set forth in the instruction governing such securities, (B) sales solely to employees, directors or security holders of the Company or its subsidiaries, or to a trustee or other person acquiring such securities for the accounts of such person, (C) on any day during which no sales are made pursuant to this Agreement or (D) during a period in which the Company has notified the Agents that it will not sell Common Stock pursuant to this Agreement and (x) no Placement Notice is pending or (y) after a Placement Notice has been withdrawn.</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of the Agents that as of the date of this Agreement and as of each Applicable Time (as defined below), unless such representation, warranty or agreement specifies a different date or time:</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transactions contemplated by this Agreement meet the requirements for and comply with the conditions for the use of Form S-3 under the Securities Act. The Registration Statement has been filed with the Commission and has been declared effective under the Securities Act. The Prospectus Supplement will name the Agents as the agents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as applicable.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Agents and their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the Agents have consented, which consent will not be unreasonably withheld or delayed, or that is required by applicable law or the listing maintenance requirements of the Exchange. The Common Stock is currently quoted on the Exchange under the trading symbol “DFLI.” The Company has taken no action designed to, or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To the Company’s knowledge, it is in compliance with all applicable listing and maintenance requirements of the Exchange.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ind w:firstLine="1304"/>
        <w:spacing w:after="0" w:line="253" w:lineRule="auto"/>
        <w:tabs>
          <w:tab w:leader="none" w:pos="15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 specifically for use in the preparation thereof.</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of the Company, together with the related notes and schedules, included or incorporated by reference in the Registration Statement and the Prospectus comply in all material respects with the requirements of the Securities Act and the Exchange Act and fairly present the financial condition of the Company and its consolidated subsidiaries as of the dates indicated and the results of operations and changes in cash flows for the periods therein specified in conformity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consistently applied throughout the periods involved; the supporting schedules included or incorporated by reference in the Registration Statement present fairly the information required to be stated therein; all non-GAAP financial information, if any, included or incorporated by reference in the Registration Statement and the Prospectus complies in all material respects with the requirements of Regulation G and Item 10 of Regulation S-K under the Securities Act; and, except as disclosed in the Registration Statement and the Prospectus, there are no material off-balance sheet arrangements (as defined in Regulation S-K under the Securities Act, Item 303(a)(4)(ii)) or any other relationships with unconsolidated entities or other persons, that are reasonably likely to have a material effect on the Company’s financial condition, results of operations, liquidity, capital expenditures, capital resources or significant components of revenue or expenses. No other financial statements or schedules are required to be included or incorporated by reference in the Registration Statement or the Prospectus. To the Company’s knowledge, CBIZ CPAs P.C., which has expressed its opinion with respect to the financial statements and schedules filed or incorporated by reference as a part of the Registration Statement and included in the Registration Statement and the Prospectus, is (A) an independent public accounting firm within the meaning of the Securities Act, (B) a registered public accounting firm (as defined in Section 2(a)(12)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(C) not in violation of the auditor independence requirements of the Sarbanes-Oxley Act.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ind w:firstLine="1304"/>
        <w:spacing w:after="0" w:line="254" w:lineRule="auto"/>
        <w:tabs>
          <w:tab w:leader="none" w:pos="15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xml:space="preserve">. Each of the Company and its subsidiaries, including, without limitation, the entities set forth on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has been duly organized, and is validly existing and in good standing under the laws of their respective jurisdictions of organization. The Company and the Subsidiaries have all corporate power and authority necessary to own or hold their respective properties and to conduct their respective businesses as currently being carried on and as described in the Registration Statement and the Prospectus, and are duly qualified to do business and in good standing in each jurisdiction in which they own or lease real property or in which the conduct of their respective businesses makes such qualification necessary and in which the failure to so qualify would have a material adverse effect upon the business, prospects, management, properties, operations, condition (financial or otherwise) or results of operations of the Company and the Subsidiaries, taken as a whole, or prevent the consummation of the transactions contemplated hereby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Events</w:t>
      </w:r>
      <w:r>
        <w:rPr>
          <w:rFonts w:ascii="Times New Roman" w:cs="Times New Roman" w:eastAsia="Times New Roman" w:hAnsi="Times New Roman"/>
          <w:sz w:val="18"/>
          <w:szCs w:val="18"/>
          <w:color w:val="auto"/>
        </w:rPr>
        <w:t>. Except as contemplated in the Registration Statement and the Prospectus, subsequent to their respective dates, neither the Company nor any of the Subsidiaries has incurred any material liabilities or obligations, direct or contingent, or entered into any material transactions, or declared or paid any dividends or made any distribution of any kind with respect to its capital stock; and there has not been any change in the capital stock (other than a change in the number of outstanding shares of Common Stock due to the issuance of shares upon the exercise of outstanding options or warrants or conversion of convertible securities described as outstanding in, and the grant of options and awards under existing equity incentive plans described in, the Registration Statement or the Prospectus), or any material change in the short-term or long-term debt (other than as a result of the conversion of convertible securities), or any issuance of options, warrants, convertible securities or other rights to purchase the capital stock, of the Company or any of the Subsidiaries, or any material adverse change in the general affairs, condition (financial or otherwise), business, prospects, management, properties, operations or results of operations of the Company and the Subsidiaries, taken as a whole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or any development which could reasonably be expected to result in any Material Adverse Change.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ind w:firstLine="1304"/>
        <w:spacing w:after="0" w:line="252" w:lineRule="auto"/>
        <w:tabs>
          <w:tab w:leader="none" w:pos="15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the Securities; Registration Rights</w:t>
      </w:r>
      <w:r>
        <w:rPr>
          <w:rFonts w:ascii="Times New Roman" w:cs="Times New Roman" w:eastAsia="Times New Roman" w:hAnsi="Times New Roman"/>
          <w:sz w:val="18"/>
          <w:szCs w:val="18"/>
          <w:color w:val="auto"/>
        </w:rPr>
        <w:t>. All of the issued and outstanding shares of capital stock of the Company, including the outstanding shares of Common Stock, have been duly authorized and validly issued, are fully paid and nonassessable, have been issued in compliance with all applicable federal and state and foreign securities laws, were not issued in violation of or subject to any preemptive rights or other rights to subscribe for or purchase securities that have not been waived in writing (a copy of which has been delivered to counsel to the Agents), and the holders thereof are not subject to personal liability by reason of being such holders, and the capital stock of the Company, including the Common Stock, conforms in all material respects to the description thereof in the Registration Statement and the Prospectus. Except as otherwise stated in the Registration Statement and the Prospectus, (A) there are no preemptive rights or other rights to subscribe for or to purchase, or any restriction upon the voting or transfer of, any shares of Common Stock pursuant to the Company’s charter, by-laws or any agreement or other instrument to which the Company or any of the Subsidiaries is a party or by which the Company or any of the Subsidiaries is bound and (B) the offering or sale of the Placement Shares as contemplated by this Agreement does not give rise to any rights for or relating to the registration of any shares of Common Stock or other securities of the Company (collectively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that have not been validly waived. All of the issued and outstanding shares of capital stock of each of the Subsidiaries have been duly and validly authorized and issued and are fully paid and nonassessable, and, except as otherwise described in the Registration Statement and the Prospectus, the Company owns of record and beneficially, free and clear of any security interests, claims, liens, proxies, equities or other encumbrances, all of the issued and outstanding shares of such stock. The Company has an authorized and outstanding capitalization as set forth in the Registration Statement and the Prospectus. The Common Stock (including the Placement Shares) conforms in all material respects to the description thereof contained in the Registration Statement and the Prospectus.</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Except as described in the Registration Statement and the Prospectus, there are no options, warrants, agreements, contracts or other rights in existence to purchase or acquire from the Company or any Subsidiary any shares of the capital stock of the Company or any Subsidiary. The description of the Company’s stock option, stock bonus and other stock plans or arrangements (the “</w:t>
      </w:r>
      <w:r>
        <w:rPr>
          <w:rFonts w:ascii="Times New Roman" w:cs="Times New Roman" w:eastAsia="Times New Roman" w:hAnsi="Times New Roman"/>
          <w:sz w:val="18"/>
          <w:szCs w:val="18"/>
          <w:u w:val="single" w:color="auto"/>
          <w:color w:val="auto"/>
        </w:rPr>
        <w:t>Company Stock Plans</w:t>
      </w:r>
      <w:r>
        <w:rPr>
          <w:rFonts w:ascii="Times New Roman" w:cs="Times New Roman" w:eastAsia="Times New Roman" w:hAnsi="Times New Roman"/>
          <w:sz w:val="18"/>
          <w:szCs w:val="18"/>
          <w:color w:val="auto"/>
        </w:rPr>
        <w:t>”), and the options (the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or other rights granted thereunder, set forth in the Registration Statement and the Prospectus accurately and fairly presents the information required to be shown with respect to such plans, arrangements, options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(B) was made in accordance with the terms of the applicable Company Stock Plan, and all applicable laws and regulatory rules or requirements, including all applicable federal securities laws.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firstLine="1304"/>
        <w:spacing w:after="0" w:line="261" w:lineRule="auto"/>
        <w:tabs>
          <w:tab w:leader="none" w:pos="15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to use Form S-3</w:t>
      </w:r>
      <w:r>
        <w:rPr>
          <w:rFonts w:ascii="Times New Roman" w:cs="Times New Roman" w:eastAsia="Times New Roman" w:hAnsi="Times New Roman"/>
          <w:sz w:val="18"/>
          <w:szCs w:val="18"/>
          <w:color w:val="auto"/>
        </w:rPr>
        <w:t>. (i) At the time of filing the Registration Statement and (ii) at the time of the most recent amendment thereto for the purposes of complying with Section 10(a)(3) of the Securities Act (whether such amendment was by post-effective amendment, incorporated report filed pursuant to Section 13 or 15(d) of the Exchange Act or form of prospectus), the conditions for use of Form S-3, set forth in the General Instructions thereto had been satisfied.</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No Conflicts</w:t>
      </w:r>
      <w:r>
        <w:rPr>
          <w:rFonts w:ascii="Times New Roman" w:cs="Times New Roman" w:eastAsia="Times New Roman" w:hAnsi="Times New Roman"/>
          <w:sz w:val="18"/>
          <w:szCs w:val="18"/>
          <w:color w:val="auto"/>
        </w:rPr>
        <w:t>. This Agreement has been duly authorized, executed and delivered by the 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(A) conflict with or result in a breach or violation of any of the terms or provisions of, or constitute a default under, or result in the creation or imposition of any lien, charge or encumbrance upon any property or assets of the Company or any of the Subsidiaries pursuant to any indenture, mortgage, deed of trust, loan agreement or other agreement or instrument to which the Company or any of the Subsidiaries is a party or by which the Company or any of the Subsidiaries is bound or to which any of the property or assets of the Company or any of the Subsidiaries is subject, (B) result in any violation of the provisions of the Company’s charter or by-laws or (C) result in the violation of any law or statute or any judgment, order, rule, regulation or decree of any court or arbitrator or federal, state, local or foreign governmental agency or regulatory authority having jurisdiction over the Company or any of the Subsidiaries or any of their properties or assets (each, a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except in the case of clause (A) as would not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Placement Shares</w:t>
      </w:r>
      <w:r>
        <w:rPr>
          <w:rFonts w:ascii="Times New Roman" w:cs="Times New Roman" w:eastAsia="Times New Roman" w:hAnsi="Times New Roman"/>
          <w:sz w:val="18"/>
          <w:szCs w:val="18"/>
          <w:color w:val="auto"/>
        </w:rPr>
        <w:t>. The Placement Shares, when issued and delivered pursuant to the terms approved by the board of directors of the Company or a duly authorized committee thereof, or a duly authorized executive committee, against payment therefor as provided herein, have been duly authorized and, when issued, delivered and paid for in accordance with the terms of this Agreement, will be validly issued and fully paid and nonassessable, and the holders thereof will not be subject to personal liability by reason of being such holders, and will be registered pursuant to Section 12 of the Exchange Act. The Placement Shares, when issued, will conform in all material respects to the description thereof set forth in or incorporated into the Prospectus.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No consent, approval, authorization or order of, or registration or filing with any Governmental Authority is required for the execution, delivery and performance by the Company of this Agreement, and the issuance and sale by the Company of the Placement Shares as contemplated hereby, except such as may be required under the Securities Act, the rules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or state securities or blue sky laws or the Exchange, including any notices that may be required by the Exchange, in connection with the sale of the Placement Shares by the Agents; and the Company has full power and authority to enter into this Agreement and to consummate the transactions contemplated hereby, including the authorization, issuance and sale of the Placement Shares. No consent, approval, authorization, order, registration or qualification of or with any court or arbitrator or any governmental or regulatory authority is required for the execution, delivery and performance by the Company of this Agreement, and the issuance and sale by the Company of the Placement Shares as contemplated hereby.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ind w:firstLine="1304"/>
        <w:spacing w:after="0" w:line="253" w:lineRule="auto"/>
        <w:tabs>
          <w:tab w:leader="none" w:pos="160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Preferential Rights</w:t>
      </w:r>
      <w:r>
        <w:rPr>
          <w:rFonts w:ascii="Times New Roman" w:cs="Times New Roman" w:eastAsia="Times New Roman" w:hAnsi="Times New Roman"/>
          <w:sz w:val="18"/>
          <w:szCs w:val="18"/>
          <w:color w:val="auto"/>
        </w:rPr>
        <w:t>. Except as set forth in the Registration Statement and the Prospectus, (i) no person, as such term is defined in Rule 1-02 of Regulation S-X promulgated under the Securities Act (each,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has the right, contractual or otherwise, to cause the Company to issue or sell to such Person any Common Stock or shares of any other capital stock or other securities of the Company (other than upon the exercise of options or warrants to purchase Common Stock or upon the exercise of options or other equity awards that may be granted from time to time under the Company’s equity incentive plans), (ii) no Person has any preemptive rights, rights of first refusal, or any other rights (whether pursuant to a “poison pill” provision or otherwise) to purchase any Common Stock or shares of any other capital stock or other securities of the Company from the Company which have not been duly waived with respect to the offering contemplated hereby, (iii) no Person has the right to act as an underwriter or as a financial advisor to the Company in connection with the offer and sale of the Common Stock,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 except in each case for such rights as have been waived on or prior to the date hereof.</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set forth in the Registration Statement and the Prospectus, there is not pending or, to the knowledge of the Company, threatened or contemplated, any action, suit or proceeding (A) to which the Company or any of the Subsidiaries is a party or</w:t>
      </w:r>
    </w:p>
    <w:p>
      <w:pPr>
        <w:jc w:val="both"/>
        <w:ind w:firstLine="8"/>
        <w:spacing w:after="0" w:line="251" w:lineRule="auto"/>
        <w:tabs>
          <w:tab w:leader="none" w:pos="2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as the subject thereof any officer or director of the Company or any Subsidiary, any employee benefit plan sponsored by the Company or any Subsidiary or any property or assets owned or leased by the Company or any Subsidiary before or by any court or Governmental Authority, or any arbitrator, which, individually or in the aggregate, could reasonably be expected to result in any Material Adverse Change, or would materially and adversely affect the ability of the Company to perform its obligations under this Agreement or which are otherwise material in the context of the sale of the Placement Shares. There are no current or, to the knowledge of the Company, pending, legal, governmental or regulatory actions, suits or proceedings (x) to which the Company or any of the Subsidiaries is subject or (y) which has as the subject thereof any officer or director of the Company or any Subsidiary, any employee plan sponsored by the Company or any Subsidiary or any property or assets owned or leased by the Company or any Subsidiary, that are required to be described in the Registration Statement and the Prospectus by the Securities Act that have not been so described.</w:t>
      </w:r>
    </w:p>
    <w:p>
      <w:pPr>
        <w:spacing w:after="0" w:line="193"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Legal Matters</w:t>
      </w:r>
      <w:r>
        <w:rPr>
          <w:rFonts w:ascii="Times New Roman" w:cs="Times New Roman" w:eastAsia="Times New Roman" w:hAnsi="Times New Roman"/>
          <w:sz w:val="18"/>
          <w:szCs w:val="18"/>
          <w:color w:val="auto"/>
        </w:rPr>
        <w:t>. There are no statutes, regulations, legal or governmental proceedings or contracts or other documents required to be described in the Prospectus or included as exhibits to the Registration Statement that are not described or included as required.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ind w:firstLine="1304"/>
        <w:spacing w:after="0" w:line="255" w:lineRule="auto"/>
        <w:tabs>
          <w:tab w:leader="none" w:pos="15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by reference in the Prospectus, when they became effective or were filed with the Commission, as the case may be, conformed in all material respects to the requirements of the Securities Act or the Exchange Act, as applicable, and were filed on a timely basis with the Commission and none of such documents contained an untrue statement of a material fact or omitted to state a material fact necessary to make the statements therein, in the light of the circumstances under which they were made, not misleading; any further documents so filed and incorporated by reference in the Prospectus, when such documents are filed with the Commission, will conform in all material respects to the requirements of the Exchange Act, and will not contain an untrue statement of a material fact or omit to state a material fact necessary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Except as described in the Registration Statement and the Prospectus, the Company and each of the Subsidiaries holds, and is operating in compliance in all material respects with, all franchises, grants, authorizations, approvals, clearances, exemptions, registrations, licenses, permits, easements, consents, certificates and orders of any Governmental Authority or self-regulatory body required for the conduct of its business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and all such Permits are valid and in full force and effect; and neither the Company nor any of the Subsidiaries has received notice of any revocation or modification of any such Permits or has reason to believe that any such Permit will not be renewed in the ordinary course; and the Company and each of the Subsidiaries is in compliance in all material respects with all applicable federal, state, local and foreign laws, regulations, orders and decrees.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Violations or Defaults</w:t>
      </w:r>
      <w:r>
        <w:rPr>
          <w:rFonts w:ascii="Times New Roman" w:cs="Times New Roman" w:eastAsia="Times New Roman" w:hAnsi="Times New Roman"/>
          <w:sz w:val="18"/>
          <w:szCs w:val="18"/>
          <w:color w:val="auto"/>
        </w:rPr>
        <w:t>. (A) Neither the Company nor any of the Subsidiaries is in violation of its respective charter, by-laws or other organizational documents, or in breach of or otherwise in default, and (B) except as would not reasonably be expected to result in a Material Adverse Effect, no event has occurred which, with notice or lapse of time or both, would constitute such a default in the performance of any material obligation, agreement or condition contained in any bond, debenture, note, indenture, loan agreement or any other material contract, lease or other instrument to which it is subject or by which any of them may be bound, or to which any of the material property or assets of the Company or any of the Subsidiaries is subject.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Market Activities</w:t>
      </w:r>
      <w:r>
        <w:rPr>
          <w:rFonts w:ascii="Times New Roman" w:cs="Times New Roman" w:eastAsia="Times New Roman" w:hAnsi="Times New Roman"/>
          <w:sz w:val="18"/>
          <w:szCs w:val="18"/>
          <w:color w:val="auto"/>
        </w:rPr>
        <w:t>. Neither the Company, nor any Subsidiary, nor, to the knowledge of the Company, any of their respective directors, officers or controlling persons has taken, directly or indirectly, any action designed, or that has constituted or would cause or result in, under the Exchange Act or otherwise, the stabilization or manipulation of the price of any security of the Company to facilitate the sale or resale of the Placement Shares.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Broker/Dealer Relationships</w:t>
      </w:r>
      <w:r>
        <w:rPr>
          <w:rFonts w:ascii="Times New Roman" w:cs="Times New Roman" w:eastAsia="Times New Roman" w:hAnsi="Times New Roman"/>
          <w:sz w:val="18"/>
          <w:szCs w:val="18"/>
          <w:color w:val="auto"/>
        </w:rPr>
        <w:t>. Neither the Company nor any Subsidiary 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the Agents or legal counsel for the Agents for any legal, tax or accounting advice in connection with the offering and sale of the Placement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both"/>
        <w:ind w:firstLine="1304"/>
        <w:spacing w:after="0" w:line="255" w:lineRule="auto"/>
        <w:tabs>
          <w:tab w:leader="none" w:pos="15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the Subsidiaries have timely filed all federal, state, local and foreign income and franchise tax returns required to be filed or have properly requested extensions thereof (except as such failure to timely file such tax returns would not result in a Material Adverse Effect) and are not in default in the payment of any taxes which were payable pursuant to said returns or any assessments with respect thereto, other than any which the Company or any of the Subsidiaries is contesting in good faith. There is no pending dispute with any taxing authority relating to any of such returns, and the Company has no knowledge of any proposed liability for any tax to be imposed upon the properties or assets of the Company or any of the Subsidiaries for which there is not an adequate reserve reflected in the Company’s financial statements included or incorporated by reference in the Registration Statement and the Prospectus.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Assets</w:t>
      </w:r>
      <w:r>
        <w:rPr>
          <w:rFonts w:ascii="Times New Roman" w:cs="Times New Roman" w:eastAsia="Times New Roman" w:hAnsi="Times New Roman"/>
          <w:sz w:val="18"/>
          <w:szCs w:val="18"/>
          <w:color w:val="auto"/>
        </w:rPr>
        <w:t>. The Company and the Subsidiaries have good and marketable title to all property (whether real or personal) described in the Registration Statement and the Prospectus as being owned by them, in each case free and clear of all liens, claims, security interests, other encumbrances or defects except such as would not reasonably be expected to result in a Material Adverse Effect or as are described in the Registration Statement and the Prospectus. The property held under lease by the Company and the Subsidiaries is held by them under valid, subsisting and enforceable leases with only such exceptions with respect to any particular lease as do not interfere in any material respect with the conduct of the business of the Company or the Subsidiaries.</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The Company and each of the Subsidiaries owns, possesses, or can acquire or license on reasonable terms, all Intellectual Property necessary for the conduct of the Company’s and the Subsidiaries’ businesses as now conducted and as proposed to be conducted as described in the Registration Statement and the Prospectus to be conducted, except as such failure to own, possess, acquire or license such rights would not result in a Material Adverse Effect. Furthermore, (A) to the knowledge of the Company, there is no infringement, misappropriation or violation by third parties of any such Intellectual Property, except as such infringement, misappropriation or violation would not result in a Material Adverse Effect; (B) there is no pending or, to the knowledge of the Company, threatened, action, suit, proceeding or claim by others challenging the Company’s or any of the Subsidiaries’ rights in or to any such Intellectual Property, and the Company is unaware of any facts which would form a reasonable basis for any such claim; (C) the Intellectual Property owned by the Company and the Subsidiaries, and to the knowledge of the Company, the Intellectual Property licensed to the Company and the Subsidiaries, has not been adjudged invalid or unenforceable, in whole or in part, and there is no pending or, to the knowledge of the Company, threatened action, suit, proceeding or claim by others challenging the validity or scope of any such Intellectual Property, and the Company is not aware of any facts which would form a reasonable basis for any such claim; (D) except as set forth in the Registration Statement and the Prospectus, there is no prior, pending or, to the knowledge of the Company, threatened action, suit, proceeding or claim by others that the Company or any of the Subsidiaries infringes, misappropriates or otherwise violates any Intellectual Property or other proprietary rights of others, neither the Company or any of the Subsidiaries has received any written notice of such claim and the Company is not aware of any other fact which would form a reasonable basis for any such claim; and (E) to the Company’s knowledge, no employee of the Company or any of the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the Subsidiaries or actions undertaken by the employee while employed with the Company or any of the Subsidiaries.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all patents, patent applications, trade and service marks, trade and service mark registrations, trade names, copyrights, licenses, inventions, trade secrets, Internet domain names, technology, know-how and other intellectual property in the United States and foreign jurisdictions.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ind w:firstLine="1304"/>
        <w:spacing w:after="0" w:line="254" w:lineRule="auto"/>
        <w:tabs>
          <w:tab w:leader="none" w:pos="15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as disclosed in the Registration Statement and the Prospectus, neither the Company nor any of the Subsidiaries is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 Neither the Company nor any of the Subsidiaries anticipates incurring any material capital expenditures relating to compliance with Environmental Laws.</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has established and maintains disclosure controls and procedures (as defined in Rules 13a-14 and 15d-14 under the Exchange Act) and such controls and procedures are effective in ensuring that material information relating to the Company, including the Subsidiaries, is made known to the principal executive officer and the principal financial officer. The Company has utilized such controls and procedures in preparing and evaluating the disclosures in the Registration Statement and the Prospectus.</w:t>
      </w:r>
    </w:p>
    <w:p>
      <w:pPr>
        <w:spacing w:after="0" w:line="180" w:lineRule="exact"/>
        <w:rPr>
          <w:sz w:val="20"/>
          <w:szCs w:val="20"/>
          <w:color w:val="auto"/>
        </w:rPr>
      </w:pPr>
    </w:p>
    <w:p>
      <w:pPr>
        <w:ind w:firstLine="1304"/>
        <w:spacing w:after="0" w:line="282" w:lineRule="auto"/>
        <w:tabs>
          <w:tab w:leader="none" w:pos="16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is in compliance with all applicable provisions of the Sarbanes-Oxley Act and the rules and regulations of the Commission thereunder.</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6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the Company nor any Subsidiary has incurred any liability for any finder’s fees, brokerage commissions or similar payments in connection with the transactions herein contemplated, except as may otherwise exist with respect to the Agents pursuant to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No labor problem or dispute with the employees of the Company or any of the Subsidiaries exists or, to the knowledge of the Company, is threatened or imminent, and the Company is not aware of any existing or imminent labor disturbance by the employees of any of its or the Subsidiaries’ principal suppliers, contractors or customers, that could have a Material Adverse Effect.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after giving effect to the offering and sale of the Placement Shares, will not be an “investment company,” as such term is defined in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both"/>
        <w:ind w:firstLine="1304"/>
        <w:spacing w:after="0" w:line="253"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Anti-Bribery and Anti-Money Laundering Laws</w:t>
      </w:r>
      <w:r>
        <w:rPr>
          <w:rFonts w:ascii="Times New Roman" w:cs="Times New Roman" w:eastAsia="Times New Roman" w:hAnsi="Times New Roman"/>
          <w:sz w:val="18"/>
          <w:szCs w:val="18"/>
          <w:color w:val="auto"/>
        </w:rPr>
        <w:t>. Each of the Company, the Subsidiaries, any of their respective officers, directors, affiliates and employees, and, to the Company’s knowledge, any of their respective agents has not violated, its participation in the offering will not violate, and the Company and each of the Subsidiaries has instituted and maintains policies and procedures designed to ensure continued compliance with, each of the following laws: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(B) anti-money laundering laws,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189" w:lineRule="exact"/>
        <w:rPr>
          <w:rFonts w:ascii="Times New Roman" w:cs="Times New Roman" w:eastAsia="Times New Roman" w:hAnsi="Times New Roman"/>
          <w:sz w:val="18"/>
          <w:szCs w:val="18"/>
          <w:color w:val="auto"/>
        </w:rPr>
      </w:pPr>
    </w:p>
    <w:p>
      <w:pPr>
        <w:ind w:right="20" w:firstLine="1304"/>
        <w:spacing w:after="0" w:line="282" w:lineRule="auto"/>
        <w:tabs>
          <w:tab w:leader="none" w:pos="15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Underwriter Agreements</w:t>
      </w:r>
      <w:r>
        <w:rPr>
          <w:rFonts w:ascii="Times New Roman" w:cs="Times New Roman" w:eastAsia="Times New Roman" w:hAnsi="Times New Roman"/>
          <w:sz w:val="18"/>
          <w:szCs w:val="18"/>
          <w:color w:val="auto"/>
        </w:rPr>
        <w:t>. Other than with respect to this Agreement, the Company is not a party to any agreement with an agent or underwriter for any other “at the market” or continuous equity transaction.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1" w:lineRule="auto"/>
        <w:tabs>
          <w:tab w:leader="none" w:pos="164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and Employee Benefits Matters</w:t>
      </w:r>
      <w:r>
        <w:rPr>
          <w:rFonts w:ascii="Times New Roman" w:cs="Times New Roman" w:eastAsia="Times New Roman" w:hAnsi="Times New Roman"/>
          <w:sz w:val="18"/>
          <w:szCs w:val="18"/>
          <w:color w:val="auto"/>
        </w:rPr>
        <w:t>. (A) To the knowledge of the Company, no “prohibited transaction” as defined under Section 406 of ERISA or Section 4975 of the Code and not exempt under ERISA Section 408 and the regulations and published interpretations thereunder has occurred with respect to any Employee Benefit Plan. At no time has the Company or any ERISA Affiliate maintained, sponsored, participated in, contributed to or has or had any liability or obligation in respect of any Employee Benefit Plan subject to Part 3 of Subtitle B of Title I of ERISA, Title IV of ERISA, or Section 412 of the Code or any “multiemployer plan” as defined in Section 3(37) of ERISA or any multiple employer plan for which the Company or any ERISA Affiliate has incurred or would reasonably be expected to incur liability under Section 4063 or 4064 of ERISA. No Employee Benefit Plan provides or promises, or at any time provided or promised, retiree health, life insurance, or other retiree welfare benefits except as may be required by the Consolidated Omnibus Budget Reconciliation Act of 1985, as amended, or similar state law. Each Employee Benefit Plan is and has been operated in material compliance with its terms and all applicable laws, including but not limited to ERISA and the Code and, to the knowledge of the Company, no event has occurred (including a “reportable event” as such term is defined in Section 4043 of ERISA) and no condition exists that would subject the Company or any ERISA Affiliate to any material tax, fine, lien, penalty or liability imposed by ERISA, the Code or other applicable law. Each Employee Benefit Plan intended to be qualified under Code Section 401(a) is so qualified and has a favorable determination or opinion letter from the Internal Revenue Service upon which it can rely, and any such determination or opinion letter remains in effect and has not been revoked; to the knowledge of the Company, nothing has occurred since the date of any such determination or opinion letter that is reasonably likely to adversely affect such qualification; (B) with respect to each Foreign Benefit Plan, such Foreign Benefit Plan (1) if intended to qualify for special tax treatment, meets, in all material respects, the requirements for such treatment, and (2) if required to be funded, is funded to the extent required by applicable law, and with respect to all other Foreign Benefit Plans, adequate reserves therefor have been established on the accounting statements of the applicable Company or Subsidiary;</w:t>
      </w:r>
    </w:p>
    <w:p>
      <w:pPr>
        <w:spacing w:after="0" w:line="10" w:lineRule="exact"/>
        <w:rPr>
          <w:rFonts w:ascii="Times New Roman" w:cs="Times New Roman" w:eastAsia="Times New Roman" w:hAnsi="Times New Roman"/>
          <w:sz w:val="18"/>
          <w:szCs w:val="18"/>
          <w:color w:val="auto"/>
        </w:rPr>
      </w:pPr>
    </w:p>
    <w:p>
      <w:pPr>
        <w:jc w:val="both"/>
        <w:ind w:firstLine="8"/>
        <w:spacing w:after="0" w:line="251" w:lineRule="auto"/>
        <w:tabs>
          <w:tab w:leader="none" w:pos="2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obligations under any collective bargaining agreement with any union and no organization efforts are underway with respect to Company employees. As used in this Agreement,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“employee benefit plan” within the meaning of Section 3(3) of ERISA, including, without limitation, all stock purchase, stock option, stock-based severance, employment, change-in-control, medical, disability, fringe benefit, bonus, incentive, deferred compensation, employee loan and all other employee benefit plans, agreements, programs, policies or other arrangements, whether or not subject to ERISA, under which (x) any current or former employee, director or independent contractor of the Company or the Subsidiaries has any present or future right to benefits and which are contributed to, sponsored by or maintained by the Company or any of the Subsidiaries or (y) the Company or any of the Subsidiaries has had or has any present or future obligation or liability;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member of the company’s controlled group as defined in Code Section 414(b), (c), (m) or (o); and “</w:t>
      </w:r>
      <w:r>
        <w:rPr>
          <w:rFonts w:ascii="Times New Roman" w:cs="Times New Roman" w:eastAsia="Times New Roman" w:hAnsi="Times New Roman"/>
          <w:sz w:val="18"/>
          <w:szCs w:val="18"/>
          <w:u w:val="single" w:color="auto"/>
          <w:color w:val="auto"/>
        </w:rPr>
        <w:t>Foreign Benefit Plan</w:t>
      </w:r>
      <w:r>
        <w:rPr>
          <w:rFonts w:ascii="Times New Roman" w:cs="Times New Roman" w:eastAsia="Times New Roman" w:hAnsi="Times New Roman"/>
          <w:sz w:val="18"/>
          <w:szCs w:val="18"/>
          <w:color w:val="auto"/>
        </w:rPr>
        <w:t>” means any Employee Benefit Plan established, maintained or contributed to outside of the United States or which covers any employee working or residing outside of the United States.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both"/>
        <w:ind w:firstLine="1304"/>
        <w:spacing w:after="0" w:line="266" w:lineRule="auto"/>
        <w:tabs>
          <w:tab w:leader="none" w:pos="16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Registration Statement or the Prospectus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the Subsidiaries carries, or is covered by, insurance from reputable insurers in such amounts and covering such risks as the Company reasonably believes is adequate for the conduct of its business and the value of its properties and the properties of the Subsidiaries and as is customary for companies engaged in similar businesses in similar industries; all policies of insurance and any fidelity or surety bonds insuring the Company or any of the Subsidiaries or its business, assets, employees, officers and directors are in full force and effect; the Company and the Subsidiaries are in compliance with the terms of such policies and instruments in all material respects; there are no claims by the Company or any of the Subsidiaries under any such policy or instrument as to which any insurance company is denying liability or defending under a reservation of rights clause; neither the Company nor any of the Subsidiaries has been refused any insurance coverage sought or applied for; and neither the Company nor any of the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left="1640" w:hanging="336"/>
        <w:spacing w:after="0"/>
        <w:tabs>
          <w:tab w:leader="none" w:pos="1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nor any or their directors, officers or employees, nor, to the Company’s knowledge, any agent, affiliate or representative of the Company or the Subsidiaries, is an individual or entity that is, or is owned or controlled by an individual or entity that is:</w:t>
      </w:r>
    </w:p>
    <w:p>
      <w:pPr>
        <w:spacing w:after="0" w:line="175"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293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w:t>
      </w:r>
    </w:p>
    <w:p>
      <w:pPr>
        <w:spacing w:after="0" w:line="175"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2895"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the so-called Donetsk People’s Republic and so-called Luhansk People’s Republic regions of Ukraine, Cuba, Iran, North Korea, and Syria).</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4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will, directly or indirectly, use the proceeds of the offering, or lend, contribute or otherwise make available such proceeds to any Subsidiary, joint venture partner or other individual or entity:</w:t>
      </w:r>
    </w:p>
    <w:p>
      <w:pPr>
        <w:spacing w:after="0" w:line="161" w:lineRule="exact"/>
        <w:rPr>
          <w:rFonts w:ascii="Times New Roman" w:cs="Times New Roman" w:eastAsia="Times New Roman" w:hAnsi="Times New Roman"/>
          <w:sz w:val="18"/>
          <w:szCs w:val="18"/>
          <w:color w:val="auto"/>
        </w:rPr>
      </w:pPr>
    </w:p>
    <w:p>
      <w:pPr>
        <w:ind w:left="1960" w:right="20" w:firstLine="640"/>
        <w:spacing w:after="0" w:line="282" w:lineRule="auto"/>
        <w:tabs>
          <w:tab w:leader="none" w:pos="291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individual or entity or in any country or territory that, at the time of such funding or facilitation, is the subject of Sanctions; or</w:t>
      </w:r>
    </w:p>
    <w:p>
      <w:pPr>
        <w:spacing w:after="0" w:line="161" w:lineRule="exact"/>
        <w:rPr>
          <w:rFonts w:ascii="Times New Roman" w:cs="Times New Roman" w:eastAsia="Times New Roman" w:hAnsi="Times New Roman"/>
          <w:sz w:val="18"/>
          <w:szCs w:val="18"/>
          <w:color w:val="auto"/>
        </w:rPr>
      </w:pPr>
    </w:p>
    <w:p>
      <w:pPr>
        <w:ind w:left="1960" w:firstLine="640"/>
        <w:spacing w:after="0" w:line="282" w:lineRule="auto"/>
        <w:tabs>
          <w:tab w:leader="none" w:pos="2896"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individual or entity (including any individual or entity participating in the offering, whether as underwriter, advisor, investor or otherwise).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Under the Securities Act</w:t>
      </w:r>
      <w:r>
        <w:rPr>
          <w:rFonts w:ascii="Times New Roman" w:cs="Times New Roman" w:eastAsia="Times New Roman" w:hAnsi="Times New Roman"/>
          <w:sz w:val="18"/>
          <w:szCs w:val="18"/>
          <w:color w:val="auto"/>
        </w:rPr>
        <w:t>. At the time of filing the Registration Statement and any post-effective amendment thereto, and at the date hereof, the Company was not and is not an “ineligible issuer,” as defined in Rule 405 of the rules and regulations under the Securities Act, without taking account of any determination by the Commission pursuant to Rule 405 that it is not necessary that the Company be considered an ineligible issuer.</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 in an Issuer Free Writing Prospectus</w:t>
      </w:r>
      <w:r>
        <w:rPr>
          <w:rFonts w:ascii="Times New Roman" w:cs="Times New Roman" w:eastAsia="Times New Roman" w:hAnsi="Times New Roman"/>
          <w:sz w:val="18"/>
          <w:szCs w:val="18"/>
          <w:color w:val="auto"/>
        </w:rPr>
        <w:t>. Each issuer free writing prospectus, as of its issue date and at all subsequent times through the completion of the public offer and sale of the Placement Shares or until any earlier date that the Company notified or notifies the Agents, did not, does not and will not include any information that conflicted, conflicts or will conflict with the information contained in the Registration Statement or the Prospectus. The foregoing sentence does not apply to statements in or omissions from any issuer free writing prospectus based upon and in conformity with written information furnished to the Company by the Agents specifically for use therein. Each issuer free writing prospectus satisfied, as of its issue date and at all subsequent times through the completion of the offer and sale of the Placement Shares, all other conditions to use thereof as set forth in Rules 164 and 433 under the Securities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ind w:firstLine="1304"/>
        <w:spacing w:after="0" w:line="266" w:lineRule="auto"/>
        <w:tabs>
          <w:tab w:leader="none" w:pos="16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Transfer Taxes</w:t>
      </w:r>
      <w:r>
        <w:rPr>
          <w:rFonts w:ascii="Times New Roman" w:cs="Times New Roman" w:eastAsia="Times New Roman" w:hAnsi="Times New Roman"/>
          <w:sz w:val="18"/>
          <w:szCs w:val="18"/>
          <w:color w:val="auto"/>
        </w:rPr>
        <w:t>. On each Settlement Date, all material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by the Company in all material respects.</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xml:space="preserve"> The 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and (iv)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and at all prior times were, in material compliance with all applicable state and federal data privacy and security laws and regulations, and the Company and its Subsidiaries have taken commercially reasonable actions to prepare to comply with, and currently are in compliance with,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the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ind w:firstLine="1304"/>
        <w:spacing w:after="0" w:line="254" w:lineRule="auto"/>
        <w:tabs>
          <w:tab w:leader="none" w:pos="16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Occupational Laws</w:t>
      </w:r>
      <w:r>
        <w:rPr>
          <w:rFonts w:ascii="Times New Roman" w:cs="Times New Roman" w:eastAsia="Times New Roman" w:hAnsi="Times New Roman"/>
          <w:sz w:val="18"/>
          <w:szCs w:val="18"/>
          <w:color w:val="auto"/>
        </w:rPr>
        <w:t>. The Company and each of the Subsidiaries (A) is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Times New Roman" w:cs="Times New Roman" w:eastAsia="Times New Roman" w:hAnsi="Times New Roman"/>
          <w:sz w:val="18"/>
          <w:szCs w:val="18"/>
          <w:u w:val="single" w:color="auto"/>
          <w:color w:val="auto"/>
        </w:rPr>
        <w:t>Occupational Laws</w:t>
      </w:r>
      <w:r>
        <w:rPr>
          <w:rFonts w:ascii="Times New Roman" w:cs="Times New Roman" w:eastAsia="Times New Roman" w:hAnsi="Times New Roman"/>
          <w:sz w:val="18"/>
          <w:szCs w:val="18"/>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action, proceeding, revocation proceeding, writ, injunction or claim is pending or, to the Company’s knowledge, threatened against the Company or any of the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Arrangements</w:t>
      </w:r>
      <w:r>
        <w:rPr>
          <w:rFonts w:ascii="Times New Roman" w:cs="Times New Roman" w:eastAsia="Times New Roman" w:hAnsi="Times New Roman"/>
          <w:sz w:val="18"/>
          <w:szCs w:val="18"/>
          <w:color w:val="auto"/>
        </w:rPr>
        <w:t>. Except as disclosed in the Registration Statement and the Prospectus, neither the Company nor any of the Subsidiaries has granted rights to develop, manufacture, produce, assemble, distribute, license, market or sell its products to any other person and is not bound by any agreement that affects the exclusive right of the Company or such Subsidiary to develop, manufacture, produce, assemble, distribute, license, market or sell its products.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Subsidiary Payments to the Company</w:t>
      </w:r>
      <w:r>
        <w:rPr>
          <w:rFonts w:ascii="Times New Roman" w:cs="Times New Roman" w:eastAsia="Times New Roman" w:hAnsi="Times New Roman"/>
          <w:sz w:val="18"/>
          <w:szCs w:val="18"/>
          <w:color w:val="auto"/>
        </w:rPr>
        <w:t>.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except as described in or contemplated by the Registration Statement and the Prospectus or as required under the Nevada Revised Statutes.</w:t>
      </w:r>
    </w:p>
    <w:p>
      <w:pPr>
        <w:spacing w:after="0" w:line="1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the Agents or to counsel for the Agents pursuant to or in connection with this Agreement shall be deemed to be a representation and warranty by the Company, as applicable, to the Agents as to the matters set forth therein.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left="840" w:hanging="184"/>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Agents that:</w:t>
      </w:r>
    </w:p>
    <w:p>
      <w:pPr>
        <w:spacing w:after="0" w:line="22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the Agents under the Securities Act (including in circumstances where such requirement may be satisfied pursuant to Rule 172 under the Securities Act) (the “</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(i) the Company will notify the Agents promptly of the time when any subsequent amendment to the Registration Statement, other than documents incorporated by reference or amendments not related to any Placement Shares, has been filed with the Commission and/or has become effective or any subsequent supplement to the Prospectus has been filed and of any request by the Commission for any amendment or supplement to the Registration Statement or Prospectus related to the Placement Shares or for additional information related to the transactions contemplated hereby, (ii) the Company will prepare and file with the Commission, promptly upon the Agents’ reasonable request, any amendments or supplements to the Registration Statement or Prospectus that, upon the advice of the Company’s legal counsel, may be necessary or advisable in connection with the distribution of the Placement Shares by the Agents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failure of the Agents to make such request shall not relieve the Company of any obligation or liability hereunder, or affect the Agents’ right to rely on the representations and warranties made by the Company in this Agreement and provided, further, that the only remedy the Agents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(other than an Incorporated Document) unless a copy thereof has been submitted to the Agents within a reasonable period of time before the filing and the Agents have not reasonably objected in writing thereto within two (2) Business Days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the failure of the Agents to make such objection shall not relieve the Company of any obligation or liability hereunder, or affect the Agents’ right to rely on the representations and warranties made by the Company in this Agreement and (B) the Company has no obligation to provide the Agents any advance copy of such filing or to provide the Agents an opportunity to object to such filing if the filing does not name the Agents or does not relate to the transaction herein provided;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only remedy the Agents shall have with respect to the failure by the Company to provide the Agents with such copy of such amendment or supplement prior to filing, or the filing thereof despite the Agents’ objection 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Incorporated Documents, to be filed with the Commission as required pursuant to the applicable paragraph of Rule 424(b) of the Securities Act or, in the case of any Incorporated Document,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based on the Company’s reasonable opinion or reasonable objections, shall be made exclusively by the Company).</w:t>
      </w:r>
    </w:p>
    <w:p>
      <w:pPr>
        <w:spacing w:after="0" w:line="20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1304"/>
        <w:spacing w:after="0" w:line="252" w:lineRule="auto"/>
        <w:tabs>
          <w:tab w:leader="none" w:pos="15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xml:space="preserve">. During the Prospectus Delivery Period, the Company will comply in all material respects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the Prospectus Delivery Period the Company has omitted any information from the Registration Statement pursuant to Rule 430A or Rule 430B under the Securities Act, it will use its commercially reasonable efforts to comply with the provisions of and make all requisite filings with the Commission pursuant to said Rule 430A or Rule 430B and to notify the Lead Agent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Prospectus Delivery Period it is necessary to amend or supplement the Registration Statement or Prospectus to comply with the Securities Act, the Company will promptly notify the Agents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delay the filing of any amendment or supplement, if in the reasonable judgment of the Company, it is in the best interest of the Company. Until such time as the Company shall have corrected such misstatement or omission or effected such compliance, the Company shall not notify the Agents to resume the offering of Placement Shares.</w:t>
      </w:r>
    </w:p>
    <w:p>
      <w:pPr>
        <w:spacing w:after="0" w:line="19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xml:space="preserve">. During the Prospectus Delivery Period, the Company will use commercially reasonable efforts to cause the Placement Shares to be listed on the Exchange and to qualify the Placement Shares for sale under the securities laws of such jurisdictions in the United States as the Agents reasonably designate and to continue such qualifications in effect so long as required for the distribution of the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in connection therewith to qualify as a foreign corporation or dealer in securities, file a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to service of process, or subject itself to taxation in any jurisdiction if it is not otherwise so subject.</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Agents and their counsel (at the reasonable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furnish any document (other than the Prospectus) to the Agents to the extent such document is available on EDGAR.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ind w:firstLine="1304"/>
        <w:spacing w:after="0" w:line="266" w:lineRule="auto"/>
        <w:tabs>
          <w:tab w:leader="none" w:pos="15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which requirement may be satisfied by publicly filing the required information on EDGAR.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During the pendency of any Placement Notice given hereunder, the Company shall not, directly or indirectly, offer to sell, sell, contract to sell, grant any option to sell or otherwise dispose of any shares Common Stock (other than the Placement Shares offered pursuant to this Agreement) or securities convertible into or exchangeable for Common Stock, warrants or any rights to purchase or acquire, Common Stock without the prior written consent of the Lead Agent, on behalf of the Agents. At any other time, the Company shall provide the Agents notice as promptly as reasonably possible before it offers to sell, sells, contracts to sell, grants any option to sell or otherwise dispose of any shares Common Stock (other than the Placement Shares offered pursuant to this Agreement) or securities convertible into or exchangeable for Common Stock, warrants or any rights to purchase or acquire, Common Stock. However, the prior written consent of the Lead Agent, on behalf of the Agents, or notice, as applicable, will not be required in connection with (i) the issuance, grant or sale of shares of Common Stock, options to purchase shares of Common Stock or shares of Common Stock issuable upon the exercise of options or exercise or vesting of other equity awards, pursuant to any stock option, or other stock plan or arrangement described in the Prospectus, whether now in effect or hereafter implemented; (ii) the issuances of shares of Common Stock issuable upon conversion of securities, including convertible notes, or the exercise of warrants, options or other rights in effect or outstanding, and disclosed in filings by the Company available on EDGAR or otherwise in writing to the Agents, (iii) the issuance of shares of Common Stock, or securities convertible into or exercisable for Common Stock, offered and sold in a privately negotiated transaction to vendors, customers, strategic partners or potential strategic partners or other investors conducted in a manner so as not to be integrated with the offering of Common Stock hereby and (iv) the issuance of shares of Common Stock in connection with any acquisition, strategic investment or other similar transaction (including any joint venture, strategic alliance or partnership). Without the prior written consent of the Lead Agent, on behalf of the Agents, the Company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termination of this Agreement. For avoidance of doubt, nothing herein shall be construed to restrict the Company’s ability, or require the Company to provide notice to the Agents, to file a registration statement with the Commission.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ind w:firstLine="1304"/>
        <w:spacing w:after="0" w:line="266" w:lineRule="auto"/>
        <w:tabs>
          <w:tab w:leader="none" w:pos="15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During the term of this Agreement, the Company will cooperate with any reasonable due diligence review conducted by the Agents or their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agrees that on such dates as the Securities Act shall require, the Company will (i) file a prospectus supplement with the Commission under the applicable paragraph of Rule 424(b) under the Securities Act (each and every date a filing under Rule 424(b) is made, a “</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xml:space="preserve">”), which prospectus supplement will set forth, within the relevant period, the amount of Placement Shares sold through the Agents, the Net Proceeds to the Company and the compensation payable by the Company to the Agents with respect to such Placement Shares (provided that the Company may satisfy its obligations under this </w:t>
      </w:r>
      <w:r>
        <w:rPr>
          <w:rFonts w:ascii="Times New Roman" w:cs="Times New Roman" w:eastAsia="Times New Roman" w:hAnsi="Times New Roman"/>
          <w:sz w:val="18"/>
          <w:szCs w:val="18"/>
          <w:u w:val="single" w:color="auto"/>
          <w:color w:val="auto"/>
        </w:rPr>
        <w:t>Section 7(k)(i)</w:t>
      </w:r>
      <w:r>
        <w:rPr>
          <w:rFonts w:ascii="Times New Roman" w:cs="Times New Roman" w:eastAsia="Times New Roman" w:hAnsi="Times New Roman"/>
          <w:sz w:val="18"/>
          <w:szCs w:val="18"/>
          <w:color w:val="auto"/>
        </w:rPr>
        <w:t xml:space="preserve"> by effecting a filing in accordance with the Exchange Act with respect to such information), and (ii) deliver such number of copies of each such prospectus supplement to each exchange or market on which such sales were effected as may be required by the rules or regulations of such exchange or market.</w:t>
      </w:r>
    </w:p>
    <w:p>
      <w:pPr>
        <w:spacing w:after="0" w:line="18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Each time during the term of this Agreement that the Company:</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0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amends or supplements (other than a prospectus supplement relating solely to an offering of securities other than the Placement Shares or a prospectus supplement filed in accordance with </w:t>
      </w:r>
      <w:r>
        <w:rPr>
          <w:rFonts w:ascii="Times New Roman" w:cs="Times New Roman" w:eastAsia="Times New Roman" w:hAnsi="Times New Roman"/>
          <w:sz w:val="18"/>
          <w:szCs w:val="18"/>
          <w:u w:val="single" w:color="auto"/>
          <w:color w:val="auto"/>
        </w:rPr>
        <w:t>Section 7(k)</w:t>
      </w:r>
      <w:r>
        <w:rPr>
          <w:rFonts w:ascii="Times New Roman" w:cs="Times New Roman" w:eastAsia="Times New Roman" w:hAnsi="Times New Roman"/>
          <w:sz w:val="18"/>
          <w:szCs w:val="18"/>
          <w:color w:val="auto"/>
        </w:rPr>
        <w:t xml:space="preserve"> of this Agreement)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23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audited financial information or a material amendment to the previously filed Form 10-K);</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its quarterly reports on Form 10-Q under the Exchange Act; or</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5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information “furnished” pursuant to Items 2.02 or 7.01 of Form 8-K);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(each date of filing of one or more of the documents referred to in clauses (i) through (iv) shall be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xml:space="preserve">”), the Company shall furnish the Agents (but in the case of clause (iv) above only if any of the Agents reasonably determines that the information contained in such Form 8-K is material) with a certificate, in the form attached hereto as </w:t>
      </w:r>
      <w:r>
        <w:rPr>
          <w:rFonts w:ascii="Times New Roman" w:cs="Times New Roman" w:eastAsia="Times New Roman" w:hAnsi="Times New Roman"/>
          <w:sz w:val="18"/>
          <w:szCs w:val="18"/>
          <w:u w:val="single" w:color="auto"/>
          <w:color w:val="auto"/>
        </w:rPr>
        <w:t>Exhibit 7(l)</w:t>
      </w:r>
      <w:r>
        <w:rPr>
          <w:rFonts w:ascii="Times New Roman" w:cs="Times New Roman" w:eastAsia="Times New Roman" w:hAnsi="Times New Roman"/>
          <w:sz w:val="18"/>
          <w:szCs w:val="18"/>
          <w:color w:val="auto"/>
        </w:rPr>
        <w:t xml:space="preserve"> within five (5) Trading Days of any Representation Date. The requirement to provide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shall be automatically waived during any Suspension and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on which the Company files its annual report on Form 10-K. Notwithstanding the foregoing, (i) upon the delivery of the first Placement Notice hereunder and (ii) if the Company subsequently decides to sell Placement Shares following a Representation Date when the Company relied on such waiver and did not provide the Agents with a certificate under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then before the Agents sell any Placement Shares, the Company shall provide the Agents with a certificate, in the form attached hereto as </w:t>
      </w:r>
      <w:r>
        <w:rPr>
          <w:rFonts w:ascii="Times New Roman" w:cs="Times New Roman" w:eastAsia="Times New Roman" w:hAnsi="Times New Roman"/>
          <w:sz w:val="18"/>
          <w:szCs w:val="18"/>
          <w:u w:val="single" w:color="auto"/>
          <w:color w:val="auto"/>
        </w:rPr>
        <w:t>Exhibit 7(1)</w:t>
      </w:r>
      <w:r>
        <w:rPr>
          <w:rFonts w:ascii="Times New Roman" w:cs="Times New Roman" w:eastAsia="Times New Roman" w:hAnsi="Times New Roman"/>
          <w:sz w:val="18"/>
          <w:szCs w:val="18"/>
          <w:color w:val="auto"/>
        </w:rPr>
        <w:t>, dated the date of the Placement Notice.</w:t>
      </w:r>
    </w:p>
    <w:p>
      <w:pPr>
        <w:spacing w:after="0" w:line="194" w:lineRule="exact"/>
        <w:rPr>
          <w:sz w:val="20"/>
          <w:szCs w:val="20"/>
          <w:color w:val="auto"/>
        </w:rPr>
      </w:pPr>
    </w:p>
    <w:p>
      <w:pPr>
        <w:jc w:val="both"/>
        <w:ind w:firstLine="1304"/>
        <w:spacing w:after="0" w:line="253" w:lineRule="auto"/>
        <w:tabs>
          <w:tab w:leader="none" w:pos="16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On or prior to the date of the first Placement Notice given hereunder, the Company shall cause to be furnished to the Agents (i) a written opinion and a negative assurance letter of Lowenstein Sandler LLP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(ii) a written opinion of Parsons Behle &amp; Latimer (“</w:t>
      </w:r>
      <w:r>
        <w:rPr>
          <w:rFonts w:ascii="Times New Roman" w:cs="Times New Roman" w:eastAsia="Times New Roman" w:hAnsi="Times New Roman"/>
          <w:sz w:val="18"/>
          <w:szCs w:val="18"/>
          <w:u w:val="single" w:color="auto"/>
          <w:color w:val="auto"/>
        </w:rPr>
        <w:t>Nevada Counsel</w:t>
      </w:r>
      <w:r>
        <w:rPr>
          <w:rFonts w:ascii="Times New Roman" w:cs="Times New Roman" w:eastAsia="Times New Roman" w:hAnsi="Times New Roman"/>
          <w:sz w:val="18"/>
          <w:szCs w:val="18"/>
          <w:color w:val="auto"/>
        </w:rPr>
        <w:t>”), and (iii) a written opinion of Wolf, Greenfield &amp; Sacks, P.C. (“</w:t>
      </w:r>
      <w:r>
        <w:rPr>
          <w:rFonts w:ascii="Times New Roman" w:cs="Times New Roman" w:eastAsia="Times New Roman" w:hAnsi="Times New Roman"/>
          <w:sz w:val="18"/>
          <w:szCs w:val="18"/>
          <w:u w:val="single" w:color="auto"/>
          <w:color w:val="auto"/>
        </w:rPr>
        <w:t>Intellectual Property Counsel</w:t>
      </w:r>
      <w:r>
        <w:rPr>
          <w:rFonts w:ascii="Times New Roman" w:cs="Times New Roman" w:eastAsia="Times New Roman" w:hAnsi="Times New Roman"/>
          <w:sz w:val="18"/>
          <w:szCs w:val="18"/>
          <w:color w:val="auto"/>
        </w:rPr>
        <w:t xml:space="preserve">”) or other counsel reasonably satisfactory to the Agents, each in form and substance reasonably satisfactory to the Agents. Thereafter, within five (5) Trading Days of each Representation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7(l)</w:t>
      </w:r>
      <w:r>
        <w:rPr>
          <w:rFonts w:ascii="Times New Roman" w:cs="Times New Roman" w:eastAsia="Times New Roman" w:hAnsi="Times New Roman"/>
          <w:sz w:val="18"/>
          <w:szCs w:val="18"/>
          <w:color w:val="auto"/>
        </w:rPr>
        <w:t xml:space="preserve"> for which no waiver is applicable, the Company shall cause to be furnished to the Agents a written opinion and negative assurance letter of Company Counsel, a written opinion of Nevada Counsel, and a written opinion of Intellectual Property Counsel in form and substance reasonably satisfactory to the Agents;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lieu of such negative assurance and legal opinions for subsequent periodic filings under the Exchange Act, counsel may furnish the Agents with a letter (a “</w:t>
      </w:r>
      <w:r>
        <w:rPr>
          <w:rFonts w:ascii="Times New Roman" w:cs="Times New Roman" w:eastAsia="Times New Roman" w:hAnsi="Times New Roman"/>
          <w:sz w:val="18"/>
          <w:szCs w:val="18"/>
          <w:u w:val="single" w:color="auto"/>
          <w:color w:val="auto"/>
        </w:rPr>
        <w:t>Reliance Letter</w:t>
      </w:r>
      <w:r>
        <w:rPr>
          <w:rFonts w:ascii="Times New Roman" w:cs="Times New Roman" w:eastAsia="Times New Roman" w:hAnsi="Times New Roman"/>
          <w:sz w:val="18"/>
          <w:szCs w:val="18"/>
          <w:color w:val="auto"/>
        </w:rPr>
        <w:t xml:space="preserve">”) to the effect that the Agents may rely on the negative assurance letter and legal opinion previously delivered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to the same extent as if it were dated the date of such letter (except that statements in such prior letter shall be deemed to relate to the Registration Statement and the Prospectus as amended or supplemented as of the date of the Reliance Letter).</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On or prior to the date of the first Placement Notice given hereunder and within five (5) Trading Days after each subsequent Representation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7(l)</w:t>
      </w:r>
      <w:r>
        <w:rPr>
          <w:rFonts w:ascii="Times New Roman" w:cs="Times New Roman" w:eastAsia="Times New Roman" w:hAnsi="Times New Roman"/>
          <w:sz w:val="18"/>
          <w:szCs w:val="18"/>
          <w:color w:val="auto"/>
        </w:rPr>
        <w:t xml:space="preserve"> for which no waiver is applicable, the Company shall cause its independent accountants to furnish the Agents a letter (the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dated the date the Comfort Letter is delivered, which shall meet the requirements set forth in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The Comfort Letter from the Company’s independent accountants shall be in a form and substance reasonably satisfactory to the Agents, (i) confirming that they are an independent public accounting firm within the meaning of the Securities Act and the Public Company Accounting Oversight Board (the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u w:val="single" w:color="auto"/>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ind w:firstLine="1304"/>
        <w:spacing w:after="0" w:line="261" w:lineRule="auto"/>
        <w:tabs>
          <w:tab w:leader="none" w:pos="155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the Placement Shares or (ii) sell, bid for, or purchase the Placement Shares to be issued and sold pursuant to this Agreement in violation of Regulation M, or pay anyone any compensation for soliciting purchases of the Placement Shares other than the Agents.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xml:space="preserve">. Other than an Issuer Free Writing Prospectus approved in advance by the Company and the Agents in their capacity as agents hereunder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neither the Agents nor the Company (including its agents and representatives, other than the Agents in their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disclosure controls and procedures that comply with the requirements of the Exchange Act.</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8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Covenants of the Agents</w:t>
      </w:r>
      <w:r>
        <w:rPr>
          <w:rFonts w:ascii="Times New Roman" w:cs="Times New Roman" w:eastAsia="Times New Roman" w:hAnsi="Times New Roman"/>
          <w:sz w:val="18"/>
          <w:szCs w:val="18"/>
          <w:color w:val="auto"/>
        </w:rPr>
        <w:t>. Each of the Agents represents and warrants that it is duly registered as a broker-dealer under FINRA, the Exchange Act and the applicable statutes and regulations of each state in which the Placement Shares will be offered and sold, except such states in which such Agent is exempt from registration or such registration is not otherwise required. Each of the Agents shall continue, for the term of this Agreement, to be duly registered as a broker-dealer under FINRA, the Exchange Act and the applicable statutes and regulations of each state in which the Placement Shares will be offered and sold, except such states in which it is exempt from registration or such registration is not otherwise required, during the term of this Agreement. Each of the Agent shall comply with all applicable law and regulations in connection with the transactions contemplated by this Agreement, including the issuance and sale through such Agent of the Placement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ind w:firstLine="656"/>
        <w:spacing w:after="0" w:line="253" w:lineRule="auto"/>
        <w:tabs>
          <w:tab w:leader="none" w:pos="8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and each Free Writing Prospectus, in such number as the Agents shall deem reasonably necessary, (ii) the printing and delivery to the Agents of this Agreement and such other documents as may be required in connection with the offering, purchase, sale, issuance or delivery of the Placement Shares, (iii) the preparation, issuance and delivery of the certificates, if any, for the Placement Shares to the Agents, including any stock or other transfer taxes and any capital duties, stamp duties or other duties or taxes payable upon the sale, issuance or delivery of the Placement Shares to the Agents, (iv) the fees and disbursements of the counsel, accountants and other advisors to the Company, (v) the reasonable and documented out-of-pocket fees and disbursements of counsel to the Agents (x) not to exceed $50,000 in connection with the filing of this Agreement and (y) not to exceed $15,000 in connection with each Representation Date on which the Company is required to provide a certificate under Section 7(l); (vi) the fees and expenses of the transfer agent and registrar for the Common Stock, (vii) the filing fees incident to any review by FINRA of the terms of the sale of the Placement Shares, and (viii) the fees and expenses incurred in connection with the listing of the Placement Shares on the Exchange.</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Agents’ Obligations</w:t>
      </w:r>
      <w:r>
        <w:rPr>
          <w:rFonts w:ascii="Times New Roman" w:cs="Times New Roman" w:eastAsia="Times New Roman" w:hAnsi="Times New Roman"/>
          <w:sz w:val="18"/>
          <w:szCs w:val="18"/>
          <w:color w:val="auto"/>
        </w:rPr>
        <w:t>. The obligations of the Agents hereunder with respect to a Placement will be subject to the continuing accuracy and completeness of the representations and warranties made by the Company herein (other than those representations and warranties made as of a specified date or time), to the due performance in all material respects by the Company of its obligations hereunder, to the completion by each of the Agents of a due diligence review satisfactory to it in its reasonable judgment, and to the continuing reasonable satisfaction (or waiver by the Agents in their sole discretion) of the following additional conditions: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remain effective and shall be available for the sale of all Placement Shares contemplated to be issued by any Placement Notice.</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receipt by the Company of notification of the initiation of any proceedings for that purpose; (iii) receipt by the Company of any notification with respect to the suspension of the qualification or exemption from qualification of any of the Placement Shares for sale in any jurisdiction or receipt by the Company of notification of the initiation of, or a threat to initiate,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any material Incorporated Document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or any material Incorporated Document,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ind w:firstLine="1304"/>
        <w:spacing w:after="0" w:line="261" w:lineRule="auto"/>
        <w:tabs>
          <w:tab w:leader="none" w:pos="158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Agents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Effect, or any development that would reasonably be expected to result in a Material Adverse Effect, or a downgrading in or withdrawal of the rating assigned to any of the Company’s securities (other than asset backed securities) by any “nationally recognized statistical rating organization,” as such term is defined by the Commission for purposes of Rule 436(g)(2) under the Securities Act (a “</w:t>
      </w:r>
      <w:r>
        <w:rPr>
          <w:rFonts w:ascii="Times New Roman" w:cs="Times New Roman" w:eastAsia="Times New Roman" w:hAnsi="Times New Roman"/>
          <w:sz w:val="18"/>
          <w:szCs w:val="18"/>
          <w:u w:val="single" w:color="auto"/>
          <w:color w:val="auto"/>
        </w:rPr>
        <w:t>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w:t>
      </w:r>
      <w:r>
        <w:rPr>
          <w:rFonts w:ascii="Times New Roman" w:cs="Times New Roman" w:eastAsia="Times New Roman" w:hAnsi="Times New Roman"/>
          <w:sz w:val="18"/>
          <w:szCs w:val="18"/>
          <w:color w:val="auto"/>
        </w:rPr>
        <w:t xml:space="preserve">. The Agents shall have received the opinion and negative assurance letter of Company Counsel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opinion and negative assurance letter are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2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Nevada Counsel Legal Opinion</w:t>
      </w:r>
      <w:r>
        <w:rPr>
          <w:rFonts w:ascii="Times New Roman" w:cs="Times New Roman" w:eastAsia="Times New Roman" w:hAnsi="Times New Roman"/>
          <w:sz w:val="18"/>
          <w:szCs w:val="18"/>
          <w:color w:val="auto"/>
        </w:rPr>
        <w:t xml:space="preserve">. The Agents shall have received the opinion of Nevada Counsel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opinion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Counsel Legal Opinion</w:t>
      </w:r>
      <w:r>
        <w:rPr>
          <w:rFonts w:ascii="Times New Roman" w:cs="Times New Roman" w:eastAsia="Times New Roman" w:hAnsi="Times New Roman"/>
          <w:sz w:val="18"/>
          <w:szCs w:val="18"/>
          <w:color w:val="auto"/>
        </w:rPr>
        <w:t xml:space="preserve">. The Agents shall have received the opinion of Intellectual Property Counsel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opinion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Counsel Legal Opinion</w:t>
      </w:r>
      <w:r>
        <w:rPr>
          <w:rFonts w:ascii="Times New Roman" w:cs="Times New Roman" w:eastAsia="Times New Roman" w:hAnsi="Times New Roman"/>
          <w:sz w:val="18"/>
          <w:szCs w:val="18"/>
          <w:color w:val="auto"/>
        </w:rPr>
        <w:t xml:space="preserve">. The Agents shall have received from Mintz, Levin, Cohn, Ferris, Glovsky and Popeo, P.C., counsel for the Agents, such opinion, on or before the date on which the delivery of the Company Counsel and Nevada Counsel legal opinions are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with respect to such matters as the Agents may reasonably require, and the Company shall have furnished to such counsel such documents as they request for enabling them to pass upon such matters.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ind w:firstLine="1304"/>
        <w:spacing w:after="0" w:line="282" w:lineRule="auto"/>
        <w:tabs>
          <w:tab w:leader="none" w:pos="15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The Agents shall have received the Comfort Letter required to be delivered pursuant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letter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The Agents shall have received the certificate required to be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first Representation Date, the Agents shall have received a certificate, signed on behalf of the Company by its corporate Secretary, in form and substance reasonably satisfactory to the Agents and their counsel.</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shall not have been suspended on the Exchange and the Common Stock shall not have been delisted from the Exchange.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the Company shall have furnished to the Agents such appropriate further information, opinions, certificates letters, and other documents as the Agents may reasonably request and which are usually and customarily furnished by an issuer of securities in connection with a securities offering of the type contemplated hereby. All such opinions, certificates, letters and other documents will be in compliance with the provisions hereof.</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Agents to terminate this Agreement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ind w:left="920" w:hanging="264"/>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xml:space="preserve">. The Company agrees to indemnify and hold harmless the Agents, their respective partners, members, directors, officers, employees and agents and each person, if any, who controls the Agents within the meaning of Section 15 of the Securities Act or Section 20 of the Exchange Act as follows: (i) against any and all loss, liability, claim, damage and expense,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 (ii) 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below) any such settlement is effected with the written consent of the Company, which consent shall not unreasonably be delayed or withheld; or (iii) against any and all expense, as incurred (including the reasonable and documented out-of-pocket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Sections 11(a)(i) – (iii)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to any loss, liability, claim, damage or expense to the extent arising out of any untrue statement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omission or alleged untrue statement or omission made solely in reliance upon and in conformity with written information furnished to the Company by the Agents expressly for use in the Registration Statement (or any amendment thereto), or in any related Issuer Free Writing Prospectus or the Prospectus (or any amendment or supplement thereto).</w:t>
      </w:r>
    </w:p>
    <w:p>
      <w:pPr>
        <w:spacing w:after="0" w:line="190"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Agents</w:t>
      </w:r>
      <w:r>
        <w:rPr>
          <w:rFonts w:ascii="Times New Roman" w:cs="Times New Roman" w:eastAsia="Times New Roman" w:hAnsi="Times New Roman"/>
          <w:sz w:val="18"/>
          <w:szCs w:val="18"/>
          <w:color w:val="auto"/>
        </w:rPr>
        <w:t xml:space="preserve">. Each Agent agrees, severally and not jointly, to indemnify and hold harmless the Company and its directors and officers,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or in any related Issuer Free Writing Prospectus or the Prospectus (or any amendment or supplement thereto) in reliance upon and in conformity with information relating to such Agent and furnished to the Company in writing by such Agent expressly for use therein.</w:t>
      </w:r>
    </w:p>
    <w:p>
      <w:pPr>
        <w:spacing w:after="0" w:line="188"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in writing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(ii) any liability that it may have to any indemnified party under the foregoing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as they are incurred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of interest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out-of-pocket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out-of-pocket fees, disbursements and other charges of more than one separate firm admitted to practice in such jurisdiction at any one time for all such indemnified party or parties. All such reasonable and documented out-of-pocket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(whether or not any indemnified party is a party thereto), unless such settlement, compromise or consent (1) includes an unconditional release of each indemnified party from all liability arising or that may arise out of such litigation, investigation, proceeding or claim and (2) does not include a statement as to or an admission of fault, culpability or a failure to act by or on behalf of any indemnified party.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firstLine="1304"/>
        <w:spacing w:after="0" w:line="251"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is applicable in accordance with its terms but for any reason is held to be unavailable from the Company or the Agents, the Company and the Agents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Agents, such as persons who control the Company within the meaning of the Securities Act or the Exchange Act, officers of the Company who signed the Registration Statement and directors of the Company, who also may be liable for contribution) to which the Company and the Agents may be subject in such proportion as shall be appropriate to reflect the relative benefits received by the Company on the one hand and each of the Agents on the other hand. The relative benefits received by the Company on the one hand and each of the Agents on the other hand shall be deemed to be in the same proportion as the total Net Proceeds from the sale of the Placement Shares (before deducting expenses) received by the Company bear to the total compensation received by such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each of the Agents,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such Agent, the intent of the parties and their relative knowledge, access to information and opportunity to correct or prevent such statement or omission. The Company and the Agents agree that it would not be just and equitable if contributions pursuant to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an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any person who controls a party to this Agreement within the meaning of the Securities Act or the Exchange Act, any affiliates of an Agent and any officers, directors, partners, employees or agents of an Agent or any of its affiliates, will have the same rights to contribution as that party, and each officer who signed the Registration Statement and director of the Company will have the same rights to contribution as the Company, subject in each case to the provisions hereof. Any party entitled to contribution, promptly after receipt of written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will notify in writing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hereof. The Agents’ respective obligations to contribute pursuant to this Section 11(d) are several in proportion to the respective number of Placement Shares they have sold hereunder, and not joint.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ind w:firstLine="656"/>
        <w:spacing w:after="0" w:line="261" w:lineRule="auto"/>
        <w:tabs>
          <w:tab w:leader="none" w:pos="91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The indemnity and contribution agreements contained in Section 11 of this Agreement and all representations and warranties of the Company herein or in certificates delivered pursuant hereto shall survive, as of their respective dates, regardless of (i) any investigation made by or on behalf of the Agents, any controlling persons, or the Company (or any of their respective officers, directors or controlling persons), (ii) delivery and acceptance of the Placement Shares and payment therefor or (iii) any termination of this Agreement.</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Agent may terminate this Agreement with respect to itself, by written notice to the Company, as hereinafter specified at any time</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since the time of execution of this Agreement or since the date as of which information is given in the Prospectus, any Material Adverse Effect, or any development that would have a Material Adverse Effect that, in the reasonable judgment of such Agent, is material and adverse and makes it impractical or inadvisable to market the Placement Shares or to enforce contracts for the sale of the Placement Shares,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(iii) if trading in the Common Stock has been suspended or limited by the Commission or the Exchange, or if trading generally on the Exchange has been suspended or limited, or minimum prices for trading have been fixed on the Exchange,</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suspension of trading of any securities of the Company on any exchange or in the over-the-counter market shall have occurred and be continuing, (v) if a major disruption of securities settlements or clearance services in the United States shall have occurred and be continuing, or (vi)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9 (Payment of Expenses),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(Consent to Jurisdiction) hereof shall remain in full force and effect notwithstanding such termination. If an Agent elects to terminate this Agreement with respect to itself as provided in this Section 13(a), such Agent shall provide the required written notice as specified in Section 14 (Notices).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three (3) days’ notice as hereinafter specified to terminate this Agreement with respect to any or all Agents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(Consent to Jurisdiction) hereof shall remain in full force and effect notwithstanding such termination.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3"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Agent shall have the right, by giving five (5) days’ notice as hereinafter specified to terminate this Agreement with respect to itself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(Consent to Jurisdiction) hereof shall remain in full force and effect notwithstanding such termination.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ind w:firstLine="1304"/>
        <w:spacing w:after="0" w:line="261" w:lineRule="auto"/>
        <w:tabs>
          <w:tab w:leader="none" w:pos="155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this Agreement shall automatically terminate upon the issuance and sale of all of the Placement Shares through the Agents on the terms and subject to the conditions set forth herein except that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(Consent to Jurisdiction) hereof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This Agreement shall remain in full force and effect unless terminated pursuant to </w:t>
      </w:r>
      <w:r>
        <w:rPr>
          <w:rFonts w:ascii="Times New Roman" w:cs="Times New Roman" w:eastAsia="Times New Roman" w:hAnsi="Times New Roman"/>
          <w:sz w:val="18"/>
          <w:szCs w:val="18"/>
          <w:u w:val="single" w:color="auto"/>
          <w:color w:val="auto"/>
        </w:rPr>
        <w:t>Sections 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or otherwise by mutual agreement of the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(Consent to Jurisdiction) shall remain in full force and effect. Upon termination of this Agreement, the Company shall not have any liability to an Agent for any discount, commission or other compensation with respect to any Placement Shares not otherwise sold by an Agent under this Agreement. To the extent this Agreement is terminated by one Agent or by the Company with respect to one Agent pursuant to </w:t>
      </w:r>
      <w:r>
        <w:rPr>
          <w:rFonts w:ascii="Times New Roman" w:cs="Times New Roman" w:eastAsia="Times New Roman" w:hAnsi="Times New Roman"/>
          <w:sz w:val="18"/>
          <w:szCs w:val="18"/>
          <w:u w:val="single" w:color="auto"/>
          <w:color w:val="auto"/>
        </w:rPr>
        <w:t>Sections 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this Agreement shall terminate only with respect to such Agent and shall remain in full force and effect with respect to the Company and the other Agents, unless and until terminated pursuant to </w:t>
      </w:r>
      <w:r>
        <w:rPr>
          <w:rFonts w:ascii="Times New Roman" w:cs="Times New Roman" w:eastAsia="Times New Roman" w:hAnsi="Times New Roman"/>
          <w:sz w:val="18"/>
          <w:szCs w:val="18"/>
          <w:u w:val="single" w:color="auto"/>
          <w:color w:val="auto"/>
        </w:rPr>
        <w:t>Sections 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 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termination shall not be effective until the close of business on the date of receipt of such notice by an Agent or the Company, as the case may be. If such termination shall occur prior to the Settlement Date for any sale of Placement Shares, such Placement Shares shall settle in accordance with the provisions of this Agreement.</w:t>
      </w:r>
    </w:p>
    <w:p>
      <w:pPr>
        <w:spacing w:after="0" w:line="182" w:lineRule="exact"/>
        <w:rPr>
          <w:sz w:val="20"/>
          <w:szCs w:val="20"/>
          <w:color w:val="auto"/>
        </w:rPr>
      </w:pPr>
    </w:p>
    <w:p>
      <w:pPr>
        <w:ind w:firstLine="656"/>
        <w:spacing w:after="0" w:line="282" w:lineRule="auto"/>
        <w:tabs>
          <w:tab w:leader="none" w:pos="9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and if sent to the Agents, shall be delivered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Post Office Square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Suite 3000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Boston, MA 02109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919 Third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Jeffrey Schultz, Esq.</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12915 Old Virginia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Denis Phares, Ph.D.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Lowenstein Sandler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Steven M. Skolnick</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party to this Agreement may change such address for notices by sending to the other parties to this Agreement written notice of a new address for such purpose. Each such notice or other communication shall be deemed given (i) when delivered personally or by email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187" w:lineRule="exact"/>
        <w:rPr>
          <w:sz w:val="20"/>
          <w:szCs w:val="20"/>
          <w:color w:val="auto"/>
        </w:rPr>
      </w:pPr>
    </w:p>
    <w:p>
      <w:pPr>
        <w:jc w:val="both"/>
        <w:ind w:firstLine="656"/>
        <w:spacing w:after="0" w:line="256" w:lineRule="auto"/>
        <w:tabs>
          <w:tab w:leader="none" w:pos="9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each Agent and their respective successors and the affiliates, controlling persons, officers and directors referred to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the Company nor the Agents may assign its rights or obligations under this Agreement without the prior written consent of the other party.</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consolidation, stock split, stock dividend, corporate domestication or similar event effected with respect to the Placement Shares.</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w:t>
      </w:r>
      <w:r>
        <w:rPr>
          <w:rFonts w:ascii="Times New Roman" w:cs="Times New Roman" w:eastAsia="Times New Roman" w:hAnsi="Times New Roman"/>
          <w:sz w:val="18"/>
          <w:szCs w:val="18"/>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both"/>
        <w:ind w:firstLine="656"/>
        <w:spacing w:after="0" w:line="258" w:lineRule="auto"/>
        <w:tabs>
          <w:tab w:leader="none" w:pos="9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TIME; WAIVER OF JURY TRIAL</w:t>
      </w:r>
      <w:r>
        <w:rPr>
          <w:rFonts w:ascii="Times New Roman" w:cs="Times New Roman" w:eastAsia="Times New Roman" w:hAnsi="Times New Roman"/>
          <w:sz w:val="18"/>
          <w:szCs w:val="18"/>
          <w:color w:val="auto"/>
        </w:rPr>
        <w:t>. THIS AGREEMENT SHALL BE GOVERNED BY AND CONSTRUED IN ACCORDANCE WITH THE LAWS OF THE STATE OF NEW YORK WITHOUT REGARD TO THE PRINCIPLES OF CONFLICTS OF LAWS. SPECIFIED TIMES OF DAY REFER TO NEW YORK CITY TIME. THE COMPANY AND THE AGENTS EACH HEREBY IRREVOCABLY WAIVES, TO THE FULLEST EXTENT PERMITTED BY APPLICABLE LAW, ANY AND ALL RIGHT TO TRIAL BY JURY IN ANY LEGAL PROCEEDING ARISING OUT OF OR RELATING TO THIS AGREEMENT OR THE TRANSACTIONS CONTEMPLATED HEREBY.</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email of a .pdf attachment.</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Schedule and Exhibit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xml:space="preserve">. The Company represents, warrants and agrees that, unless it obtains the prior consent of each Agent, and each Agent represents, warrants and agrees that, unless it obtains the prior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22</w:t>
      </w:r>
      <w:r>
        <w:rPr>
          <w:rFonts w:ascii="Times New Roman" w:cs="Times New Roman" w:eastAsia="Times New Roman" w:hAnsi="Times New Roman"/>
          <w:sz w:val="18"/>
          <w:szCs w:val="18"/>
          <w:color w:val="auto"/>
        </w:rPr>
        <w:t xml:space="preserve"> hereto are Permitted Free Writing Prospectuses.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ind w:left="920" w:hanging="264"/>
        <w:spacing w:after="0"/>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affiliates, stockholders (or other equity holders), creditors or employees or any other party, on the one hand, and the Agents, on the other hand, has been or will be created in respect of any of the transactions contemplated by this Agreement, irrespective of whether or not any Agent has advised or is advising the Company on other matters, and the Agents have no obligation to the Company with respect to the transactions contemplated by this Agreement except the obligations expressly set forth in this Agreement;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8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have not provided any legal, accounting, regulatory or tax advice with respect to the transactions contemplated by this Agreement and it has consulted its own legal, accounting, regulatory and tax advisors to the extent it has deemed appropriate;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the Agents and their respective affiliates are engaged in a broad range of transactions which may involve interests that differ from those of the Company and the Agents have no obligation to disclose such interests and transactions to the Company by virtue of any fiduciary, advisory or agency relationship or otherwise;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Agents for breach of fiduciary duty or alleged breach of fiduciary duty in connection with the sale of Placement Shares under this Agreement and agrees that the Agents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Agents and their counsel confidential to the extent not otherwise publicly-available.</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xml:space="preserve">” means (i) each Representation Date on which the Company is obligated to deliver a certificate in the form attached hereto as </w:t>
      </w:r>
      <w:r>
        <w:rPr>
          <w:rFonts w:ascii="Times New Roman" w:cs="Times New Roman" w:eastAsia="Times New Roman" w:hAnsi="Times New Roman"/>
          <w:sz w:val="18"/>
          <w:szCs w:val="18"/>
          <w:u w:val="single" w:color="auto"/>
          <w:color w:val="auto"/>
        </w:rPr>
        <w:t>Exhibit 7(l)</w:t>
      </w:r>
      <w:r>
        <w:rPr>
          <w:rFonts w:ascii="Times New Roman" w:cs="Times New Roman" w:eastAsia="Times New Roman" w:hAnsi="Times New Roman"/>
          <w:sz w:val="18"/>
          <w:szCs w:val="18"/>
          <w:color w:val="auto"/>
        </w:rPr>
        <w:t xml:space="preserve"> for which no waiver is applicable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and (ii) the time of each sale of any Placement Shares pursuant to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the page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each of the Agents, please so indicate in the space provided below for that purpose, whereupon this letter shall constitute a binding agreement between the Company and each of the Agents.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Interim Chief Financial</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as of the date first-above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CANACCORD GENUITY LLC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Pardi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Jennifer Pardi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Yorkville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PLACEMENT NOTICE</w:t>
      </w:r>
    </w:p>
    <w:p>
      <w:pPr>
        <w:sectPr>
          <w:pgSz w:w="11900" w:h="16838" w:orient="portrait"/>
          <w:cols w:equalWidth="0" w:num="1">
            <w:col w:w="11240"/>
          </w:cols>
          <w:pgMar w:left="320" w:top="65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00" w:lineRule="exact"/>
        <w:rPr>
          <w:sz w:val="20"/>
          <w:szCs w:val="20"/>
          <w:color w:val="auto"/>
        </w:rPr>
      </w:pPr>
    </w:p>
    <w:p>
      <w:pPr>
        <w:sectPr>
          <w:pgSz w:w="11900" w:h="16838" w:orient="portrait"/>
          <w:cols w:equalWidth="0" w:num="2">
            <w:col w:w="580" w:space="720"/>
            <w:col w:w="9940"/>
          </w:cols>
          <w:pgMar w:left="320" w:top="657"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Canaccord Genuity LLC</w:t>
      </w:r>
    </w:p>
    <w:p>
      <w:pPr>
        <w:spacing w:after="0" w:line="200" w:lineRule="exact"/>
        <w:rPr>
          <w:sz w:val="20"/>
          <w:szCs w:val="20"/>
          <w:color w:val="auto"/>
        </w:rPr>
      </w:pPr>
    </w:p>
    <w:p>
      <w:pPr>
        <w:sectPr>
          <w:pgSz w:w="11900" w:h="16838" w:orient="portrait"/>
          <w:cols w:equalWidth="0" w:num="2">
            <w:col w:w="580" w:space="720"/>
            <w:col w:w="9940"/>
          </w:cols>
          <w:pgMar w:left="320" w:top="657"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Market Issuance—Placement Notice</w:t>
      </w:r>
    </w:p>
    <w:p>
      <w:pPr>
        <w:spacing w:after="0" w:line="211" w:lineRule="exact"/>
        <w:rPr>
          <w:sz w:val="20"/>
          <w:szCs w:val="20"/>
          <w:color w:val="auto"/>
        </w:rPr>
      </w:pPr>
    </w:p>
    <w:p>
      <w:pPr>
        <w:sectPr>
          <w:pgSz w:w="11900" w:h="16838" w:orient="portrait"/>
          <w:cols w:equalWidth="0" w:num="2">
            <w:col w:w="600" w:space="700"/>
            <w:col w:w="9940"/>
          </w:cols>
          <w:pgMar w:left="320" w:top="65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Equity Distribution Agreement by and among Dragonfly Energy Holdings Corp.,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Canaccord Genuity LLC, as representative of the several sales agents (each, individually, an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dated January 30, 2026, the Company hereby requests that Canaccord Genuity LLC sell up to [____] of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$0.0001 per share, at a minimum market price of $[____] per share, during the time period beginning [month, day, time]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[month, day,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shall pay to the Lead Agent in cash, upon each sale of the Placement Shares pursuant to this Agreement, an amount equal to up to 3.0% of the gross proceeds from each sale of the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authorized representatives of the Company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 (denis@dragonflyenergy.com)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 Sinnott (dsinnott@dragonflyenergy.com)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Placement Notice shall be sent to the Agents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DFLIATM@cgf.com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43" w:name="page44"/>
    <w:bookmarkEnd w:id="43"/>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5</w:t>
      </w:r>
    </w:p>
    <w:p>
      <w:pPr>
        <w:spacing w:after="0" w:line="225" w:lineRule="exact"/>
        <w:rPr>
          <w:sz w:val="20"/>
          <w:szCs w:val="20"/>
          <w:color w:val="auto"/>
        </w:rPr>
      </w:pPr>
    </w:p>
    <w:p>
      <w:pPr>
        <w:jc w:val="right"/>
        <w:ind w:right="3399"/>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p>
      <w:pPr>
        <w:spacing w:after="0" w:line="229" w:lineRule="exact"/>
        <w:rPr>
          <w:sz w:val="20"/>
          <w:szCs w:val="20"/>
          <w:color w:val="auto"/>
        </w:rPr>
      </w:pPr>
    </w:p>
    <w:p>
      <w:pPr>
        <w:ind w:left="180" w:hanging="172"/>
        <w:spacing w:after="0"/>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Dragonfly Energy Corp.</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Dragonfly CellTech Inc.</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 Born Battery Products,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7(l)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Representation Date Certificate</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 20___</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Representation Date Certificate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is executed and delivered in connection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the Equity Distribution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January 30, 2026, and entered into by and among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Canaccord Genuity LLC, as representative of the several sales agents. All capitalized terms used but not defined herein shall have the meanings given to such terms in the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certifies as follows:</w:t>
      </w:r>
    </w:p>
    <w:p>
      <w:pPr>
        <w:spacing w:after="0" w:line="225" w:lineRule="exact"/>
        <w:rPr>
          <w:sz w:val="20"/>
          <w:szCs w:val="20"/>
          <w:color w:val="auto"/>
        </w:rPr>
      </w:pPr>
    </w:p>
    <w:p>
      <w:pPr>
        <w:jc w:val="both"/>
        <w:ind w:firstLine="656"/>
        <w:spacing w:after="0" w:line="258" w:lineRule="auto"/>
        <w:tabs>
          <w:tab w:leader="none" w:pos="8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 for this paragraph 1 to be true.</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8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the Company contained in the Agreement were, when originally made, and are, as of the date of this Certificate, true and correct in all material respects.</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3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waived by the Agents in writing, each of the covenants required to be performed by the Company in the Agreement on or prior to the date of the Agreement, this Representation Date, and each such other date prior to the date hereof as set forth in the Agreement, has been duly, timely and fully performed in all material respects and each condition required to be complied with by the Company on or prior to the date of the Agreement, this Representation Date, and each such other date prior to the date hereof as set forth in the Agreement has been duly, timely and fully complied with in all material respects.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date of the most recent financial statements in the Prospectus, and except as described in the Prospectus, including Incorporated Documents, there has been no Material Adverse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of any part thereof has been issued, and no proceedings for that purpose have been instituted or are pending or threatened by any securities or other governmental authority (including, without limitation, the Commission).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or the qualification or registration of the Placement Shares under the securities or Blue Sky laws of any jurisdiction are in effect and no proceeding for such purpose is pending before, or threatened, to the Company’s knowledge or in writing by, any securities or other governmental authority (including, without limitation, the Commission).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has executed this Representation Date Certificate as of the date first written above.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22</w:t>
      </w:r>
    </w:p>
    <w:p>
      <w:pPr>
        <w:spacing w:after="0" w:line="225"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b w:val="1"/>
          <w:bCs w:val="1"/>
          <w:color w:val="auto"/>
        </w:rPr>
        <w:t>Permitted Issuer Free Writing Prospectuses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12915 Old Virginia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NV 89521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Dragonfly Energy Holdings Corp. – Prospectus Supplement to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special Nevada counsel to Dragonfly Energy Holdings Corp.,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(i) the Registration Statement on Form S-3 (Registration No. 333-275559), which was declared effective on November 24, 2023,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(as so filed,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the related prospectus contained in the Registration Statement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(ii) the prospectus supplement to the Registration Statement, dated January 30, 2026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relating to the issuance and sale by the Company, from time to time, of up to $50,000,000 in shares of the Company’s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Shares are to be issued and sold pursuant to an Equity Distribution Agreement, dated January 30, 2026, by and between the Company and Canaccord Genuity LLC, acting as representative of the several sales agents named therein (the “</w:t>
      </w:r>
      <w:r>
        <w:rPr>
          <w:rFonts w:ascii="Times New Roman" w:cs="Times New Roman" w:eastAsia="Times New Roman" w:hAnsi="Times New Roman"/>
          <w:sz w:val="18"/>
          <w:szCs w:val="18"/>
          <w:u w:val="single" w:color="auto"/>
          <w:color w:val="auto"/>
        </w:rPr>
        <w:t>Distribution Agreement</w:t>
      </w:r>
      <w:r>
        <w:rPr>
          <w:rFonts w:ascii="Times New Roman" w:cs="Times New Roman" w:eastAsia="Times New Roman" w:hAnsi="Times New Roman"/>
          <w:sz w:val="18"/>
          <w:szCs w:val="18"/>
          <w:color w:val="auto"/>
        </w:rPr>
        <w:t>”). We have been requested by the Company to render this opinion in connection with the filing of the Form 8-K with respect to the sale and issuance by the Company of the Shares (the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counsel to the Company, we have examined such matters of fact and questions of law as we have considered appropriate for purposes of rendering this opinion letter. With your consent, we have relied upon certificates and other assurances of officers of the Company and others as to factual matters without having independently verified such factual matters. In rendering the opinions in this opinion letter, we have assumed that the issuance of the Shares will not exceed the number of authorized shares. In rendering the opinions expressed below, we have assumed without verification the genuineness of all signatures, the legal capacity of natural persons, the authenticity of all documents submitted to us as originals, the conformity to the originals of all documents submitted to us as copies and the authenticity of the originals of such copies.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such examination, and subject to the qualifications, assumptions and limitations stated herein, it is our opinion that the Shares have been duly authorized by all requisite corporate action on the part of the Company and, upon their issuance, delivery and payment therefor in the manner contemplated by the Registration Statement, Base Prospectus and Prospectus Supplement, and pursuant to the terms of the Distribution Agreement,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opinion is expressed herein as to any matter pertaining to the contents of the Registration Statement. In connection with the opinions in this opinion letter, we have examined and relied on the representations and warranties as to factual matters contained in the Registration Statement, Base Prospectus and Prospectus Supplement, and we have relied on oral or written statements and representations of officers or other representatives of the Company and others.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 The opinions in this opinion letter are given as of the date hereof. We assume no obligation to advise you of changes that may hereafter be brought to our attention.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inclusion of this opinion letter as Exhibit 5.1 to the Form 8-K and further consent to all references to us under the caption “Legal Matters” in the Prospectus Supplement. In giving this consent, we do not admit that we are in the category of persons whose consent is required under Section 7 of the Securities Act, or the rules and regulations of the Commission.</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Parsons Behle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1."/>
      <w:numFmt w:val="decimal"/>
      <w:start w:val="2"/>
    </w:lvl>
  </w:abstractNum>
  <w:abstractNum w:abstractNumId="3">
    <w:nsid w:val="8EDBDAB"/>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4">
    <w:nsid w:val="79838CB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5">
    <w:nsid w:val="4353D0CD"/>
    <w:multiLevelType w:val="hybridMultilevel"/>
    <w:lvl w:ilvl="0">
      <w:lvlJc w:val="left"/>
      <w:lvlText w:val="%1"/>
      <w:numFmt w:val="decimal"/>
      <w:start w:val="1"/>
    </w:lvl>
    <w:lvl w:ilvl="1">
      <w:lvlJc w:val="left"/>
      <w:lvlText w:val="(%2)"/>
      <w:numFmt w:val="lowerLetter"/>
      <w:start w:val="4"/>
    </w:lvl>
  </w:abstractNum>
  <w:abstractNum w:abstractNumId="6">
    <w:nsid w:val="B03E0C6"/>
    <w:multiLevelType w:val="hybridMultilevel"/>
    <w:lvl w:ilvl="0">
      <w:lvlJc w:val="left"/>
      <w:lvlText w:val="%1."/>
      <w:numFmt w:val="decimal"/>
      <w:start w:val="6"/>
    </w:lvl>
    <w:lvl w:ilvl="1">
      <w:lvlJc w:val="left"/>
      <w:lvlText w:val="(%2)"/>
      <w:numFmt w:val="lowerLetter"/>
      <w:start w:val="1"/>
    </w:lvl>
  </w:abstractNum>
  <w:abstractNum w:abstractNumId="7">
    <w:nsid w:val="189A769B"/>
    <w:multiLevelType w:val="hybridMultilevel"/>
    <w:lvl w:ilvl="0">
      <w:lvlJc w:val="left"/>
      <w:lvlText w:val="(%1)"/>
      <w:numFmt w:val="lowerLetter"/>
      <w:start w:val="2"/>
    </w:lvl>
  </w:abstractNum>
  <w:abstractNum w:abstractNumId="8">
    <w:nsid w:val="54E49EB4"/>
    <w:multiLevelType w:val="hybridMultilevel"/>
    <w:lvl w:ilvl="0">
      <w:lvlJc w:val="left"/>
      <w:lvlText w:val="(%1)"/>
      <w:numFmt w:val="lowerLetter"/>
      <w:start w:val="5"/>
    </w:lvl>
  </w:abstractNum>
  <w:abstractNum w:abstractNumId="9">
    <w:nsid w:val="71F32454"/>
    <w:multiLevelType w:val="hybridMultilevel"/>
    <w:lvl w:ilvl="0">
      <w:lvlJc w:val="left"/>
      <w:lvlText w:val="(%1)"/>
      <w:numFmt w:val="lowerLetter"/>
      <w:start w:val="7"/>
    </w:lvl>
  </w:abstractNum>
  <w:abstractNum w:abstractNumId="10">
    <w:nsid w:val="2CA88611"/>
    <w:multiLevelType w:val="hybridMultilevel"/>
    <w:lvl w:ilvl="0">
      <w:lvlJc w:val="left"/>
      <w:lvlText w:val="(%1)"/>
      <w:numFmt w:val="lowerLetter"/>
      <w:start w:val="9"/>
    </w:lvl>
  </w:abstractNum>
  <w:abstractNum w:abstractNumId="11">
    <w:nsid w:val="836C40E"/>
    <w:multiLevelType w:val="hybridMultilevel"/>
    <w:lvl w:ilvl="0">
      <w:lvlJc w:val="left"/>
      <w:lvlText w:val="%1"/>
      <w:numFmt w:val="upperLetter"/>
      <w:start w:val="1"/>
    </w:lvl>
    <w:lvl w:ilvl="1">
      <w:lvlJc w:val="left"/>
      <w:lvlText w:val="(%2)"/>
      <w:numFmt w:val="lowerLetter"/>
      <w:start w:val="13"/>
    </w:lvl>
  </w:abstractNum>
  <w:abstractNum w:abstractNumId="12">
    <w:nsid w:val="2901D82"/>
    <w:multiLevelType w:val="hybridMultilevel"/>
    <w:lvl w:ilvl="0">
      <w:lvlJc w:val="left"/>
      <w:lvlText w:val="(%1)"/>
      <w:numFmt w:val="upperLetter"/>
      <w:start w:val="2"/>
    </w:lvl>
    <w:lvl w:ilvl="1">
      <w:lvlJc w:val="left"/>
      <w:lvlText w:val="(%2)"/>
      <w:numFmt w:val="lowerLetter"/>
      <w:start w:val="15"/>
    </w:lvl>
  </w:abstractNum>
  <w:abstractNum w:abstractNumId="13">
    <w:nsid w:val="3A95F874"/>
    <w:multiLevelType w:val="hybridMultilevel"/>
    <w:lvl w:ilvl="0">
      <w:lvlJc w:val="left"/>
      <w:lvlText w:val="(%1)"/>
      <w:numFmt w:val="lowerLetter"/>
      <w:start w:val="16"/>
    </w:lvl>
  </w:abstractNum>
  <w:abstractNum w:abstractNumId="14">
    <w:nsid w:val="8138641"/>
    <w:multiLevelType w:val="hybridMultilevel"/>
    <w:lvl w:ilvl="0">
      <w:lvlJc w:val="left"/>
      <w:lvlText w:val="(%1)"/>
      <w:numFmt w:val="lowerLetter"/>
      <w:start w:val="22"/>
    </w:lvl>
  </w:abstractNum>
  <w:abstractNum w:abstractNumId="15">
    <w:nsid w:val="1E7FF521"/>
    <w:multiLevelType w:val="hybridMultilevel"/>
    <w:lvl w:ilvl="0">
      <w:lvlJc w:val="left"/>
      <w:lvlText w:val="(%1)"/>
      <w:numFmt w:val="lowerLetter"/>
      <w:start w:val="25"/>
    </w:lvl>
  </w:abstractNum>
  <w:abstractNum w:abstractNumId="16">
    <w:nsid w:val="7C3DBD3D"/>
    <w:multiLevelType w:val="hybridMultilevel"/>
    <w:lvl w:ilvl="0">
      <w:lvlJc w:val="left"/>
      <w:lvlText w:val="(%1)"/>
      <w:numFmt w:val="lowerLetter"/>
      <w:start w:val="27"/>
    </w:lvl>
  </w:abstractNum>
  <w:abstractNum w:abstractNumId="17">
    <w:nsid w:val="737B8DDC"/>
    <w:multiLevelType w:val="hybridMultilevel"/>
    <w:lvl w:ilvl="0">
      <w:lvlJc w:val="left"/>
      <w:lvlText w:val="%1"/>
      <w:numFmt w:val="upperLetter"/>
      <w:start w:val="1"/>
    </w:lvl>
    <w:lvl w:ilvl="1">
      <w:lvlJc w:val="left"/>
      <w:lvlText w:val="(%2)"/>
      <w:numFmt w:val="lowerLetter"/>
      <w:start w:val="31"/>
    </w:lvl>
  </w:abstractNum>
  <w:abstractNum w:abstractNumId="18">
    <w:nsid w:val="6CEAF087"/>
    <w:multiLevelType w:val="hybridMultilevel"/>
    <w:lvl w:ilvl="0">
      <w:lvlJc w:val="left"/>
      <w:lvlText w:val="(%1)"/>
      <w:numFmt w:val="upperLetter"/>
      <w:start w:val="3"/>
    </w:lvl>
    <w:lvl w:ilvl="1">
      <w:lvlJc w:val="left"/>
      <w:lvlText w:val="%2"/>
      <w:numFmt w:val="lowerLetter"/>
      <w:start w:val="1"/>
    </w:lvl>
  </w:abstractNum>
  <w:abstractNum w:abstractNumId="19">
    <w:nsid w:val="22221A70"/>
    <w:multiLevelType w:val="hybridMultilevel"/>
    <w:lvl w:ilvl="0">
      <w:lvlJc w:val="left"/>
      <w:lvlText w:val="(%1)"/>
      <w:numFmt w:val="lowerLetter"/>
      <w:start w:val="34"/>
    </w:lvl>
  </w:abstractNum>
  <w:abstractNum w:abstractNumId="20">
    <w:nsid w:val="4516DDE9"/>
    <w:multiLevelType w:val="hybridMultilevel"/>
    <w:lvl w:ilvl="0">
      <w:lvlJc w:val="left"/>
      <w:lvlText w:val="(%1)"/>
      <w:numFmt w:val="lowerLetter"/>
      <w:start w:val="37"/>
    </w:lvl>
    <w:lvl w:ilvl="1">
      <w:lvlJc w:val="left"/>
      <w:lvlText w:val="(%2)"/>
      <w:numFmt w:val="lowerRoman"/>
      <w:start w:val="1"/>
    </w:lvl>
    <w:lvl w:ilvl="2">
      <w:lvlJc w:val="left"/>
      <w:lvlText w:val="(%3)"/>
      <w:numFmt w:val="upperLetter"/>
      <w:start w:val="1"/>
    </w:lvl>
  </w:abstractNum>
  <w:abstractNum w:abstractNumId="21">
    <w:nsid w:val="3006C83E"/>
    <w:multiLevelType w:val="hybridMultilevel"/>
    <w:lvl w:ilvl="0">
      <w:lvlJc w:val="left"/>
      <w:lvlText w:val="(%1)"/>
      <w:numFmt w:val="lowerLetter"/>
      <w:start w:val="40"/>
    </w:lvl>
  </w:abstractNum>
  <w:abstractNum w:abstractNumId="22">
    <w:nsid w:val="614FD4A1"/>
    <w:multiLevelType w:val="hybridMultilevel"/>
    <w:lvl w:ilvl="0">
      <w:lvlJc w:val="left"/>
      <w:lvlText w:val="(%1)"/>
      <w:numFmt w:val="lowerLetter"/>
      <w:start w:val="43"/>
    </w:lvl>
  </w:abstractNum>
  <w:abstractNum w:abstractNumId="23">
    <w:nsid w:val="419AC241"/>
    <w:multiLevelType w:val="hybridMultilevel"/>
    <w:lvl w:ilvl="0">
      <w:lvlJc w:val="left"/>
      <w:lvlText w:val="%1."/>
      <w:numFmt w:val="decimal"/>
      <w:start w:val="7"/>
    </w:lvl>
    <w:lvl w:ilvl="1">
      <w:lvlJc w:val="left"/>
      <w:lvlText w:val="(%2)"/>
      <w:numFmt w:val="lowerLetter"/>
      <w:start w:val="1"/>
    </w:lvl>
  </w:abstractNum>
  <w:abstractNum w:abstractNumId="24">
    <w:nsid w:val="5577F8E1"/>
    <w:multiLevelType w:val="hybridMultilevel"/>
    <w:lvl w:ilvl="0">
      <w:lvlJc w:val="left"/>
      <w:lvlText w:val="(%1)"/>
      <w:numFmt w:val="lowerLetter"/>
      <w:start w:val="3"/>
    </w:lvl>
  </w:abstractNum>
  <w:abstractNum w:abstractNumId="25">
    <w:nsid w:val="440BADFC"/>
    <w:multiLevelType w:val="hybridMultilevel"/>
    <w:lvl w:ilvl="0">
      <w:lvlJc w:val="left"/>
      <w:lvlText w:val="(%1)"/>
      <w:numFmt w:val="lowerLetter"/>
      <w:start w:val="6"/>
    </w:lvl>
  </w:abstractNum>
  <w:abstractNum w:abstractNumId="26">
    <w:nsid w:val="5072367"/>
    <w:multiLevelType w:val="hybridMultilevel"/>
    <w:lvl w:ilvl="0">
      <w:lvlJc w:val="left"/>
      <w:lvlText w:val="(%1)"/>
      <w:numFmt w:val="lowerLetter"/>
      <w:start w:val="9"/>
    </w:lvl>
    <w:lvl w:ilvl="1">
      <w:lvlJc w:val="left"/>
      <w:lvlText w:val="(%2)"/>
      <w:numFmt w:val="lowerRoman"/>
      <w:start w:val="1"/>
    </w:lvl>
  </w:abstractNum>
  <w:abstractNum w:abstractNumId="27">
    <w:nsid w:val="3804823E"/>
    <w:multiLevelType w:val="hybridMultilevel"/>
    <w:lvl w:ilvl="0">
      <w:lvlJc w:val="left"/>
      <w:lvlText w:val="(%1)"/>
      <w:numFmt w:val="lowerLetter"/>
      <w:start w:val="13"/>
    </w:lvl>
  </w:abstractNum>
  <w:abstractNum w:abstractNumId="28">
    <w:nsid w:val="77465F01"/>
    <w:multiLevelType w:val="hybridMultilevel"/>
    <w:lvl w:ilvl="0">
      <w:lvlJc w:val="left"/>
      <w:lvlText w:val="%1"/>
      <w:numFmt w:val="decimal"/>
      <w:start w:val="1"/>
    </w:lvl>
    <w:lvl w:ilvl="1">
      <w:lvlJc w:val="left"/>
      <w:lvlText w:val="(%2)"/>
      <w:numFmt w:val="lowerLetter"/>
      <w:start w:val="15"/>
    </w:lvl>
  </w:abstractNum>
  <w:abstractNum w:abstractNumId="29">
    <w:nsid w:val="7724C67E"/>
    <w:multiLevelType w:val="hybridMultilevel"/>
    <w:lvl w:ilvl="0">
      <w:lvlJc w:val="left"/>
      <w:lvlText w:val="%1."/>
      <w:numFmt w:val="decimal"/>
      <w:start w:val="8"/>
    </w:lvl>
    <w:lvl w:ilvl="1">
      <w:lvlJc w:val="left"/>
      <w:lvlText w:val="%2"/>
      <w:numFmt w:val="lowerLetter"/>
      <w:start w:val="1"/>
    </w:lvl>
  </w:abstractNum>
  <w:abstractNum w:abstractNumId="30">
    <w:nsid w:val="5C482A97"/>
    <w:multiLevelType w:val="hybridMultilevel"/>
    <w:lvl w:ilvl="0">
      <w:lvlJc w:val="left"/>
      <w:lvlText w:val="%1."/>
      <w:numFmt w:val="decimal"/>
      <w:start w:val="9"/>
    </w:lvl>
    <w:lvl w:ilvl="1">
      <w:lvlJc w:val="left"/>
      <w:lvlText w:val="(%2)"/>
      <w:numFmt w:val="lowerLetter"/>
      <w:start w:val="1"/>
    </w:lvl>
  </w:abstractNum>
  <w:abstractNum w:abstractNumId="31">
    <w:nsid w:val="2463B9EA"/>
    <w:multiLevelType w:val="hybridMultilevel"/>
    <w:lvl w:ilvl="0">
      <w:lvlJc w:val="left"/>
      <w:lvlText w:val="(%1)"/>
      <w:numFmt w:val="lowerLetter"/>
      <w:start w:val="3"/>
    </w:lvl>
  </w:abstractNum>
  <w:abstractNum w:abstractNumId="32">
    <w:nsid w:val="5E884ADC"/>
    <w:multiLevelType w:val="hybridMultilevel"/>
    <w:lvl w:ilvl="0">
      <w:lvlJc w:val="left"/>
      <w:lvlText w:val="(%1)"/>
      <w:numFmt w:val="lowerLetter"/>
      <w:start w:val="9"/>
    </w:lvl>
  </w:abstractNum>
  <w:abstractNum w:abstractNumId="33">
    <w:nsid w:val="51EAD36B"/>
    <w:multiLevelType w:val="hybridMultilevel"/>
    <w:lvl w:ilvl="0">
      <w:lvlJc w:val="left"/>
      <w:lvlText w:val="%1."/>
      <w:numFmt w:val="decimal"/>
      <w:start w:val="11"/>
    </w:lvl>
    <w:lvl w:ilvl="1">
      <w:lvlJc w:val="left"/>
      <w:lvlText w:val="(%2)"/>
      <w:numFmt w:val="lowerLetter"/>
      <w:start w:val="1"/>
    </w:lvl>
  </w:abstractNum>
  <w:abstractNum w:abstractNumId="34">
    <w:nsid w:val="2D517796"/>
    <w:multiLevelType w:val="hybridMultilevel"/>
    <w:lvl w:ilvl="0">
      <w:lvlJc w:val="left"/>
      <w:lvlText w:val="(%1)"/>
      <w:numFmt w:val="lowerLetter"/>
      <w:start w:val="4"/>
    </w:lvl>
  </w:abstractNum>
  <w:abstractNum w:abstractNumId="35">
    <w:nsid w:val="580BD78F"/>
    <w:multiLevelType w:val="hybridMultilevel"/>
    <w:lvl w:ilvl="0">
      <w:lvlJc w:val="left"/>
      <w:lvlText w:val="%1"/>
      <w:numFmt w:val="lowerRoman"/>
      <w:start w:val="1"/>
    </w:lvl>
    <w:lvl w:ilvl="1">
      <w:lvlJc w:val="left"/>
      <w:lvlText w:val="%2."/>
      <w:numFmt w:val="decimal"/>
      <w:start w:val="12"/>
    </w:lvl>
    <w:lvl w:ilvl="2">
      <w:lvlJc w:val="left"/>
      <w:lvlText w:val="(%3)"/>
      <w:numFmt w:val="lowerLetter"/>
      <w:start w:val="1"/>
    </w:lvl>
  </w:abstractNum>
  <w:abstractNum w:abstractNumId="36">
    <w:nsid w:val="153EA43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37">
    <w:nsid w:val="3855585C"/>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abstractNum>
  <w:abstractNum w:abstractNumId="38">
    <w:nsid w:val="70A64E2A"/>
    <w:multiLevelType w:val="hybridMultilevel"/>
    <w:lvl w:ilvl="0">
      <w:lvlJc w:val="left"/>
      <w:lvlText w:val="(%1)"/>
      <w:numFmt w:val="lowerLetter"/>
      <w:start w:val="4"/>
    </w:lvl>
  </w:abstractNum>
  <w:abstractNum w:abstractNumId="39">
    <w:nsid w:val="6A2342EC"/>
    <w:multiLevelType w:val="hybridMultilevel"/>
    <w:lvl w:ilvl="0">
      <w:lvlJc w:val="left"/>
      <w:lvlText w:val="%1."/>
      <w:numFmt w:val="decimal"/>
      <w:start w:val="14"/>
    </w:lvl>
  </w:abstractNum>
  <w:abstractNum w:abstractNumId="40">
    <w:nsid w:val="2A487CB0"/>
    <w:multiLevelType w:val="hybridMultilevel"/>
    <w:lvl w:ilvl="0">
      <w:lvlJc w:val="left"/>
      <w:lvlText w:val="%1."/>
      <w:numFmt w:val="decimal"/>
      <w:start w:val="15"/>
    </w:lvl>
  </w:abstractNum>
  <w:abstractNum w:abstractNumId="41">
    <w:nsid w:val="1D4ED43B"/>
    <w:multiLevelType w:val="hybridMultilevel"/>
    <w:lvl w:ilvl="0">
      <w:lvlJc w:val="left"/>
      <w:lvlText w:val="%1."/>
      <w:numFmt w:val="decimal"/>
      <w:start w:val="18"/>
    </w:lvl>
  </w:abstractNum>
  <w:abstractNum w:abstractNumId="42">
    <w:nsid w:val="725A06FB"/>
    <w:multiLevelType w:val="hybridMultilevel"/>
    <w:lvl w:ilvl="0">
      <w:lvlJc w:val="left"/>
      <w:lvlText w:val="%1."/>
      <w:numFmt w:val="decimal"/>
      <w:start w:val="23"/>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2026-01-30T16:20:48Z</dcterms:created>
  <dcterms:modified xsi:type="dcterms:W3CDTF">2026-01-30T16:20:48Z</dcterms:modified>
</cp:coreProperties>
</file>