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29,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8"/>
        </w:trPr>
        <w:tc>
          <w:tcPr>
            <w:tcW w:w="4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7"/>
                <w:szCs w:val="17"/>
                <w:color w:val="auto"/>
              </w:rPr>
            </w:pP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7"/>
                <w:szCs w:val="17"/>
                <w:color w:val="auto"/>
              </w:rPr>
            </w:pPr>
          </w:p>
        </w:tc>
        <w:tc>
          <w:tcPr>
            <w:tcW w:w="4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 at an</w:t>
            </w:r>
          </w:p>
        </w:tc>
        <w:tc>
          <w:tcPr>
            <w:tcW w:w="2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exercise price of $11.50 per share, subject to adjustment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This Amendment No. 1 on Form 8-K/A (this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amends the Current Report on Form 8-K of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July 30, 2024. This Amendment No. 1 is being filed solely to: (i) include exhibits 10.1, 10.2, 10.3, 10.4 and 99.1 and (ii) add Item 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line="7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Stryten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2024, Dragonfly Energy Corp. (“</w:t>
      </w:r>
      <w:r>
        <w:rPr>
          <w:rFonts w:ascii="Times New Roman" w:cs="Times New Roman" w:eastAsia="Times New Roman" w:hAnsi="Times New Roman"/>
          <w:sz w:val="18"/>
          <w:szCs w:val="18"/>
          <w:b w:val="1"/>
          <w:bCs w:val="1"/>
          <w:color w:val="auto"/>
        </w:rPr>
        <w:t>DFE</w:t>
      </w:r>
      <w:r>
        <w:rPr>
          <w:rFonts w:ascii="Times New Roman" w:cs="Times New Roman" w:eastAsia="Times New Roman" w:hAnsi="Times New Roman"/>
          <w:sz w:val="18"/>
          <w:szCs w:val="18"/>
          <w:color w:val="auto"/>
        </w:rPr>
        <w:t>”), a wholly-owned subsidiary of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Battle Born Battery Products, LLC (“</w:t>
      </w:r>
      <w:r>
        <w:rPr>
          <w:rFonts w:ascii="Times New Roman" w:cs="Times New Roman" w:eastAsia="Times New Roman" w:hAnsi="Times New Roman"/>
          <w:sz w:val="18"/>
          <w:szCs w:val="18"/>
          <w:b w:val="1"/>
          <w:bCs w:val="1"/>
          <w:color w:val="auto"/>
        </w:rPr>
        <w:t>Battle Born LLC</w:t>
      </w:r>
      <w:r>
        <w:rPr>
          <w:rFonts w:ascii="Times New Roman" w:cs="Times New Roman" w:eastAsia="Times New Roman" w:hAnsi="Times New Roman"/>
          <w:sz w:val="18"/>
          <w:szCs w:val="18"/>
          <w:color w:val="auto"/>
        </w:rPr>
        <w:t>”), a newly formed wholly-owned subsidiary of DFE, entered into a License Agreement (the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Stryten Energy LLC (“</w:t>
      </w:r>
      <w:r>
        <w:rPr>
          <w:rFonts w:ascii="Times New Roman" w:cs="Times New Roman" w:eastAsia="Times New Roman" w:hAnsi="Times New Roman"/>
          <w:sz w:val="18"/>
          <w:szCs w:val="18"/>
          <w:b w:val="1"/>
          <w:bCs w:val="1"/>
          <w:color w:val="auto"/>
        </w:rPr>
        <w:t>Stryten</w:t>
      </w:r>
      <w:r>
        <w:rPr>
          <w:rFonts w:ascii="Times New Roman" w:cs="Times New Roman" w:eastAsia="Times New Roman" w:hAnsi="Times New Roman"/>
          <w:sz w:val="18"/>
          <w:szCs w:val="18"/>
          <w:color w:val="auto"/>
        </w:rPr>
        <w:t>”). Pursuant to the License Agreement, Battle Born LLC granted Stryten an exclusive, worldwide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use certain trademarks relating to the Company’s lithium-ion battery brand, Battle Born Batteries® (the “</w:t>
      </w:r>
      <w:r>
        <w:rPr>
          <w:rFonts w:ascii="Times New Roman" w:cs="Times New Roman" w:eastAsia="Times New Roman" w:hAnsi="Times New Roman"/>
          <w:sz w:val="18"/>
          <w:szCs w:val="18"/>
          <w:b w:val="1"/>
          <w:bCs w:val="1"/>
          <w:color w:val="auto"/>
        </w:rPr>
        <w:t>Licensed Trademarks</w:t>
      </w:r>
      <w:r>
        <w:rPr>
          <w:rFonts w:ascii="Times New Roman" w:cs="Times New Roman" w:eastAsia="Times New Roman" w:hAnsi="Times New Roman"/>
          <w:sz w:val="18"/>
          <w:szCs w:val="18"/>
          <w:color w:val="auto"/>
        </w:rPr>
        <w:t>”) for business-to-business sales of batteries to customers within the following markets: (i) automative, (ii) marine, (iii) powersports, (iv) lawn and garden, (v) golf cart, and</w:t>
      </w:r>
    </w:p>
    <w:p>
      <w:pPr>
        <w:spacing w:after="0" w:line="3" w:lineRule="exact"/>
        <w:rPr>
          <w:sz w:val="20"/>
          <w:szCs w:val="20"/>
          <w:color w:val="auto"/>
        </w:rPr>
      </w:pPr>
    </w:p>
    <w:p>
      <w:pPr>
        <w:jc w:val="both"/>
        <w:ind w:firstLine="8"/>
        <w:spacing w:after="0" w:line="253" w:lineRule="auto"/>
        <w:tabs>
          <w:tab w:leader="none" w:pos="3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and defense (such industries, the “</w:t>
      </w:r>
      <w:r>
        <w:rPr>
          <w:rFonts w:ascii="Times New Roman" w:cs="Times New Roman" w:eastAsia="Times New Roman" w:hAnsi="Times New Roman"/>
          <w:sz w:val="18"/>
          <w:szCs w:val="18"/>
          <w:b w:val="1"/>
          <w:bCs w:val="1"/>
          <w:color w:val="auto"/>
        </w:rPr>
        <w:t>Stryten Market</w:t>
      </w:r>
      <w:r>
        <w:rPr>
          <w:rFonts w:ascii="Times New Roman" w:cs="Times New Roman" w:eastAsia="Times New Roman" w:hAnsi="Times New Roman"/>
          <w:sz w:val="18"/>
          <w:szCs w:val="18"/>
          <w:color w:val="auto"/>
        </w:rPr>
        <w:t>”). In exchange for the licensing rights, Stryten agreed to pay Battle Born LLC an initial licensing fee of five million dollars ($5,000,000) (the “</w:t>
      </w:r>
      <w:r>
        <w:rPr>
          <w:rFonts w:ascii="Times New Roman" w:cs="Times New Roman" w:eastAsia="Times New Roman" w:hAnsi="Times New Roman"/>
          <w:sz w:val="18"/>
          <w:szCs w:val="18"/>
          <w:b w:val="1"/>
          <w:bCs w:val="1"/>
          <w:color w:val="auto"/>
        </w:rPr>
        <w:t>Initial Licensing Fee</w:t>
      </w:r>
      <w:r>
        <w:rPr>
          <w:rFonts w:ascii="Times New Roman" w:cs="Times New Roman" w:eastAsia="Times New Roman" w:hAnsi="Times New Roman"/>
          <w:sz w:val="18"/>
          <w:szCs w:val="18"/>
          <w:color w:val="auto"/>
        </w:rPr>
        <w:t>”). 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License Agreement also contains customary representations, warranties and covenants, as well as customary provisions relating to indemnification, confidentiality and other matters.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Prior to and in connection with the License Agreement, on July 29, 2024, pursuant to a trademark transfer and license back agreement (the “</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 Agreement</w:t>
      </w:r>
      <w:r>
        <w:rPr>
          <w:rFonts w:ascii="Times New Roman" w:cs="Times New Roman" w:eastAsia="Times New Roman" w:hAnsi="Times New Roman"/>
          <w:sz w:val="18"/>
          <w:szCs w:val="18"/>
          <w:color w:val="auto"/>
        </w:rPr>
        <w:t>”), DFE transferred all of its intellectual property rights in the Licensed Trademarks to Battle Born LLC and DFE licensed back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Battle Born LLC all rights in and to the Licensed Trademarks worldwide outside of the Stryten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Agreement Limited Waiver and Second Amendment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License Agreement, on July 29, 2024, the Company, DFE and Battle Born LLC entered into a Limited Waiver, Consent and Second Amendment to Term Loan, Guarantee and Security Agreement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with the lenders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under the Company’s Term Loan, Guarantee and Security Agreement, dated as of October 7, 2022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and Alter Domus (US) LLC, as the agent to the Lenders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Amendment, the Lenders (i) consented to the transactions contemplated by the License Agreement and the Trademark Transfer Agreement and (ii) agreed to waive the mandatory prepayment under the Loan Agreement that would have been due to the Lenders under the Loan Agreement upon Battle Born LLC’s receipt of the Initial Licensing Fee.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connection with the Amendment, Battle Born LLC entered into a Joinder Agreement with the Lenders (the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whereby Battle Born LLC became a guarantor and credit party to the Loan Agreement.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License Agreement, the Trademark Transfer Agreement, the Amendment and the Joinder are qualified in their entirety by reference to the full texts of the License Agreement, Trademark Transfer Agreement, the Amendment and the Joinder, copies of which are filed herewith as Exhibit 10.1, 10.2, 10.3 and 10.4, respectively, to this Current Report on Form 8-K/A and are incorporated by reference herein.</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July 30, 2024, the Company issued a press release announcing the License Agreement. A copy of the press release is attached as Exhibit 99.1 hereto and is hereby incorporated by reference herein.</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in this Current Report on Form 8-K under Item 7.01, including the information contained in Exhibit 99.1, is being furnished to the SEC, and shall not be deemed to be “filed” for the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ind w:left="780" w:right="20" w:hanging="768"/>
        <w:spacing w:after="0" w:line="261" w:lineRule="auto"/>
        <w:tabs>
          <w:tab w:leader="none" w:pos="760" w:val="left"/>
        </w:tabs>
        <w:rPr>
          <w:sz w:val="20"/>
          <w:szCs w:val="20"/>
          <w:color w:val="auto"/>
        </w:rPr>
      </w:pPr>
      <w:r>
        <w:rPr>
          <w:rFonts w:ascii="Times New Roman" w:cs="Times New Roman" w:eastAsia="Times New Roman" w:hAnsi="Times New Roman"/>
          <w:sz w:val="18"/>
          <w:szCs w:val="18"/>
          <w:color w:val="auto"/>
        </w:rPr>
        <w:t>10.1# +</w:t>
      </w:r>
      <w:r>
        <w:rPr>
          <w:sz w:val="20"/>
          <w:szCs w:val="20"/>
          <w:color w:val="auto"/>
        </w:rPr>
        <w:tab/>
      </w:r>
      <w:r>
        <w:rPr>
          <w:rFonts w:ascii="Times New Roman" w:cs="Times New Roman" w:eastAsia="Times New Roman" w:hAnsi="Times New Roman"/>
          <w:sz w:val="18"/>
          <w:szCs w:val="18"/>
          <w:u w:val="single" w:color="auto"/>
          <w:color w:val="0000EE"/>
        </w:rPr>
        <w:t>Trademark License Agreement, by and among Dragonfly Energy Corp., Battle Born Battery Products, LLC, and Stryten Energy LLC, dated as of July 29, 2024.</w:t>
      </w:r>
    </w:p>
    <w:p>
      <w:pPr>
        <w:jc w:val="both"/>
        <w:ind w:left="780" w:hanging="768"/>
        <w:spacing w:after="0" w:line="250" w:lineRule="auto"/>
        <w:tabs>
          <w:tab w:leader="none" w:pos="7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Trademark Transfer and License-Back Agreement, by and between Dragonfly Energy Corp. and Battle Born Battery Products, LLC, dated as of July 29, 2024.</w:t>
      </w:r>
    </w:p>
    <w:p>
      <w:pPr>
        <w:spacing w:after="0" w:line="1" w:lineRule="exact"/>
        <w:rPr>
          <w:sz w:val="20"/>
          <w:szCs w:val="20"/>
          <w:color w:val="auto"/>
        </w:rPr>
      </w:pPr>
    </w:p>
    <w:p>
      <w:pPr>
        <w:jc w:val="both"/>
        <w:ind w:left="780" w:hanging="768"/>
        <w:spacing w:after="0" w:line="250" w:lineRule="auto"/>
        <w:tabs>
          <w:tab w:leader="none" w:pos="7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Limited Waiver, Consent and Second Amendment to Term Loan, Guarantee and Security Agreement, dated as of July 29, 2024, by and among Dragonfly Energy Corp., Dragonfly Energy Holdings Corp., Battle Born Battery Products, LLC, the lenders from time-to-time party thereto and Alter Domus (US) LLC.</w:t>
      </w:r>
    </w:p>
    <w:p>
      <w:pPr>
        <w:spacing w:after="0" w:line="1" w:lineRule="exact"/>
        <w:rPr>
          <w:sz w:val="20"/>
          <w:szCs w:val="20"/>
          <w:color w:val="auto"/>
        </w:rPr>
      </w:pPr>
    </w:p>
    <w:p>
      <w:pPr>
        <w:jc w:val="both"/>
        <w:ind w:left="780" w:hanging="768"/>
        <w:spacing w:after="0" w:line="250" w:lineRule="auto"/>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0000EE"/>
        </w:rPr>
        <w:t>Joinder Agreement, by Battle Born Battery Products, LLC and acknowledged by Dragonfly Energy Corp., and Dragonfly Energy Holdings Corp., dated as of July 29, 2024.</w:t>
      </w:r>
    </w:p>
    <w:p>
      <w:pPr>
        <w:spacing w:after="0" w:line="1" w:lineRule="exact"/>
        <w:rPr>
          <w:sz w:val="20"/>
          <w:szCs w:val="20"/>
          <w:color w:val="auto"/>
        </w:rPr>
      </w:pPr>
    </w:p>
    <w:p>
      <w:pPr>
        <w:jc w:val="both"/>
        <w:ind w:left="780" w:right="20" w:hanging="768"/>
        <w:spacing w:after="0" w:line="250" w:lineRule="auto"/>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“Dragonfly Energy Enters into $30M Licensing Agreement for Battle Born Batteries Brand with Stryten Energy, a Leading North American Battery Manufacturer,” dated July 30, 2024.</w:t>
      </w:r>
    </w:p>
    <w:p>
      <w:pPr>
        <w:spacing w:after="0" w:line="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909" w:orient="portrait"/>
          <w:cols w:equalWidth="0" w:num="1">
            <w:col w:w="11240"/>
          </w:cols>
          <w:pgMar w:left="320" w:top="684" w:right="339" w:bottom="0" w:gutter="0" w:footer="0" w:header="0"/>
        </w:sectPr>
      </w:pPr>
    </w:p>
    <w:bookmarkStart w:id="3" w:name="page4"/>
    <w:bookmarkEnd w:id="3"/>
    <w:p>
      <w:pPr>
        <w:ind w:left="772" w:right="20" w:hanging="772"/>
        <w:spacing w:after="0" w:line="261" w:lineRule="auto"/>
        <w:tabs>
          <w:tab w:leader="none" w:pos="7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these exhibits have been omitted pursuant to Regulation S-K Item 601(a)(5) promulgated under the Exchange Act. The Registrant agrees to furnish supplementally a copy of any omitted schedules and or exhibits to the SEC upon request.</w:t>
      </w:r>
    </w:p>
    <w:p>
      <w:pPr>
        <w:jc w:val="both"/>
        <w:ind w:left="772" w:hanging="772"/>
        <w:spacing w:after="0" w:line="255" w:lineRule="auto"/>
        <w:tabs>
          <w:tab w:leader="none" w:pos="7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pursuant to Regulation S-K Item 601(b)(10)(iv) promulgated under the Exchange Act, marked by brackets, have been omitted because the omitted information (i) is not material and (ii) the Registrant customarily and actually treats such information as private or confidential. The Registrant agrees to furnish supplementally a copy of any omitted information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DRAGONFLY ENERGY HOLDINGS CORP.</w:t>
            </w:r>
          </w:p>
        </w:tc>
      </w:tr>
      <w:tr>
        <w:trPr>
          <w:trHeight w:val="43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3600" w:type="dxa"/>
            <w:vAlign w:val="bottom"/>
          </w:tcPr>
          <w:p>
            <w:pPr>
              <w:spacing w:after="0"/>
              <w:rPr>
                <w:sz w:val="17"/>
                <w:szCs w:val="17"/>
                <w:color w:val="auto"/>
              </w:rPr>
            </w:pPr>
          </w:p>
        </w:tc>
        <w:tc>
          <w:tcPr>
            <w:tcW w:w="2600" w:type="dxa"/>
            <w:vAlign w:val="bottom"/>
          </w:tcPr>
          <w:p>
            <w:pPr>
              <w:ind w:left="20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0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interim  Chief  Financial</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439"/>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 License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Trademark License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July 29,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by and between Battle Born Battery Products, LLC, a Nevada limited liability company with offices located at 1190 Trademark Drive, Suite 108, Reno, Nevada 89521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Dragonfly Energy Corp., a Nevada corporation (“</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and STRYTEN ENERGY LLC, a Delaware limited liability company having an address at 5925 Cabot Parkway, Alpharetta, Georgia 30005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Licensor is the owner of/has the right to license the Licensed Mark (as defined below);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Licensee wishes to use the Licensed Mark in connection with the Licensed Products (as defined below) in the Licensee’s Markets (as defined below) and Licensor is willing to grant to Licensee a license to use the Licensed Mark on the terms and conditions set out in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terms, and conditions set forth herein, and for other good and valuable consideration, the receipt and sufficiency of which are hereby acknowledged, the Parties hereby agree as follows: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have the following meanings:</w:t>
      </w:r>
    </w:p>
    <w:p>
      <w:pPr>
        <w:spacing w:after="0" w:line="221" w:lineRule="exact"/>
        <w:rPr>
          <w:sz w:val="20"/>
          <w:szCs w:val="20"/>
          <w:color w:val="auto"/>
        </w:rPr>
      </w:pPr>
    </w:p>
    <w:p>
      <w:pPr>
        <w:jc w:val="both"/>
        <w:ind w:left="3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jc w:val="both"/>
        <w:ind w:left="3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Brand Manual/Use Guidelines</w:t>
      </w:r>
      <w:r>
        <w:rPr>
          <w:rFonts w:ascii="Times New Roman" w:cs="Times New Roman" w:eastAsia="Times New Roman" w:hAnsi="Times New Roman"/>
          <w:sz w:val="18"/>
          <w:szCs w:val="18"/>
          <w:color w:val="auto"/>
        </w:rPr>
        <w:t>” means Licensor’s guidelines for the form and manner in which the Licensed Mark may be used under this Agreement, a copy of which is attached to this Agreement as Exhibit B, including any amendments or updates to them as the Parties may agree to in writing from time to time.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has the meaning set forth in Section 12.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set forth in Section 14.1.</w:t>
      </w:r>
    </w:p>
    <w:p>
      <w:pPr>
        <w:spacing w:after="0" w:line="225" w:lineRule="exact"/>
        <w:rPr>
          <w:sz w:val="20"/>
          <w:szCs w:val="20"/>
          <w:color w:val="auto"/>
        </w:rPr>
      </w:pPr>
    </w:p>
    <w:p>
      <w:pPr>
        <w:jc w:val="both"/>
        <w:ind w:left="3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statute, law, ordinance, regulation, rule, code, order, constitution, treaty, common law, judgment, award, decree, other requirement, or rule of law of any federal, state, local, or foreign government, or political subdivision thereof, or any arbitrator, court, or tribunal of competent jurisdiction.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Mark</w:t>
      </w:r>
      <w:r>
        <w:rPr>
          <w:rFonts w:ascii="Times New Roman" w:cs="Times New Roman" w:eastAsia="Times New Roman" w:hAnsi="Times New Roman"/>
          <w:sz w:val="18"/>
          <w:szCs w:val="18"/>
          <w:color w:val="auto"/>
        </w:rPr>
        <w:t>” means the trademarks and service marks owned by Licensor that consist of or include the wording BATTLE BORN (or variations thereof), whether registered or unregistered, including the marks set forth on Schedule 1, whether registered or unregistered, along with any iterations or variants thereof owned by Licensor (including, for the avoidance of doubt, any applications filed pursuant to Section 4.3(f) or registrations resulting therefrom).</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means batteries, and any other products that Licensor and Licensee may agree on in writing from time to time, for manufacture, advertising, marketing, distribution, and sale under the Licensed Mark.</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“Licensee’s Markets</w:t>
      </w:r>
      <w:r>
        <w:rPr>
          <w:rFonts w:ascii="Times New Roman" w:cs="Times New Roman" w:eastAsia="Times New Roman" w:hAnsi="Times New Roman"/>
          <w:sz w:val="18"/>
          <w:szCs w:val="18"/>
          <w:color w:val="auto"/>
        </w:rPr>
        <w:t>” means the markets identified on Schedule 2, as may be expanded from time to time in accordance with Section 2.4.</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means losses, damages, liabilities, deficiencies, claims, actions, judgments, settlements, interest, awards, penalties, fines, costs, or expenses of whatever kind, including reasonable attorneys’ fees and the cost of enforcing any right to indemnification hereunder and the cost of pursuing any insurance providers.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Payment</w:t>
      </w:r>
      <w:r>
        <w:rPr>
          <w:rFonts w:ascii="Times New Roman" w:cs="Times New Roman" w:eastAsia="Times New Roman" w:hAnsi="Times New Roman"/>
          <w:sz w:val="18"/>
          <w:szCs w:val="18"/>
          <w:color w:val="auto"/>
        </w:rPr>
        <w:t>” has the meaning set forth in Section 10.2.</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 Price</w:t>
      </w:r>
      <w:r>
        <w:rPr>
          <w:rFonts w:ascii="Times New Roman" w:cs="Times New Roman" w:eastAsia="Times New Roman" w:hAnsi="Times New Roman"/>
          <w:sz w:val="18"/>
          <w:szCs w:val="18"/>
          <w:color w:val="auto"/>
        </w:rPr>
        <w:t xml:space="preserve">” means the gross invoiced price for each sale of a Licensed Product by Licensee, less any costs of packing, insurance, transport, delivery, rebates (or pre- bates), returns, trade discounts, sales taxes, value added taxes, freight, and duty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where the Licensed Products are: (a) sold by Licensee other than in an arm’s length transaction, or (b) sold by Licensee to any Affiliate of Licensee, the Net Sales Price of each such Licensed Product will be deemed to be the Net Sales Price which would have been obtained for such Licensed Product in an arm’s length transaction with a customer not an Affiliate of Licensee.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joint venture, limited liability company, governmental authority, unincorporated organization, trust, association, or other entity.</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Period</w:t>
      </w:r>
      <w:r>
        <w:rPr>
          <w:rFonts w:ascii="Times New Roman" w:cs="Times New Roman" w:eastAsia="Times New Roman" w:hAnsi="Times New Roman"/>
          <w:sz w:val="18"/>
          <w:szCs w:val="18"/>
          <w:color w:val="auto"/>
        </w:rPr>
        <w:t>” means each three-month period commencing on the 1st of January, the 1st of April, the 1st of July, and the 1st of October of each calendar year.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any Person, all officers, directors, stockholders, managers, managing directors, managing members, members, principals, employees, attorneys, agents, trustees, financial advisors, restructuring advisors, accountants, investment bankers, consultants, managed accounts, managed funds and other representatives of such Person.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Specs</w:t>
      </w:r>
      <w:r>
        <w:rPr>
          <w:rFonts w:ascii="Times New Roman" w:cs="Times New Roman" w:eastAsia="Times New Roman" w:hAnsi="Times New Roman"/>
          <w:sz w:val="18"/>
          <w:szCs w:val="18"/>
          <w:color w:val="auto"/>
        </w:rPr>
        <w:t>” means the written technical specifications to which each Licensed Product must conform that shall be mutually agreed upon by Licensor and Licensee in good faith.</w:t>
      </w:r>
    </w:p>
    <w:p>
      <w:pPr>
        <w:spacing w:after="0" w:line="15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4" w:right="339" w:bottom="1440" w:gutter="0" w:footer="0" w:header="0"/>
        </w:sectPr>
      </w:pPr>
    </w:p>
    <w:bookmarkStart w:id="7" w:name="page8"/>
    <w:bookmarkEnd w:id="7"/>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forth in Section 15.1.</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worldwide.</w:t>
      </w:r>
    </w:p>
    <w:p>
      <w:pPr>
        <w:spacing w:after="0" w:line="225" w:lineRule="exact"/>
        <w:rPr>
          <w:sz w:val="20"/>
          <w:szCs w:val="20"/>
          <w:color w:val="auto"/>
        </w:rPr>
      </w:pPr>
    </w:p>
    <w:p>
      <w:pPr>
        <w:jc w:val="both"/>
        <w:ind w:left="8"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and License-Back Agreement</w:t>
      </w:r>
      <w:r>
        <w:rPr>
          <w:rFonts w:ascii="Times New Roman" w:cs="Times New Roman" w:eastAsia="Times New Roman" w:hAnsi="Times New Roman"/>
          <w:sz w:val="18"/>
          <w:szCs w:val="18"/>
          <w:color w:val="auto"/>
        </w:rPr>
        <w:t>” means the Trademark Transfer and License-Back Agreement between Dragonfly and Licensor dated as of July 29, 2024 transferring ownership of the Licensed Mark to Licensor and licensing certain rights back to Dragonfly outside the Licensee’s Market.</w:t>
      </w:r>
    </w:p>
    <w:p>
      <w:pPr>
        <w:spacing w:after="0" w:line="175" w:lineRule="exact"/>
        <w:rPr>
          <w:sz w:val="20"/>
          <w:szCs w:val="20"/>
          <w:color w:val="auto"/>
        </w:rPr>
      </w:pPr>
    </w:p>
    <w:p>
      <w:pPr>
        <w:ind w:left="188" w:hanging="188"/>
        <w:spacing w:after="0"/>
        <w:tabs>
          <w:tab w:leader="none" w:pos="1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Grant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2.1 Subject to this Agreement’s terms and conditions, Licensor hereby grants to Licensee during the Term an exclusive (including as to Licensor), irrevocable and perpetual (unless terminated in accordance with Section 15), non-transferable (except as provided in Section 18), sublicensable (pursuant to Section 17), license to use the Licensed Mark in the Territory in Licensee’s Markets, which markets may be subject to expansion in accordance with, and subject to the terms of, Section 2.4.</w:t>
      </w:r>
    </w:p>
    <w:p>
      <w:pPr>
        <w:spacing w:after="0" w:line="180"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Licensor’s Express Reservation of Rights</w:t>
      </w:r>
      <w:r>
        <w:rPr>
          <w:rFonts w:ascii="Times New Roman" w:cs="Times New Roman" w:eastAsia="Times New Roman" w:hAnsi="Times New Roman"/>
          <w:sz w:val="18"/>
          <w:szCs w:val="18"/>
          <w:color w:val="auto"/>
        </w:rPr>
        <w:t>. Licensor hereby reserves all rights not expressly granted to Licensee under this Agreement. Without limiting the foregoing, all rights granted to Licensee under this Agreement are subject to Licensor’s and its Affiliates’ reserved right to use the Licensed Mark in their respective businesses outside the Licensee’s Markets.</w:t>
      </w:r>
    </w:p>
    <w:p>
      <w:pPr>
        <w:spacing w:after="0" w:line="17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Market Restrictions</w:t>
      </w:r>
      <w:r>
        <w:rPr>
          <w:rFonts w:ascii="Times New Roman" w:cs="Times New Roman" w:eastAsia="Times New Roman" w:hAnsi="Times New Roman"/>
          <w:sz w:val="18"/>
          <w:szCs w:val="18"/>
          <w:color w:val="auto"/>
        </w:rPr>
        <w:t>. Licensee shall not: (a) conduct advertising of Licensed Products targeted to any industry outside Licensee’s Markets; or</w:t>
      </w:r>
    </w:p>
    <w:p>
      <w:pPr>
        <w:spacing w:after="0" w:line="27" w:lineRule="exact"/>
        <w:rPr>
          <w:sz w:val="20"/>
          <w:szCs w:val="20"/>
          <w:color w:val="auto"/>
        </w:rPr>
      </w:pPr>
    </w:p>
    <w:p>
      <w:pPr>
        <w:jc w:val="both"/>
        <w:ind w:left="8" w:hanging="8"/>
        <w:spacing w:after="0" w:line="255"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purposefully seek orders for Licensed Products from outside Licensee’s Market. Licensee’s rights in respect of the Licensed Mark will apply to all existing branded business-to-business (“</w:t>
      </w:r>
      <w:r>
        <w:rPr>
          <w:rFonts w:ascii="Times New Roman" w:cs="Times New Roman" w:eastAsia="Times New Roman" w:hAnsi="Times New Roman"/>
          <w:sz w:val="18"/>
          <w:szCs w:val="18"/>
          <w:b w:val="1"/>
          <w:bCs w:val="1"/>
          <w:color w:val="auto"/>
        </w:rPr>
        <w:t>B2B</w:t>
      </w:r>
      <w:r>
        <w:rPr>
          <w:rFonts w:ascii="Times New Roman" w:cs="Times New Roman" w:eastAsia="Times New Roman" w:hAnsi="Times New Roman"/>
          <w:sz w:val="18"/>
          <w:szCs w:val="18"/>
          <w:color w:val="auto"/>
        </w:rPr>
        <w:t>”) customers (which are sales other than direct sales to consumers on consumer products) and all other B2B customers in Licensee’s Markets.</w:t>
      </w:r>
    </w:p>
    <w:p>
      <w:pPr>
        <w:spacing w:after="0" w:line="186" w:lineRule="exact"/>
        <w:rPr>
          <w:sz w:val="20"/>
          <w:szCs w:val="20"/>
          <w:color w:val="auto"/>
        </w:rPr>
      </w:pPr>
    </w:p>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Market Expansion</w:t>
      </w:r>
      <w:r>
        <w:rPr>
          <w:rFonts w:ascii="Times New Roman" w:cs="Times New Roman" w:eastAsia="Times New Roman" w:hAnsi="Times New Roman"/>
          <w:sz w:val="18"/>
          <w:szCs w:val="18"/>
          <w:color w:val="auto"/>
        </w:rPr>
        <w:t>. The scope of the license granted to Licensee under this Agreement may be extended to cover additional markets (i.e., other than those in Section A of Schedule 1) by mutual written agreement of the Licensor and Licensee, which consent may not be unreasonably withheld, conditioned or delayed. Licensor and Dragonfly hereby agree to amend the Transfer and License-Back Agreement (and any permitted sublicenses granted thereunder) to reflect any expansion of Licensee’s Market agreed to by Licensee and Licensor pursuant to this Section 2.4.</w:t>
      </w:r>
    </w:p>
    <w:p>
      <w:pPr>
        <w:spacing w:after="0" w:line="18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Business Names and Domain Names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8" w:firstLine="320"/>
        <w:spacing w:after="0" w:line="258" w:lineRule="auto"/>
        <w:tabs>
          <w:tab w:leader="none" w:pos="8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not use the Licensed Mark (or any mark confusingly similar thereto), individually or in combination, as part of its corporate or trade name without Licensor’s prior written consent. Prior to adopting any domain name containing the Licensed Mark (or any mark confusingly similar thereto), Licensee shall seek approval from both Licensor and Dragonfly (such approval not to be unreasonably withheld, conditioned, or delayed) for the purpose of allowing the Parties to evaluate the potential risk of consumer confusion arising from the use thereof, and the Parties agree to cooperate in good faith to take reasonable steps to reduce any such risk.</w:t>
      </w:r>
    </w:p>
    <w:p>
      <w:pPr>
        <w:spacing w:after="0" w:line="1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sectPr>
      </w:pPr>
    </w:p>
    <w:bookmarkStart w:id="8" w:name="page9"/>
    <w:bookmarkEnd w:id="8"/>
    <w:p>
      <w:pPr>
        <w:jc w:val="both"/>
        <w:ind w:left="328" w:firstLine="320"/>
        <w:spacing w:after="0" w:line="254" w:lineRule="auto"/>
        <w:tabs>
          <w:tab w:leader="none" w:pos="9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Licensor nor Dragonfly shall use the Licensed Mark (or any mark confusingly similar thereto), individually or in combination, as part of its corporate or trade name without Licensee’s prior written consent; provided that the Licensed Mark shall be permitted to be used by Licensor in its corporate name provided that the corporate name is not used as a trademark or service mark in commerce. Prior to adopting any domain name containing the Licensed Mark (or any mark confusingly similar thereto), Licensor and Dragonfly shall seek approval from Licensee (such approval not to be unreasonably withheld, conditioned, or delayed) for the purpose of allowing the Parties to evaluate the potential risk of consumer confusion arising from the use thereof, and the Parties agree to cooperate in good faith to take reasonable steps to reduce any such risk; provided that Licensor may continue to use the Licensed Mark in the domain name “www.battlebornbatteries.com” solely in the Licensor’s Reserved Markets set forth in Section B of Schedule 2.</w:t>
      </w:r>
    </w:p>
    <w:p>
      <w:pPr>
        <w:spacing w:after="0" w:line="191"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the Licensed Mark.</w:t>
      </w:r>
    </w:p>
    <w:p>
      <w:pPr>
        <w:spacing w:after="0" w:line="225" w:lineRule="exact"/>
        <w:rPr>
          <w:sz w:val="20"/>
          <w:szCs w:val="20"/>
          <w:color w:val="auto"/>
        </w:rPr>
      </w:pPr>
    </w:p>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Compliance with Licensor’s Directions</w:t>
      </w:r>
      <w:r>
        <w:rPr>
          <w:rFonts w:ascii="Times New Roman" w:cs="Times New Roman" w:eastAsia="Times New Roman" w:hAnsi="Times New Roman"/>
          <w:sz w:val="18"/>
          <w:szCs w:val="18"/>
          <w:color w:val="auto"/>
        </w:rPr>
        <w:t>. During the Term, all Licensed Products made, sold, or otherwise distributed by Licensee in the Territory in the Licensee’s Market must carry the Licensed Mark. Licensee shall comply in all material respects with the directions regarding the form and manner of the application of the Licensed Mark contained in the Brand Manual/Use Guidelines or is consented to by Licensor (such consent not to be unreasonably withheld, conditioned or delayed).</w:t>
      </w:r>
    </w:p>
    <w:p>
      <w:pPr>
        <w:spacing w:after="0" w:line="180"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Other Marks</w:t>
      </w:r>
      <w:r>
        <w:rPr>
          <w:rFonts w:ascii="Times New Roman" w:cs="Times New Roman" w:eastAsia="Times New Roman" w:hAnsi="Times New Roman"/>
          <w:sz w:val="18"/>
          <w:szCs w:val="18"/>
          <w:color w:val="auto"/>
        </w:rPr>
        <w:t>. Apart from the Licensed Mark, any other trademark, service mark, trade name, or logo affixed to, or used in connection with, the Licensed Products, may be so affixed or used provided that such affixation or use complies with the Brand Manual/Use Guidelines or is consented to by Licensor (not to be unreasonably withheld, conditioned or delayed).</w:t>
      </w:r>
    </w:p>
    <w:p>
      <w:pPr>
        <w:spacing w:after="0" w:line="176"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Trademark Notices</w:t>
      </w:r>
      <w:r>
        <w:rPr>
          <w:rFonts w:ascii="Times New Roman" w:cs="Times New Roman" w:eastAsia="Times New Roman" w:hAnsi="Times New Roman"/>
          <w:sz w:val="18"/>
          <w:szCs w:val="18"/>
          <w:color w:val="auto"/>
        </w:rPr>
        <w:t>. Licensee shall ensure that all Licensed Products sold by Licensee and all related quotations, specifications, and descriptive literature, and all other materials carrying the Licensed Mark, be marked with the appropriate trademark notices as set forth in the Brand Manual/Use Guidelines.</w:t>
      </w:r>
    </w:p>
    <w:p>
      <w:pPr>
        <w:spacing w:after="0" w:line="176" w:lineRule="exact"/>
        <w:rPr>
          <w:sz w:val="20"/>
          <w:szCs w:val="20"/>
          <w:color w:val="auto"/>
        </w:rPr>
      </w:pPr>
    </w:p>
    <w:p>
      <w:pPr>
        <w:ind w:left="188" w:hanging="188"/>
        <w:spacing w:after="0"/>
        <w:tabs>
          <w:tab w:leader="none" w:pos="1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and Registration.</w:t>
      </w:r>
    </w:p>
    <w:p>
      <w:pPr>
        <w:spacing w:after="0" w:line="225"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Acknowledgement of Ownership</w:t>
      </w:r>
      <w:r>
        <w:rPr>
          <w:rFonts w:ascii="Times New Roman" w:cs="Times New Roman" w:eastAsia="Times New Roman" w:hAnsi="Times New Roman"/>
          <w:sz w:val="18"/>
          <w:szCs w:val="18"/>
          <w:color w:val="auto"/>
        </w:rPr>
        <w:t>. Licensee acknowledges that (a) Licensor is, as of the date hereof, the owner of the Licensed Mark throughout the world and all goodwill related thereto, and (b) all use of the Licensed Mark by Licensee under this Agreement and any goodwill accruing from such use will inure solely to Licensor’s benefit. If Licensee acquires any ownership rights in the Licensed Mark, by operation of law or otherwise, except as provided in Sections 5 and 6, Licensee hereby irrevocably assigns such rights to Licensor without further action by any of the Parties.</w:t>
      </w:r>
    </w:p>
    <w:p>
      <w:pPr>
        <w:spacing w:after="0" w:line="1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Licensee Restrictions</w:t>
      </w:r>
      <w:r>
        <w:rPr>
          <w:rFonts w:ascii="Times New Roman" w:cs="Times New Roman" w:eastAsia="Times New Roman" w:hAnsi="Times New Roman"/>
          <w:sz w:val="18"/>
          <w:szCs w:val="18"/>
          <w:color w:val="auto"/>
        </w:rPr>
        <w:t>. Licensee agrees that it shall not directly or indirectly:</w:t>
      </w:r>
    </w:p>
    <w:p>
      <w:pPr>
        <w:spacing w:after="0" w:line="225" w:lineRule="exact"/>
        <w:rPr>
          <w:sz w:val="20"/>
          <w:szCs w:val="20"/>
          <w:color w:val="auto"/>
        </w:rPr>
      </w:pPr>
    </w:p>
    <w:p>
      <w:pPr>
        <w:ind w:firstLine="320"/>
        <w:spacing w:after="0" w:line="282" w:lineRule="auto"/>
        <w:tabs>
          <w:tab w:leader="none" w:pos="5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omit to take, or permit any action which will dilute the Licensed Mark or tarnish or bring into disrepute the reputation of or goodwill associated with the Licensed Mark, or which will invalidate or jeopardize any registration of the Licensed Mark; or</w:t>
      </w:r>
    </w:p>
    <w:p>
      <w:pPr>
        <w:spacing w:after="0" w:line="161" w:lineRule="exact"/>
        <w:rPr>
          <w:rFonts w:ascii="Times New Roman" w:cs="Times New Roman" w:eastAsia="Times New Roman" w:hAnsi="Times New Roman"/>
          <w:sz w:val="18"/>
          <w:szCs w:val="18"/>
          <w:color w:val="auto"/>
        </w:rPr>
      </w:pPr>
    </w:p>
    <w:p>
      <w:pPr>
        <w:jc w:val="both"/>
        <w:ind w:firstLine="320"/>
        <w:spacing w:after="0" w:line="266" w:lineRule="auto"/>
        <w:tabs>
          <w:tab w:leader="none" w:pos="5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or obtain, or assist any Person (other than Licensor and Dragonfly as may be required under this Agreement) in applying for or obtaining any registration of the Licensed Mark, or any trademark, service mark, trade name, or other indicia confusingly similar to the Licensed Mark without the express written consent of Licensor (except as permitted under Sections 5 and 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Maintenance of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0"/>
        <w:spacing w:after="0" w:line="266" w:lineRule="auto"/>
        <w:tabs>
          <w:tab w:leader="none" w:pos="5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shall, at its sole expense, take all reasonable steps to maintain the registrations of the Licensed Mark, including timely payment of all maintenance fees, and prosecute to registration any pending applications during the Term. Licensee shall provide, at Licensor’s request, all necessary assistance with such maintenance and prosecution. On request, Licensor shall provide to Licensee copies of receipts of renewal fees.</w:t>
      </w:r>
    </w:p>
    <w:p>
      <w:pPr>
        <w:spacing w:after="0" w:line="175" w:lineRule="exact"/>
        <w:rPr>
          <w:rFonts w:ascii="Times New Roman" w:cs="Times New Roman" w:eastAsia="Times New Roman" w:hAnsi="Times New Roman"/>
          <w:sz w:val="18"/>
          <w:szCs w:val="18"/>
          <w:color w:val="auto"/>
        </w:rPr>
      </w:pPr>
    </w:p>
    <w:p>
      <w:pPr>
        <w:jc w:val="both"/>
        <w:ind w:firstLine="320"/>
        <w:spacing w:after="0" w:line="256" w:lineRule="auto"/>
        <w:tabs>
          <w:tab w:leader="none" w:pos="6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shall (i) keep Licensee informed of all Material Developments (as defined herein) in connection with the prosecution and maintenance of any registration or application for registration of the Licensed Mark and (ii) consider Licensee’s written comments in good faith in connection with preparing any filing or response thereto. A “Material Development” means any (A) opposition or other challenge by any other Person to the ownership or validity of any Licensed Mark or any registration or application for registration thereof; (B) notice relating to the abandonment or cancellation of any registration for the Licensed Mark; (C) notice or response relating to an Office Action involving the Licensed Mark; (D) notice that any application for a Licensed Mark has become registered; or (E) request for extension of time to file Statement of Use.</w:t>
      </w:r>
    </w:p>
    <w:p>
      <w:pPr>
        <w:spacing w:after="0" w:line="187" w:lineRule="exact"/>
        <w:rPr>
          <w:rFonts w:ascii="Times New Roman" w:cs="Times New Roman" w:eastAsia="Times New Roman" w:hAnsi="Times New Roman"/>
          <w:sz w:val="18"/>
          <w:szCs w:val="18"/>
          <w:color w:val="auto"/>
        </w:rPr>
      </w:pPr>
    </w:p>
    <w:p>
      <w:pPr>
        <w:jc w:val="both"/>
        <w:ind w:firstLine="320"/>
        <w:spacing w:after="0" w:line="266" w:lineRule="auto"/>
        <w:tabs>
          <w:tab w:leader="none" w:pos="5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Licensor nor Dragonfly shall knowingly take, omit to take, or permit any action which will dilute the Licensed Mark or tarnish or bring into disrepute the reputation of or goodwill associated with the Licensed Mark, or which will invalidate or jeopardize any registration of the Licensed Mark.</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 w:name="page11"/>
    <w:bookmarkEnd w:id="10"/>
    <w:p>
      <w:pPr>
        <w:jc w:val="both"/>
        <w:ind w:left="328" w:firstLine="320"/>
        <w:spacing w:after="0" w:line="258" w:lineRule="auto"/>
        <w:tabs>
          <w:tab w:leader="none" w:pos="9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wherein a registration of a Licensed Mark or an application to register a Licensed Mark is subject to a cancellation action, an opposition action, an Office action rejecting the subject application or renewal application, potential non- renewal or abandonment of the subject application or registration due to inability to fulfill trademark office renewal requirements or application requirements, or a third- party challenge to the subject registration or application, and Licensor has already taken all reasonable steps to maintain the subject registration or prosecute the subject application (as required pursuant to Section 4.3(a)):</w:t>
      </w:r>
    </w:p>
    <w:p>
      <w:pPr>
        <w:spacing w:after="0" w:line="183" w:lineRule="exact"/>
        <w:rPr>
          <w:rFonts w:ascii="Times New Roman" w:cs="Times New Roman" w:eastAsia="Times New Roman" w:hAnsi="Times New Roman"/>
          <w:sz w:val="18"/>
          <w:szCs w:val="18"/>
          <w:color w:val="auto"/>
        </w:rPr>
      </w:pPr>
    </w:p>
    <w:p>
      <w:pPr>
        <w:jc w:val="both"/>
        <w:ind w:left="648" w:firstLine="648"/>
        <w:spacing w:after="0" w:line="266" w:lineRule="auto"/>
        <w:tabs>
          <w:tab w:leader="none" w:pos="151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sixty (60) days prior to the date upon which the applicable action must be taken in order to maintain such Licensed Mark, Licensor shall inform Licensee of the circumstances and provide Licensee written notice explaining in reasonable detail why Licensor has determined that all reasonable steps to maintain such Licensed Mark have already been taken;</w:t>
      </w:r>
    </w:p>
    <w:p>
      <w:pPr>
        <w:spacing w:after="0" w:line="175" w:lineRule="exact"/>
        <w:rPr>
          <w:rFonts w:ascii="Times New Roman" w:cs="Times New Roman" w:eastAsia="Times New Roman" w:hAnsi="Times New Roman"/>
          <w:sz w:val="18"/>
          <w:szCs w:val="18"/>
          <w:color w:val="auto"/>
        </w:rPr>
      </w:pPr>
    </w:p>
    <w:p>
      <w:pPr>
        <w:jc w:val="both"/>
        <w:ind w:left="648" w:firstLine="648"/>
        <w:spacing w:after="0" w:line="266" w:lineRule="auto"/>
        <w:tabs>
          <w:tab w:leader="none" w:pos="15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have the right, but not obligation, to direct Licensor to bring or take any such additional action as Licensee may reasonably determine in good faith to be necessary to the effort to overcome such cancellation, opposition, rejection, non-renewal, abandonment, or third-party challenge or otherwise maintain the Licensed Mark, all at the sole cost and expense of Licensor; and</w:t>
      </w:r>
    </w:p>
    <w:p>
      <w:pPr>
        <w:spacing w:after="0" w:line="175" w:lineRule="exact"/>
        <w:rPr>
          <w:rFonts w:ascii="Times New Roman" w:cs="Times New Roman" w:eastAsia="Times New Roman" w:hAnsi="Times New Roman"/>
          <w:sz w:val="18"/>
          <w:szCs w:val="18"/>
          <w:color w:val="auto"/>
        </w:rPr>
      </w:pPr>
    </w:p>
    <w:p>
      <w:pPr>
        <w:jc w:val="both"/>
        <w:ind w:left="648" w:firstLine="648"/>
        <w:spacing w:after="0" w:line="261" w:lineRule="auto"/>
        <w:tabs>
          <w:tab w:leader="none" w:pos="16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shall promptly (and in any event within sufficient time to ensure such Licensed Mark does not become abandoned or fail to meet any prosecution and/or maintenance deadlines therefor) provide all assistance with respect to such additional action upon request by Licensee, and promptly execute such documents and perform such acts as may be reasonable or required to aid such additional action at the request of Licensee, all at the sole cost and expense of Licensor.</w:t>
      </w:r>
    </w:p>
    <w:p>
      <w:pPr>
        <w:spacing w:after="0" w:line="179" w:lineRule="exact"/>
        <w:rPr>
          <w:rFonts w:ascii="Times New Roman" w:cs="Times New Roman" w:eastAsia="Times New Roman" w:hAnsi="Times New Roman"/>
          <w:sz w:val="18"/>
          <w:szCs w:val="18"/>
          <w:color w:val="auto"/>
        </w:rPr>
      </w:pPr>
    </w:p>
    <w:p>
      <w:pPr>
        <w:jc w:val="both"/>
        <w:ind w:left="328" w:firstLine="320"/>
        <w:spacing w:after="0" w:line="261" w:lineRule="auto"/>
        <w:tabs>
          <w:tab w:leader="none" w:pos="9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ninety (90) days prior to the date upon which a registration for the Licensed Mark is due for renewal or other maintenance, Licensee may request in writing reasonable assurance that Licensor will take timely action to maintain such Licensed Mark. In the event Licensor fails to provide reasonable assurance within ten (10) business days of Licensee’s written request, then Licensee may invoke the rights provided in Section 4.3(d)(ii)-(iii) of this Agreement.</w:t>
      </w:r>
    </w:p>
    <w:p>
      <w:pPr>
        <w:spacing w:after="0" w:line="179" w:lineRule="exact"/>
        <w:rPr>
          <w:rFonts w:ascii="Times New Roman" w:cs="Times New Roman" w:eastAsia="Times New Roman" w:hAnsi="Times New Roman"/>
          <w:sz w:val="18"/>
          <w:szCs w:val="18"/>
          <w:color w:val="auto"/>
        </w:rPr>
      </w:pPr>
    </w:p>
    <w:p>
      <w:pPr>
        <w:jc w:val="both"/>
        <w:ind w:left="328" w:firstLine="320"/>
        <w:spacing w:after="0" w:line="258" w:lineRule="auto"/>
        <w:tabs>
          <w:tab w:leader="none" w:pos="9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requests that Licensor file any application for registration of any Licensed Mark that is not registered, Licensor shall reasonably promptly make such filings in Licensor’s own name the costs of which shall be borne by Licensor; provided that if Licensor, exercising reasonable business judgment, disagrees with any such Licensee request in good faith, then Licensee shall cover the cost and expense associated with any such filing. For the avoidance of doubt, any applications filed pursuant to this Section 4.3(f) and registrations resulting therefrom shall automatically be included in the license to the Licensed Mark granted to Licensee pursuant to this Agreement.</w:t>
      </w:r>
    </w:p>
    <w:p>
      <w:pPr>
        <w:spacing w:after="0" w:line="183"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 Encumbrances</w:t>
      </w:r>
      <w:r>
        <w:rPr>
          <w:rFonts w:ascii="Times New Roman" w:cs="Times New Roman" w:eastAsia="Times New Roman" w:hAnsi="Times New Roman"/>
          <w:sz w:val="18"/>
          <w:szCs w:val="18"/>
          <w:color w:val="auto"/>
        </w:rPr>
        <w:t>. Licensee shall not grant or attempt to grant a lien or any security interest in, or otherwise similarly encumber in any manner whatsoever, the Licensed Mark or record any such security interest, lien or similar encumbrance against any application or registration for the Licensed Mark in the United States Patent and Trademark Office or elsewhere.</w:t>
      </w:r>
    </w:p>
    <w:p>
      <w:pPr>
        <w:spacing w:after="0" w:line="176" w:lineRule="exact"/>
        <w:rPr>
          <w:sz w:val="20"/>
          <w:szCs w:val="20"/>
          <w:color w:val="auto"/>
        </w:rPr>
      </w:pPr>
    </w:p>
    <w:p>
      <w:pPr>
        <w:ind w:left="188" w:hanging="188"/>
        <w:spacing w:after="0"/>
        <w:tabs>
          <w:tab w:leader="none" w:pos="1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First Refusal</w:t>
      </w:r>
      <w:r>
        <w:rPr>
          <w:rFonts w:ascii="Times New Roman" w:cs="Times New Roman" w:eastAsia="Times New Roman" w:hAnsi="Times New Roman"/>
          <w:sz w:val="18"/>
          <w:szCs w:val="18"/>
          <w:color w:val="auto"/>
        </w:rPr>
        <w:t>. The Right of First Refusal provisions attached hereto as Exhibit C are hereby incorporated as if set forth fully herein.</w:t>
      </w:r>
    </w:p>
    <w:p>
      <w:pPr>
        <w:spacing w:after="0" w:line="225" w:lineRule="exact"/>
        <w:rPr>
          <w:rFonts w:ascii="Times New Roman" w:cs="Times New Roman" w:eastAsia="Times New Roman" w:hAnsi="Times New Roman"/>
          <w:sz w:val="18"/>
          <w:szCs w:val="18"/>
          <w:color w:val="auto"/>
        </w:rPr>
      </w:pPr>
    </w:p>
    <w:p>
      <w:pPr>
        <w:ind w:left="52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1" w:name="page12"/>
    <w:bookmarkEnd w:id="11"/>
    <w:p>
      <w:pPr>
        <w:ind w:left="188" w:hanging="188"/>
        <w:spacing w:after="0"/>
        <w:tabs>
          <w:tab w:leader="none" w:pos="1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Sale.</w:t>
      </w:r>
      <w:r>
        <w:rPr>
          <w:rFonts w:ascii="Times New Roman" w:cs="Times New Roman" w:eastAsia="Times New Roman" w:hAnsi="Times New Roman"/>
          <w:sz w:val="18"/>
          <w:szCs w:val="18"/>
          <w:color w:val="auto"/>
        </w:rPr>
        <w:t xml:space="preserve"> The Rights Upon Sale provisions attached hereto as Exhibit C are hereby incorporated as if set forth fully herein.</w:t>
      </w:r>
    </w:p>
    <w:p>
      <w:pPr>
        <w:spacing w:after="0" w:line="225"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Quality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Licensee acknowledges and is familiar with the high standards, quality, style, and image of Licensor, and Licensor and Licensee at all times shall conduct their business and use the Licensed Mark in a manner consistent with these standards, quality, style, and image.</w:t>
      </w:r>
    </w:p>
    <w:p>
      <w:pPr>
        <w:spacing w:after="0" w:line="162"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Compliance with Specifications</w:t>
      </w:r>
      <w:r>
        <w:rPr>
          <w:rFonts w:ascii="Times New Roman" w:cs="Times New Roman" w:eastAsia="Times New Roman" w:hAnsi="Times New Roman"/>
          <w:sz w:val="18"/>
          <w:szCs w:val="18"/>
          <w:color w:val="auto"/>
        </w:rPr>
        <w:t>. Licensee shall comply, in all material respects, with the specifications and standards for the Licensed Products contained in the Specs, which may be revised by mutual written agreement of the Parties, including their design and manufacturer.</w:t>
      </w:r>
    </w:p>
    <w:p>
      <w:pPr>
        <w:spacing w:after="0" w:line="162"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In exercising its rights under this Agreement, each Party shall comply with all applicable Laws. Licensee shall promptly provide Licensor with copies of all communications with any governmental, regulatory, or industry authority relating to the Licensed Mark or the Licensed Products.</w:t>
      </w:r>
    </w:p>
    <w:p>
      <w:pPr>
        <w:spacing w:after="0" w:line="176" w:lineRule="exact"/>
        <w:rPr>
          <w:sz w:val="20"/>
          <w:szCs w:val="20"/>
          <w:color w:val="auto"/>
        </w:rPr>
      </w:pPr>
    </w:p>
    <w:p>
      <w:pPr>
        <w:jc w:val="both"/>
        <w:ind w:left="8" w:firstLine="324"/>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Inspection of Facilities</w:t>
      </w:r>
      <w:r>
        <w:rPr>
          <w:rFonts w:ascii="Times New Roman" w:cs="Times New Roman" w:eastAsia="Times New Roman" w:hAnsi="Times New Roman"/>
          <w:sz w:val="18"/>
          <w:szCs w:val="18"/>
          <w:color w:val="auto"/>
        </w:rPr>
        <w:t>. Upon reasonable (no less than thirty (30) days’) prior written notice and during Licensee’s normal business hours, at least once but no more than twice per calendar year or, if Licensor has reason to believe that Licensee is in breach of Section 7 of this Agreement and Licensor deems an inspection hereunder necessary in its reasonable discretion, Licensee shall permit Licensor to inspect Licensee’s facilities used for the manufacture, storage, or distribution of the Licensed Products to ensure compliance with the quality standards or any other specifications or requirements set forth in this Agreement to the extent necessary under applicable Law to maintain the validity of the Licensed Mark and protect the goodwill associated therewith.</w:t>
      </w:r>
    </w:p>
    <w:p>
      <w:pPr>
        <w:spacing w:after="0" w:line="187" w:lineRule="exact"/>
        <w:rPr>
          <w:sz w:val="20"/>
          <w:szCs w:val="20"/>
          <w:color w:val="auto"/>
        </w:rPr>
      </w:pPr>
    </w:p>
    <w:p>
      <w:pPr>
        <w:jc w:val="both"/>
        <w:ind w:left="8" w:firstLine="324"/>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Submission of Materials for Approval</w:t>
      </w:r>
      <w:r>
        <w:rPr>
          <w:rFonts w:ascii="Times New Roman" w:cs="Times New Roman" w:eastAsia="Times New Roman" w:hAnsi="Times New Roman"/>
          <w:sz w:val="18"/>
          <w:szCs w:val="18"/>
          <w:color w:val="auto"/>
        </w:rPr>
        <w:t>. Prior to any use of the Licensed Mark on a Licensed Product that has not previously been approved or is not substantially consistent with a previously approved Licensed Product and thereafter at any time following Licensor’s reasonable written request (not to exceed twice a calendar year unless Licensor has reason to believe that the Licensed Product does not meet applicable Specs and deems receipt of a production sample of the Licensed Product hereunder necessary in its reasonable discretion), Licensee shall, at its own expense, supply a representative production sample of the Licensed Product to Licensor for approval and Licensor shall grant such approval if such Licensed Product meets applicable Specs. If such sample does not meet applicable Specs and Licensor rejects such sample, it shall give written notice of such rejection (in reasonable detail to facilitate cure by Licensee) to Licensee within fourteen (14) days of Licensor’s receipt of the sample. In the absence of a written notice of rejection within fourteen (14) days of receipt of a sample, the sample will be deemed to have been approved by Licensor.</w:t>
      </w:r>
    </w:p>
    <w:p>
      <w:pPr>
        <w:spacing w:after="0" w:line="192"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Rejected, Damaged, or Defective Products</w:t>
      </w:r>
      <w:r>
        <w:rPr>
          <w:rFonts w:ascii="Times New Roman" w:cs="Times New Roman" w:eastAsia="Times New Roman" w:hAnsi="Times New Roman"/>
          <w:sz w:val="18"/>
          <w:szCs w:val="18"/>
          <w:color w:val="auto"/>
        </w:rPr>
        <w:t>. Licensee shall not knowingly sell, market, distribute, or permit any third party to sell, market or distribute, any Licensed Products that are damaged or defective.</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2" w:name="page13"/>
    <w:bookmarkEnd w:id="12"/>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Complaints</w:t>
      </w:r>
      <w:r>
        <w:rPr>
          <w:rFonts w:ascii="Times New Roman" w:cs="Times New Roman" w:eastAsia="Times New Roman" w:hAnsi="Times New Roman"/>
          <w:sz w:val="18"/>
          <w:szCs w:val="18"/>
          <w:color w:val="auto"/>
        </w:rPr>
        <w:t>. Licensee shall reasonably promptly following Licensor’s written request, provide Licensor with details of any complaints it has received relating to the Licensed Products together with reports on the manner in which such complaints are being, or have been, resolved and shall consider in good faith any reasonable directions given by Licensor concerning such complaints, in each case to the extent relating to the Licensed Mark.</w:t>
      </w:r>
    </w:p>
    <w:p>
      <w:pPr>
        <w:spacing w:after="0" w:line="180" w:lineRule="exact"/>
        <w:rPr>
          <w:sz w:val="20"/>
          <w:szCs w:val="20"/>
          <w:color w:val="auto"/>
        </w:rPr>
      </w:pPr>
    </w:p>
    <w:p>
      <w:pPr>
        <w:jc w:val="both"/>
        <w:ind w:left="8"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Subcontracting</w:t>
      </w:r>
      <w:r>
        <w:rPr>
          <w:rFonts w:ascii="Times New Roman" w:cs="Times New Roman" w:eastAsia="Times New Roman" w:hAnsi="Times New Roman"/>
          <w:sz w:val="18"/>
          <w:szCs w:val="18"/>
          <w:color w:val="auto"/>
        </w:rPr>
        <w:t>. Licensee is liable for all acts and omissions of any authorized subcontractor engaged by Licensee hereunder. Licensee will ensure that any subcontractor shall maintain quality standards in accordance with this Agreement.</w:t>
      </w:r>
    </w:p>
    <w:p>
      <w:pPr>
        <w:spacing w:after="0" w:line="162"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Product Recall</w:t>
      </w:r>
      <w:r>
        <w:rPr>
          <w:rFonts w:ascii="Times New Roman" w:cs="Times New Roman" w:eastAsia="Times New Roman" w:hAnsi="Times New Roman"/>
          <w:sz w:val="18"/>
          <w:szCs w:val="18"/>
          <w:color w:val="auto"/>
        </w:rPr>
        <w:t>. Licensee agrees to take commercially reasonable steps, which may include, without limitation, product recalls, to abate any health or safety risks posed by the Licensed Products reasonably promptly. Upon Licensor’s reasonable written request, Licensee shall provide to Licensor for Licensor’s review and approval, a copy of Licensee’s recall program for the Licensed Products. Licensee has complete responsibility for determining if a product recall is required and Licensee bears responsibility for all costs and expenses associated with any recall of the Licensed Products.</w:t>
      </w:r>
    </w:p>
    <w:p>
      <w:pPr>
        <w:spacing w:after="0" w:line="18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Product Pricing</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Parties shall all cooperate in good faith with respect to controlling the quality of any Licensed Products bearing the Licensed Mark, including with respect to monitoring and corrective action processes, warranties and pricing.</w:t>
      </w:r>
    </w:p>
    <w:p>
      <w:pPr>
        <w:spacing w:after="0" w:line="162" w:lineRule="exact"/>
        <w:rPr>
          <w:sz w:val="20"/>
          <w:szCs w:val="20"/>
          <w:color w:val="auto"/>
        </w:rPr>
      </w:pPr>
    </w:p>
    <w:p>
      <w:pPr>
        <w:ind w:left="188" w:hanging="188"/>
        <w:spacing w:after="0"/>
        <w:tabs>
          <w:tab w:leader="none" w:pos="1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Marketing, Advertising, and Promotion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Marketing and Advertising Requirements</w:t>
      </w:r>
      <w:r>
        <w:rPr>
          <w:rFonts w:ascii="Times New Roman" w:cs="Times New Roman" w:eastAsia="Times New Roman" w:hAnsi="Times New Roman"/>
          <w:sz w:val="18"/>
          <w:szCs w:val="18"/>
          <w:color w:val="auto"/>
        </w:rPr>
        <w:t>. Licensee shall:</w:t>
      </w:r>
    </w:p>
    <w:p>
      <w:pPr>
        <w:spacing w:after="0" w:line="225" w:lineRule="exact"/>
        <w:rPr>
          <w:sz w:val="20"/>
          <w:szCs w:val="20"/>
          <w:color w:val="auto"/>
        </w:rPr>
      </w:pPr>
    </w:p>
    <w:p>
      <w:pPr>
        <w:ind w:left="888" w:hanging="240"/>
        <w:spacing w:after="0"/>
        <w:tabs>
          <w:tab w:leader="none" w:pos="8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promote and expand the supply of Licensed Products throughout the Licensee’s Market; and</w:t>
      </w:r>
    </w:p>
    <w:p>
      <w:pPr>
        <w:spacing w:after="0" w:line="225" w:lineRule="exact"/>
        <w:rPr>
          <w:rFonts w:ascii="Times New Roman" w:cs="Times New Roman" w:eastAsia="Times New Roman" w:hAnsi="Times New Roman"/>
          <w:sz w:val="18"/>
          <w:szCs w:val="18"/>
          <w:color w:val="auto"/>
        </w:rPr>
      </w:pPr>
    </w:p>
    <w:p>
      <w:pPr>
        <w:ind w:left="328" w:firstLine="320"/>
        <w:spacing w:after="0" w:line="282" w:lineRule="auto"/>
        <w:tabs>
          <w:tab w:leader="none" w:pos="9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advertise, market, or promote the Licensed Products in a way that reduces or diminishes the reputation, image, and prestige of the Licensed Mark or of products sold under or by reference to the Licensed Mark (including, without limitation, the Licensed Products).</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3" w:name="page14"/>
    <w:bookmarkEnd w:id="13"/>
    <w:p>
      <w:pPr>
        <w:jc w:val="both"/>
        <w:ind w:left="8" w:firstLine="324"/>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Approval of Marketing and Advertising Materials</w:t>
      </w:r>
      <w:r>
        <w:rPr>
          <w:rFonts w:ascii="Times New Roman" w:cs="Times New Roman" w:eastAsia="Times New Roman" w:hAnsi="Times New Roman"/>
          <w:sz w:val="18"/>
          <w:szCs w:val="18"/>
          <w:color w:val="auto"/>
        </w:rPr>
        <w:t>. Prior to any use of the Licensed Mark in advertisements, marketing, promotional material, product branding, and/or educational/informational documentation for the Licensed Products which has not previously been approved, Licensee shall send to Licensor for its prior written approval a visual proof of such proposed advertisements or marketing or promotional material for the Licensed Products and Licensor shall grant such approval if such use complies with the Brand Manual/Use Guidelines. If such use does not comply with the Brand Manual/Use Guidelines and Licensor disapproves of such material, it shall give written notice of such disapproval (in reasonable detail to facilitate cure by Licensee) to Licensee within ten (10) business days of receipt by Licensor of the material. In the absence of a written notice of disapproval within ten (10) business days of receipt of such materials, the materials will be deemed to have been approved by Licensor. Licensee shall not use any material in the advertising, marketing, promotion, branding, or educational materials of Licensed Products that Licensor has not approved. Approval of any particular use of any Licensed Mark, once given by Licensor, shall continue in effect with respect to such use without need for further approval.</w:t>
      </w:r>
    </w:p>
    <w:p>
      <w:pPr>
        <w:spacing w:after="0" w:line="194"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Cost of Marketing and Advertising</w:t>
      </w:r>
      <w:r>
        <w:rPr>
          <w:rFonts w:ascii="Times New Roman" w:cs="Times New Roman" w:eastAsia="Times New Roman" w:hAnsi="Times New Roman"/>
          <w:sz w:val="18"/>
          <w:szCs w:val="18"/>
          <w:color w:val="auto"/>
        </w:rPr>
        <w:t>. Except as otherwise provided in this Agreement, as between the Parties, Licensee shall bear the costs of all advertising, marketing, and promotion for the Licensed Products in the Licensee’s Market in the Territory during the Term.</w:t>
      </w:r>
    </w:p>
    <w:p>
      <w:pPr>
        <w:spacing w:after="0" w:line="162"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Celebrity Endorsement</w:t>
      </w:r>
      <w:r>
        <w:rPr>
          <w:rFonts w:ascii="Times New Roman" w:cs="Times New Roman" w:eastAsia="Times New Roman" w:hAnsi="Times New Roman"/>
          <w:sz w:val="18"/>
          <w:szCs w:val="18"/>
          <w:color w:val="auto"/>
        </w:rPr>
        <w:t>. Licensee shall not use a personality or celebrity to endorse or promote any Licensed Products without Licensor’s prior written approval (such approval not to be unreasonably withheld, conditioned or delayed).</w:t>
      </w:r>
    </w:p>
    <w:p>
      <w:pPr>
        <w:spacing w:after="0" w:line="162" w:lineRule="exact"/>
        <w:rPr>
          <w:sz w:val="20"/>
          <w:szCs w:val="20"/>
          <w:color w:val="auto"/>
        </w:rPr>
      </w:pPr>
    </w:p>
    <w:p>
      <w:pPr>
        <w:ind w:left="188" w:hanging="188"/>
        <w:spacing w:after="0"/>
        <w:tabs>
          <w:tab w:leader="none" w:pos="1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324"/>
        <w:spacing w:after="0" w:line="25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Each Party shall immediately notify the other Parties in writing with reasonable detail of any: (a) actual, suspected, or threatened infringement of the Licensed Mark, or claim that the Licensed Mark is invalid, or opposition to the Licensed Mark, in each case of the foregoing that such Party becomes aware of; (b) actual, suspected, or threatened claim that use of the Licensed Mark infringes the rights of any third party that such Party becomes aware of; (c) Person applying for, or granted, a registered trademark by reason of which that Person may be, or has been, granted rights which conflict with any of the rights granted to Licensee under this Agreement, that such Party becomes aware of; or (d) other actual, suspected or threatened third-party claim to which the Licensed Mark may be subject that such Party becomes aware of.</w:t>
      </w:r>
    </w:p>
    <w:p>
      <w:pPr>
        <w:spacing w:after="0" w:line="187"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Actions Outside Licensee’s Market</w:t>
      </w:r>
      <w:r>
        <w:rPr>
          <w:rFonts w:ascii="Times New Roman" w:cs="Times New Roman" w:eastAsia="Times New Roman" w:hAnsi="Times New Roman"/>
          <w:sz w:val="18"/>
          <w:szCs w:val="18"/>
          <w:color w:val="auto"/>
        </w:rPr>
        <w:t>. With respect to any of the matters listed in Section 9.1: (a) Licensor has the first right, but not obligation, to enforce its rights in the Licensed Mark outside Licensee’s Market, including the control and conduct of all claims and proceedings, provided that if Licensor does not initiate legal action in connection with any such matter within thirty (30) days of receipt of notice provided under Section 9.1, or if Licensor decides not to proceed with any such action, Licensee shall have the right, but not obligation, to bring or take any such action as it determines is necessary and to control the conduct of such enforcement at its sole cost and expense.</w:t>
      </w:r>
    </w:p>
    <w:p>
      <w:pPr>
        <w:spacing w:after="0" w:line="183"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Actions in Licensee’s Market.</w:t>
      </w:r>
      <w:r>
        <w:rPr>
          <w:rFonts w:ascii="Times New Roman" w:cs="Times New Roman" w:eastAsia="Times New Roman" w:hAnsi="Times New Roman"/>
          <w:sz w:val="18"/>
          <w:szCs w:val="18"/>
          <w:color w:val="auto"/>
        </w:rPr>
        <w:t xml:space="preserve"> With respect to any of the matters listed in Section 9.1, Licensee has the first right, but not obligation, to enforce its rights in the Licensed Mark in the Licensee’s Market, including the control and conduct of all claims and proceedings, provided that if Licensee does not initiate legal action in connection with any such matter within thirty (30) days of receipt of notice provided under Section 9.1, or if Licensee decides not to proceed with any such action, Licensor shall have the right, but not obligation, to bring or take any such action as it determines is necessary and to control the conduct of such enforcement action at its sole cost and expense.</w:t>
      </w:r>
    </w:p>
    <w:p>
      <w:pPr>
        <w:spacing w:after="0" w:line="1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4" w:name="page15"/>
    <w:bookmarkEnd w:id="14"/>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Enforcement Assistance &amp; Recovery</w:t>
      </w:r>
      <w:r>
        <w:rPr>
          <w:rFonts w:ascii="Times New Roman" w:cs="Times New Roman" w:eastAsia="Times New Roman" w:hAnsi="Times New Roman"/>
          <w:sz w:val="18"/>
          <w:szCs w:val="18"/>
          <w:color w:val="auto"/>
        </w:rPr>
        <w:t>. The non-enforcing Party under Sections 9.2 and 9.3 shall provide the enforcing Party with all assistance that the enforcing Party may reasonably require in the conduct of any claims or proceedings and the enforcing Party shall bear the cost of any proceedings and will be entitled to retain all sums recovered in any action for its own account. Any monetary recovery resulting from such enforcement action shall first be used to pay the legal expenses of the enforcing Party and then to reimburse any legal expenses incurred by the other Party in cooperating in such action as requested by the enforcing Party, and any remaining amounts shall belong solely to the enforcing Party.</w:t>
      </w:r>
    </w:p>
    <w:p>
      <w:pPr>
        <w:spacing w:after="0" w:line="183" w:lineRule="exact"/>
        <w:rPr>
          <w:sz w:val="20"/>
          <w:szCs w:val="20"/>
          <w:color w:val="auto"/>
        </w:rPr>
      </w:pPr>
    </w:p>
    <w:p>
      <w:pPr>
        <w:ind w:left="268" w:hanging="268"/>
        <w:spacing w:after="0"/>
        <w:tabs>
          <w:tab w:leader="none" w:pos="2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Initial Licensing Fee</w:t>
      </w:r>
      <w:r>
        <w:rPr>
          <w:rFonts w:ascii="Times New Roman" w:cs="Times New Roman" w:eastAsia="Times New Roman" w:hAnsi="Times New Roman"/>
          <w:sz w:val="18"/>
          <w:szCs w:val="18"/>
          <w:color w:val="auto"/>
        </w:rPr>
        <w:t>. In consideration for the license granted herein, Licensee shall pay to Licensor, pursuant to the instructions set forth in Section 10.6, the sum of Five Million U.S. Dollars ($5,000,000) (“</w:t>
      </w:r>
      <w:r>
        <w:rPr>
          <w:rFonts w:ascii="Times New Roman" w:cs="Times New Roman" w:eastAsia="Times New Roman" w:hAnsi="Times New Roman"/>
          <w:sz w:val="18"/>
          <w:szCs w:val="18"/>
          <w:b w:val="1"/>
          <w:bCs w:val="1"/>
          <w:color w:val="auto"/>
        </w:rPr>
        <w:t>Initial Licensing Fee</w:t>
      </w:r>
      <w:r>
        <w:rPr>
          <w:rFonts w:ascii="Times New Roman" w:cs="Times New Roman" w:eastAsia="Times New Roman" w:hAnsi="Times New Roman"/>
          <w:sz w:val="18"/>
          <w:szCs w:val="18"/>
          <w:color w:val="auto"/>
        </w:rPr>
        <w:t>”). Payment is due within thirty (30) days of the Effective Date of this Agreement in immediately available funds. Such sum will not be refundable or available for credit against royalties or any other sums payable by Licensee under this Agreement. The Licensor confirms that all obligations of Licensee related to the Initial Licensing Fee are fully satisfied upon the transfer of the Licensed Mark to the Licensor and payment of the Initial Licensing Fee. The Licensee will have immediate and unrestricted use of the Licensed Mark upon payment.</w:t>
      </w:r>
    </w:p>
    <w:p>
      <w:pPr>
        <w:spacing w:after="0" w:line="187" w:lineRule="exact"/>
        <w:rPr>
          <w:sz w:val="20"/>
          <w:szCs w:val="20"/>
          <w:color w:val="auto"/>
        </w:rPr>
      </w:pPr>
    </w:p>
    <w:p>
      <w:pPr>
        <w:jc w:val="both"/>
        <w:ind w:left="8" w:firstLine="324"/>
        <w:spacing w:after="0" w:line="253"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 In addition to the Initial Licensing Fee, Licensee shall pay, in arrears within [***] ([***]) days following the end of each Quarterly Period, to Licensor a royalty (the “</w:t>
      </w:r>
      <w:r>
        <w:rPr>
          <w:rFonts w:ascii="Times New Roman" w:cs="Times New Roman" w:eastAsia="Times New Roman" w:hAnsi="Times New Roman"/>
          <w:sz w:val="18"/>
          <w:szCs w:val="18"/>
          <w:b w:val="1"/>
          <w:bCs w:val="1"/>
          <w:color w:val="auto"/>
        </w:rPr>
        <w:t>Royalty Payment(s)</w:t>
      </w:r>
      <w:r>
        <w:rPr>
          <w:rFonts w:ascii="Times New Roman" w:cs="Times New Roman" w:eastAsia="Times New Roman" w:hAnsi="Times New Roman"/>
          <w:sz w:val="18"/>
          <w:szCs w:val="18"/>
          <w:color w:val="auto"/>
        </w:rPr>
        <w:t>”; for the avoidance of doubt, the term Royalty Payments does not include the Initial Licensing Fee) of [***] percent ([***]%) of the Net Sales Price of each Licensed Product during such Quarterly Period that is sold by Licensee during such Quarterly Period until Licensee has paid to Licensor Twelve Million Five Hundred Thousand U.S. Dollars ($12,500,000) in the aggregate of Royalty Payments; provided, however, that the first Royalty Payment following the Effective Date shall be made within [***] ([***]) days following the end of the first full Quarterly Period occurring after the Effective Date and shall cover the period from the from the Effective Date through the end of such first full Quarter. Thereafter, Licensee will pay to Dragonfly, in arrears within [***] ([***]) days following the end of each Quarterly Period, an amount equal to [***] percent ([***]%) of the aggregate Net Sales Price of Licensed Products in the Licensee’s Market during each such Quarterly Period, until Licensee has paid to Licensor an additional Twelve Million Five Hundred Thousand U.S. Dollars ($12,500,000) in the aggregate. With respect to any Licensed Product sold, the Royalty Payment shall accrue on the date when the Licensed Product is paid for. Notwithstanding anything to the contrary herein, in no event shall the aggregate Royalty Payments exceed Twenty-five Million U.S. Dollars ($25,000,000).</w:t>
      </w:r>
    </w:p>
    <w:p>
      <w:pPr>
        <w:spacing w:after="0" w:line="1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5" w:name="page16"/>
    <w:bookmarkEnd w:id="1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$15 Million Dollar Milestone</w:t>
      </w:r>
      <w:r>
        <w:rPr>
          <w:rFonts w:ascii="Times New Roman" w:cs="Times New Roman" w:eastAsia="Times New Roman" w:hAnsi="Times New Roman"/>
          <w:sz w:val="18"/>
          <w:szCs w:val="18"/>
          <w:color w:val="auto"/>
        </w:rPr>
        <w:t>. If (and only if) the sum of all Royalty Payments made by Licensee to Licensor on or prior to the fifth (5th) year anniversary of the Effective Date is less than Fifteen Million U.S. Dollars ($15,000,000), then Licensor and Licensee shall negotiate in good faith</w:t>
      </w:r>
    </w:p>
    <w:p>
      <w:pPr>
        <w:jc w:val="both"/>
        <w:spacing w:after="0" w:line="231" w:lineRule="auto"/>
        <w:rPr>
          <w:sz w:val="20"/>
          <w:szCs w:val="20"/>
          <w:color w:val="auto"/>
        </w:rPr>
      </w:pPr>
      <w:r>
        <w:rPr>
          <w:rFonts w:ascii="Times New Roman" w:cs="Times New Roman" w:eastAsia="Times New Roman" w:hAnsi="Times New Roman"/>
          <w:sz w:val="18"/>
          <w:szCs w:val="18"/>
          <w:color w:val="auto"/>
        </w:rPr>
        <w:t>for a period of thirty (30) days following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year anniversary of the Effective Date as to whether Licensee will have the right to continue to license the Licensed Mark and thereby pay the Royalty Payments in accordance with the terms of this Agreement. If Licensee and Dragonfly are unable to come to a resolution after good faith negotiations during such thirty (30) day period, either Licensor or Licensee may terminate this Agreement unless Licensee irrevocably agrees in writing (to be executed by Licensee’s Chief Financial Officer or Representative of similar seniority), in its sole discretion, that Licensee will (a) pay Twenty-five Million U.S. Dollars ($25,000,000) in aggregate Royalty Payments on or prior to the date</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that is ninety (90) days after the seventh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 or (b) irrespective of the amount of sales of Licensed Product, make a payment within ninety (90) days of the seventh (7th) year anniversary of the Effective Date equal to the difference between (x) Twenty-five Million U.S. Dollars ($25,000,000) less (y) the aggregate amount of Royalty Payments made by Licensor in respect of the period from the Effective Date through the seventh (7th) year anniversary of the Effective Date.</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$25 Million Dollar/Seven Year Milestone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firstLine="324"/>
        <w:spacing w:after="0" w:line="239" w:lineRule="auto"/>
        <w:rPr>
          <w:sz w:val="20"/>
          <w:szCs w:val="20"/>
          <w:color w:val="auto"/>
        </w:rPr>
      </w:pPr>
      <w:r>
        <w:rPr>
          <w:rFonts w:ascii="Times New Roman" w:cs="Times New Roman" w:eastAsia="Times New Roman" w:hAnsi="Times New Roman"/>
          <w:sz w:val="18"/>
          <w:szCs w:val="18"/>
          <w:color w:val="auto"/>
        </w:rPr>
        <w:t>(a) If the sum of all Royalty Payments made by Licensee during the period beginning on the Effective Date of this Agreement and ending on the date that is ninety (90) days after the seventh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year anniversary of the Effective Date equal to Twenty- five Million U.S. Dollars ($25,000,000), then (i) this Agreement shall continue in full force and effect in accordance with its terms, (ii) Licensor will invoice and Licensee will pay to Licensor Twelve Thousand Five Hundred U.S. Dollars ($12,500.00) quarterly in arrears within [***] ([***]) days following the end of each Quarterly Period thereafter (“</w:t>
      </w:r>
      <w:r>
        <w:rPr>
          <w:rFonts w:ascii="Times New Roman" w:cs="Times New Roman" w:eastAsia="Times New Roman" w:hAnsi="Times New Roman"/>
          <w:sz w:val="18"/>
          <w:szCs w:val="18"/>
          <w:b w:val="1"/>
          <w:bCs w:val="1"/>
          <w:color w:val="auto"/>
        </w:rPr>
        <w:t>Quarterly Licensing Fee</w:t>
      </w:r>
      <w:r>
        <w:rPr>
          <w:rFonts w:ascii="Times New Roman" w:cs="Times New Roman" w:eastAsia="Times New Roman" w:hAnsi="Times New Roman"/>
          <w:sz w:val="18"/>
          <w:szCs w:val="18"/>
          <w:color w:val="auto"/>
        </w:rPr>
        <w:t>”), and (iii) as long as the $25 Million Dollar milestone has been met, Licensor’s only remedy for Licensee’s failure to pay any Quarterly Licensing Fee is to seek collection thereof, including any late payment interest and attorneys’ fees (if any) in accordance with Section 10.7, and Licensor shall have no right to terminate this Agreement.</w:t>
      </w:r>
    </w:p>
    <w:p>
      <w:pPr>
        <w:spacing w:after="0" w:line="203" w:lineRule="exact"/>
        <w:rPr>
          <w:sz w:val="20"/>
          <w:szCs w:val="20"/>
          <w:color w:val="auto"/>
        </w:rPr>
      </w:pPr>
    </w:p>
    <w:p>
      <w:pPr>
        <w:jc w:val="both"/>
        <w:ind w:left="320" w:firstLine="320"/>
        <w:spacing w:after="0" w:line="225" w:lineRule="auto"/>
        <w:tabs>
          <w:tab w:leader="none" w:pos="8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sum of all Royalty Payments made by Licensee on or prior to the date that is [***] ([***]) days after the seventh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 is less than Twenty-five Million U.S. Dollars ($25,000,000), then Licensee shall have the option to either (x) pay to Licensor the difference of Twenty-five Million U.S. Dollars ($25,000,000.00) less the aggregate Royalty Payments paid by Licensee during the period</w:t>
      </w:r>
    </w:p>
    <w:p>
      <w:pPr>
        <w:spacing w:after="0" w:line="2" w:lineRule="exact"/>
        <w:rPr>
          <w:sz w:val="20"/>
          <w:szCs w:val="20"/>
          <w:color w:val="auto"/>
        </w:rPr>
      </w:pPr>
    </w:p>
    <w:p>
      <w:pPr>
        <w:jc w:val="both"/>
        <w:ind w:left="320"/>
        <w:spacing w:after="0" w:line="243" w:lineRule="auto"/>
        <w:rPr>
          <w:sz w:val="20"/>
          <w:szCs w:val="20"/>
          <w:color w:val="auto"/>
        </w:rPr>
      </w:pPr>
      <w:r>
        <w:rPr>
          <w:rFonts w:ascii="Times New Roman" w:cs="Times New Roman" w:eastAsia="Times New Roman" w:hAnsi="Times New Roman"/>
          <w:sz w:val="18"/>
          <w:szCs w:val="18"/>
          <w:color w:val="auto"/>
        </w:rPr>
        <w:t>beginning on the Effective Date of this Agreement and ending on the date that is [***] ([***]) days after the seventh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year anniversary of the Effective Date (in which case this Agreement will continue in full force and effect and Licensee will pay to Licensor the Quarterly Licensing Fee thereafter), or (y) elect to continue paying the Royalty Payment quarterly as set forth in Section 10.2 until Twenty-five Million U.S. Dollar ($25,000,000.00) threshold is reached and thereafter, pay the Quarterly Licensing Fee. The option under Section 10.4(b)(y) in the preceding sentence shall only be available to Stryten and apply if Stryten has met the $15 million threshold in section 10.3. If not, and Stryten elects to continue to license the Marks, the full $25 million must be paid at the end of year seven in accordance with the terms of Section 10.3. Licensee will communicate which option (if available) it elects as described in the foregoing provisions of this Section 10.4(b) to Licensor in writing no later than the date that is ninety (90) days after the seventh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w:t>
      </w:r>
    </w:p>
    <w:p>
      <w:pPr>
        <w:spacing w:after="0" w:line="7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16" w:name="page17"/>
    <w:bookmarkEnd w:id="1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sums payable under this Agreement are exclusive of taxes and must be paid free and clear of all deductions and withholdings whatsoever, unless the deduction or withholding is required by Law. If any deduction or withholding is required by Law, Licensee shall (a) pay to Licensor such sum as will, after the deduction or withholding has been made, leave Licensor with the same amount as it would have been entitled to receive in the absence of any such requirement to make a deduction or withholding, and (b) reasonably promptly following making the deduction or withholding, provide a statement in writing showing the gross amount of the payment, the amount of the sum deducted and the actual amount paid.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Manner of Payment</w:t>
      </w:r>
      <w:r>
        <w:rPr>
          <w:rFonts w:ascii="Times New Roman" w:cs="Times New Roman" w:eastAsia="Times New Roman" w:hAnsi="Times New Roman"/>
          <w:sz w:val="18"/>
          <w:szCs w:val="18"/>
          <w:color w:val="auto"/>
        </w:rPr>
        <w:t>. All sums payable to Licensor under this Agreement (other than those disputed in accordance with this Section 10.6) must be paid without offset, counterclaim or deduction within thirty (30) days following the end of each Quarterly Period (other than the Initial Licensing Fee which must be paid within thirty (30) days of the Effective Date of this Agreement) in US dollars in immediately available funds by wire transfer to a bank account to be designated in writing by Licensor. Licensee may in good faith dispute sums payable to Licensor under this Agreement (other than the Initial Licensing Fee) by providing Licensor written notice describing such dispute within thirty (30) days following the end of each Quarterly Period. The Licensor and Licensee shall use good faith efforts to resolve any such dispute reasonably promptly following Licensee providing Licensor notice of such dispute.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In the event Licensor does not receive payments due under this Agreement by the due date (other than those disputed in accordance with Section 10.6), Licensee shall pay to Licensor interest on the overdue payment (other than payments disputed in accordance with Section 10.6) from the date such payment was due to the date of actual payment at a rate of one and one-half percent (1.5%) per month, or if lower, the maximum amount permitted under Law, plus any reasonable attorneys’ fees (if any) incurred by Licensor in connection with the collection of any such amounts not paid when due.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Royalty Statements</w:t>
      </w:r>
      <w:r>
        <w:rPr>
          <w:rFonts w:ascii="Times New Roman" w:cs="Times New Roman" w:eastAsia="Times New Roman" w:hAnsi="Times New Roman"/>
          <w:sz w:val="18"/>
          <w:szCs w:val="18"/>
          <w:color w:val="auto"/>
        </w:rPr>
        <w:t>. At the same time as any Royalty Payments are due and payable (or prior thereto), Licensee shall submit or cause to be submitted to Licensor a statement in writing, certified to be true and correct by Licensee, that includes information relevant to the calculation of such Royalty Payments:</w:t>
      </w:r>
    </w:p>
    <w:p>
      <w:pPr>
        <w:spacing w:after="0" w:line="176" w:lineRule="exact"/>
        <w:rPr>
          <w:sz w:val="20"/>
          <w:szCs w:val="20"/>
          <w:color w:val="auto"/>
        </w:rPr>
      </w:pPr>
    </w:p>
    <w:p>
      <w:pPr>
        <w:ind w:left="880" w:hanging="2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Period for which the royalties were calculated;</w:t>
      </w:r>
    </w:p>
    <w:p>
      <w:pPr>
        <w:spacing w:after="0" w:line="225"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Licensed Products sold or distributed during the Quarterly Period;</w:t>
      </w:r>
    </w:p>
    <w:p>
      <w:pPr>
        <w:spacing w:after="0" w:line="225" w:lineRule="exact"/>
        <w:rPr>
          <w:rFonts w:ascii="Times New Roman" w:cs="Times New Roman" w:eastAsia="Times New Roman" w:hAnsi="Times New Roman"/>
          <w:sz w:val="18"/>
          <w:szCs w:val="18"/>
          <w:color w:val="auto"/>
        </w:rPr>
      </w:pPr>
    </w:p>
    <w:p>
      <w:pPr>
        <w:ind w:left="880" w:hanging="2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Sales Price of each Licensed Product sold during the Quarterly Period; and</w:t>
      </w:r>
    </w:p>
    <w:p>
      <w:pPr>
        <w:spacing w:after="0" w:line="225"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Royalty Payments due and payable; and</w:t>
      </w:r>
    </w:p>
    <w:p>
      <w:pPr>
        <w:spacing w:after="0" w:line="225" w:lineRule="exact"/>
        <w:rPr>
          <w:rFonts w:ascii="Times New Roman" w:cs="Times New Roman" w:eastAsia="Times New Roman" w:hAnsi="Times New Roman"/>
          <w:sz w:val="18"/>
          <w:szCs w:val="18"/>
          <w:color w:val="auto"/>
        </w:rPr>
      </w:pPr>
    </w:p>
    <w:p>
      <w:pPr>
        <w:ind w:left="880" w:hanging="2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details Licensor may reasonable require.</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17" w:name="page18"/>
    <w:bookmarkEnd w:id="17"/>
    <w:p>
      <w:pPr>
        <w:jc w:val="both"/>
        <w:ind w:left="3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Records and Audit</w:t>
      </w:r>
      <w:r>
        <w:rPr>
          <w:rFonts w:ascii="Times New Roman" w:cs="Times New Roman" w:eastAsia="Times New Roman" w:hAnsi="Times New Roman"/>
          <w:sz w:val="18"/>
          <w:szCs w:val="18"/>
          <w:color w:val="auto"/>
        </w:rPr>
        <w:t>. During the Term and for three (3) years thereafter, Licensee shall keep complete and accurate books and records showing the description, price, quantity, and date of manufacture and sale of all Licensed Products manufactured, sold, or distributed by Licensee that are reasonably necessary for the calculation of Royalty Payments under this Agreement. Upon reasonable prior written notice to Licensee (but in no event less than ten (10) days), Licensor may request an inspection and audit by Licensor (or its authorized representative), at Licensor’s sole cost and expense, during Licensee’s normal business hours access to the books and records of Licensee relating to the calculation of the Royalty Payments to verify the royalties and other amounts payable by Licensee under this Agreement. If any such inspection or audit shows that any payment is deficient,</w:t>
      </w:r>
    </w:p>
    <w:p>
      <w:pPr>
        <w:spacing w:after="0" w:line="5" w:lineRule="exact"/>
        <w:rPr>
          <w:sz w:val="20"/>
          <w:szCs w:val="20"/>
          <w:color w:val="auto"/>
        </w:rPr>
      </w:pPr>
    </w:p>
    <w:p>
      <w:pPr>
        <w:jc w:val="both"/>
        <w:ind w:left="340" w:hanging="8"/>
        <w:spacing w:after="0" w:line="252" w:lineRule="auto"/>
        <w:tabs>
          <w:tab w:leader="none" w:pos="5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reasonably promptly pay Licensor the deficient amount, including interest calculated in accordance with Section 10.7 and (b) if such payment is found deficient by more than five percent (5%), Licensee shall bear the cost of the audit or inspection, in each case of subparts (a) and (b), unless Licensee disputes such finding in good faith, in which case Licensee will be afforded reasonable time (in any event not to exceed thirty (30) days) to conduct its own inspection and audit to verify such deficient payments. If any such audit or inspection shows that payments made by Licensee are in excess of the required payment, Licensor shall pay Licensee the excess amount reasonably promptly. Such inspection and audit right of Licensor shall remain in effect solely during the Term and for a period of one (1) year after the termination of this Agreement.</w:t>
      </w:r>
    </w:p>
    <w:p>
      <w:pPr>
        <w:spacing w:after="0" w:line="190" w:lineRule="exact"/>
        <w:rPr>
          <w:sz w:val="20"/>
          <w:szCs w:val="20"/>
          <w:color w:val="auto"/>
        </w:rPr>
      </w:pPr>
    </w:p>
    <w:p>
      <w:pPr>
        <w:ind w:firstLine="332"/>
        <w:spacing w:after="0" w:line="282" w:lineRule="auto"/>
        <w:tabs>
          <w:tab w:leader="none" w:pos="6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Repayment</w:t>
      </w:r>
      <w:r>
        <w:rPr>
          <w:rFonts w:ascii="Times New Roman" w:cs="Times New Roman" w:eastAsia="Times New Roman" w:hAnsi="Times New Roman"/>
          <w:sz w:val="18"/>
          <w:szCs w:val="18"/>
          <w:color w:val="auto"/>
        </w:rPr>
        <w:t>. If this Agreement is terminated, Licensor shall not be required to repay any monies previously paid by Licensee to Licensor pursuant to this Agreement.</w:t>
      </w:r>
    </w:p>
    <w:p>
      <w:pPr>
        <w:spacing w:after="0" w:line="157" w:lineRule="exact"/>
        <w:rPr>
          <w:rFonts w:ascii="Times New Roman" w:cs="Times New Roman" w:eastAsia="Times New Roman" w:hAnsi="Times New Roman"/>
          <w:sz w:val="18"/>
          <w:szCs w:val="18"/>
          <w:color w:val="auto"/>
        </w:rPr>
      </w:pPr>
    </w:p>
    <w:p>
      <w:pPr>
        <w:jc w:val="both"/>
        <w:ind w:firstLine="332"/>
        <w:spacing w:after="0" w:line="252" w:lineRule="auto"/>
        <w:tabs>
          <w:tab w:leader="none" w:pos="5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acknowledges that in connection with this Agreement it will gain access to information of the other Party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that is treated as confidential by the other Party, including information about its business operations and strategies, goods and services, customers, pricing, marketing, and other sensitive and proprietary information (collectively,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Information does not include information that, at the time of disclosure and as established by documentary evidence: (a) is or becomes generally available to and known by the public other than as a result of, directly or indirectly, any breach of this Section 12 by the Receiving Party; (b) is or becomes available to the Receiving Party on a non-confidential basis from another Person, provided that such Person is not and was not prohibited from disclosing such Confidential Information; or (c) was known by or in the possession of the Receiving Party prior to being disclosed by or on behalf of the Disclosing Party. The Receiving Party may disclose the Disclosing Party’s Confidential Information to the extent such Confidential Information is required to be disclosed by applicable Law, including pursuant to the terms of a court order; provided that the Receiving Party has given the Disclosing Party prior written notice of such disclosure (to the extent not prohibited by applicable Law or court order) and an opportunity to contest such disclosure and to seek a protective order or other remedy. The Receiving Party shall: (i) protect and safeguard the confidentiality of the Disclosing Party’s Confidential Information with at least the same degree of care as the Receiving Party would protect its own Confidential Information, but in no event with less than a commercially reasonable degree of care; (ii) not use the Disclosing Party’s Confidential Information, or permit it to be accessed or used, for any purpose other than to exercise its rights or perform its obligations under this Agreement; and (iii) not disclose any such Confidential Information to any Person, except to the Receiving Party’s Representatives who are bound by written confidentiality obligations at least as stringent as those set forth herein and have a bona fide need to know such Confidential Information to assist the Receiving Party, or act on its behalf, to exercise its rights or perform its obligations under this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268" w:hanging="268"/>
        <w:spacing w:after="0"/>
        <w:tabs>
          <w:tab w:leader="none" w:pos="2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Mutual Representations and Warranties</w:t>
      </w:r>
      <w:r>
        <w:rPr>
          <w:rFonts w:ascii="Times New Roman" w:cs="Times New Roman" w:eastAsia="Times New Roman" w:hAnsi="Times New Roman"/>
          <w:sz w:val="18"/>
          <w:szCs w:val="18"/>
          <w:color w:val="auto"/>
        </w:rPr>
        <w:t>. Each Party represents and warrants to the other Party that:</w:t>
      </w:r>
    </w:p>
    <w:p>
      <w:pPr>
        <w:spacing w:after="0" w:line="225" w:lineRule="exact"/>
        <w:rPr>
          <w:sz w:val="20"/>
          <w:szCs w:val="20"/>
          <w:color w:val="auto"/>
        </w:rPr>
      </w:pPr>
    </w:p>
    <w:p>
      <w:pPr>
        <w:ind w:left="328" w:firstLine="320"/>
        <w:spacing w:after="0" w:line="282" w:lineRule="auto"/>
        <w:tabs>
          <w:tab w:leader="none" w:pos="9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validly existing, and in good standing as a corporation or other entity as represented herein under the Laws of its jurisdiction of incorporation or organization;</w:t>
      </w:r>
    </w:p>
    <w:p>
      <w:pPr>
        <w:spacing w:after="0" w:line="161"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full right, power and authority to enter into this Agreement and to perform its obligations hereunder;</w:t>
      </w:r>
    </w:p>
    <w:p>
      <w:pPr>
        <w:spacing w:after="0" w:line="225" w:lineRule="exact"/>
        <w:rPr>
          <w:rFonts w:ascii="Times New Roman" w:cs="Times New Roman" w:eastAsia="Times New Roman" w:hAnsi="Times New Roman"/>
          <w:sz w:val="18"/>
          <w:szCs w:val="18"/>
          <w:color w:val="auto"/>
        </w:rPr>
      </w:pPr>
    </w:p>
    <w:p>
      <w:pPr>
        <w:ind w:left="328" w:firstLine="320"/>
        <w:spacing w:after="0" w:line="282" w:lineRule="auto"/>
        <w:tabs>
          <w:tab w:leader="none" w:pos="9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this Agreement by its representative whose signature is set forth at the end hereof has been duly authorized by all necessary corporate/organizational action of such Party; and</w:t>
      </w:r>
    </w:p>
    <w:p>
      <w:pPr>
        <w:spacing w:after="0" w:line="161" w:lineRule="exact"/>
        <w:rPr>
          <w:rFonts w:ascii="Times New Roman" w:cs="Times New Roman" w:eastAsia="Times New Roman" w:hAnsi="Times New Roman"/>
          <w:sz w:val="18"/>
          <w:szCs w:val="18"/>
          <w:color w:val="auto"/>
        </w:rPr>
      </w:pPr>
    </w:p>
    <w:p>
      <w:pPr>
        <w:ind w:left="328" w:firstLine="320"/>
        <w:spacing w:after="0" w:line="282" w:lineRule="auto"/>
        <w:tabs>
          <w:tab w:leader="none" w:pos="9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and delivered by such Party, this Agreement will constitute the legal, valid, and binding obligation of such Party, enforceable against such Party in accordance with its terms.</w:t>
      </w:r>
    </w:p>
    <w:p>
      <w:pPr>
        <w:spacing w:after="0" w:line="162" w:lineRule="exact"/>
        <w:rPr>
          <w:sz w:val="20"/>
          <w:szCs w:val="20"/>
          <w:color w:val="auto"/>
        </w:rPr>
      </w:pPr>
    </w:p>
    <w:p>
      <w:pPr>
        <w:ind w:left="8" w:firstLine="324"/>
        <w:spacing w:after="0" w:line="28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Additional Representations, Warranties and Covenants of Dragonfly and Licensor</w:t>
      </w:r>
      <w:r>
        <w:rPr>
          <w:rFonts w:ascii="Times New Roman" w:cs="Times New Roman" w:eastAsia="Times New Roman" w:hAnsi="Times New Roman"/>
          <w:sz w:val="18"/>
          <w:szCs w:val="18"/>
          <w:color w:val="auto"/>
        </w:rPr>
        <w:t>. Dragonfly and Licensor, jointly and severally, represent, warrant, covenant and agree that:</w:t>
      </w:r>
    </w:p>
    <w:p>
      <w:pPr>
        <w:spacing w:after="0" w:line="162" w:lineRule="exact"/>
        <w:rPr>
          <w:sz w:val="20"/>
          <w:szCs w:val="20"/>
          <w:color w:val="auto"/>
        </w:rPr>
      </w:pPr>
    </w:p>
    <w:p>
      <w:pPr>
        <w:jc w:val="both"/>
        <w:ind w:left="328" w:firstLine="320"/>
        <w:spacing w:after="0" w:line="261" w:lineRule="auto"/>
        <w:tabs>
          <w:tab w:leader="none" w:pos="9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is the sole and exclusive legal and beneficial owner of the entire right, title, and interest in and to the Licensed Mark, including, for the avoidance of doubt, the marks set forth on Schedule 1, free and clear of all liens and other encumbrances (other than the security interest in favor of Alter Domus (US) LLC granted on October 7, 2022), and has the right and authority to grant the rights and licenses granted to Licensee in this Agreement;</w:t>
      </w:r>
    </w:p>
    <w:p>
      <w:pPr>
        <w:spacing w:after="0" w:line="179" w:lineRule="exact"/>
        <w:rPr>
          <w:rFonts w:ascii="Times New Roman" w:cs="Times New Roman" w:eastAsia="Times New Roman" w:hAnsi="Times New Roman"/>
          <w:sz w:val="18"/>
          <w:szCs w:val="18"/>
          <w:color w:val="auto"/>
        </w:rPr>
      </w:pPr>
    </w:p>
    <w:p>
      <w:pPr>
        <w:ind w:left="328" w:firstLine="320"/>
        <w:spacing w:after="0" w:line="282" w:lineRule="auto"/>
        <w:tabs>
          <w:tab w:leader="none" w:pos="9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is the owner of the registrations and applications set forth on Schedule I, and all such issued registrations are valid, subsisting, and in full force and effect;</w:t>
      </w:r>
    </w:p>
    <w:p>
      <w:pPr>
        <w:spacing w:after="0" w:line="161" w:lineRule="exact"/>
        <w:rPr>
          <w:rFonts w:ascii="Times New Roman" w:cs="Times New Roman" w:eastAsia="Times New Roman" w:hAnsi="Times New Roman"/>
          <w:sz w:val="18"/>
          <w:szCs w:val="18"/>
          <w:color w:val="auto"/>
        </w:rPr>
      </w:pPr>
    </w:p>
    <w:p>
      <w:pPr>
        <w:ind w:left="328" w:firstLine="320"/>
        <w:spacing w:after="0" w:line="282" w:lineRule="auto"/>
        <w:tabs>
          <w:tab w:leader="none" w:pos="9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licenses under the Transfer and License-Back Agreement on the date hereof, Licensor has not granted, or conveyed to any other Person other licenses or similar rights in, to, or under the Licensed Mark;</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9" w:name="page20"/>
    <w:bookmarkEnd w:id="19"/>
    <w:p>
      <w:pPr>
        <w:ind w:left="328" w:firstLine="320"/>
        <w:spacing w:after="0" w:line="282" w:lineRule="auto"/>
        <w:tabs>
          <w:tab w:leader="none" w:pos="9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Dragonfly and Licensor’s knowledge, the exercise by Licensee of the rights and license granted under this Agreement in accordance with this Agreement will not infringe or otherwise conflict with the rights of any other Person;</w:t>
      </w:r>
    </w:p>
    <w:p>
      <w:pPr>
        <w:spacing w:after="0" w:line="161" w:lineRule="exact"/>
        <w:rPr>
          <w:rFonts w:ascii="Times New Roman" w:cs="Times New Roman" w:eastAsia="Times New Roman" w:hAnsi="Times New Roman"/>
          <w:sz w:val="18"/>
          <w:szCs w:val="18"/>
          <w:color w:val="auto"/>
        </w:rPr>
      </w:pPr>
    </w:p>
    <w:p>
      <w:pPr>
        <w:ind w:left="328" w:firstLine="320"/>
        <w:spacing w:after="0" w:line="282" w:lineRule="auto"/>
        <w:tabs>
          <w:tab w:leader="none" w:pos="9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settled, pending, or, to their knowledge, threatened litigation, opposition, or other claim or proceeding challenging the validity, enforceability, ownership, registration, or use of any Licensed Mark; and</w:t>
      </w:r>
    </w:p>
    <w:p>
      <w:pPr>
        <w:spacing w:after="0" w:line="161" w:lineRule="exact"/>
        <w:rPr>
          <w:rFonts w:ascii="Times New Roman" w:cs="Times New Roman" w:eastAsia="Times New Roman" w:hAnsi="Times New Roman"/>
          <w:sz w:val="18"/>
          <w:szCs w:val="18"/>
          <w:color w:val="auto"/>
        </w:rPr>
      </w:pPr>
    </w:p>
    <w:p>
      <w:pPr>
        <w:ind w:left="328" w:firstLine="320"/>
        <w:spacing w:after="0" w:line="282" w:lineRule="auto"/>
        <w:tabs>
          <w:tab w:leader="none" w:pos="8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of them has brought or threatened any claim against any third- party alleging infringement of the Licensed Mark, and to their knowledge, no third party is infringing or threatening to infringe the Licensed Mark.</w:t>
      </w:r>
    </w:p>
    <w:p>
      <w:pPr>
        <w:spacing w:after="0" w:line="162" w:lineRule="exact"/>
        <w:rPr>
          <w:sz w:val="20"/>
          <w:szCs w:val="20"/>
          <w:color w:val="auto"/>
        </w:rPr>
      </w:pPr>
    </w:p>
    <w:p>
      <w:pPr>
        <w:jc w:val="both"/>
        <w:ind w:left="8" w:firstLine="324"/>
        <w:spacing w:after="0" w:line="25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Exclusion of Consequential and Other Indirect Damages</w:t>
      </w:r>
      <w:r>
        <w:rPr>
          <w:rFonts w:ascii="Times New Roman" w:cs="Times New Roman" w:eastAsia="Times New Roman" w:hAnsi="Times New Roman"/>
          <w:sz w:val="18"/>
          <w:szCs w:val="18"/>
          <w:color w:val="auto"/>
        </w:rPr>
        <w:t>. EXCEPT IN CONNECTION WITH (A) ANY BREACH OF SECTIONS 12 OR 13, OR (B) ANY FRAUD, BAD FAITH, GROSS NEGLIGENCE OR WILLFUL OR CRIMINAL MISCONDUCT, TO THE FULLEST EXTENT PERMITTED BY LAW, NEITHER LICENSOR NOR LICENSEE WILL BE LIABLE FOR ANY CONSEQUENTIAL, INCIDENTAL, INDIRECT, EXEMPLARY, SPECIAL, PUNITIVE, OR ENHANCED DAMAGES WHETHER ARISING OUT OF BREACH OF CONTRACT, TORT (INCLUDING NEGLIGENCE), OR OTHERWISE, REGARDLESS OF WHETHER SUCH DAMAGE WAS FORESEEABLE AND WHETHER OR NOT THE OTHER PARTY HAS BEEN ADVISED OF THE POSSIBILITY OF SUCH DAMAGES.</w:t>
      </w:r>
    </w:p>
    <w:p>
      <w:pPr>
        <w:spacing w:after="0" w:line="187" w:lineRule="exact"/>
        <w:rPr>
          <w:sz w:val="20"/>
          <w:szCs w:val="20"/>
          <w:color w:val="auto"/>
        </w:rPr>
      </w:pPr>
    </w:p>
    <w:p>
      <w:pPr>
        <w:ind w:left="268" w:hanging="268"/>
        <w:spacing w:after="0"/>
        <w:tabs>
          <w:tab w:leader="none" w:pos="2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324"/>
        <w:spacing w:after="0" w:line="255"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addition to any other available remedies, each Party shall indemnify, defend, and hold harmless the other Party and its Affiliates, and its and their respective Representatives, successors, and assigns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for any and all Losses arising out of, resulting from or in connection with (i) any misrepresentation or breach of or non-fulfillment of any representation, warranty, covenant or agreement of the indemnifying Party contained in this Agreement, (ii) the indemnifying Party’s use of the Licensed Mark in violation of, or outside the scope of, the license granted to such indemnifying Party under this Agreement, (iii) any product liability claims in connection with the indemnifying Party’s manufacture, advertising, marketing, distribution and sale of products under the Licensed Mark, or (iv) the indemnifying Party’s fraud, bad faith, gross negligence or willful or criminal misconduct in performance of its obligations under this Agreement.</w:t>
      </w:r>
    </w:p>
    <w:p>
      <w:pPr>
        <w:spacing w:after="0" w:line="189" w:lineRule="exact"/>
        <w:rPr>
          <w:sz w:val="20"/>
          <w:szCs w:val="20"/>
          <w:color w:val="auto"/>
        </w:rPr>
      </w:pPr>
    </w:p>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Licensor Indemnification</w:t>
      </w:r>
      <w:r>
        <w:rPr>
          <w:rFonts w:ascii="Times New Roman" w:cs="Times New Roman" w:eastAsia="Times New Roman" w:hAnsi="Times New Roman"/>
          <w:sz w:val="18"/>
          <w:szCs w:val="18"/>
          <w:color w:val="auto"/>
        </w:rPr>
        <w:t>. In addition to any other available remedies, Licensor and Dragonfly shall indemnify, defend, and hold harmless Licensee and its Indemnified Parties for any and all Losses arising out of, resulting from or in connection with any claim of infringement, dilution, or other violation of any intellectual property right of any Person resulting from the use of the Licensed Mark by Licensee, its Affiliates or sublicensees in accordance with this Agreement.</w:t>
      </w:r>
    </w:p>
    <w:p>
      <w:pPr>
        <w:spacing w:after="0" w:line="18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328" w:firstLine="320"/>
        <w:spacing w:after="0" w:line="257" w:lineRule="auto"/>
        <w:tabs>
          <w:tab w:leader="none" w:pos="9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Indemnified Person submitting an claim for Losses (“</w:t>
      </w:r>
      <w:r>
        <w:rPr>
          <w:rFonts w:ascii="Times New Roman" w:cs="Times New Roman" w:eastAsia="Times New Roman" w:hAnsi="Times New Roman"/>
          <w:sz w:val="18"/>
          <w:szCs w:val="18"/>
          <w:b w:val="1"/>
          <w:bCs w:val="1"/>
          <w:color w:val="auto"/>
        </w:rPr>
        <w:t>Indemnified Claim</w:t>
      </w:r>
      <w:r>
        <w:rPr>
          <w:rFonts w:ascii="Times New Roman" w:cs="Times New Roman" w:eastAsia="Times New Roman" w:hAnsi="Times New Roman"/>
          <w:sz w:val="18"/>
          <w:szCs w:val="18"/>
          <w:color w:val="auto"/>
        </w:rPr>
        <w:t>”) under Section 14.1 or 14.2 shall deliver reasonably prompt written notice thereof to the Party from whom indemnification is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describing in reasonable detail the basis for the claim, include copies of any material written evidence thereof and shall indicate (to the extent known) the estimated amount of the Loss that has been or may be sustained by the Indemnified Party; provided, that no that no failure to provide such notice shall relieve Indemnifying Party of its indemnification obligations, except to the extent that the Indemnifying Party is materiality prejudiced by reason of such failure.</w:t>
      </w:r>
    </w:p>
    <w:p>
      <w:pPr>
        <w:spacing w:after="0" w:line="18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0" w:name="page21"/>
    <w:bookmarkEnd w:id="20"/>
    <w:p>
      <w:pPr>
        <w:jc w:val="both"/>
        <w:ind w:firstLine="320"/>
        <w:spacing w:after="0" w:line="253" w:lineRule="auto"/>
        <w:tabs>
          <w:tab w:leader="none" w:pos="5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Indemnified Claim results from a claim, suit, action or other proceeding brought by a third-party, the Indemnifying Party shall have the right to assume the defense promptly assume control of the defense and investigation of the Indemnified Claim, with counsel of its own choosing, and the Indemnified Party shall reasonably cooperate with the Indemnifying Party in connection therewith, in each case at the Indemnifying Party’s sole cost and expense; provided, that the Indemnifying Party shall not have the right to assume the defense of any such third-party claim to the extent it (a) involves criminal or quasi-criminal allegations, (b) seeks an injunction or other equitable relief, (c) involves any customer or supplier of any Indemnified Party or any other Person with whom any Indemnified Party has a material business relationship, or (d) amount of such third-party claim is reasonably likely to exceed the Indemnified Party’s ability to pay. The Indemnified Party may participate in the defense of such Indemnified Claim, with counsel of its own choosing and at its own cost and expense. The Indemnifying Party shall not compromise or settle any Indemnified Claim (i) on any terms or in any manner that adversely affects the rights of any Party hereunder (other than the Indemnified Party) without such Party’s prior written consent, and (ii) such compromise or settlement (x) is solely for monetary damages (for which Indemnifying Party is solely responsible), (y) does not impose injunctive or other equitable relief against the Indemnified Party, and (z) includes an unconditional release of the Indemnified Party from all liability with respect to such claim, suit, action or other proceeding.</w:t>
      </w:r>
    </w:p>
    <w:p>
      <w:pPr>
        <w:spacing w:after="0" w:line="189" w:lineRule="exact"/>
        <w:rPr>
          <w:rFonts w:ascii="Times New Roman" w:cs="Times New Roman" w:eastAsia="Times New Roman" w:hAnsi="Times New Roman"/>
          <w:sz w:val="18"/>
          <w:szCs w:val="18"/>
          <w:color w:val="auto"/>
        </w:rPr>
      </w:pPr>
    </w:p>
    <w:p>
      <w:pPr>
        <w:jc w:val="both"/>
        <w:ind w:firstLine="320"/>
        <w:spacing w:after="0" w:line="261" w:lineRule="auto"/>
        <w:tabs>
          <w:tab w:leader="none" w:pos="58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Indemnified Claim does not result from a claim, suit, action or other proceeding brought by a third-party, the Indemnifying Party shall have fifteen (15) days after its receipt of to respond in writing to such Indemnified Claim. If the Indemnifying Party does not so respond within such fifteen (15) day period, Indemnifying Party shall be deemed to have rejected such claim, in which case the Indemnified Party shall be free to pursue such remedies as may be available to the Indemnified Party on the terms and subject to the provisions of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0"/>
        <w:spacing w:after="0" w:line="261" w:lineRule="auto"/>
        <w:tabs>
          <w:tab w:leader="none" w:pos="5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during the Term of this Agreement, each Party shall procure and maintain, at its sole cost and expense, commercial general liability insurance with limits no less than $1,000,000 per occurrence and $5,000,000 in the aggregate, including bodily injury and property damage and products and completed operations and advertising liability, which policy will include contractual liability coverage insuring the activities of Licensee under this Agreement.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1" w:name="page22"/>
    <w:bookmarkEnd w:id="21"/>
    <w:p>
      <w:pPr>
        <w:ind w:left="888" w:hanging="240"/>
        <w:spacing w:after="0"/>
        <w:tabs>
          <w:tab w:leader="none" w:pos="8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policies required pursuant to Section 14.4 must:</w:t>
      </w:r>
    </w:p>
    <w:p>
      <w:pPr>
        <w:spacing w:after="0" w:line="225" w:lineRule="exact"/>
        <w:rPr>
          <w:rFonts w:ascii="Times New Roman" w:cs="Times New Roman" w:eastAsia="Times New Roman" w:hAnsi="Times New Roman"/>
          <w:sz w:val="18"/>
          <w:szCs w:val="18"/>
          <w:color w:val="auto"/>
        </w:rPr>
      </w:pPr>
    </w:p>
    <w:p>
      <w:pPr>
        <w:ind w:left="1508" w:hanging="212"/>
        <w:spacing w:after="0"/>
        <w:tabs>
          <w:tab w:leader="none" w:pos="1508"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by insurance companies with a Best’s Rating of no less than an A; and</w:t>
      </w:r>
    </w:p>
    <w:p>
      <w:pPr>
        <w:spacing w:after="0" w:line="225" w:lineRule="exact"/>
        <w:rPr>
          <w:rFonts w:ascii="Times New Roman" w:cs="Times New Roman" w:eastAsia="Times New Roman" w:hAnsi="Times New Roman"/>
          <w:sz w:val="18"/>
          <w:szCs w:val="18"/>
          <w:color w:val="auto"/>
        </w:rPr>
      </w:pPr>
    </w:p>
    <w:p>
      <w:pPr>
        <w:jc w:val="both"/>
        <w:ind w:left="648" w:firstLine="648"/>
        <w:spacing w:after="0" w:line="266" w:lineRule="auto"/>
        <w:tabs>
          <w:tab w:leader="none" w:pos="157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 the other Parties at least thirty (30) days’ prior written notice of cancellation or non-renewal of insurance policy coverage;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prior to such cancellation, the applicable Party shall put into effect new insurance policies in place that meet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Section 14.4.</w:t>
      </w:r>
    </w:p>
    <w:p>
      <w:pPr>
        <w:spacing w:after="0" w:line="175" w:lineRule="exact"/>
        <w:rPr>
          <w:rFonts w:ascii="Times New Roman" w:cs="Times New Roman" w:eastAsia="Times New Roman" w:hAnsi="Times New Roman"/>
          <w:sz w:val="18"/>
          <w:szCs w:val="18"/>
          <w:color w:val="auto"/>
        </w:rPr>
      </w:pPr>
    </w:p>
    <w:p>
      <w:pPr>
        <w:ind w:left="328" w:firstLine="320"/>
        <w:spacing w:after="0" w:line="282" w:lineRule="auto"/>
        <w:tabs>
          <w:tab w:leader="none" w:pos="91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provide the other Parties with copies of the certificates of insurance and policy endorsements required by this Section 14.4 on or prior to the Effective Date and shall not do anything to invalidate such insurance (subject to Section 14.4(b)(ii)).</w:t>
      </w:r>
    </w:p>
    <w:p>
      <w:pPr>
        <w:spacing w:after="0" w:line="161" w:lineRule="exact"/>
        <w:rPr>
          <w:rFonts w:ascii="Times New Roman" w:cs="Times New Roman" w:eastAsia="Times New Roman" w:hAnsi="Times New Roman"/>
          <w:sz w:val="18"/>
          <w:szCs w:val="18"/>
          <w:color w:val="auto"/>
        </w:rPr>
      </w:pPr>
    </w:p>
    <w:p>
      <w:pPr>
        <w:ind w:left="268" w:hanging="268"/>
        <w:spacing w:after="0"/>
        <w:tabs>
          <w:tab w:leader="none" w:pos="2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will commence as of the Effective Date and, unless terminated earlier in accordance with this Section 15, or by mutual written agreement of the Parties hereto, continue in perpetuity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This Agreement may be terminated as follows:</w:t>
      </w:r>
    </w:p>
    <w:p>
      <w:pPr>
        <w:spacing w:after="0" w:line="225" w:lineRule="exact"/>
        <w:rPr>
          <w:sz w:val="20"/>
          <w:szCs w:val="20"/>
          <w:color w:val="auto"/>
        </w:rPr>
      </w:pPr>
    </w:p>
    <w:p>
      <w:pPr>
        <w:ind w:left="888" w:hanging="240"/>
        <w:spacing w:after="0"/>
        <w:tabs>
          <w:tab w:leader="none" w:pos="8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Licensor upon written notice to Licensee, if</w:t>
      </w:r>
    </w:p>
    <w:p>
      <w:pPr>
        <w:spacing w:after="0" w:line="225" w:lineRule="exact"/>
        <w:rPr>
          <w:rFonts w:ascii="Times New Roman" w:cs="Times New Roman" w:eastAsia="Times New Roman" w:hAnsi="Times New Roman"/>
          <w:sz w:val="18"/>
          <w:szCs w:val="18"/>
          <w:color w:val="auto"/>
        </w:rPr>
      </w:pPr>
    </w:p>
    <w:p>
      <w:pPr>
        <w:jc w:val="both"/>
        <w:ind w:left="648" w:firstLine="648"/>
        <w:spacing w:after="0" w:line="258" w:lineRule="auto"/>
        <w:tabs>
          <w:tab w:leader="none" w:pos="151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Licensee fails to pay the Royalty Payments in accordance with this Agreement (other than those disputed in accordance with Section 10.6), (y) Licensor uses reasonable efforts to discuss such overdue payments with Licensee’s Chief Financial Officer (or such other appropriate Licensee Representative as may be communicated to Licensor by Licensee in writing) and (z) such Royalty Payments remain in default for thirty (30) days or more after being notified in writing by Licensor that Licensor intends to terminate the Agreement if such Royalty Payment is not paid because such payment is overdue; or</w:t>
      </w:r>
    </w:p>
    <w:p>
      <w:pPr>
        <w:spacing w:after="0" w:line="183" w:lineRule="exact"/>
        <w:rPr>
          <w:rFonts w:ascii="Times New Roman" w:cs="Times New Roman" w:eastAsia="Times New Roman" w:hAnsi="Times New Roman"/>
          <w:sz w:val="18"/>
          <w:szCs w:val="18"/>
          <w:color w:val="auto"/>
        </w:rPr>
      </w:pPr>
    </w:p>
    <w:p>
      <w:pPr>
        <w:jc w:val="both"/>
        <w:ind w:left="648" w:firstLine="648"/>
        <w:spacing w:after="0" w:line="258" w:lineRule="auto"/>
        <w:tabs>
          <w:tab w:leader="none" w:pos="156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materially breaches this Agreement (other than failure to pay amounts due under this Agreement) and Licensee fails to cure such breach within thirty (30) days of being notified in writing to do so by Licensor or, if such breach cannot reasonably be cured within thirty (30) days, then Licensee shall commence curing the breach within thirty (30) days and diligently pursue such cure thereafter; provided, however, that Licensor shall not have the right to terminate this agreement pursuant to this Section 15.2(a) if Licensor is then in material breach of this Agreement;</w:t>
      </w:r>
    </w:p>
    <w:p>
      <w:pPr>
        <w:spacing w:after="0" w:line="183" w:lineRule="exact"/>
        <w:rPr>
          <w:rFonts w:ascii="Times New Roman" w:cs="Times New Roman" w:eastAsia="Times New Roman" w:hAnsi="Times New Roman"/>
          <w:sz w:val="18"/>
          <w:szCs w:val="18"/>
          <w:color w:val="auto"/>
        </w:rPr>
      </w:pPr>
    </w:p>
    <w:p>
      <w:pPr>
        <w:jc w:val="both"/>
        <w:ind w:left="328" w:firstLine="320"/>
        <w:spacing w:after="0" w:line="258" w:lineRule="auto"/>
        <w:tabs>
          <w:tab w:leader="none" w:pos="9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Licensee, if Licensor or Dragonfly materially breaches this Agreement and (if such breach is curable) Licensor or Dragonfly (as applicable) fails to cure such breach within thirty (30) days of being notified in writing to do so by Licensee or, if such breach cannot reasonably be cured within thirty (30) days, then Licensor shall commence curing the breach within thirty (30) days and diligently pursue such cure thereafter; provided, however, that Licensee shall not have the right to terminate this agreement pursuant to this Section 15.2(b) if Licensee is then in material breach of this Agreement; or</w:t>
      </w:r>
    </w:p>
    <w:p>
      <w:pPr>
        <w:spacing w:after="0" w:line="1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2" w:name="page23"/>
    <w:bookmarkEnd w:id="22"/>
    <w:p>
      <w:pPr>
        <w:ind w:left="888" w:hanging="240"/>
        <w:spacing w:after="0"/>
        <w:tabs>
          <w:tab w:leader="none" w:pos="8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Licensee or Licensor, in accordance with the terms of Section 10.3.</w:t>
      </w:r>
    </w:p>
    <w:p>
      <w:pPr>
        <w:spacing w:after="0" w:line="221" w:lineRule="exact"/>
        <w:rPr>
          <w:rFonts w:ascii="Times New Roman" w:cs="Times New Roman" w:eastAsia="Times New Roman" w:hAnsi="Times New Roman"/>
          <w:sz w:val="18"/>
          <w:szCs w:val="18"/>
          <w:color w:val="auto"/>
        </w:rPr>
      </w:pPr>
    </w:p>
    <w:p>
      <w:pPr>
        <w:jc w:val="both"/>
        <w:ind w:left="328" w:firstLine="320"/>
        <w:spacing w:after="0" w:line="253" w:lineRule="auto"/>
        <w:tabs>
          <w:tab w:leader="none" w:pos="90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Insolvency Event (as defined below) shall have occurred and be continuing in respect of Licensor (a “</w:t>
      </w:r>
      <w:r>
        <w:rPr>
          <w:rFonts w:ascii="Times New Roman" w:cs="Times New Roman" w:eastAsia="Times New Roman" w:hAnsi="Times New Roman"/>
          <w:sz w:val="18"/>
          <w:szCs w:val="18"/>
          <w:b w:val="1"/>
          <w:bCs w:val="1"/>
          <w:color w:val="auto"/>
        </w:rPr>
        <w:t>Licensor Insolvency Event</w:t>
      </w:r>
      <w:r>
        <w:rPr>
          <w:rFonts w:ascii="Times New Roman" w:cs="Times New Roman" w:eastAsia="Times New Roman" w:hAnsi="Times New Roman"/>
          <w:sz w:val="18"/>
          <w:szCs w:val="18"/>
          <w:color w:val="auto"/>
        </w:rPr>
        <w:t>”) or in respect of Licensee (a “</w:t>
      </w:r>
      <w:r>
        <w:rPr>
          <w:rFonts w:ascii="Times New Roman" w:cs="Times New Roman" w:eastAsia="Times New Roman" w:hAnsi="Times New Roman"/>
          <w:sz w:val="18"/>
          <w:szCs w:val="18"/>
          <w:b w:val="1"/>
          <w:bCs w:val="1"/>
          <w:color w:val="auto"/>
        </w:rPr>
        <w:t>Licensee Insolvency Event</w:t>
      </w:r>
      <w:r>
        <w:rPr>
          <w:rFonts w:ascii="Times New Roman" w:cs="Times New Roman" w:eastAsia="Times New Roman" w:hAnsi="Times New Roman"/>
          <w:sz w:val="18"/>
          <w:szCs w:val="18"/>
          <w:color w:val="auto"/>
        </w:rPr>
        <w:t xml:space="preserve">”), then Licensee (in the case of a Licensor Insolvency Event) or Licensor (in the case of a Licensee Insolvency Event), respectively, has the right to terminate this Agreement upon written notice to the Licensor or Licensee, respectively; provided, that upon the occurrence of any Insolvency Event specified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the subject of which Insolvency Event is the Licensee (and not, for the avoidance of doubt, the Licensor), this Agreement shall immediately and automatically terminate without declaration, notice or any other action, unless the Licensor gives notice to the Licensee within 15 days after the occurrence of the applicable Insolvency Event that it elects that this Agreement shall continue and not terminate. “</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means that either Licensor or Licensee, as applicable, (i) becomes insolvent or admits its inability to pay its debts generally as they become due; (ii) becomes subject, voluntarily or involuntarily, to any proceeding under any domestic or foreign bankruptcy or insolvency law, which is not fully stayed within fifteen (15) business days or is not dismissed or vacated within forty-five (45) days after filing; (iii) is dissolved or liquidated or takes any corporate action for such purpose; (iv) makes a general assignment for the benefit of creditors; or (v) has a receiver, trustee, custodian, or similar agent appointed by order of any court of competent jurisdiction to take charge of or sell any material portion of its property or business.</w:t>
      </w:r>
    </w:p>
    <w:p>
      <w:pPr>
        <w:spacing w:after="0" w:line="193" w:lineRule="exact"/>
        <w:rPr>
          <w:rFonts w:ascii="Times New Roman" w:cs="Times New Roman" w:eastAsia="Times New Roman" w:hAnsi="Times New Roman"/>
          <w:sz w:val="18"/>
          <w:szCs w:val="18"/>
          <w:color w:val="auto"/>
        </w:rPr>
      </w:pPr>
    </w:p>
    <w:p>
      <w:pPr>
        <w:ind w:left="268" w:hanging="268"/>
        <w:spacing w:after="0"/>
        <w:tabs>
          <w:tab w:leader="none" w:pos="2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Rights and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On the termination of this Agreement for any reason and subject to any express provisions set out elsewhere in this</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Agreement (including Section 15.2):</w:t>
      </w:r>
    </w:p>
    <w:p>
      <w:pPr>
        <w:spacing w:after="0" w:line="207" w:lineRule="exact"/>
        <w:rPr>
          <w:sz w:val="20"/>
          <w:szCs w:val="20"/>
          <w:color w:val="auto"/>
        </w:rPr>
      </w:pPr>
    </w:p>
    <w:p>
      <w:pPr>
        <w:ind w:left="888" w:hanging="240"/>
        <w:spacing w:after="0"/>
        <w:tabs>
          <w:tab w:leader="none" w:pos="8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amounts payable by Licensee to Licensor shall immediately become due and payable;</w:t>
      </w:r>
    </w:p>
    <w:p>
      <w:pPr>
        <w:spacing w:after="0" w:line="225"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and licenses granted pursuant to this Agreement shall immediately cease;</w:t>
      </w:r>
    </w:p>
    <w:p>
      <w:pPr>
        <w:spacing w:after="0" w:line="225" w:lineRule="exact"/>
        <w:rPr>
          <w:rFonts w:ascii="Times New Roman" w:cs="Times New Roman" w:eastAsia="Times New Roman" w:hAnsi="Times New Roman"/>
          <w:sz w:val="18"/>
          <w:szCs w:val="18"/>
          <w:color w:val="auto"/>
        </w:rPr>
      </w:pPr>
    </w:p>
    <w:p>
      <w:pPr>
        <w:ind w:left="888" w:hanging="240"/>
        <w:spacing w:after="0"/>
        <w:tabs>
          <w:tab w:leader="none" w:pos="8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immediately cease all use of the Licensed Mark; and</w:t>
      </w:r>
    </w:p>
    <w:p>
      <w:pPr>
        <w:spacing w:after="0" w:line="225" w:lineRule="exact"/>
        <w:rPr>
          <w:rFonts w:ascii="Times New Roman" w:cs="Times New Roman" w:eastAsia="Times New Roman" w:hAnsi="Times New Roman"/>
          <w:sz w:val="18"/>
          <w:szCs w:val="18"/>
          <w:color w:val="auto"/>
        </w:rPr>
      </w:pPr>
    </w:p>
    <w:p>
      <w:pPr>
        <w:jc w:val="both"/>
        <w:ind w:left="328" w:firstLine="320"/>
        <w:spacing w:after="0" w:line="255" w:lineRule="auto"/>
        <w:tabs>
          <w:tab w:leader="none" w:pos="9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Party’s written request, the other Party shall reasonably promptly return such requesting Party or destroy, at its own expense, any Confidential Information of the requesting Party and all copies thereof. Notwithstanding the foregoing, neither Party will be required to (i) return or destroy the other Party’s Confidential Information that it is required to retain pursuant to applicable law or (ii) search archived electronic back-up files of its computer systems for the other Party’s Confidential Information in order to return or destroy the other Party’s Confidential Information from its archived files, provided that any of the other Party’s Confidential Information retained in accordance with subparts (i) and (ii) shall remain subject to the confidentiality and non-disclosure obligations set forth in this Agreement until such Confidential Information is returned or destroyed.</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3" w:name="page24"/>
    <w:bookmarkEnd w:id="23"/>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Sell-Off Period</w:t>
      </w:r>
      <w:r>
        <w:rPr>
          <w:rFonts w:ascii="Times New Roman" w:cs="Times New Roman" w:eastAsia="Times New Roman" w:hAnsi="Times New Roman"/>
          <w:sz w:val="18"/>
          <w:szCs w:val="18"/>
          <w:color w:val="auto"/>
        </w:rPr>
        <w:t>. On termination of this Agreement for any reason, Licensee shall have the right to dispose of all stocks of Licensed Products in its possession and all Licensed Products in the course of manufacture or production as of the date of termination for a period of twelve (12) months after the date of termination of this Agreement, in each case, in accordance with the terms and conditions of this Agreement, and provided that any Royalty Payment or other payment due under the provisions of Section 10 is paid to Licensor within ninety (90) days after the earlier of (x) the date the last Licensed Product is sold or delivered or (y) the end of such twelve (12) month period.</w:t>
      </w:r>
    </w:p>
    <w:p>
      <w:pPr>
        <w:spacing w:after="0" w:line="183"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Surviving Rights</w:t>
      </w:r>
      <w:r>
        <w:rPr>
          <w:rFonts w:ascii="Times New Roman" w:cs="Times New Roman" w:eastAsia="Times New Roman" w:hAnsi="Times New Roman"/>
          <w:sz w:val="18"/>
          <w:szCs w:val="18"/>
          <w:color w:val="auto"/>
        </w:rPr>
        <w:t>. The rights and obligations of the Parties set forth in this Section 16.3 and Section 1, Section 4.1, Section 7.8, Section 10, Section 12, Section 13, Section 14.1-14.3, Section 16, Section 18, and Section 19.2-19.16, and any right, obligation, or required performance of the Parties in this Agreement, which, by its express terms or nature and context is intended to survive termination or expiration of this Agreement, will survive any such termination or expiration. No Party shall be relieved of any liability with respect of any inaccuracy, breach or non-fulfillment of any provision hereof prior to such termination, or of any provision hereof that survive the termination hereof after the termination 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16.4 Any successor to a Party shall be bound by this Agreement.</w:t>
      </w:r>
    </w:p>
    <w:p>
      <w:pPr>
        <w:spacing w:after="0" w:line="225" w:lineRule="exact"/>
        <w:rPr>
          <w:sz w:val="20"/>
          <w:szCs w:val="20"/>
          <w:color w:val="auto"/>
        </w:rPr>
      </w:pPr>
    </w:p>
    <w:p>
      <w:pPr>
        <w:jc w:val="both"/>
        <w:ind w:firstLine="332"/>
        <w:spacing w:after="0" w:line="266" w:lineRule="auto"/>
        <w:tabs>
          <w:tab w:leader="none" w:pos="5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Sublicense</w:t>
      </w:r>
      <w:r>
        <w:rPr>
          <w:rFonts w:ascii="Times New Roman" w:cs="Times New Roman" w:eastAsia="Times New Roman" w:hAnsi="Times New Roman"/>
          <w:sz w:val="18"/>
          <w:szCs w:val="18"/>
          <w:color w:val="auto"/>
        </w:rPr>
        <w:t>. Licensee shall have the limited right to sublicense the Licensed Mark to another Person for the sole purpose of allowing such Person to assist Licensee in connection with the production, distribution, advertising, commercialization or sale of the Licensed Products in strict accordance with the terms of this Agreement.</w:t>
      </w:r>
    </w:p>
    <w:p>
      <w:pPr>
        <w:spacing w:after="0" w:line="175" w:lineRule="exact"/>
        <w:rPr>
          <w:rFonts w:ascii="Times New Roman" w:cs="Times New Roman" w:eastAsia="Times New Roman" w:hAnsi="Times New Roman"/>
          <w:sz w:val="18"/>
          <w:szCs w:val="18"/>
          <w:color w:val="auto"/>
        </w:rPr>
      </w:pPr>
    </w:p>
    <w:p>
      <w:pPr>
        <w:jc w:val="both"/>
        <w:ind w:firstLine="332"/>
        <w:spacing w:after="0" w:line="253" w:lineRule="auto"/>
        <w:tabs>
          <w:tab w:leader="none" w:pos="5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No Party shall assign or otherwise transfer any of its rights, or delegate or otherwise transfer any of its obligations or performance, under this Agreement, in each case whether voluntarily, involuntarily, by operation of law, or otherwise, without the other Parties prior written consent, which consent shall not be unreasonably withheld, conditioned, or delayed. For purposes of the preceding sentence, and without limiting its generality, any merger, consolidation, or reorganization involving a Party (regardless of whether such Party is a surviving or disappearing entity) or sale of all or substantially all the assets or business of such Party to which this Agreement relates will be deemed to be a transfer of rights, obligations, or performance under this Agreement for which the other Parties’ prior written consent is not required, provided that, in each case, the successor entity to which this Agreement is assigned expressly agrees to be bound by this Agreement and all other related agreements between the Parties. No delegation or other transfer will relieve a Party of any of its obligations or performance under this Agreement. Any purported assignment, delegation, or transfer in violation of this Section 18 is null and void. Except as permitted in a transaction permitted by Section 5 (including without limitation in connection with any Excluded Transaction under the right of first refusal provisions attached as Exhibit C to this Agreement) and Section 6, the Licensed Mark and the Parties’ obligations under this Agreement, the Transfer and License-Back Agreement and all other related agreements between the Parties may not be separately assigned or otherwise transferred, in whole or in part.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268" w:hanging="268"/>
        <w:spacing w:after="0"/>
        <w:tabs>
          <w:tab w:leader="none" w:pos="2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upon the request of the other Party, and, except as otherwise expressly set forth herein, at such other Party’s sole expense, promptly execute such documents and perform such acts as may be necessary to give full effect to the terms of this Agreement.</w:t>
      </w:r>
    </w:p>
    <w:p>
      <w:pPr>
        <w:spacing w:after="0" w:line="162"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The relationship between the Parties is that of independent contractors. Nothing contained in this Agreement will be construed as creating any agency, partnership, joint venture, or other form of joint enterprise, employment, or fiduciary relationship between the Parties, and neither party has authority to contract for, or bind the other Party in, any manner whatsoever.</w:t>
      </w:r>
    </w:p>
    <w:p>
      <w:pPr>
        <w:spacing w:after="0" w:line="176" w:lineRule="exact"/>
        <w:rPr>
          <w:sz w:val="20"/>
          <w:szCs w:val="20"/>
          <w:color w:val="auto"/>
        </w:rPr>
      </w:pPr>
    </w:p>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u w:val="single" w:color="auto"/>
          <w:color w:val="auto"/>
        </w:rPr>
        <w:t>No Public Announcements</w:t>
      </w:r>
      <w:r>
        <w:rPr>
          <w:rFonts w:ascii="Times New Roman" w:cs="Times New Roman" w:eastAsia="Times New Roman" w:hAnsi="Times New Roman"/>
          <w:sz w:val="18"/>
          <w:szCs w:val="18"/>
          <w:color w:val="auto"/>
        </w:rPr>
        <w:t>. Neither Party shall issue or release any announcement, statement, press release, or other publicity or marketing materials relating to this Agreement, or, unless expressly permitted under this Agreement, otherwise use the other Party’s trademarks, service marks, trade names, logos, domain names, or other indicia of source, association, or sponsorship, in each case, without the prior written consent of the other Party, which may not be unreasonably withheld, conditioned, or delayed.</w:t>
      </w:r>
    </w:p>
    <w:p>
      <w:pPr>
        <w:spacing w:after="0" w:line="180" w:lineRule="exact"/>
        <w:rPr>
          <w:sz w:val="20"/>
          <w:szCs w:val="20"/>
          <w:color w:val="auto"/>
        </w:rPr>
      </w:pPr>
    </w:p>
    <w:p>
      <w:pPr>
        <w:jc w:val="both"/>
        <w:ind w:left="8" w:firstLine="324"/>
        <w:spacing w:after="0" w:line="255" w:lineRule="auto"/>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claims, demands, waivers, and other communications hereunder (other than routine communications having no legal effect) must be in writing and will be deemed to have been given (a) when delivered by hand (with written confirmation of receipt); (b) when received by the addressee if sent by a nationally recognized overnight courier (receipt requested); (c) on the date sent by facsimile or email (in each case, with confirmation of transmission or receipt)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may be specified in a notice given in accordance with this Section 19.4).</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If to Licensor: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Battle Born Battery Products,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1190 Trademark Dr., Suite #108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 89512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Dominic Sinnott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dsinnott@dragonflyenergy.com</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Dragonfly Energy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1190 Trademark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NV 89521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Dominic Sinnott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 dsinnott@dragonflyenergy.com</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Dragonfly: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Dragonfly Energy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1190 Trademark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NV 89521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Dominic Sinnott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:dsinnott@dragonflyenergy.com</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Howard &amp; Howard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3800 Howard Hughes Pkwy, STE 1000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NV 89169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Joanna Myers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jmm@h2law.com</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Stryten Energy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5925 Cabot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Bob Penman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bob.penman@motrexllc.com</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Allen Overy Shearman Sterling LLP</w:t>
      </w:r>
    </w:p>
    <w:p>
      <w:pPr>
        <w:spacing w:after="0" w:line="39"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18"/>
          <w:szCs w:val="18"/>
          <w:color w:val="auto"/>
        </w:rPr>
        <w:t>401 9</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Street NW</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Attention: Christopher M. Zochowski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Bradley Noojin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czochowski@aoshearman.com bnoojin@aoshearman.com</w:t>
      </w:r>
    </w:p>
    <w:p>
      <w:pPr>
        <w:sectPr>
          <w:pgSz w:w="11900" w:h="16838" w:orient="portrait"/>
          <w:cols w:equalWidth="0" w:num="1">
            <w:col w:w="11240"/>
          </w:cols>
          <w:pgMar w:left="320" w:top="688" w:right="339" w:bottom="1440" w:gutter="0" w:footer="0" w:header="0"/>
          <w:type w:val="continuous"/>
        </w:sectPr>
      </w:pPr>
    </w:p>
    <w:p>
      <w:pPr>
        <w:spacing w:after="0" w:line="207"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For purposes of this Agreement, (a) the words “include,” “includes,” and “including” will be deemed to be followed by the words “without limitation”; (b) the word “or” is not exclusive; and (c) the words “herein,” “hereof,” “hereby,” “hereto,” and “hereunder” refer to this Agreement as a whole. Unless the context otherwise requires, references herein: (x) to Sections, Schedules, and Exhibits refer to the Sections of, and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will be construed without regard to any presumption or rule requiring construction or interpretation against the party drafting an instrument or causing any instrument to be drafted. Any Schedules and Exhibits referred to herein will be construed with, and as an integral part of, this Agreement to the same extent as if they were set forth verbatim herein.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19.6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only and do not affect the interpretation of this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6" w:name="page27"/>
    <w:bookmarkEnd w:id="2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19.7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all Schedules and Exhibits hereto, and any other documents incorporated herein by reference, constitute the entire agreement of the Parties to this Agreement with respect to the subject matter contained herein. In the event of any conflict between the terms and provisions of this Agreement and those of any Schedule or other document, the following order of precedence shall govern: (a) first, this Agreement, excluding its Schedules and Exhibits; and (b) second, the Schedules and Exhibits to this Agreement; and (c) third, any other documents incorporated herein by reference. The Parties expressly acknowledge that they are entering into other agreements contemporaneously herewith and/or after this Agreement, and that this Agreement shall survive termination of any other agreements between the Parties unless otherwise terminated in accordance with Section 15 of this Agreement.</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19.8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Except as expressly set forth in Section 14 with respect to Indemnified Parties, this Agreement is for the sole benefit of the Parties hereto and their respective successors and permitted assigns and nothing herein, express or implied, is intended to or will confer upon any other Person any legal or equitable right, benefit, or remedy of any nature whatsoever, under or by reason of this Agreement.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19.9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xml:space="preserve"> This Agreement is binding upon and inures to the benefit of the parties hereto and their respective permitted successors and assigns.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19.10 </w:t>
      </w:r>
      <w:r>
        <w:rPr>
          <w:rFonts w:ascii="Times New Roman" w:cs="Times New Roman" w:eastAsia="Times New Roman" w:hAnsi="Times New Roman"/>
          <w:sz w:val="18"/>
          <w:szCs w:val="18"/>
          <w:u w:val="single" w:color="auto"/>
          <w:color w:val="auto"/>
        </w:rPr>
        <w:t>Amendment and Modification; Waiver</w:t>
      </w:r>
      <w:r>
        <w:rPr>
          <w:rFonts w:ascii="Times New Roman" w:cs="Times New Roman" w:eastAsia="Times New Roman" w:hAnsi="Times New Roman"/>
          <w:sz w:val="18"/>
          <w:szCs w:val="18"/>
          <w:color w:val="auto"/>
        </w:rPr>
        <w:t>. This Agreement may only be amended, modified, or supplemented by an agreement in writing signed by each Party hereto. No waiver by either Party of any of the provisions hereof will be effective unless explicitly set forth in writing and signed by the waiving Party. Except as otherwise set forth in this Agreement, no failure to exercise, or delay in exercising, any rights, remedy, power, or privilege arising from this Agreement will operate or be construed as a waiver thereof; nor will any single or partial exercise of any right, remedy, power, or privilege hereunder preclude any other or further exercise thereof or the exercise of any other right, remedy, power, or privilege.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19.11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Agreement is invalid, illegal, or unenforceable in any jurisdiction, such invalidity, illegality, or unenforceability will not affect any other term or provision of this Agreement or invalidate or render unenforceable such term or provision in any other jurisdiction. Upon a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permitted under applicable Law.</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19.12 </w:t>
      </w:r>
      <w:r>
        <w:rPr>
          <w:rFonts w:ascii="Times New Roman" w:cs="Times New Roman" w:eastAsia="Times New Roman" w:hAnsi="Times New Roman"/>
          <w:sz w:val="18"/>
          <w:szCs w:val="18"/>
          <w:u w:val="single" w:color="auto"/>
          <w:color w:val="auto"/>
        </w:rPr>
        <w:t>Governing Law; Submission to Jurisdiction</w:t>
      </w:r>
      <w:r>
        <w:rPr>
          <w:rFonts w:ascii="Times New Roman" w:cs="Times New Roman" w:eastAsia="Times New Roman" w:hAnsi="Times New Roman"/>
          <w:sz w:val="18"/>
          <w:szCs w:val="18"/>
          <w:color w:val="auto"/>
        </w:rPr>
        <w:t>. This Agreement is governed by and construed in accordance with the internal Laws of the State of Delaware without giving effect to any choice or conflict of law provision or rule (whether of the State of Delaware or any other jurisdiction) that would cause the application of Laws of any other. Any legal suit, action, or proceeding arising out of or related to this Agreement will be instituted exclusively in the federal courts of the United States or the courts of the State of Delaware in each case located in the City of Wilmington and County of New Castle, and each party irrevocably submits to the exclusive jurisdiction of such courts in any such suit, action, or proceeding. Service of process, summons, notice, or other document by mail to such party’s address set forth herein will be effective service of process for any suit, action, or other proceeding brought in any such court.</w:t>
      </w:r>
    </w:p>
    <w:p>
      <w:pPr>
        <w:spacing w:after="0" w:line="1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27" w:name="page28"/>
    <w:bookmarkEnd w:id="27"/>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19.13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PARTY IRREVOCABLY AND UNCONDITIONALLY WAIVES ANY RIGHT IT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HAVE TO A TRIAL BY JURY IN RESPECT OF ANY CLAIM, SUIT, ACTION, OR PROCEEDING ARISING OUT OF OR RELATING TO THIS AGREEMENT OR THE TRANSACTIONS CONTEMPLATED HEREBY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19.14 </w:t>
      </w: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Each Party acknowledges that a breach by it of this Agreement (including, for the avoidance of doubt, any breach of Section 4.3 by Licensor) may cause the other Party irreparable harm, for which an award of damages would not be adequate compensation and agrees that, in the event of such a breach or threatened breach, the other Party will be entitled to equitable relief, including in the form of a restraining order, orders for preliminary or permanent injunction, specific performance, and any other relief that may be available from any court, and Parties hereby waive any requirement for the securing or posting of any bond or the showing of actual monetary damages in connection with such relief. These remedies will not be deemed to be exclusive but are in addition to all other remedies available under this Agreement at Law or in equity, subject to any express exclusions or limitations in this Agreement to the contrary.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19.15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that any claim, suit, action, or proceeding is instituted or commenced by either party hereto against the other party arising out of or related to this Agreement, the prevailing party will be entitled to recover its reasonable attorneys’ fees and court costs from the non-prevailing party.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19.16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but all of which together will be deemed to be one and the same agreement. A signed copy of this Agreement delivered by facsimile, e-mail, DocuSign or other means of electronic transmission (to which a signed PDF copy is attached) will be deemed to have the same legal effect as delivery of an original signed copy of this Agreement.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19.17 </w:t>
      </w:r>
      <w:r>
        <w:rPr>
          <w:rFonts w:ascii="Times New Roman" w:cs="Times New Roman" w:eastAsia="Times New Roman" w:hAnsi="Times New Roman"/>
          <w:sz w:val="18"/>
          <w:szCs w:val="18"/>
          <w:u w:val="single" w:color="auto"/>
          <w:color w:val="auto"/>
        </w:rPr>
        <w:t>Cooperation in Event of Consumer Confusion</w:t>
      </w:r>
      <w:r>
        <w:rPr>
          <w:rFonts w:ascii="Times New Roman" w:cs="Times New Roman" w:eastAsia="Times New Roman" w:hAnsi="Times New Roman"/>
          <w:sz w:val="18"/>
          <w:szCs w:val="18"/>
          <w:color w:val="auto"/>
        </w:rPr>
        <w:t>. In the event of consumer confusion arising from or relating to the Parties’ respective uses of the Licensed Mark, the Parties shall cooperate in good faith to promptly address and avoid such consumer confusion.</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4" w:right="3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the Effective Date by their respective officers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BATTLE BORN BATTERY PRODUCTS, LLC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32061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STRYTEN ENERGY LLC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Mike Judd</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Mike Judd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DRAGONFLY ENERGY CORP.</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Licensed Mark</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Trademark</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Trademark Registration / Application No.</w:t>
            </w:r>
          </w:p>
        </w:tc>
      </w:tr>
      <w:tr>
        <w:trPr>
          <w:trHeight w:val="99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6895225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-633730</wp:posOffset>
            </wp:positionV>
            <wp:extent cx="1234440" cy="1868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3444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20"/>
        <w:spacing w:after="0"/>
        <w:tabs>
          <w:tab w:leader="none" w:pos="8760" w:val="left"/>
        </w:tabs>
        <w:rPr>
          <w:sz w:val="20"/>
          <w:szCs w:val="20"/>
          <w:color w:val="auto"/>
        </w:rPr>
      </w:pP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7"/>
          <w:szCs w:val="17"/>
          <w:b w:val="1"/>
          <w:bCs w:val="1"/>
          <w:color w:val="auto"/>
        </w:rPr>
        <w:t>Reg. No. 7284871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388620</wp:posOffset>
            </wp:positionV>
            <wp:extent cx="1234440" cy="8655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120"/>
        <w:spacing w:after="0"/>
        <w:tabs>
          <w:tab w:leader="none" w:pos="8760" w:val="left"/>
        </w:tabs>
        <w:rPr>
          <w:sz w:val="20"/>
          <w:szCs w:val="20"/>
          <w:color w:val="auto"/>
        </w:rPr>
      </w:pP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7"/>
          <w:szCs w:val="17"/>
          <w:b w:val="1"/>
          <w:bCs w:val="1"/>
          <w:color w:val="auto"/>
        </w:rPr>
        <w:t>Reg. No. 7284872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388620</wp:posOffset>
            </wp:positionV>
            <wp:extent cx="1234440" cy="8655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104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European Union</w:t>
      </w:r>
      <w:r>
        <w:rPr>
          <w:sz w:val="20"/>
          <w:szCs w:val="20"/>
          <w:color w:val="auto"/>
        </w:rPr>
        <w:tab/>
      </w:r>
      <w:r>
        <w:rPr>
          <w:rFonts w:ascii="Times New Roman" w:cs="Times New Roman" w:eastAsia="Times New Roman" w:hAnsi="Times New Roman"/>
          <w:sz w:val="17"/>
          <w:szCs w:val="17"/>
          <w:b w:val="1"/>
          <w:bCs w:val="1"/>
          <w:color w:val="auto"/>
        </w:rPr>
        <w:t>Reg. No. 018848387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388620</wp:posOffset>
            </wp:positionV>
            <wp:extent cx="1234440" cy="865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5000" w:type="dxa"/>
        <w:tblCellMar>
          <w:top w:w="0" w:type="dxa"/>
          <w:left w:w="0" w:type="dxa"/>
          <w:bottom w:w="0" w:type="dxa"/>
          <w:right w:w="0" w:type="dxa"/>
        </w:tblCellMar>
      </w:tblPr>
      <w:tr>
        <w:trPr>
          <w:trHeight w:val="216"/>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254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Reg. No.</w:t>
            </w:r>
          </w:p>
        </w:tc>
        <w:tc>
          <w:tcPr>
            <w:tcW w:w="0" w:type="dxa"/>
            <w:vAlign w:val="bottom"/>
          </w:tcPr>
          <w:p>
            <w:pPr>
              <w:spacing w:after="0"/>
              <w:rPr>
                <w:sz w:val="1"/>
                <w:szCs w:val="1"/>
                <w:color w:val="auto"/>
              </w:rPr>
            </w:pPr>
          </w:p>
        </w:tc>
      </w:tr>
      <w:tr>
        <w:trPr>
          <w:trHeight w:val="130"/>
        </w:trPr>
        <w:tc>
          <w:tcPr>
            <w:tcW w:w="2540" w:type="dxa"/>
            <w:vAlign w:val="bottom"/>
            <w:vMerge w:val="continue"/>
          </w:tcPr>
          <w:p>
            <w:pPr>
              <w:spacing w:after="0"/>
              <w:rPr>
                <w:sz w:val="11"/>
                <w:szCs w:val="11"/>
                <w:color w:val="auto"/>
              </w:rPr>
            </w:pPr>
          </w:p>
        </w:tc>
        <w:tc>
          <w:tcPr>
            <w:tcW w:w="2540" w:type="dxa"/>
            <w:vAlign w:val="bottom"/>
            <w:vMerge w:val="restart"/>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UK00003888983</w:t>
            </w: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231140</wp:posOffset>
            </wp:positionV>
            <wp:extent cx="1234440" cy="8655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International Registration</w:t>
      </w:r>
    </w:p>
    <w:p>
      <w:pPr>
        <w:spacing w:after="0" w:line="31" w:lineRule="exact"/>
        <w:rPr>
          <w:sz w:val="20"/>
          <w:szCs w:val="20"/>
          <w:color w:val="auto"/>
        </w:rPr>
      </w:pPr>
    </w:p>
    <w:p>
      <w:pPr>
        <w:ind w:left="5220" w:right="1140" w:hanging="913"/>
        <w:spacing w:after="0" w:line="250" w:lineRule="auto"/>
        <w:rPr>
          <w:sz w:val="20"/>
          <w:szCs w:val="20"/>
          <w:color w:val="auto"/>
        </w:rPr>
      </w:pPr>
      <w:r>
        <w:rPr>
          <w:rFonts w:ascii="Times New Roman" w:cs="Times New Roman" w:eastAsia="Times New Roman" w:hAnsi="Times New Roman"/>
          <w:sz w:val="18"/>
          <w:szCs w:val="18"/>
          <w:b w:val="1"/>
          <w:bCs w:val="1"/>
          <w:color w:val="auto"/>
        </w:rPr>
        <w:t>(and designated countries granting</w:t>
      </w:r>
      <w:r>
        <w:rPr>
          <w:sz w:val="20"/>
          <w:szCs w:val="20"/>
          <w:color w:val="auto"/>
        </w:rPr>
        <w:t xml:space="preserve"> </w:t>
      </w:r>
      <w:r>
        <w:rPr>
          <w:rFonts w:ascii="Times New Roman" w:cs="Times New Roman" w:eastAsia="Times New Roman" w:hAnsi="Times New Roman"/>
          <w:sz w:val="18"/>
          <w:szCs w:val="18"/>
          <w:b w:val="1"/>
          <w:bCs w:val="1"/>
          <w:color w:val="auto"/>
        </w:rPr>
        <w:t>Reg. No. 1683242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Trademark</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Trademark Registration / Application No.</w:t>
            </w: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2300563</w:t>
            </w: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Mexico</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2575209</w:t>
            </w: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 No. 2209962</w:t>
            </w:r>
          </w:p>
        </w:tc>
        <w:tc>
          <w:tcPr>
            <w:tcW w:w="0" w:type="dxa"/>
            <w:vAlign w:val="bottom"/>
          </w:tcPr>
          <w:p>
            <w:pPr>
              <w:spacing w:after="0"/>
              <w:rPr>
                <w:sz w:val="1"/>
                <w:szCs w:val="1"/>
                <w:color w:val="auto"/>
              </w:rPr>
            </w:pPr>
          </w:p>
        </w:tc>
      </w:tr>
      <w:tr>
        <w:trPr>
          <w:trHeight w:val="43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BATTLE BORN BATTERIES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UK00003888951</w:t>
            </w:r>
          </w:p>
        </w:tc>
        <w:tc>
          <w:tcPr>
            <w:tcW w:w="0" w:type="dxa"/>
            <w:vAlign w:val="bottom"/>
          </w:tcPr>
          <w:p>
            <w:pPr>
              <w:spacing w:after="0"/>
              <w:rPr>
                <w:sz w:val="1"/>
                <w:szCs w:val="1"/>
                <w:color w:val="auto"/>
              </w:rPr>
            </w:pPr>
          </w:p>
        </w:tc>
      </w:tr>
      <w:tr>
        <w:trPr>
          <w:trHeight w:val="43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BATTLE BORN BATTERIES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European Union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018848379</w:t>
            </w:r>
          </w:p>
        </w:tc>
        <w:tc>
          <w:tcPr>
            <w:tcW w:w="0" w:type="dxa"/>
            <w:vAlign w:val="bottom"/>
          </w:tcPr>
          <w:p>
            <w:pPr>
              <w:spacing w:after="0"/>
              <w:rPr>
                <w:sz w:val="1"/>
                <w:szCs w:val="1"/>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International Registration (and designated</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1681667</w:t>
            </w:r>
          </w:p>
        </w:tc>
        <w:tc>
          <w:tcPr>
            <w:tcW w:w="0" w:type="dxa"/>
            <w:vAlign w:val="bottom"/>
          </w:tcPr>
          <w:p>
            <w:pPr>
              <w:spacing w:after="0"/>
              <w:rPr>
                <w:sz w:val="1"/>
                <w:szCs w:val="1"/>
                <w:color w:val="auto"/>
              </w:rPr>
            </w:pPr>
          </w:p>
        </w:tc>
      </w:tr>
      <w:tr>
        <w:trPr>
          <w:trHeight w:val="130"/>
        </w:trPr>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countries granting protection)</w:t>
            </w:r>
          </w:p>
        </w:tc>
        <w:tc>
          <w:tcPr>
            <w:tcW w:w="3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0" w:type="dxa"/>
            <w:vAlign w:val="bottom"/>
            <w:gridSpan w:val="2"/>
            <w:vMerge w:val="continue"/>
          </w:tcPr>
          <w:p>
            <w:pPr>
              <w:spacing w:after="0"/>
              <w:rPr>
                <w:sz w:val="9"/>
                <w:szCs w:val="9"/>
                <w:color w:val="auto"/>
              </w:rPr>
            </w:pPr>
          </w:p>
        </w:tc>
        <w:tc>
          <w:tcPr>
            <w:tcW w:w="3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BATTLE BORN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2299023</w:t>
            </w: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Mexico</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251881</w:t>
            </w: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TMA1228473</w:t>
            </w:r>
          </w:p>
        </w:tc>
        <w:tc>
          <w:tcPr>
            <w:tcW w:w="0" w:type="dxa"/>
            <w:vAlign w:val="bottom"/>
          </w:tcPr>
          <w:p>
            <w:pPr>
              <w:spacing w:after="0"/>
              <w:rPr>
                <w:sz w:val="1"/>
                <w:szCs w:val="1"/>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Trademark</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Trademark Registration / Application No.</w:t>
            </w:r>
          </w:p>
        </w:tc>
      </w:tr>
      <w:tr>
        <w:trPr>
          <w:trHeight w:val="43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BATTLE BORN</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4999731</w:t>
            </w:r>
          </w:p>
        </w:tc>
      </w:tr>
      <w:tr>
        <w:trPr>
          <w:trHeight w:val="43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BATTLE BORN</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7276690</w:t>
            </w:r>
          </w:p>
        </w:tc>
      </w:tr>
      <w:tr>
        <w:trPr>
          <w:trHeight w:val="43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BATTLE BORN</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7276689</w:t>
            </w:r>
          </w:p>
        </w:tc>
      </w:tr>
      <w:tr>
        <w:trPr>
          <w:trHeight w:val="43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BATTLE BORN ENERGY</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6428841</w:t>
            </w:r>
          </w:p>
        </w:tc>
      </w:tr>
      <w:tr>
        <w:trPr>
          <w:trHeight w:val="43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BATTLE BORN SOLAR</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6428842</w:t>
            </w:r>
          </w:p>
        </w:tc>
      </w:tr>
      <w:tr>
        <w:trPr>
          <w:trHeight w:val="837"/>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 No. 98197989</w:t>
            </w:r>
          </w:p>
        </w:tc>
      </w:tr>
      <w:tr>
        <w:trPr>
          <w:trHeight w:val="837"/>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BATTLE BORN BASE STATION</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 No. 98198017</w:t>
            </w:r>
          </w:p>
        </w:tc>
      </w:tr>
      <w:tr>
        <w:trPr>
          <w:trHeight w:val="466"/>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-1370965</wp:posOffset>
            </wp:positionV>
            <wp:extent cx="1337310" cy="788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37310" cy="78867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2</w:t>
      </w:r>
    </w:p>
    <w:p>
      <w:pPr>
        <w:sectPr>
          <w:pgSz w:w="11900" w:h="16838" w:orient="portrait"/>
          <w:cols w:equalWidth="0" w:num="1">
            <w:col w:w="9019"/>
          </w:cols>
          <w:pgMar w:left="1440" w:top="684"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type w:val="continuous"/>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and Acknowledgment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Brand Manual/Use Guidelines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Right of First Refusal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 Transfer and License-Back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Trademark Transfer and License-Back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effective as of the date of last signature below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by and between Dragonfly Energy Corp., a Nevada Corporation (“</w:t>
      </w:r>
      <w:r>
        <w:rPr>
          <w:rFonts w:ascii="Times New Roman" w:cs="Times New Roman" w:eastAsia="Times New Roman" w:hAnsi="Times New Roman"/>
          <w:sz w:val="18"/>
          <w:szCs w:val="18"/>
          <w:b w:val="1"/>
          <w:bCs w:val="1"/>
          <w:color w:val="auto"/>
        </w:rPr>
        <w:t>Dragonfly Energy</w:t>
      </w:r>
      <w:r>
        <w:rPr>
          <w:rFonts w:ascii="Times New Roman" w:cs="Times New Roman" w:eastAsia="Times New Roman" w:hAnsi="Times New Roman"/>
          <w:sz w:val="18"/>
          <w:szCs w:val="18"/>
          <w:color w:val="auto"/>
        </w:rPr>
        <w:t>”), and Battle Born Battery Products, LLC, a Nevada limited liability company (“</w:t>
      </w:r>
      <w:r>
        <w:rPr>
          <w:rFonts w:ascii="Times New Roman" w:cs="Times New Roman" w:eastAsia="Times New Roman" w:hAnsi="Times New Roman"/>
          <w:sz w:val="18"/>
          <w:szCs w:val="18"/>
          <w:b w:val="1"/>
          <w:bCs w:val="1"/>
          <w:color w:val="auto"/>
        </w:rPr>
        <w:t>Battle Born Battery Products</w:t>
      </w:r>
      <w:r>
        <w:rPr>
          <w:rFonts w:ascii="Times New Roman" w:cs="Times New Roman" w:eastAsia="Times New Roman" w:hAnsi="Times New Roman"/>
          <w:sz w:val="18"/>
          <w:szCs w:val="18"/>
          <w:color w:val="auto"/>
        </w:rPr>
        <w:t>”). Dragonfly Energy and Battle Born Battery Products are sometimes referred to herein,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Dragonfly Energy is the owner of certain rights in and to the Licensed Marks (defined below); and</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WHEREAS, the Licensed Marks are subject to the lien and security interest of Alter Domus (US), LLC as agent (the “</w:t>
      </w:r>
      <w:r>
        <w:rPr>
          <w:rFonts w:ascii="Times New Roman" w:cs="Times New Roman" w:eastAsia="Times New Roman" w:hAnsi="Times New Roman"/>
          <w:sz w:val="18"/>
          <w:szCs w:val="18"/>
          <w:b w:val="1"/>
          <w:bCs w:val="1"/>
          <w:color w:val="auto"/>
        </w:rPr>
        <w:t>Term Loan Agent</w:t>
      </w:r>
      <w:r>
        <w:rPr>
          <w:rFonts w:ascii="Times New Roman" w:cs="Times New Roman" w:eastAsia="Times New Roman" w:hAnsi="Times New Roman"/>
          <w:sz w:val="18"/>
          <w:szCs w:val="18"/>
          <w:color w:val="auto"/>
        </w:rPr>
        <w:t>”) for the lenders (the “</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 party to the Term Loan, Guarantee and Security Agreement, dated as of October 7, 2022 (as amended supplemented or otherwise modified prior to the date hereof and as the same may be further amended, supplemented or otherwise modified,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Dragonfly Energy as Borrower thereunder, the other Credit Parties thereunder and as defined therein, and the Term Loan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thereto; and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Dragonfly Energy desires to transfer the rights in and to the Licensed Marks on an as-is basis to Battle Born Battery Products who desires to obtain such rights, in exchange for 100% of the ownership interests in Battle Born Battery Products and an exclusive, sublicensable (in the Dragonfly Market (defined below)), license-back of all rights in and to the Licensed Marks worldwide in the Dragonfly Market on the terms and conditions set out in this Agreement; 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following the transfer of the Licensed Marks to Battle Born Battery Products and in addition to the licenses granted herein, the Licensed Marks will also be licensed to Stryten Energy LLC, a Delaware limited liability company (“</w:t>
      </w:r>
      <w:r>
        <w:rPr>
          <w:rFonts w:ascii="Times New Roman" w:cs="Times New Roman" w:eastAsia="Times New Roman" w:hAnsi="Times New Roman"/>
          <w:sz w:val="18"/>
          <w:szCs w:val="18"/>
          <w:b w:val="1"/>
          <w:bCs w:val="1"/>
          <w:color w:val="auto"/>
        </w:rPr>
        <w:t>Stryten</w:t>
      </w:r>
      <w:r>
        <w:rPr>
          <w:rFonts w:ascii="Times New Roman" w:cs="Times New Roman" w:eastAsia="Times New Roman" w:hAnsi="Times New Roman"/>
          <w:sz w:val="18"/>
          <w:szCs w:val="18"/>
          <w:color w:val="auto"/>
        </w:rPr>
        <w:t>”), by Battle Born Battery Products for Stryten’s exclusive use in the Stryten Market (as defined below) pursuant to that certain Trademark License Agreement, dated as of even date herewith, by and between the Parties and Stryten.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hereinafter set forth and for other good and valuable consideration, the receipt and sufficiency of which are hereby acknowledged, the Parties hereby agree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have the following meanings:</w:t>
      </w:r>
    </w:p>
    <w:p>
      <w:pPr>
        <w:spacing w:after="0" w:line="221" w:lineRule="exact"/>
        <w:rPr>
          <w:sz w:val="20"/>
          <w:szCs w:val="20"/>
          <w:color w:val="auto"/>
        </w:rPr>
      </w:pPr>
    </w:p>
    <w:p>
      <w:pPr>
        <w:jc w:val="both"/>
        <w:ind w:left="660" w:firstLine="972"/>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ind w:firstLine="97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Brand Manual/Use Guidelines</w:t>
      </w:r>
      <w:r>
        <w:rPr>
          <w:rFonts w:ascii="Times New Roman" w:cs="Times New Roman" w:eastAsia="Times New Roman" w:hAnsi="Times New Roman"/>
          <w:sz w:val="18"/>
          <w:szCs w:val="18"/>
          <w:color w:val="auto"/>
        </w:rPr>
        <w:t>” means Battle Born Battery Products’ guidelines for the form and manner in which the Licensed Marks may be used under this Agreement, a copy of which is attached to this Agreement as Schedule 4, including any amendments or updates to them as the Parties may agree to in writing from time to time.</w:t>
      </w:r>
    </w:p>
    <w:p>
      <w:pPr>
        <w:spacing w:after="0" w:line="1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Error! Bookmark not defined.</w:t>
      </w:r>
      <w:r>
        <w:rPr>
          <w:rFonts w:ascii="Times New Roman" w:cs="Times New Roman" w:eastAsia="Times New Roman" w:hAnsi="Times New Roman"/>
          <w:sz w:val="18"/>
          <w:szCs w:val="18"/>
          <w:color w:val="auto"/>
        </w:rPr>
        <w:t>12.</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 Market</w:t>
      </w:r>
      <w:r>
        <w:rPr>
          <w:rFonts w:ascii="Times New Roman" w:cs="Times New Roman" w:eastAsia="Times New Roman" w:hAnsi="Times New Roman"/>
          <w:sz w:val="18"/>
          <w:szCs w:val="18"/>
          <w:color w:val="auto"/>
        </w:rPr>
        <w:t>” has the meaning set forth on Schedule 3.</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statute, law, ordinance, regulation, rule, code, order, constitution, treaty, common law, judgment, award, decree, other requirement, or rule of law of any federal, state, local, or foreign government, or political subdivision thereof, or any arbitrator, court, or tribunal of competent jurisdiction.</w:t>
      </w:r>
    </w:p>
    <w:p>
      <w:pPr>
        <w:spacing w:after="0" w:line="171"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Marks</w:t>
      </w:r>
      <w:r>
        <w:rPr>
          <w:rFonts w:ascii="Times New Roman" w:cs="Times New Roman" w:eastAsia="Times New Roman" w:hAnsi="Times New Roman"/>
          <w:sz w:val="18"/>
          <w:szCs w:val="18"/>
          <w:color w:val="auto"/>
        </w:rPr>
        <w:t>” means the trademarks and service marks owned by Dragonfly prior to, and Battle Born Battery Products following, the assignment pursuant to Section 2 of this Agreement, that consist of or include the wording BATTLE BORN (or variations thereof), whether registered or unregistered, including the marks set forth on Schedule 1, along with any iterations or variants thereof owned by Dragonfly prior to, and Battle Born Battery Products following, the assignment pursuant to Section 2 of this Agreement.</w:t>
      </w:r>
    </w:p>
    <w:p>
      <w:pPr>
        <w:spacing w:after="0" w:line="176" w:lineRule="exact"/>
        <w:rPr>
          <w:sz w:val="20"/>
          <w:szCs w:val="20"/>
          <w:color w:val="auto"/>
        </w:rPr>
      </w:pPr>
    </w:p>
    <w:p>
      <w:pPr>
        <w:jc w:val="both"/>
        <w:ind w:right="20" w:firstLine="97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means batteries, and any other products that Battle Born Battery Products and Dragonfly Energy may agree on in writing from time to time, for manufacture, advertising, marketing, distribution, and sale under the Licensed Mark.</w:t>
      </w:r>
    </w:p>
    <w:p>
      <w:pPr>
        <w:spacing w:after="0" w:line="155" w:lineRule="exact"/>
        <w:rPr>
          <w:sz w:val="20"/>
          <w:szCs w:val="20"/>
          <w:color w:val="auto"/>
        </w:rPr>
      </w:pPr>
    </w:p>
    <w:p>
      <w:pPr>
        <w:jc w:val="both"/>
        <w:ind w:right="20" w:firstLine="97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joint venture, limited liability company, governmental authority, unincorporated organization, trust, association, or other entity.</w:t>
      </w:r>
    </w:p>
    <w:p>
      <w:pPr>
        <w:spacing w:after="0" w:line="155"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any Person, all officers, directors, stockholders, managers, managing directors, managing members, members, principals, employees, attorneys, agents, trustees, financial advisors, restructuring advisors, accountants, investment bankers, consultants, managed accounts, managed funds and other representatives of such Person.</w:t>
      </w:r>
    </w:p>
    <w:p>
      <w:pPr>
        <w:spacing w:after="0" w:line="171"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Specs</w:t>
      </w:r>
      <w:r>
        <w:rPr>
          <w:rFonts w:ascii="Times New Roman" w:cs="Times New Roman" w:eastAsia="Times New Roman" w:hAnsi="Times New Roman"/>
          <w:sz w:val="18"/>
          <w:szCs w:val="18"/>
          <w:color w:val="auto"/>
        </w:rPr>
        <w:t>” means the written technical specifications to which each Licensed Product must conform that shall be mutually agreed upon by Battle Born Battery Products and Dragonfly Energy in good faith.</w:t>
      </w:r>
    </w:p>
    <w:p>
      <w:pPr>
        <w:spacing w:after="0" w:line="15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38" w:name="page39"/>
    <w:bookmarkEnd w:id="38"/>
    <w:p>
      <w:pPr>
        <w:jc w:val="both"/>
        <w:ind w:left="660" w:firstLine="97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Stryten Market</w:t>
      </w:r>
      <w:r>
        <w:rPr>
          <w:rFonts w:ascii="Times New Roman" w:cs="Times New Roman" w:eastAsia="Times New Roman" w:hAnsi="Times New Roman"/>
          <w:sz w:val="18"/>
          <w:szCs w:val="18"/>
          <w:color w:val="auto"/>
        </w:rPr>
        <w:t>” means business-to-business sales and all sales outside sales of consumer products directly to consumers in the following markets: (a) automotive, (b) marine, (c) powersports, (d) lawn &amp; garden, (e) golf carts, and (f) military and defense. Notwithstanding anything to the contrary herein, if Stryten’s market under the Trademark License Agreement is expanded in accordance with the terms thereof, the definition of “Stryten Market” in this Agreement shall automatically be interpreted to include any such expansion and Dragonfly Energy’s (and any sublicensees’) right to use the Licensed Marks in such expanded market shall automatically terminate.</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forth in Section 15.</w:t>
      </w:r>
    </w:p>
    <w:p>
      <w:pPr>
        <w:spacing w:after="0" w:line="229" w:lineRule="exact"/>
        <w:rPr>
          <w:sz w:val="20"/>
          <w:szCs w:val="20"/>
          <w:color w:val="auto"/>
        </w:rPr>
      </w:pPr>
    </w:p>
    <w:p>
      <w:pPr>
        <w:jc w:val="both"/>
        <w:ind w:firstLine="656"/>
        <w:spacing w:after="0" w:line="266" w:lineRule="auto"/>
        <w:tabs>
          <w:tab w:leader="none" w:pos="8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Dragonfly Energy hereby irrevocably conveys, transfers, and assigns to Battle Born Battery Products all right, title, and interest in, under and to all Licensed Marks, and all associated goodwill arising from the use of the Licensed Marks to Battle Born Battery Products, free and clear of all liens and other encumbrances (other than the security interest granted pursuant to the Term Loan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As-Is Transfer; Disclaimer of Warranties</w:t>
      </w:r>
      <w:r>
        <w:rPr>
          <w:rFonts w:ascii="Times New Roman" w:cs="Times New Roman" w:eastAsia="Times New Roman" w:hAnsi="Times New Roman"/>
          <w:sz w:val="18"/>
          <w:szCs w:val="18"/>
          <w:color w:val="auto"/>
        </w:rPr>
        <w:t>. Battle Born Battery Products acknowledges and agrees that the Licensed Marks are being transferred on an “as-is, where-is” basis, with all faults and defects, and that Dragonfly Energy is not making any representation or warranty of any kind with respect to the value or validity of the Licensed Marks. EXCEPT FOR THE SPECIFIC WARRANTIES EXPRESSLY SET FORTH IN THIS AGREEMENT, DRAGONFLY ENERGY EXPRESSLY DISCLAIMS ALL REPRESENTATIONS AND WARRANTIES, WHETHER EXPRESS, IMPLIED, STATUTORY, OR OTHERWISE, IN CONNECTION WITH THIS AGREEMENT AND THE LICENSED MARKS, INCLUDING ANY WARRANTIES OF TITLE, NON-INFRINGEMENT, MERCHANTABILITY, OR FITNESS FOR A PARTICULAR PURPOSE. WITHOUT LIMITING THE GENERALITY OF THE FOREGOING, EXCEPT AS SET FORTH IN THIS AGREEMENT, DRAGONFLY ENERGY MAKES NO REPRESENTATION OR WARRANTY THAT ANY OF THE LICENSED MARKS ARE VALID OR THAT THE EXERCISE BY EITHER PARTY OF ANY RIGHTS GRANTED UNDER THIS AGREEMENT WILL NOT INFRINGE THE RIGHTS OF ANY PERSON.</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8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Recordation and Further Actions</w:t>
      </w:r>
      <w:r>
        <w:rPr>
          <w:rFonts w:ascii="Times New Roman" w:cs="Times New Roman" w:eastAsia="Times New Roman" w:hAnsi="Times New Roman"/>
          <w:sz w:val="18"/>
          <w:szCs w:val="18"/>
          <w:color w:val="auto"/>
        </w:rPr>
        <w:t>. Concurrently with the execution and delivery of this Agreement, Dragonfly Energy is executing and delivering to Battle Born Battery Products a trademark assignment substantially in the form of Schedule 2 hereto (the “</w:t>
      </w:r>
      <w:r>
        <w:rPr>
          <w:rFonts w:ascii="Times New Roman" w:cs="Times New Roman" w:eastAsia="Times New Roman" w:hAnsi="Times New Roman"/>
          <w:sz w:val="18"/>
          <w:szCs w:val="18"/>
          <w:b w:val="1"/>
          <w:bCs w:val="1"/>
          <w:color w:val="auto"/>
        </w:rPr>
        <w:t>IP Assignment</w:t>
      </w:r>
      <w:r>
        <w:rPr>
          <w:rFonts w:ascii="Times New Roman" w:cs="Times New Roman" w:eastAsia="Times New Roman" w:hAnsi="Times New Roman"/>
          <w:sz w:val="18"/>
          <w:szCs w:val="18"/>
          <w:color w:val="auto"/>
        </w:rPr>
        <w:t>”). Dragonfly Energy hereby authorizes Battle Born Battery Products to record the IP Assignment with the relevant trademark authorities in each applicable jurisdiction. Following the Effective Date, upon Battle Born Battery Products’ request and at Dragonfly Energy’s sole cost and expense, Dragonfly Energy shall take such steps and actions, and provide such cooperation and assistance to Battle Born Battery Products and its successors, assigns, and legal Representatives, including the execution and delivery of any affidavits, declarations, oaths, exhibits, assignments, powers of attorney, or other documents, as may be reasonably necessary to effect, evidence, or perfect the assignment of the Licensed Marks to Battle Born Battery Products.</w:t>
      </w:r>
    </w:p>
    <w:p>
      <w:pPr>
        <w:spacing w:after="0" w:line="188"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xml:space="preserve"> In consideration of Dragonfly Energy’s transfer of the Licensed Marks to Battle Born Battery Products as set forth in Section 2, Battle Born Battery Products hereby grants to Dragonfly Energy a perpetual (unless terminated in accordance with Section 15), fully paid up and royalty-free, sublicensable (pursuant to Section 5(b)), non-transferable (except as provided in Section 17), exclusive license to use the Licensed Marks throughout the world worldwide in the Dragonfly Markets.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ind w:left="4" w:firstLine="644"/>
        <w:spacing w:after="0" w:line="266" w:lineRule="auto"/>
        <w:tabs>
          <w:tab w:leader="none" w:pos="9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Sublicensing</w:t>
      </w:r>
      <w:r>
        <w:rPr>
          <w:rFonts w:ascii="Times New Roman" w:cs="Times New Roman" w:eastAsia="Times New Roman" w:hAnsi="Times New Roman"/>
          <w:sz w:val="18"/>
          <w:szCs w:val="18"/>
          <w:color w:val="auto"/>
        </w:rPr>
        <w:t>. Dragonfly Energy shall have the limited right to sublicense the Licensed Marks to another Person for the sole purpose of allowing such Person to assist Dragonfly Energy in connection with the production, distribution, advertising, commercialization or sale of the Licensed Products in the Dragonfly Markets in strict accordance with the terms of this Agreement.</w:t>
      </w:r>
    </w:p>
    <w:p>
      <w:pPr>
        <w:spacing w:after="0" w:line="175" w:lineRule="exact"/>
        <w:rPr>
          <w:rFonts w:ascii="Times New Roman" w:cs="Times New Roman" w:eastAsia="Times New Roman" w:hAnsi="Times New Roman"/>
          <w:sz w:val="18"/>
          <w:szCs w:val="18"/>
          <w:color w:val="auto"/>
        </w:rPr>
      </w:pPr>
    </w:p>
    <w:p>
      <w:pPr>
        <w:ind w:left="884" w:hanging="236"/>
        <w:spacing w:after="0"/>
        <w:tabs>
          <w:tab w:leader="none" w:pos="88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Rights</w:t>
      </w:r>
      <w:r>
        <w:rPr>
          <w:rFonts w:ascii="Times New Roman" w:cs="Times New Roman" w:eastAsia="Times New Roman" w:hAnsi="Times New Roman"/>
          <w:sz w:val="18"/>
          <w:szCs w:val="18"/>
          <w:color w:val="auto"/>
        </w:rPr>
        <w:t>. Battle Born Battery Products hereby reserves all rights not expressly granted to Dragonfly Energy under this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Restrictions</w:t>
      </w:r>
      <w:r>
        <w:rPr>
          <w:rFonts w:ascii="Times New Roman" w:cs="Times New Roman" w:eastAsia="Times New Roman" w:hAnsi="Times New Roman"/>
          <w:sz w:val="18"/>
          <w:szCs w:val="18"/>
          <w:color w:val="auto"/>
        </w:rPr>
        <w:t>. Dragonfly Energy shall not: (i) conduct advertising of Licensed Products targeted to any industry outside the Dragonfly Markets (which may be expanded in accordance with Section 18(c)); or (ii) purposefully seek orders for Licensed Products from outside the Dragonfly Markets (which may be expanded in accordance with Section 18(c)). Dragonfly Energy’s rights in respect of the Licensed Marks will apply to all direct sales to consumers on consumer products in the Dragonfly Markets.</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Quality Standards and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5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 Manual/Use Guidelines</w:t>
      </w:r>
      <w:r>
        <w:rPr>
          <w:rFonts w:ascii="Times New Roman" w:cs="Times New Roman" w:eastAsia="Times New Roman" w:hAnsi="Times New Roman"/>
          <w:sz w:val="18"/>
          <w:szCs w:val="18"/>
          <w:color w:val="auto"/>
        </w:rPr>
        <w:t>. Dragonfly Energy shall ensure that all products and services offered and/or sold under the Licensed Marks, as well as all related advertising, promotional and other uses of the Licensed Marks by Dragonfly Energy, conform in all material respects to at least the same standards of quality heretofore met by Dragonfly Energy’s products and services it provides and the Brand Manual/Use Guidelines.</w:t>
      </w:r>
    </w:p>
    <w:p>
      <w:pPr>
        <w:spacing w:after="0" w:line="179" w:lineRule="exact"/>
        <w:rPr>
          <w:rFonts w:ascii="Times New Roman" w:cs="Times New Roman" w:eastAsia="Times New Roman" w:hAnsi="Times New Roman"/>
          <w:sz w:val="18"/>
          <w:szCs w:val="18"/>
          <w:color w:val="auto"/>
        </w:rPr>
      </w:pPr>
    </w:p>
    <w:p>
      <w:pPr>
        <w:ind w:left="644" w:firstLine="652"/>
        <w:spacing w:after="0" w:line="282" w:lineRule="auto"/>
        <w:tabs>
          <w:tab w:leader="none" w:pos="159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Specifications</w:t>
      </w:r>
      <w:r>
        <w:rPr>
          <w:rFonts w:ascii="Times New Roman" w:cs="Times New Roman" w:eastAsia="Times New Roman" w:hAnsi="Times New Roman"/>
          <w:sz w:val="18"/>
          <w:szCs w:val="18"/>
          <w:color w:val="auto"/>
        </w:rPr>
        <w:t>. Dragonfly Energy shall comply, in all material respects, with the specifications and standards for the Licensed Products contained in the Specs, including their design and manufacture.</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6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In exercising its rights under this Agreement, each Party shall comply with all applicable Laws. Dragonfly Energy shall promptly provide Battle Born Battery Products with copies of all communications with any governmental, regulatory, or industry authority relating to the Licensed Marks.</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58" w:lineRule="auto"/>
        <w:tabs>
          <w:tab w:leader="none" w:pos="159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Inspection of Facilities</w:t>
      </w:r>
      <w:r>
        <w:rPr>
          <w:rFonts w:ascii="Times New Roman" w:cs="Times New Roman" w:eastAsia="Times New Roman" w:hAnsi="Times New Roman"/>
          <w:sz w:val="18"/>
          <w:szCs w:val="18"/>
          <w:color w:val="auto"/>
        </w:rPr>
        <w:t>. Upon reasonable (no less than thirty (30) days’) prior written notice and during Dragonfly Energy’s normal business hours, Dragonfly Energy shall permit Battle Born Battery Products to inspect Dragonfly Energy’s facilities used for the manufacture, storage, or distribution of the Licensed Products to ensure compliance with the quality standards or any other specifications or requirements set forth in this Agreement to the extent necessary under applicable Law to maintain the validity of the Licensed Marks and protect the goodwill associated therewith.</w:t>
      </w:r>
    </w:p>
    <w:p>
      <w:pPr>
        <w:spacing w:after="0" w:line="1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40" w:name="page41"/>
    <w:bookmarkEnd w:id="40"/>
    <w:p>
      <w:pPr>
        <w:jc w:val="both"/>
        <w:ind w:left="180" w:firstLine="652"/>
        <w:spacing w:after="0" w:line="253" w:lineRule="auto"/>
        <w:tabs>
          <w:tab w:leader="none" w:pos="10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of Materials for Approval</w:t>
      </w:r>
      <w:r>
        <w:rPr>
          <w:rFonts w:ascii="Times New Roman" w:cs="Times New Roman" w:eastAsia="Times New Roman" w:hAnsi="Times New Roman"/>
          <w:sz w:val="18"/>
          <w:szCs w:val="18"/>
          <w:color w:val="auto"/>
        </w:rPr>
        <w:t>. Prior to any use of the Licensed Mark on a Licensed Product that has not previously been approved or is not substantially consistent with a previously approved Licensed Product and thereafter at any time following Battle Born Battery Products’ reasonable written request (not to exceed twice a calendar year unless Battle Born Battery Products has reason to believe that the Licensed Product does not meet applicable Specs and deems receipt of a production sample of the Licensed Product hereunder necessary in its reasonable discretion), Dragonfly Energy shall, at its own expense, supply a representative production sample of the Licensed Product to Battle Born Battery Products for approval and Battle Born Battery Products shall grant such approval if such Licensed Product meets applicable Specs. If such sample does not meet applicable Specs and Battle Born Battery Products rejects such sample, it shall give written notice of such rejection (in reasonable detail to facilitate cure by Dragonfly Energy) to Dragonfly Energy within fourteen (14) days of Battle Born Battery Products’ receipt of the sample. In the absence of a written notice of rejection within fourteen (14) days of receipt of a sample, the sample will be deemed to have been approved by Battle Born Battery Products.</w:t>
      </w:r>
    </w:p>
    <w:p>
      <w:pPr>
        <w:spacing w:after="0" w:line="194" w:lineRule="exact"/>
        <w:rPr>
          <w:rFonts w:ascii="Times New Roman" w:cs="Times New Roman" w:eastAsia="Times New Roman" w:hAnsi="Times New Roman"/>
          <w:sz w:val="18"/>
          <w:szCs w:val="18"/>
          <w:color w:val="auto"/>
        </w:rPr>
      </w:pPr>
    </w:p>
    <w:p>
      <w:pPr>
        <w:ind w:left="180" w:firstLine="652"/>
        <w:spacing w:after="0" w:line="282" w:lineRule="auto"/>
        <w:tabs>
          <w:tab w:leader="none" w:pos="11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Rejected, Damaged, or Defective Products</w:t>
      </w:r>
      <w:r>
        <w:rPr>
          <w:rFonts w:ascii="Times New Roman" w:cs="Times New Roman" w:eastAsia="Times New Roman" w:hAnsi="Times New Roman"/>
          <w:sz w:val="18"/>
          <w:szCs w:val="18"/>
          <w:color w:val="auto"/>
        </w:rPr>
        <w:t>. Dragonfly Energy shall not knowingly sell, market, distribute, or permit any third party to sell, market or distribute, any Licensed Products that are damaged or defective.</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Complaints</w:t>
      </w:r>
      <w:r>
        <w:rPr>
          <w:rFonts w:ascii="Times New Roman" w:cs="Times New Roman" w:eastAsia="Times New Roman" w:hAnsi="Times New Roman"/>
          <w:sz w:val="18"/>
          <w:szCs w:val="18"/>
          <w:color w:val="auto"/>
        </w:rPr>
        <w:t>. Dragonfly Energy shall reasonably promptly following Battle Born Battery Products’ written request, provide such Parties with details of any complaints it has received relating to the Licensed Products together with reports on the manner in which such complaints are being, or have been, resolved, in each case to the extent relating to the Licensed Mark.</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Subcontracting</w:t>
      </w:r>
      <w:r>
        <w:rPr>
          <w:rFonts w:ascii="Times New Roman" w:cs="Times New Roman" w:eastAsia="Times New Roman" w:hAnsi="Times New Roman"/>
          <w:sz w:val="18"/>
          <w:szCs w:val="18"/>
          <w:color w:val="auto"/>
        </w:rPr>
        <w:t>. Dragonfly Energy is liable for all acts and omissions of any authorized subcontractor engaged by Dragonfly Energy hereunder.</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Recall</w:t>
      </w:r>
      <w:r>
        <w:rPr>
          <w:rFonts w:ascii="Times New Roman" w:cs="Times New Roman" w:eastAsia="Times New Roman" w:hAnsi="Times New Roman"/>
          <w:sz w:val="18"/>
          <w:szCs w:val="18"/>
          <w:color w:val="auto"/>
        </w:rPr>
        <w:t>. Dragonfly Energy agrees to take commercially reasonable steps, which may include, without limitation, product recalls, to abate any health or safety risks posed by the Licensed Products reasonably promptly. Upon Battle Born Battery Products’ reasonable written request, Dragonfly Energy shall provide to Battle Born Battery Products for Battle Born Battery Products’ review and approval, a copy of Dragonfly Energy’s recall program for the Licensed Products. Dragonfly Energy has complete responsibility for determining if a product recall is required and Dragonfly Energy bears responsibility for all costs and expenses associated with any recall of the Licensed Products.</w:t>
      </w:r>
    </w:p>
    <w:p>
      <w:pPr>
        <w:spacing w:after="0" w:line="187"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0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Parties shall all cooperate in good faith with respect to controlling the quality of any products bearing the Licensed Mark, including with respect to monitoring and corrective action processes, warranties and pricing.</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1" w:name="page42"/>
    <w:bookmarkEnd w:id="41"/>
    <w:p>
      <w:pPr>
        <w:ind w:left="184" w:hanging="184"/>
        <w:spacing w:after="0"/>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the Licensed Mark</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Battle Born Battery Products’ Directions</w:t>
      </w:r>
      <w:r>
        <w:rPr>
          <w:rFonts w:ascii="Times New Roman" w:cs="Times New Roman" w:eastAsia="Times New Roman" w:hAnsi="Times New Roman"/>
          <w:sz w:val="18"/>
          <w:szCs w:val="18"/>
          <w:color w:val="auto"/>
        </w:rPr>
        <w:t>. Dragonfly Energy shall comply in all material respects with the directions regarding the form and manner of the application of the Licensed Marks contained in the Brand Manual/Use Guidelines or is consented to by Battle Born Battery Products (such consent not to be unreasonably withheld, conditioned or delayed).</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3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Marks</w:t>
      </w:r>
      <w:r>
        <w:rPr>
          <w:rFonts w:ascii="Times New Roman" w:cs="Times New Roman" w:eastAsia="Times New Roman" w:hAnsi="Times New Roman"/>
          <w:sz w:val="18"/>
          <w:szCs w:val="18"/>
          <w:color w:val="auto"/>
        </w:rPr>
        <w:t>. Apart from the Licensed Marks, any other trademark, service mark, trade name or logo affixed to, or used in connection with, the Licensed Products, may be so affixed or used provided that such affixation or use complies with the Brand Manual/Use Guidelines.</w:t>
      </w:r>
    </w:p>
    <w:p>
      <w:pPr>
        <w:spacing w:after="0" w:line="175" w:lineRule="exact"/>
        <w:rPr>
          <w:rFonts w:ascii="Times New Roman" w:cs="Times New Roman" w:eastAsia="Times New Roman" w:hAnsi="Times New Roman"/>
          <w:sz w:val="18"/>
          <w:szCs w:val="18"/>
          <w:color w:val="auto"/>
        </w:rPr>
      </w:pPr>
    </w:p>
    <w:p>
      <w:pPr>
        <w:jc w:val="both"/>
        <w:ind w:left="4" w:right="20" w:firstLine="644"/>
        <w:spacing w:after="0" w:line="266" w:lineRule="auto"/>
        <w:tabs>
          <w:tab w:leader="none" w:pos="91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Trademark Notices</w:t>
      </w:r>
      <w:r>
        <w:rPr>
          <w:rFonts w:ascii="Times New Roman" w:cs="Times New Roman" w:eastAsia="Times New Roman" w:hAnsi="Times New Roman"/>
          <w:sz w:val="18"/>
          <w:szCs w:val="18"/>
          <w:color w:val="auto"/>
        </w:rPr>
        <w:t>. Dragonfly Energy shall ensure that all Licensed Products sold by Dragonfly Energy and all related quotations, specifications, and descriptive literature, and all other materials carrying the Licensed Marks, be marked with the appropriate trademark notices as set forth in the Brand Manual/Use Guidelines.</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and Registration.</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8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of Ownership</w:t>
      </w:r>
      <w:r>
        <w:rPr>
          <w:rFonts w:ascii="Times New Roman" w:cs="Times New Roman" w:eastAsia="Times New Roman" w:hAnsi="Times New Roman"/>
          <w:sz w:val="18"/>
          <w:szCs w:val="18"/>
          <w:color w:val="auto"/>
        </w:rPr>
        <w:t>. Dragonfly Energy acknowledges that (i) Battle Born Battery Products is, as of the date hereof, the owner of the Licensed Marks throughout the world and all goodwill related thereto, and (ii) all use of the Licensed Marks by Dragonfly Energy under this Agreement and any goodwill accruing from such use will inure solely to Battle Born Battery Product’s benefit. If Dragonfly Energy acquires any ownership rights in the Licensed Marks, by operation of law or otherwise, Dragonfly Energy hereby irrevocably assigns such rights to Battle Born Battery Products without further action by any of the Parties.</w:t>
      </w:r>
    </w:p>
    <w:p>
      <w:pPr>
        <w:spacing w:after="0" w:line="183"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Dragonfly Energy Restrictions</w:t>
      </w:r>
      <w:r>
        <w:rPr>
          <w:rFonts w:ascii="Times New Roman" w:cs="Times New Roman" w:eastAsia="Times New Roman" w:hAnsi="Times New Roman"/>
          <w:sz w:val="18"/>
          <w:szCs w:val="18"/>
          <w:color w:val="auto"/>
        </w:rPr>
        <w:t>. Dragonfly Energy agrees that it shall not directly or indirectly:</w:t>
      </w:r>
    </w:p>
    <w:p>
      <w:pPr>
        <w:spacing w:after="0" w:line="225" w:lineRule="exact"/>
        <w:rPr>
          <w:rFonts w:ascii="Times New Roman" w:cs="Times New Roman" w:eastAsia="Times New Roman" w:hAnsi="Times New Roman"/>
          <w:sz w:val="18"/>
          <w:szCs w:val="18"/>
          <w:color w:val="auto"/>
        </w:rPr>
      </w:pPr>
    </w:p>
    <w:p>
      <w:pPr>
        <w:jc w:val="both"/>
        <w:ind w:left="644" w:right="20" w:firstLine="652"/>
        <w:spacing w:after="0" w:line="266" w:lineRule="auto"/>
        <w:tabs>
          <w:tab w:leader="none" w:pos="151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omit to take, or permit any action which will dilute the Licensed Marks or tarnish or bring into disrepute the reputation of or goodwill associated with the Licensed Marks, or which will invalidate or jeopardize any registration of the Licensed Marks; or</w:t>
      </w:r>
    </w:p>
    <w:p>
      <w:pPr>
        <w:spacing w:after="0" w:line="175" w:lineRule="exact"/>
        <w:rPr>
          <w:rFonts w:ascii="Times New Roman" w:cs="Times New Roman" w:eastAsia="Times New Roman" w:hAnsi="Times New Roman"/>
          <w:sz w:val="18"/>
          <w:szCs w:val="18"/>
          <w:color w:val="auto"/>
        </w:rPr>
      </w:pPr>
    </w:p>
    <w:p>
      <w:pPr>
        <w:ind w:left="644" w:firstLine="652"/>
        <w:spacing w:after="0" w:line="282" w:lineRule="auto"/>
        <w:tabs>
          <w:tab w:leader="none" w:pos="1591"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or obtain, or assist any Person in applying for or obtaining any registration of the Licensed Marks, or any trademark, service mark, trade name, or other indicia confusingly similar to the Licensed Marks.</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Encumbrances</w:t>
      </w:r>
      <w:r>
        <w:rPr>
          <w:rFonts w:ascii="Times New Roman" w:cs="Times New Roman" w:eastAsia="Times New Roman" w:hAnsi="Times New Roman"/>
          <w:sz w:val="18"/>
          <w:szCs w:val="18"/>
          <w:color w:val="auto"/>
        </w:rPr>
        <w:t>. Dragonfly Energy shall not grant any security interest or lien against any application or registration included in the Licensed Mark in the United States Patent and Trademark Office or elsewhere (other than the security interest granted pursuant to the Term Loan Agreement).</w:t>
      </w:r>
    </w:p>
    <w:p>
      <w:pPr>
        <w:spacing w:after="0" w:line="17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42" w:name="page43"/>
    <w:bookmarkEnd w:id="42"/>
    <w:p>
      <w:pPr>
        <w:jc w:val="both"/>
        <w:ind w:left="4" w:firstLine="644"/>
        <w:spacing w:after="0" w:line="266" w:lineRule="auto"/>
        <w:tabs>
          <w:tab w:leader="none" w:pos="91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to amend this Agreement (and any permitted sublicenses granted hereunder) to reflect any expansion of the Stryten Market in accordance with the Trademark License Agreement and terminate Dragonfly Energy’s (and any sublicensees’) right to use the Licensed Marks in such expanded market.</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Enforcement, and Ownership of the Licensed Marks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1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w:t>
      </w:r>
      <w:r>
        <w:rPr>
          <w:rFonts w:ascii="Times New Roman" w:cs="Times New Roman" w:eastAsia="Times New Roman" w:hAnsi="Times New Roman"/>
          <w:sz w:val="18"/>
          <w:szCs w:val="18"/>
          <w:color w:val="auto"/>
        </w:rPr>
        <w:t>. Battle Born Battery Products shall, at the cost and expense of Dragonfly Energy, diligently and timely maintain all registrations of the Licensed Marks in full force and effect, and Battle Born Battery Products shall keep Dragonfly Energy informed of all material developments in connection therewith. Dragonfly Energy shall provide, at the request of Battle Born Battery Products and at Dragonfly Energy’s sole cost and expense, all reasonably necessary assistance in connection with such maintenance efforts for the registrations of the Licensed Marks. Battle Born Battery Products shall not abandon any of the Licensed Marks without the prior written consent of Dragonfly.</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and Enforcement</w:t>
      </w:r>
      <w:r>
        <w:rPr>
          <w:rFonts w:ascii="Times New Roman" w:cs="Times New Roman" w:eastAsia="Times New Roman" w:hAnsi="Times New Roman"/>
          <w:sz w:val="18"/>
          <w:szCs w:val="18"/>
          <w:color w:val="auto"/>
        </w:rPr>
        <w:t>. Battle Born Battery Products shall promptly notify Dragonfly Energy upon becoming aware of any infringement or dilution of the Licensed Marks. Battle Born Battery Products shall, at the sole cost and expense of Dragonfly Energy, take all actions reasonably necessary action to enforce the Parties’ rights in and to the Licensed Marks, including, but not limited to, bringing actions or proceedings against third parties engaging in actual, suspected, or threatened infringement, counterfeiting, dilution, or other conflicting use (an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of the Licensed Marks. Battle Born Battery Products shall timely notify Dragonfly Energy of any actual or potential Infringement of the Licensed Marks by any third party of which it becomes aware, and Battle Born Battery Products shall thereafter keep Dragonfly Energy reasonably informed on the status of its efforts to enforce the Parties’ rights in and to the Licensed Marks. Dragonfly Energy shall provide all reasonably necessary assistance in connection with such enforcement efforts for the Licensed Marks. For the avoidance of doubt, Battle Born Battery Products shall have no obligation with respect to enforcement of the Licensed Marks other than as set forth in this Section 9(b).</w:t>
      </w:r>
    </w:p>
    <w:p>
      <w:pPr>
        <w:spacing w:after="0" w:line="194"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2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 of Rights</w:t>
      </w:r>
      <w:r>
        <w:rPr>
          <w:rFonts w:ascii="Times New Roman" w:cs="Times New Roman" w:eastAsia="Times New Roman" w:hAnsi="Times New Roman"/>
          <w:sz w:val="18"/>
          <w:szCs w:val="18"/>
          <w:color w:val="auto"/>
        </w:rPr>
        <w:t>. For the avoidance of doubt, except for the transfer and license of the right, title, and interest in and to the Licensed Marks as expressly provided by this Agreement, the Parties agree and acknowledge that neither Party is transferring to the other Party any rights whatsoever in and/or to any other current or future intellectual property of that Party, including, but not limited to, any artwork, packaging, labeling, copy, text, or other written, printed, graphic, electronic, audio, or video advertising and/or promotional materials used or created for use in connection with any advertising and promotion of that Party, whether or not the foregoing utilizes the Licensed Marks.</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Advertising Requirements.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2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Dragonfly Energy shall not knowingly advertise, market, or promote the Licensed Products in a way that reduces or diminishes the reputation, image, and prestige of the Licensed Marks or of products sold under or by reference to the Licensed Marks (including, without limitation, the Licensed Products).</w:t>
      </w:r>
    </w:p>
    <w:p>
      <w:pPr>
        <w:spacing w:after="0" w:line="17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43" w:name="page44"/>
    <w:bookmarkEnd w:id="43"/>
    <w:p>
      <w:pPr>
        <w:jc w:val="both"/>
        <w:ind w:left="660" w:firstLine="644"/>
        <w:spacing w:after="0" w:line="253" w:lineRule="auto"/>
        <w:tabs>
          <w:tab w:leader="none" w:pos="160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Marketing and Advertising Materials</w:t>
      </w:r>
      <w:r>
        <w:rPr>
          <w:rFonts w:ascii="Times New Roman" w:cs="Times New Roman" w:eastAsia="Times New Roman" w:hAnsi="Times New Roman"/>
          <w:sz w:val="18"/>
          <w:szCs w:val="18"/>
          <w:color w:val="auto"/>
        </w:rPr>
        <w:t>. Prior to any use of the Licensed Marks in advertisements, marketing, or promotional material, product branding, and educational/informational documentation for the Licensed Products which has not previously been approved or is not substantially consistent with a previously approved use, Dragonfly Energy shall send to Battle Born Battery Products for its prior approval the visual proof of such proposed advertisements or marketing or promotional material for the Licensed Products and Battle Born Battery Products shall grant such approval if such use complies with the Brand Manual/Use Guidelines. If such use does not comply with the Brand Manual/Use Guidelines and Battle Born Battery Products disapproves of such material, it shall give written notice of such disapproval (in reasonable detail to facilitate cure by Dragonfly Energy) to Dragonfly Energy within ten (10) business days of receipt by Battle Born Battery Products of the material. In the absence of a written notice of disapproval within ten (10) business days of receipt of such materials, the materials will be deemed to have been approved by Battle Born Battery Products. Dragonfly Energy shall not use any material in the advertising, marketing, promotion, branding, or educational materials of Licensed Products that Battle Born Battery Products has not approved. Approval of any particular use of any Licensed Marks, once given by Battle Born Battery Products, shall continue in effect with respect to such use and use substantially consistent therewith, without need for further approval.</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 of Marketing and Advertising</w:t>
      </w:r>
      <w:r>
        <w:rPr>
          <w:rFonts w:ascii="Times New Roman" w:cs="Times New Roman" w:eastAsia="Times New Roman" w:hAnsi="Times New Roman"/>
          <w:sz w:val="18"/>
          <w:szCs w:val="18"/>
          <w:color w:val="auto"/>
        </w:rPr>
        <w:t>. Except as otherwise provided in this Agreement, as between the Parties, Dragonfly Energy shall bear the costs of all advertising, marketing, and promotion for the Licensed Products in the Dragonfly Market during the Term.</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Party acknowledges that in connection with this Agreement, it may gain access to information that is treated as confidential by the other Party, including, without limitation, information about the other Party’s business operations and strategies, goods and services, customers, pricing, marketing, and other sensitive and proprietary information (collectively,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Each Party shall not use any Confidential Information of the other Party for any purpose other than as reasonably necessary to exercise its rights or perform its obligations under this Agreement and shall not disclose the other Party’s Confidential Information to any other Person.</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The Parties agree that they and all those acting in concert with them will not make any disparaging statements or representations, either directly or indirectly, whether orally or in writing, by word or gesture, or through use of the Licensed Marks, to any Person or entity, about the other Party or Stryten, the other Party’s or Stryten’s products or services, or the other Party’s or Stryten’s attorneys, Representatives, affiliates, directors, officers, employees, or agents. For purposes of this Section, a disparaging statement or representation shall include any communication or use of the Licensed Marks which, if publicized to another, would cause or tend to cause the recipient of the communication to question the business condition, integrity, competence, good character, or product/service quality of the person or entity to whom the communication relates.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656"/>
        <w:spacing w:after="0" w:line="258" w:lineRule="auto"/>
        <w:tabs>
          <w:tab w:leader="none" w:pos="9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Party represents and warrants to the other Party that, as of the Effective Date: (i) it is duly organized, validly existing, and in good standing under the laws of the state or jurisdiction of its organization; (ii) it has the full right, power, and authority to enter into and perform its obligations under this Agreement; (iii) the execution of this Agreement by its Representative whose signature is set forth at the end hereof has been duly authorized by all necessary organizational action of such Party; and (iv) when executed and delivered by such Party, this Agreement will constitute the legal, valid, and binding obligation of that Party, enforceable against that Party in accordance with its terms.</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effective as of the Effective Date, and the license granted hereunder will continue in perpetuity unless terminated earlier in accordance with this </w:t>
      </w:r>
      <w:r>
        <w:rPr>
          <w:rFonts w:ascii="Times New Roman" w:cs="Times New Roman" w:eastAsia="Times New Roman" w:hAnsi="Times New Roman"/>
          <w:sz w:val="18"/>
          <w:szCs w:val="18"/>
          <w:b w:val="1"/>
          <w:bCs w:val="1"/>
          <w:color w:val="auto"/>
        </w:rPr>
        <w:t>Error! Bookmark not defined.</w:t>
      </w:r>
      <w:r>
        <w:rPr>
          <w:rFonts w:ascii="Times New Roman" w:cs="Times New Roman" w:eastAsia="Times New Roman" w:hAnsi="Times New Roman"/>
          <w:sz w:val="18"/>
          <w:szCs w:val="18"/>
          <w:color w:val="auto"/>
        </w:rPr>
        <w:t>15 or the Parties mutually agree in writing to terminate this Agreement, in accordance with the terms of this Section 15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Notwithstanding anything herein to the contrary, in no case will termination of this Agreement terminate or otherwise impact the assignment of intellectual property to Battle Born Battery Products under this Agreement.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This Agreement may be terminated by a Party, if the other Party materially breaches this Agreement and (if such breach is curable) the other Party fails to cure such breach within thirty (30) days of being notified in writing to do so or, if such breach cannot reasonably be cured within thirty (30) days, then the other Party shall commence curing the breach within thirty (30) days and diligently pursue such cure thereafter.</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Rights and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76"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On the termination of this Agreement for any reason and subject to any express provisions set out elsewhere in this Agreement:</w:t>
      </w:r>
    </w:p>
    <w:p>
      <w:pPr>
        <w:spacing w:after="0" w:line="161"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and licenses granted pursuant to this Agreement shall immediately cease; and</w:t>
      </w:r>
    </w:p>
    <w:p>
      <w:pPr>
        <w:spacing w:after="0" w:line="225" w:lineRule="exact"/>
        <w:rPr>
          <w:rFonts w:ascii="Times New Roman" w:cs="Times New Roman" w:eastAsia="Times New Roman" w:hAnsi="Times New Roman"/>
          <w:sz w:val="18"/>
          <w:szCs w:val="18"/>
          <w:color w:val="auto"/>
        </w:rPr>
      </w:pPr>
    </w:p>
    <w:p>
      <w:pPr>
        <w:ind w:left="2880" w:hanging="280"/>
        <w:spacing w:after="0"/>
        <w:tabs>
          <w:tab w:leader="none" w:pos="2880"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Dragonfly Energy shall immediately cease all use of the Licensed Marks.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Sell-Off Period</w:t>
      </w:r>
      <w:r>
        <w:rPr>
          <w:rFonts w:ascii="Times New Roman" w:cs="Times New Roman" w:eastAsia="Times New Roman" w:hAnsi="Times New Roman"/>
          <w:sz w:val="18"/>
          <w:szCs w:val="18"/>
          <w:color w:val="auto"/>
        </w:rPr>
        <w:t>. On termination of this Agreement for any reason, Dragonfly Energy shall have the right to dispose of all stocks of Licensed Products in its possession and all Licensed Products in the course of manufacture or production as of the date of termination for a period of twelve (12) months after the date of expiration or termination of this Agreement, in each case, in accordance with the terms and conditions of this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7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 of Termination. The rights and obligations of the Parties set forth in this </w:t>
      </w:r>
      <w:r>
        <w:rPr>
          <w:rFonts w:ascii="Times New Roman" w:cs="Times New Roman" w:eastAsia="Times New Roman" w:hAnsi="Times New Roman"/>
          <w:sz w:val="18"/>
          <w:szCs w:val="18"/>
          <w:b w:val="1"/>
          <w:bCs w:val="1"/>
          <w:color w:val="auto"/>
        </w:rPr>
        <w:t>Error! Bookmark not defined.</w:t>
      </w:r>
      <w:r>
        <w:rPr>
          <w:rFonts w:ascii="Times New Roman" w:cs="Times New Roman" w:eastAsia="Times New Roman" w:hAnsi="Times New Roman"/>
          <w:sz w:val="18"/>
          <w:szCs w:val="18"/>
          <w:color w:val="auto"/>
        </w:rPr>
        <w:t>15 and Section 1, Section 2, Section 3, Section 4, Section 5(c), Section 6(iii) &amp; (viii), Section 8, Section 9(c), Section 12, Section 15, Section 16 and Section 17, and any right, obligation, or required performance of the Parties in this Agreement, which, by its express terms or nature and context is intended to survive termination or expiration of this Agreement, will survive any such termination or expiration. Without limiting the generality of the foregoing and for the avoidance of doubt, no termination of this Agreement or the license granted hereunder shall rescind, compromise, limit or otherwise affect, in any manner whatsoever, the transfer and assignment of all rights, title and interests in, to and under the Licensed Marks to Battle Born Battery Products provided in this Agreement or the IP Assignment. No Party shall be relieved of any liability with respect of any inaccuracy, breach or non-fulfillment of any provision hereof prior to such termination or expiration, or of any provision hereof that survive the termination hereof after the termination 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656"/>
        <w:spacing w:after="0" w:line="266" w:lineRule="auto"/>
        <w:tabs>
          <w:tab w:leader="none" w:pos="93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 Third Party Beneficiary</w:t>
      </w:r>
      <w:r>
        <w:rPr>
          <w:rFonts w:ascii="Times New Roman" w:cs="Times New Roman" w:eastAsia="Times New Roman" w:hAnsi="Times New Roman"/>
          <w:sz w:val="18"/>
          <w:szCs w:val="18"/>
          <w:color w:val="auto"/>
        </w:rPr>
        <w:t>. This Agreement is binding upon and inures to the benefit of the Parties and their respective successors and assigns. Stryten shall be a third-party beneficiary with regard to Sections 2, 4, 5, 6, 7, 8, 9, 10, 13, 15, 17, 18 of this Agreement, and shall be entitled to all the benefits thereunder and entitled to enforce such provisions.</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No Party shall assign or otherwise transfer any of its rights, or delegate or otherwise transfer any of its obligations or performance, under this Agreement, in each case whether voluntarily, involuntarily, by operation of law, or otherwise, without the other Parties’ prior written consent, which consent shall not be unreasonably withheld, conditioned, or delayed. For purposes of the preceding sentence, and without limiting its generality, any merger, consolidation, or reorganization involving a Party (regardless of whether such Party is a surviving or disappearing entity) or sale of all or substantially all the assets or business of such Party to which this Agreement relates will be deemed to be a transfer of rights, obligations, or performance under this Agreement for which the other Parties’ prior written consent is not required, provided that, in each case, the successor entity to which this Agreement is assigned expressly agrees to be bound by this Agreement and all other related agreements between the Parties. No delegation or other transfer will relieve a Party of any of its obligations or performance under this Agreement. Any purported assignment, delegation, or transfer in violation of this </w:t>
      </w:r>
      <w:r>
        <w:rPr>
          <w:rFonts w:ascii="Times New Roman" w:cs="Times New Roman" w:eastAsia="Times New Roman" w:hAnsi="Times New Roman"/>
          <w:sz w:val="18"/>
          <w:szCs w:val="18"/>
          <w:b w:val="1"/>
          <w:bCs w:val="1"/>
          <w:color w:val="auto"/>
        </w:rPr>
        <w:t>Error! Bookmark not defined.</w:t>
      </w:r>
      <w:r>
        <w:rPr>
          <w:rFonts w:ascii="Times New Roman" w:cs="Times New Roman" w:eastAsia="Times New Roman" w:hAnsi="Times New Roman"/>
          <w:sz w:val="18"/>
          <w:szCs w:val="18"/>
          <w:color w:val="auto"/>
        </w:rPr>
        <w:t>17 is null and void. Notwithstanding anything herein to the contrary, the Licensed Marks and Battle Born Battery Products’ obligations under this Agreement, the Trademark License Agreement and all other related agreements between the Parties must remain with the same owner and may not be separately assigned or otherwise transferred, in whole or in part.</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correspondence or notices required or permitted to be given under this Agreement must be in writing, in English, and addressed to the other Party at its address set out below (or to any other address that the receiving Party may designate from time to time in writing). Each Party shall deliver all notices by personal delivery, nationally recognized overnight courier (with all fees prepaid), email (with confirmation of transmission), or certified or registered mail (in each case, return receipt requested, postage prepaid). Except as otherwise provided in this Agreement, a notice is effective only (i) upon receipt by the receiving Party and (ii) if the Party giving the notice has complied with the requirements of this Section 18(a). Such communications must be sent to the respective Parties at the following addresses (or at such other address for a Party as specified in a notice given in accordance with this Section):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If to Dragonfly Energy:</w:t>
            </w:r>
          </w:p>
        </w:tc>
        <w:tc>
          <w:tcPr>
            <w:tcW w:w="7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1190 Trademark Dr., Suite #108</w:t>
            </w:r>
          </w:p>
        </w:tc>
      </w:tr>
      <w:tr>
        <w:trPr>
          <w:trHeight w:val="216"/>
        </w:trPr>
        <w:tc>
          <w:tcPr>
            <w:tcW w:w="3620" w:type="dxa"/>
            <w:vAlign w:val="bottom"/>
          </w:tcPr>
          <w:p>
            <w:pPr>
              <w:spacing w:after="0"/>
              <w:rPr>
                <w:sz w:val="18"/>
                <w:szCs w:val="18"/>
                <w:color w:val="auto"/>
              </w:rPr>
            </w:pPr>
          </w:p>
        </w:tc>
        <w:tc>
          <w:tcPr>
            <w:tcW w:w="7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Reno, Nevada 89512 Attn: Dominic Sinnott</w:t>
            </w:r>
          </w:p>
        </w:tc>
      </w:tr>
      <w:tr>
        <w:trPr>
          <w:trHeight w:val="234"/>
        </w:trPr>
        <w:tc>
          <w:tcPr>
            <w:tcW w:w="3620" w:type="dxa"/>
            <w:vAlign w:val="bottom"/>
          </w:tcPr>
          <w:p>
            <w:pPr>
              <w:spacing w:after="0"/>
              <w:rPr>
                <w:sz w:val="20"/>
                <w:szCs w:val="20"/>
                <w:color w:val="auto"/>
              </w:rPr>
            </w:pPr>
          </w:p>
        </w:tc>
        <w:tc>
          <w:tcPr>
            <w:tcW w:w="7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E-mail: dsinnott@dragonflyenergy.com</w:t>
            </w:r>
          </w:p>
        </w:tc>
      </w:tr>
      <w:tr>
        <w:trPr>
          <w:trHeight w:val="439"/>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color w:val="auto"/>
        </w:rPr>
        <w:t>If to Battle Born Battery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Battle Born Battery Products,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1190 Trademark Dr., Suite #108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 89512 Attn: Dominic Sinnott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dsinnott@dragonflyenergy.com</w:t>
      </w:r>
    </w:p>
    <w:p>
      <w:pPr>
        <w:spacing w:after="0" w:line="200" w:lineRule="exact"/>
        <w:rPr>
          <w:sz w:val="20"/>
          <w:szCs w:val="20"/>
          <w:color w:val="auto"/>
        </w:rPr>
      </w:pPr>
    </w:p>
    <w:p>
      <w:pPr>
        <w:sectPr>
          <w:pgSz w:w="11900" w:h="16838" w:orient="portrait"/>
          <w:cols w:equalWidth="0" w:num="2">
            <w:col w:w="4840" w:space="720"/>
            <w:col w:w="5620"/>
          </w:cols>
          <w:pgMar w:left="380" w:top="688" w:right="339" w:bottom="1440" w:gutter="0" w:footer="0" w:header="0"/>
        </w:sectPr>
      </w:pPr>
    </w:p>
    <w:p>
      <w:pPr>
        <w:spacing w:after="0" w:line="7" w:lineRule="exact"/>
        <w:rPr>
          <w:sz w:val="20"/>
          <w:szCs w:val="20"/>
          <w:color w:val="auto"/>
        </w:rPr>
      </w:pPr>
    </w:p>
    <w:p>
      <w:pPr>
        <w:jc w:val="both"/>
        <w:ind w:left="600" w:firstLine="644"/>
        <w:spacing w:after="0" w:line="256" w:lineRule="auto"/>
        <w:tabs>
          <w:tab w:leader="none" w:pos="15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recitals set forth at the beginning of this Agreement are incorporated by reference and made a part of this Agreement. Sections of this Agreement have been labeled for the convenience of the Parties and such headings are not to be utilized for the purpose of construing the meaning of any provision of this Agreement. This Agreement, including and together with any related exhibits and schedules, constitutes the entire agreement of the Parties with respect to the subject matter contained herein. The Parties expressly acknowledge that they are entering into other agreements contemporaneously herewith and/or after this Agreement, and that this Agreement shall survive termination of such other agreements unless otherwise terminated in accordance with Section 15 of this Agreement.</w:t>
      </w:r>
    </w:p>
    <w:p>
      <w:pPr>
        <w:spacing w:after="0" w:line="187" w:lineRule="exact"/>
        <w:rPr>
          <w:rFonts w:ascii="Times New Roman" w:cs="Times New Roman" w:eastAsia="Times New Roman" w:hAnsi="Times New Roman"/>
          <w:sz w:val="18"/>
          <w:szCs w:val="18"/>
          <w:color w:val="auto"/>
        </w:rPr>
      </w:pPr>
    </w:p>
    <w:p>
      <w:pPr>
        <w:jc w:val="both"/>
        <w:ind w:left="600" w:firstLine="644"/>
        <w:spacing w:after="0" w:line="254" w:lineRule="auto"/>
        <w:tabs>
          <w:tab w:leader="none" w:pos="14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No amendment to this Agreement will be effective unless it is in writing and signed by both Parties and Stryten (provided that Stryten’s consent shall not be unreasonably withheld, conditioned or delayed), excluding any decision related to an expansion of the Dragonfly Markets outside the Stryten Market, which shall remain in the sole discretion of Dragonfly and Battle Born Battery Products provided that the Parties provide Stryten written notice of any such amendment at least ten (10) business days prior to any such amendment taking effect. No waiver by any Party of any of the provisions hereof will be effective unless explicitly set forth in writing and signed by the waiving Party. Except as otherwise set forth in this Agreement, no failure to exercise, or delay in exercising, any rights, remedy, power, or privilege arising from this Agreement will operate or be construed as a waiver thereof; nor will any single or partial exercise of any right, remedy, power, or privilege hereunder preclude any other or further exercise thereof or the exercise of any other right, remedy, power, or privilege.</w:t>
      </w:r>
    </w:p>
    <w:p>
      <w:pPr>
        <w:spacing w:after="0" w:line="191" w:lineRule="exact"/>
        <w:rPr>
          <w:rFonts w:ascii="Times New Roman" w:cs="Times New Roman" w:eastAsia="Times New Roman" w:hAnsi="Times New Roman"/>
          <w:sz w:val="18"/>
          <w:szCs w:val="18"/>
          <w:color w:val="auto"/>
        </w:rPr>
      </w:pPr>
    </w:p>
    <w:p>
      <w:pPr>
        <w:jc w:val="both"/>
        <w:ind w:left="600" w:firstLine="644"/>
        <w:spacing w:after="0" w:line="266" w:lineRule="auto"/>
        <w:tabs>
          <w:tab w:leader="none" w:pos="153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Agreement is invalid, illegal, or unenforceable in any jurisdiction, such invalidity, illegality, or unenforceability will not affect any other term or provision of this Agreement or invalidate or render unenforceable such term or provision in any other jurisdiction.</w:t>
      </w:r>
    </w:p>
    <w:p>
      <w:pPr>
        <w:spacing w:after="0" w:line="175" w:lineRule="exact"/>
        <w:rPr>
          <w:rFonts w:ascii="Times New Roman" w:cs="Times New Roman" w:eastAsia="Times New Roman" w:hAnsi="Times New Roman"/>
          <w:sz w:val="18"/>
          <w:szCs w:val="18"/>
          <w:color w:val="auto"/>
        </w:rPr>
      </w:pPr>
    </w:p>
    <w:p>
      <w:pPr>
        <w:jc w:val="both"/>
        <w:ind w:left="600" w:firstLine="644"/>
        <w:spacing w:after="0" w:line="258" w:lineRule="auto"/>
        <w:tabs>
          <w:tab w:leader="none" w:pos="15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xml:space="preserve">. This Agreement, and all matters arising out of or relating to this Agreement, will be governed by, and construed in accordance with, the laws of the State of Nevada, without regard to any choice or conflict of laws principles thereof. The Parties hereto waive any objection which either may have based on lack of jurisdiction or improper venue or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to any suit or proceeding instituted by either Party under this Agreement in any state or federal court with jurisdiction over Washoe County, state of Nevada, and consent to the granting of such legal or equitable relief as is deemed appropriate by such court.</w:t>
      </w:r>
    </w:p>
    <w:p>
      <w:pPr>
        <w:spacing w:after="0" w:line="183" w:lineRule="exact"/>
        <w:rPr>
          <w:rFonts w:ascii="Times New Roman" w:cs="Times New Roman" w:eastAsia="Times New Roman" w:hAnsi="Times New Roman"/>
          <w:sz w:val="18"/>
          <w:szCs w:val="18"/>
          <w:color w:val="auto"/>
        </w:rPr>
      </w:pPr>
    </w:p>
    <w:p>
      <w:pPr>
        <w:ind w:left="600" w:firstLine="644"/>
        <w:spacing w:after="0" w:line="282" w:lineRule="auto"/>
        <w:tabs>
          <w:tab w:leader="none" w:pos="14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is deemed an original, but all of which together are deemed to be one and the same agreement.</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688" w:right="339" w:bottom="1440" w:gutter="0" w:footer="0" w:header="0"/>
          <w:type w:val="continuous"/>
        </w:sectPr>
      </w:pPr>
    </w:p>
    <w:bookmarkStart w:id="47" w:name="page48"/>
    <w:bookmarkEnd w:id="47"/>
    <w:p>
      <w:pPr>
        <w:ind w:firstLine="650"/>
        <w:spacing w:after="0" w:line="282" w:lineRule="auto"/>
        <w:rPr>
          <w:sz w:val="20"/>
          <w:szCs w:val="20"/>
          <w:color w:val="auto"/>
        </w:rPr>
      </w:pPr>
      <w:r>
        <w:rPr>
          <w:rFonts w:ascii="Times New Roman" w:cs="Times New Roman" w:eastAsia="Times New Roman" w:hAnsi="Times New Roman"/>
          <w:sz w:val="18"/>
          <w:szCs w:val="18"/>
          <w:color w:val="auto"/>
        </w:rPr>
        <w:t>IN WITNESS WHEREOF, the Patties have caused this Trademark Transfer and License- Back Agreement to be executed as of the last signature below by their respective officers thereunto duly authorized.</w:t>
      </w:r>
    </w:p>
    <w:p>
      <w:pPr>
        <w:spacing w:after="0" w:line="1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Dragonfly Energy, Corp.</w:t>
      </w:r>
    </w:p>
    <w:p>
      <w:pPr>
        <w:spacing w:after="0" w:line="223" w:lineRule="exact"/>
        <w:rPr>
          <w:sz w:val="20"/>
          <w:szCs w:val="20"/>
          <w:color w:val="auto"/>
        </w:rPr>
      </w:pPr>
    </w:p>
    <w:p>
      <w:pPr>
        <w:ind w:left="552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3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26035</wp:posOffset>
            </wp:positionV>
            <wp:extent cx="32061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-127635</wp:posOffset>
            </wp:positionV>
            <wp:extent cx="32061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520"/>
        <w:spacing w:after="0"/>
        <w:tabs>
          <w:tab w:leader="none" w:pos="60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22860</wp:posOffset>
            </wp:positionV>
            <wp:extent cx="32061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Dated: 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22860</wp:posOffset>
            </wp:positionV>
            <wp:extent cx="32061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Battle Born Battery Products, LLC</w:t>
      </w:r>
    </w:p>
    <w:p>
      <w:pPr>
        <w:spacing w:after="0" w:line="223" w:lineRule="exact"/>
        <w:rPr>
          <w:sz w:val="20"/>
          <w:szCs w:val="20"/>
          <w:color w:val="auto"/>
        </w:rPr>
      </w:pPr>
    </w:p>
    <w:p>
      <w:pPr>
        <w:ind w:left="552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3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26035</wp:posOffset>
            </wp:positionV>
            <wp:extent cx="32061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-127635</wp:posOffset>
            </wp:positionV>
            <wp:extent cx="32061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520"/>
        <w:spacing w:after="0"/>
        <w:tabs>
          <w:tab w:leader="none" w:pos="60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22860</wp:posOffset>
            </wp:positionV>
            <wp:extent cx="32061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Dated: 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22860</wp:posOffset>
            </wp:positionV>
            <wp:extent cx="32061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68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3140" w:type="dxa"/>
            <w:vAlign w:val="bottom"/>
          </w:tcPr>
          <w:p>
            <w:pPr>
              <w:spacing w:after="0"/>
              <w:rPr>
                <w:sz w:val="20"/>
                <w:szCs w:val="20"/>
                <w:color w:val="auto"/>
              </w:rPr>
            </w:pPr>
          </w:p>
        </w:tc>
      </w:tr>
      <w:tr>
        <w:trPr>
          <w:trHeight w:val="432"/>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Licensed Marks</w:t>
            </w:r>
          </w:p>
        </w:tc>
        <w:tc>
          <w:tcPr>
            <w:tcW w:w="3140" w:type="dxa"/>
            <w:vAlign w:val="bottom"/>
          </w:tcPr>
          <w:p>
            <w:pPr>
              <w:spacing w:after="0"/>
              <w:rPr>
                <w:sz w:val="24"/>
                <w:szCs w:val="24"/>
                <w:color w:val="auto"/>
              </w:rPr>
            </w:pPr>
          </w:p>
        </w:tc>
      </w:tr>
      <w:tr>
        <w:trPr>
          <w:trHeight w:val="410"/>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Trademark Registration / Application</w:t>
            </w:r>
          </w:p>
        </w:tc>
      </w:tr>
      <w:tr>
        <w:trPr>
          <w:trHeight w:val="245"/>
        </w:trPr>
        <w:tc>
          <w:tcPr>
            <w:tcW w:w="33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Trademark</w:t>
            </w:r>
          </w:p>
        </w:tc>
        <w:tc>
          <w:tcPr>
            <w:tcW w:w="240" w:type="dxa"/>
            <w:vAlign w:val="bottom"/>
          </w:tcPr>
          <w:p>
            <w:pPr>
              <w:spacing w:after="0"/>
              <w:rPr>
                <w:sz w:val="21"/>
                <w:szCs w:val="21"/>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200" w:type="dxa"/>
            <w:vAlign w:val="bottom"/>
          </w:tcPr>
          <w:p>
            <w:pPr>
              <w:spacing w:after="0"/>
              <w:rPr>
                <w:sz w:val="21"/>
                <w:szCs w:val="21"/>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r>
      <w:tr>
        <w:trPr>
          <w:trHeight w:val="891"/>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 No. 6895225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-565150</wp:posOffset>
            </wp:positionV>
            <wp:extent cx="1234440" cy="8655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4440" cy="86550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574040</wp:posOffset>
            </wp:positionV>
            <wp:extent cx="1234440" cy="8655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8"/>
          <w:szCs w:val="18"/>
          <w:b w:val="1"/>
          <w:bCs w:val="1"/>
          <w:color w:val="auto"/>
        </w:rPr>
        <w:t>Reg. No. 7284871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594360</wp:posOffset>
            </wp:positionV>
            <wp:extent cx="1234440" cy="8655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40"/>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8"/>
          <w:szCs w:val="18"/>
          <w:b w:val="1"/>
          <w:bCs w:val="1"/>
          <w:color w:val="auto"/>
        </w:rPr>
        <w:t>Reg. No. 7284872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594360</wp:posOffset>
            </wp:positionV>
            <wp:extent cx="1234440" cy="8655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120"/>
        <w:spacing w:after="0"/>
        <w:tabs>
          <w:tab w:leader="none" w:pos="8900" w:val="left"/>
        </w:tabs>
        <w:rPr>
          <w:sz w:val="20"/>
          <w:szCs w:val="20"/>
          <w:color w:val="auto"/>
        </w:rPr>
      </w:pPr>
      <w:r>
        <w:rPr>
          <w:rFonts w:ascii="Times New Roman" w:cs="Times New Roman" w:eastAsia="Times New Roman" w:hAnsi="Times New Roman"/>
          <w:sz w:val="18"/>
          <w:szCs w:val="18"/>
          <w:b w:val="1"/>
          <w:bCs w:val="1"/>
          <w:color w:val="auto"/>
        </w:rPr>
        <w:t>European Union</w:t>
      </w:r>
      <w:r>
        <w:rPr>
          <w:sz w:val="20"/>
          <w:szCs w:val="20"/>
          <w:color w:val="auto"/>
        </w:rPr>
        <w:tab/>
      </w:r>
      <w:r>
        <w:rPr>
          <w:rFonts w:ascii="Times New Roman" w:cs="Times New Roman" w:eastAsia="Times New Roman" w:hAnsi="Times New Roman"/>
          <w:sz w:val="17"/>
          <w:szCs w:val="17"/>
          <w:b w:val="1"/>
          <w:bCs w:val="1"/>
          <w:color w:val="auto"/>
        </w:rPr>
        <w:t>Reg. No. 018848387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594360</wp:posOffset>
            </wp:positionV>
            <wp:extent cx="1234440" cy="8655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20"/>
        <w:spacing w:after="0"/>
        <w:tabs>
          <w:tab w:leader="none" w:pos="8680" w:val="left"/>
        </w:tabs>
        <w:rPr>
          <w:sz w:val="20"/>
          <w:szCs w:val="20"/>
          <w:color w:val="auto"/>
        </w:rPr>
      </w:pPr>
      <w:r>
        <w:rPr>
          <w:rFonts w:ascii="Times New Roman" w:cs="Times New Roman" w:eastAsia="Times New Roman" w:hAnsi="Times New Roman"/>
          <w:sz w:val="18"/>
          <w:szCs w:val="18"/>
          <w:b w:val="1"/>
          <w:bCs w:val="1"/>
          <w:color w:val="auto"/>
        </w:rPr>
        <w:t>United Kingdom</w:t>
      </w:r>
      <w:r>
        <w:rPr>
          <w:sz w:val="20"/>
          <w:szCs w:val="20"/>
          <w:color w:val="auto"/>
        </w:rPr>
        <w:tab/>
      </w:r>
      <w:r>
        <w:rPr>
          <w:rFonts w:ascii="Times New Roman" w:cs="Times New Roman" w:eastAsia="Times New Roman" w:hAnsi="Times New Roman"/>
          <w:sz w:val="17"/>
          <w:szCs w:val="17"/>
          <w:b w:val="1"/>
          <w:bCs w:val="1"/>
          <w:color w:val="auto"/>
        </w:rPr>
        <w:t>Reg. No. UK00003888983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525780</wp:posOffset>
            </wp:positionV>
            <wp:extent cx="1234440" cy="8661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444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International Registration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vMerge w:val="restart"/>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(and designated countries granting</w:t>
            </w:r>
          </w:p>
        </w:tc>
        <w:tc>
          <w:tcPr>
            <w:tcW w:w="32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Reg. No. 1683242</w:t>
            </w:r>
          </w:p>
        </w:tc>
        <w:tc>
          <w:tcPr>
            <w:tcW w:w="0" w:type="dxa"/>
            <w:vAlign w:val="bottom"/>
          </w:tcPr>
          <w:p>
            <w:pPr>
              <w:spacing w:after="0"/>
              <w:rPr>
                <w:sz w:val="1"/>
                <w:szCs w:val="1"/>
                <w:color w:val="auto"/>
              </w:rPr>
            </w:pPr>
          </w:p>
        </w:tc>
      </w:tr>
      <w:tr>
        <w:trPr>
          <w:trHeight w:val="86"/>
        </w:trPr>
        <w:tc>
          <w:tcPr>
            <w:tcW w:w="804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804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rPr>
              <w:t>protection)</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4"/>
        </w:trPr>
        <w:tc>
          <w:tcPr>
            <w:tcW w:w="804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color w:val="auto"/>
              </w:rPr>
              <w:t>13</w:t>
            </w: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49" w:name="page50"/>
    <w:bookmarkEnd w:id="49"/>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Trademark</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432"/>
        </w:trPr>
        <w:tc>
          <w:tcPr>
            <w:tcW w:w="33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Australia</w:t>
            </w:r>
          </w:p>
        </w:tc>
      </w:tr>
      <w:tr>
        <w:trPr>
          <w:trHeight w:val="432"/>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Mexico</w:t>
            </w:r>
          </w:p>
        </w:tc>
      </w:tr>
      <w:tr>
        <w:trPr>
          <w:trHeight w:val="432"/>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Canada</w:t>
            </w:r>
          </w:p>
        </w:tc>
      </w:tr>
      <w:tr>
        <w:trPr>
          <w:trHeight w:val="432"/>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BATTLE BORN BATTERIES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432"/>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BATTLE BORN BATTERIES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European Union</w:t>
            </w:r>
          </w:p>
        </w:tc>
      </w:tr>
      <w:tr>
        <w:trPr>
          <w:trHeight w:val="432"/>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Registration</w:t>
            </w:r>
          </w:p>
        </w:tc>
      </w:tr>
      <w:tr>
        <w:trPr>
          <w:trHeight w:val="410"/>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designated countries granting</w:t>
            </w:r>
          </w:p>
        </w:tc>
      </w:t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protection)</w:t>
            </w:r>
          </w:p>
        </w:tc>
      </w:tr>
      <w:tr>
        <w:trPr>
          <w:trHeight w:val="432"/>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BATTLE BORN</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Australia</w:t>
            </w:r>
          </w:p>
        </w:tc>
      </w:tr>
      <w:tr>
        <w:trPr>
          <w:trHeight w:val="432"/>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Mexico</w:t>
            </w:r>
          </w:p>
        </w:tc>
      </w:tr>
      <w:tr>
        <w:trPr>
          <w:trHeight w:val="540"/>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Canada</w:t>
            </w:r>
          </w:p>
        </w:tc>
      </w:tr>
      <w:tr>
        <w:trPr>
          <w:trHeight w:val="540"/>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Trademark Registration / Application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-24130</wp:posOffset>
            </wp:positionV>
            <wp:extent cx="19888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Reg. No. 2300563</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Reg. No. 2575209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 No. 2209962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 No. UK00003888951</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Reg. No. 018848379</w:t>
      </w:r>
    </w:p>
    <w:p>
      <w:pPr>
        <w:spacing w:after="0" w:line="200" w:lineRule="exact"/>
        <w:rPr>
          <w:sz w:val="20"/>
          <w:szCs w:val="20"/>
          <w:color w:val="auto"/>
        </w:rPr>
      </w:pPr>
    </w:p>
    <w:p>
      <w:pPr>
        <w:spacing w:after="0" w:line="34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Reg. No. 1681667</w:t>
      </w:r>
    </w:p>
    <w:p>
      <w:pPr>
        <w:spacing w:after="0" w:line="200" w:lineRule="exact"/>
        <w:rPr>
          <w:sz w:val="20"/>
          <w:szCs w:val="20"/>
          <w:color w:val="auto"/>
        </w:rPr>
      </w:pPr>
    </w:p>
    <w:p>
      <w:pPr>
        <w:spacing w:after="0" w:line="34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Reg. No. 2299023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 No. 251881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 No.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TMA1228473</w:t>
      </w:r>
    </w:p>
    <w:p>
      <w:pPr>
        <w:sectPr>
          <w:pgSz w:w="11900" w:h="16838" w:orient="portrait"/>
          <w:cols w:equalWidth="0" w:num="2">
            <w:col w:w="7900" w:space="320"/>
            <w:col w:w="2900"/>
          </w:cols>
          <w:pgMar w:left="320" w:top="684" w:right="4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Trademark Registration / Application</w:t>
            </w:r>
          </w:p>
        </w:tc>
      </w:tr>
      <w:tr>
        <w:trPr>
          <w:trHeight w:val="24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Trademark</w:t>
            </w:r>
          </w:p>
        </w:tc>
        <w:tc>
          <w:tcPr>
            <w:tcW w:w="240" w:type="dxa"/>
            <w:vAlign w:val="bottom"/>
          </w:tcPr>
          <w:p>
            <w:pPr>
              <w:spacing w:after="0"/>
              <w:rPr>
                <w:sz w:val="21"/>
                <w:szCs w:val="21"/>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200" w:type="dxa"/>
            <w:vAlign w:val="bottom"/>
          </w:tcPr>
          <w:p>
            <w:pPr>
              <w:spacing w:after="0"/>
              <w:rPr>
                <w:sz w:val="21"/>
                <w:szCs w:val="21"/>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r>
      <w:tr>
        <w:trPr>
          <w:trHeight w:val="432"/>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BATTLE BORN</w:t>
            </w:r>
          </w:p>
        </w:tc>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 No. 4999731</w:t>
            </w:r>
          </w:p>
        </w:tc>
      </w:tr>
      <w:tr>
        <w:trPr>
          <w:trHeight w:val="432"/>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BATTLE BORN</w:t>
            </w:r>
          </w:p>
        </w:tc>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 No. 7276690</w:t>
            </w:r>
          </w:p>
        </w:tc>
      </w:tr>
      <w:tr>
        <w:trPr>
          <w:trHeight w:val="432"/>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BATTLE BORN</w:t>
            </w:r>
          </w:p>
        </w:tc>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 No. 7276689</w:t>
            </w:r>
          </w:p>
        </w:tc>
      </w:tr>
      <w:tr>
        <w:trPr>
          <w:trHeight w:val="432"/>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BATTLE BORN ENERGY</w:t>
            </w:r>
          </w:p>
        </w:tc>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 No. 6428841</w:t>
            </w:r>
          </w:p>
        </w:tc>
      </w:tr>
      <w:tr>
        <w:trPr>
          <w:trHeight w:val="432"/>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BATTLE BORN SOLAR</w:t>
            </w:r>
          </w:p>
        </w:tc>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 No. 6428842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137160</wp:posOffset>
            </wp:positionV>
            <wp:extent cx="1337310" cy="7886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3731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7"/>
          <w:szCs w:val="17"/>
          <w:b w:val="1"/>
          <w:bCs w:val="1"/>
          <w:color w:val="auto"/>
        </w:rPr>
        <w:t>Ser. No. 98197989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80"/>
        <w:spacing w:after="0"/>
        <w:tabs>
          <w:tab w:leader="none" w:pos="5220" w:val="left"/>
          <w:tab w:leader="none" w:pos="8980" w:val="left"/>
        </w:tabs>
        <w:rPr>
          <w:sz w:val="20"/>
          <w:szCs w:val="20"/>
          <w:color w:val="auto"/>
        </w:rPr>
      </w:pPr>
      <w:r>
        <w:rPr>
          <w:rFonts w:ascii="Times New Roman" w:cs="Times New Roman" w:eastAsia="Times New Roman" w:hAnsi="Times New Roman"/>
          <w:sz w:val="18"/>
          <w:szCs w:val="18"/>
          <w:b w:val="1"/>
          <w:bCs w:val="1"/>
          <w:color w:val="auto"/>
        </w:rPr>
        <w:t>BATTLE BORN BASE STATION</w:t>
      </w:r>
      <w:r>
        <w:rPr>
          <w:sz w:val="20"/>
          <w:szCs w:val="20"/>
          <w:color w:val="auto"/>
        </w:rPr>
        <w:tab/>
      </w: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7"/>
          <w:szCs w:val="17"/>
          <w:b w:val="1"/>
          <w:bCs w:val="1"/>
          <w:color w:val="auto"/>
        </w:rPr>
        <w:t>Ser. No. 98198017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TRADEMARK ASSIGNMENT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Trademark Assignment (“Assignment”) is entered into as of July 29, 2024 (the “Effective Date”) by Dragonfly Energy Corp., a Nevada corporation having an address of 1190 Trademark Drive, Suite 108, Reno, Nevada 89521 (“Assignor”), on the one hand, and Battle Born Battery Products, LLC, a Nevada limited liability company having an address 1190 Trademark Drive, Suite 108, Reno, Nevada 89521 (“Assignee”), on the other hand. For purpose of this Assignment, Assignor and Assignee may be collectively referred to herein as the “Parties” or each separately as “Party.”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good and valuable consideration, the receipt and sufficiency of which is hereby acknowledged, the Parties hereby agree to the following:</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Assignor hereby assigns, transfers and conveys to Assignee, and Assignee does hereby accept the assignment, transfer and conveyance of, all right, title and interest in, to and under the marks set forth on Exhibit A, the goodwill associated therewith and symbolized thereby, all past, present and future claims, counterclaims, credits, causes of action, choses in action, rights of recovery and rights of setoff against third persons for infringements, violations, dilutions or contract breaches, together with the right at law or equity to sue and recover for any past, continuing and/or future infringements, violations, dilutions or contract breaches and collect any resulting recovery of damages, lost profits, legal fees and costs, including from acts which may have occurred prior to the Effective Date (collectively, “Assigned Trademarks”), all of the foregoing rights, titles and interests to be held and enjoyed by Assignee, for Assignee’s own use and benefit and for the use and benefit of Assignee’s successors, assigns or other legal Representatives, as fully and entirely as the same would have been held and enjoyed by Assignor if this assignment, transfer and conveyance had not been made. Assignor makes no representation, warranty or covenant with respect to the Assigned Trademark, except that it has the authorization to effectuate this assignment and the registrations referenced above are active and pending with the United States Patent and Trademark Office.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Assignor authorizes and requests that the Commissioner for Trademarks of the United States Patent and Trademark Office and any other applicable government officer record this Assignment.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Assignment may be executed in any number of counterparts, each of which when so executed and delivered shall constitute an original, but all of which shall constitute a single contract. Delivery of an executed counterpart of a signature page of this Assignment by facsimile or other electronic means of transmission (including, “.pdf”) shall be effective as delivery of a manually executed counterpart of this Assignment.</w:t>
      </w:r>
    </w:p>
    <w:p>
      <w:pPr>
        <w:spacing w:after="0" w:line="17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This Assignment shall be governed by and construed in accordance with the laws of Nevada without giving effect to its choice of law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DRAGONFLY ENERGY CORP.</w:t>
            </w:r>
          </w:p>
        </w:tc>
        <w:tc>
          <w:tcPr>
            <w:tcW w:w="2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BATTLE BORN BATTERY PRODUCTS, LLC.</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Assignor</w:t>
            </w: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Assignee</w:t>
            </w:r>
          </w:p>
        </w:tc>
        <w:tc>
          <w:tcPr>
            <w:tcW w:w="0" w:type="dxa"/>
            <w:vAlign w:val="bottom"/>
          </w:tcPr>
          <w:p>
            <w:pPr>
              <w:spacing w:after="0"/>
              <w:rPr>
                <w:sz w:val="1"/>
                <w:szCs w:val="1"/>
                <w:color w:val="auto"/>
              </w:rPr>
            </w:pPr>
          </w:p>
        </w:tc>
      </w:tr>
      <w:tr>
        <w:trPr>
          <w:trHeight w:val="439"/>
        </w:trPr>
        <w:tc>
          <w:tcPr>
            <w:tcW w:w="552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96"/>
        </w:trPr>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94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w w:val="99"/>
              </w:rPr>
              <w:t>EXECUTION VERSION</w:t>
            </w:r>
          </w:p>
        </w:tc>
      </w:tr>
      <w:tr>
        <w:trPr>
          <w:trHeight w:val="432"/>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3140" w:type="dxa"/>
            <w:vAlign w:val="bottom"/>
          </w:tcPr>
          <w:p>
            <w:pPr>
              <w:spacing w:after="0"/>
              <w:rPr>
                <w:sz w:val="24"/>
                <w:szCs w:val="24"/>
                <w:color w:val="auto"/>
              </w:rPr>
            </w:pPr>
          </w:p>
        </w:tc>
      </w:tr>
      <w:tr>
        <w:trPr>
          <w:trHeight w:val="432"/>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ASSIGNED TRADEMARKS</w:t>
            </w:r>
          </w:p>
        </w:tc>
        <w:tc>
          <w:tcPr>
            <w:tcW w:w="3140" w:type="dxa"/>
            <w:vAlign w:val="bottom"/>
          </w:tcPr>
          <w:p>
            <w:pPr>
              <w:spacing w:after="0"/>
              <w:rPr>
                <w:sz w:val="24"/>
                <w:szCs w:val="24"/>
                <w:color w:val="auto"/>
              </w:rPr>
            </w:pPr>
          </w:p>
        </w:tc>
      </w:tr>
      <w:tr>
        <w:trPr>
          <w:trHeight w:val="410"/>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TRADEMARK REGISTRATION /</w:t>
            </w:r>
          </w:p>
        </w:tc>
      </w:tr>
      <w:tr>
        <w:trPr>
          <w:trHeight w:val="245"/>
        </w:trPr>
        <w:tc>
          <w:tcPr>
            <w:tcW w:w="33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TRADEMARK</w:t>
            </w:r>
          </w:p>
        </w:tc>
        <w:tc>
          <w:tcPr>
            <w:tcW w:w="240" w:type="dxa"/>
            <w:vAlign w:val="bottom"/>
          </w:tcPr>
          <w:p>
            <w:pPr>
              <w:spacing w:after="0"/>
              <w:rPr>
                <w:sz w:val="21"/>
                <w:szCs w:val="21"/>
                <w:color w:val="auto"/>
              </w:rPr>
            </w:pPr>
          </w:p>
        </w:tc>
        <w:tc>
          <w:tcPr>
            <w:tcW w:w="42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00" w:type="dxa"/>
            <w:vAlign w:val="bottom"/>
          </w:tcPr>
          <w:p>
            <w:pPr>
              <w:spacing w:after="0"/>
              <w:rPr>
                <w:sz w:val="21"/>
                <w:szCs w:val="21"/>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APPLICATION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137160</wp:posOffset>
            </wp:positionV>
            <wp:extent cx="1234440" cy="8655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40"/>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7"/>
          <w:szCs w:val="17"/>
          <w:b w:val="1"/>
          <w:bCs w:val="1"/>
          <w:color w:val="auto"/>
        </w:rPr>
        <w:t>REG. NO. 6895225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594360</wp:posOffset>
            </wp:positionV>
            <wp:extent cx="1234440" cy="8655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040"/>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7"/>
          <w:szCs w:val="17"/>
          <w:b w:val="1"/>
          <w:bCs w:val="1"/>
          <w:color w:val="auto"/>
        </w:rPr>
        <w:t>REG. NO. 7284871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594360</wp:posOffset>
            </wp:positionV>
            <wp:extent cx="1234440" cy="8661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040"/>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7"/>
          <w:szCs w:val="17"/>
          <w:b w:val="1"/>
          <w:bCs w:val="1"/>
          <w:color w:val="auto"/>
        </w:rPr>
        <w:t>REG. NO. 7284872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TRADEMARK REGISTRATION /</w:t>
            </w:r>
          </w:p>
        </w:tc>
      </w:tr>
      <w:tr>
        <w:trPr>
          <w:trHeight w:val="245"/>
        </w:trPr>
        <w:tc>
          <w:tcPr>
            <w:tcW w:w="33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TRADEMARK</w:t>
            </w:r>
          </w:p>
        </w:tc>
        <w:tc>
          <w:tcPr>
            <w:tcW w:w="240" w:type="dxa"/>
            <w:vAlign w:val="bottom"/>
          </w:tcPr>
          <w:p>
            <w:pPr>
              <w:spacing w:after="0"/>
              <w:rPr>
                <w:sz w:val="21"/>
                <w:szCs w:val="21"/>
                <w:color w:val="auto"/>
              </w:rPr>
            </w:pPr>
          </w:p>
        </w:tc>
        <w:tc>
          <w:tcPr>
            <w:tcW w:w="42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00" w:type="dxa"/>
            <w:vAlign w:val="bottom"/>
          </w:tcPr>
          <w:p>
            <w:pPr>
              <w:spacing w:after="0"/>
              <w:rPr>
                <w:sz w:val="21"/>
                <w:szCs w:val="21"/>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APPLICATION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137160</wp:posOffset>
            </wp:positionV>
            <wp:extent cx="1234440" cy="8655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920"/>
        <w:spacing w:after="0"/>
        <w:tabs>
          <w:tab w:leader="none" w:pos="8820" w:val="left"/>
        </w:tabs>
        <w:rPr>
          <w:sz w:val="20"/>
          <w:szCs w:val="20"/>
          <w:color w:val="auto"/>
        </w:rPr>
      </w:pPr>
      <w:r>
        <w:rPr>
          <w:rFonts w:ascii="Times New Roman" w:cs="Times New Roman" w:eastAsia="Times New Roman" w:hAnsi="Times New Roman"/>
          <w:sz w:val="18"/>
          <w:szCs w:val="18"/>
          <w:b w:val="1"/>
          <w:bCs w:val="1"/>
          <w:color w:val="auto"/>
        </w:rPr>
        <w:t>EUROPEAN UNION</w:t>
      </w:r>
      <w:r>
        <w:rPr>
          <w:sz w:val="20"/>
          <w:szCs w:val="20"/>
          <w:color w:val="auto"/>
        </w:rPr>
        <w:tab/>
      </w:r>
      <w:r>
        <w:rPr>
          <w:rFonts w:ascii="Times New Roman" w:cs="Times New Roman" w:eastAsia="Times New Roman" w:hAnsi="Times New Roman"/>
          <w:sz w:val="18"/>
          <w:szCs w:val="18"/>
          <w:b w:val="1"/>
          <w:bCs w:val="1"/>
          <w:color w:val="auto"/>
        </w:rPr>
        <w:t>REG. NO. 018848387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594360</wp:posOffset>
            </wp:positionV>
            <wp:extent cx="1234440" cy="8655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920"/>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UNITED KINGDOM</w:t>
      </w:r>
      <w:r>
        <w:rPr>
          <w:sz w:val="20"/>
          <w:szCs w:val="20"/>
          <w:color w:val="auto"/>
        </w:rPr>
        <w:tab/>
      </w:r>
      <w:r>
        <w:rPr>
          <w:rFonts w:ascii="Times New Roman" w:cs="Times New Roman" w:eastAsia="Times New Roman" w:hAnsi="Times New Roman"/>
          <w:sz w:val="17"/>
          <w:szCs w:val="17"/>
          <w:b w:val="1"/>
          <w:bCs w:val="1"/>
          <w:color w:val="auto"/>
        </w:rPr>
        <w:t>REG. NO. UK00003888983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INTERNATIONAL REGISTRATION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DESIGNATED COUNTRIES GRANTING</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1683242</w:t>
            </w:r>
          </w:p>
        </w:tc>
        <w:tc>
          <w:tcPr>
            <w:tcW w:w="0" w:type="dxa"/>
            <w:vAlign w:val="bottom"/>
          </w:tcPr>
          <w:p>
            <w:pPr>
              <w:spacing w:after="0"/>
              <w:rPr>
                <w:sz w:val="1"/>
                <w:szCs w:val="1"/>
                <w:color w:val="auto"/>
              </w:rPr>
            </w:pPr>
          </w:p>
        </w:tc>
      </w:tr>
      <w:tr>
        <w:trPr>
          <w:trHeight w:val="86"/>
        </w:trPr>
        <w:tc>
          <w:tcPr>
            <w:tcW w:w="3360" w:type="dxa"/>
            <w:vAlign w:val="bottom"/>
          </w:tcPr>
          <w:p>
            <w:pPr>
              <w:spacing w:after="0"/>
              <w:rPr>
                <w:sz w:val="7"/>
                <w:szCs w:val="7"/>
                <w:color w:val="auto"/>
              </w:rPr>
            </w:pPr>
          </w:p>
        </w:tc>
        <w:tc>
          <w:tcPr>
            <w:tcW w:w="4780" w:type="dxa"/>
            <w:vAlign w:val="bottom"/>
            <w:vMerge w:val="continue"/>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PROTECTION)</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2300563</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MEXICO</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2575209</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 NO. 2209962</w:t>
            </w:r>
          </w:p>
        </w:tc>
        <w:tc>
          <w:tcPr>
            <w:tcW w:w="0" w:type="dxa"/>
            <w:vAlign w:val="bottom"/>
          </w:tcPr>
          <w:p>
            <w:pPr>
              <w:spacing w:after="0"/>
              <w:rPr>
                <w:sz w:val="1"/>
                <w:szCs w:val="1"/>
                <w:color w:val="auto"/>
              </w:rPr>
            </w:pPr>
          </w:p>
        </w:tc>
      </w:tr>
      <w:tr>
        <w:trPr>
          <w:trHeight w:val="432"/>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BATTLE BORN BATTERIES</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UK00003888951</w:t>
            </w:r>
          </w:p>
        </w:tc>
        <w:tc>
          <w:tcPr>
            <w:tcW w:w="0" w:type="dxa"/>
            <w:vAlign w:val="bottom"/>
          </w:tcPr>
          <w:p>
            <w:pPr>
              <w:spacing w:after="0"/>
              <w:rPr>
                <w:sz w:val="1"/>
                <w:szCs w:val="1"/>
                <w:color w:val="auto"/>
              </w:rPr>
            </w:pPr>
          </w:p>
        </w:tc>
      </w:tr>
      <w:tr>
        <w:trPr>
          <w:trHeight w:val="439"/>
        </w:trPr>
        <w:tc>
          <w:tcPr>
            <w:tcW w:w="33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jc w:val="right"/>
              <w:ind w:right="2330"/>
              <w:spacing w:after="0"/>
              <w:rPr>
                <w:sz w:val="20"/>
                <w:szCs w:val="20"/>
                <w:color w:val="auto"/>
              </w:rPr>
            </w:pPr>
            <w:r>
              <w:rPr>
                <w:rFonts w:ascii="Times New Roman" w:cs="Times New Roman" w:eastAsia="Times New Roman" w:hAnsi="Times New Roman"/>
                <w:sz w:val="18"/>
                <w:szCs w:val="18"/>
                <w:color w:val="auto"/>
              </w:rPr>
              <w:t>19</w:t>
            </w:r>
          </w:p>
        </w:tc>
        <w:tc>
          <w:tcPr>
            <w:tcW w:w="3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-1637030</wp:posOffset>
            </wp:positionV>
            <wp:extent cx="1234440" cy="8655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4440" cy="86550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TRADEMARK REGISTRATION /</w:t>
            </w:r>
          </w:p>
        </w:tc>
        <w:tc>
          <w:tcPr>
            <w:tcW w:w="0" w:type="dxa"/>
            <w:vAlign w:val="bottom"/>
          </w:tcPr>
          <w:p>
            <w:pPr>
              <w:spacing w:after="0"/>
              <w:rPr>
                <w:sz w:val="1"/>
                <w:szCs w:val="1"/>
                <w:color w:val="auto"/>
              </w:rPr>
            </w:pPr>
          </w:p>
        </w:tc>
      </w:tr>
      <w:tr>
        <w:trPr>
          <w:trHeight w:val="24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TRADEMARK</w:t>
            </w:r>
          </w:p>
        </w:tc>
        <w:tc>
          <w:tcPr>
            <w:tcW w:w="240" w:type="dxa"/>
            <w:vAlign w:val="bottom"/>
          </w:tcPr>
          <w:p>
            <w:pPr>
              <w:spacing w:after="0"/>
              <w:rPr>
                <w:sz w:val="21"/>
                <w:szCs w:val="21"/>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200" w:type="dxa"/>
            <w:vAlign w:val="bottom"/>
          </w:tcPr>
          <w:p>
            <w:pPr>
              <w:spacing w:after="0"/>
              <w:rPr>
                <w:sz w:val="21"/>
                <w:szCs w:val="21"/>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APPLICATION NO.</w:t>
            </w:r>
          </w:p>
        </w:tc>
        <w:tc>
          <w:tcPr>
            <w:tcW w:w="0" w:type="dxa"/>
            <w:vAlign w:val="bottom"/>
          </w:tcPr>
          <w:p>
            <w:pPr>
              <w:spacing w:after="0"/>
              <w:rPr>
                <w:sz w:val="1"/>
                <w:szCs w:val="1"/>
                <w:color w:val="auto"/>
              </w:rPr>
            </w:pPr>
          </w:p>
        </w:tc>
      </w:tr>
      <w:tr>
        <w:trPr>
          <w:trHeight w:val="410"/>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BATTLE BORN BATTERIES</w:t>
            </w:r>
          </w:p>
        </w:tc>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EUROPEAN UNION</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 NO. 018848379</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INTERNATIONAL REGISTRATION</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(AND DESIGNATED COUNTRIES GRANTING</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1681667</w:t>
            </w:r>
          </w:p>
        </w:tc>
        <w:tc>
          <w:tcPr>
            <w:tcW w:w="0" w:type="dxa"/>
            <w:vAlign w:val="bottom"/>
          </w:tcPr>
          <w:p>
            <w:pPr>
              <w:spacing w:after="0"/>
              <w:rPr>
                <w:sz w:val="1"/>
                <w:szCs w:val="1"/>
                <w:color w:val="auto"/>
              </w:rPr>
            </w:pPr>
          </w:p>
        </w:tc>
      </w:tr>
      <w:tr>
        <w:trPr>
          <w:trHeight w:val="86"/>
        </w:trPr>
        <w:tc>
          <w:tcPr>
            <w:tcW w:w="3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80" w:type="dxa"/>
            <w:vAlign w:val="bottom"/>
            <w:gridSpan w:val="2"/>
            <w:vMerge w:val="continue"/>
          </w:tcPr>
          <w:p>
            <w:pPr>
              <w:spacing w:after="0"/>
              <w:rPr>
                <w:sz w:val="7"/>
                <w:szCs w:val="7"/>
                <w:color w:val="auto"/>
              </w:rPr>
            </w:pP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PROTECTION)</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240"/>
          </w:cols>
          <w:pgMar w:left="320" w:top="684" w:right="339" w:bottom="1440" w:gutter="0" w:footer="0" w:header="0"/>
        </w:sectPr>
      </w:pPr>
    </w:p>
    <w:p>
      <w:pPr>
        <w:ind w:left="1060"/>
        <w:spacing w:after="0"/>
        <w:rPr>
          <w:sz w:val="20"/>
          <w:szCs w:val="20"/>
          <w:color w:val="auto"/>
        </w:rPr>
      </w:pPr>
      <w:r>
        <w:rPr>
          <w:rFonts w:ascii="Times New Roman" w:cs="Times New Roman" w:eastAsia="Times New Roman" w:hAnsi="Times New Roman"/>
          <w:sz w:val="17"/>
          <w:szCs w:val="17"/>
          <w:b w:val="1"/>
          <w:bCs w:val="1"/>
          <w:color w:val="auto"/>
        </w:rPr>
        <w:t>BATTLE BORN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BATTLE BORN</w:t>
      </w:r>
    </w:p>
    <w:p>
      <w:pPr>
        <w:spacing w:after="0" w:line="23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BATTLE BORN</w:t>
      </w:r>
    </w:p>
    <w:p>
      <w:pPr>
        <w:spacing w:after="0" w:line="23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BATTLE BORN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30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REG. NO. 2299023</w:t>
            </w:r>
          </w:p>
        </w:tc>
      </w:tr>
      <w:tr>
        <w:trPr>
          <w:trHeight w:val="432"/>
        </w:trPr>
        <w:tc>
          <w:tcPr>
            <w:tcW w:w="256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MEXICO</w:t>
            </w:r>
          </w:p>
        </w:tc>
        <w:tc>
          <w:tcPr>
            <w:tcW w:w="30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REG. NO. 251881</w:t>
            </w:r>
          </w:p>
        </w:tc>
      </w:tr>
      <w:tr>
        <w:trPr>
          <w:trHeight w:val="432"/>
        </w:trPr>
        <w:tc>
          <w:tcPr>
            <w:tcW w:w="256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0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REG. NO. TMA1228473</w:t>
            </w:r>
          </w:p>
        </w:tc>
      </w:tr>
      <w:tr>
        <w:trPr>
          <w:trHeight w:val="432"/>
        </w:trPr>
        <w:tc>
          <w:tcPr>
            <w:tcW w:w="256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UNITED STATES</w:t>
            </w:r>
          </w:p>
        </w:tc>
        <w:tc>
          <w:tcPr>
            <w:tcW w:w="30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REG. NO. 4999731</w:t>
            </w:r>
          </w:p>
        </w:tc>
      </w:tr>
      <w:tr>
        <w:trPr>
          <w:trHeight w:val="432"/>
        </w:trPr>
        <w:tc>
          <w:tcPr>
            <w:tcW w:w="256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UNITED STATES</w:t>
            </w:r>
          </w:p>
        </w:tc>
        <w:tc>
          <w:tcPr>
            <w:tcW w:w="30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REG. NO. 7276690</w:t>
            </w:r>
          </w:p>
        </w:tc>
      </w:tr>
      <w:tr>
        <w:trPr>
          <w:trHeight w:val="432"/>
        </w:trPr>
        <w:tc>
          <w:tcPr>
            <w:tcW w:w="256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UNITED STATES</w:t>
            </w:r>
          </w:p>
        </w:tc>
        <w:tc>
          <w:tcPr>
            <w:tcW w:w="30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REG. NO. 7276689</w:t>
            </w:r>
          </w:p>
        </w:tc>
      </w:tr>
      <w:tr>
        <w:trPr>
          <w:trHeight w:val="432"/>
        </w:trPr>
        <w:tc>
          <w:tcPr>
            <w:tcW w:w="25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20</w:t>
            </w:r>
          </w:p>
        </w:tc>
        <w:tc>
          <w:tcPr>
            <w:tcW w:w="3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320" w:space="720"/>
            <w:col w:w="6200"/>
          </w:cols>
          <w:pgMar w:left="320" w:top="684" w:right="3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TRADEMARK REGISTRATION /</w:t>
            </w:r>
          </w:p>
        </w:tc>
      </w:tr>
      <w:tr>
        <w:trPr>
          <w:trHeight w:val="24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TRADEMARK</w:t>
            </w:r>
          </w:p>
        </w:tc>
        <w:tc>
          <w:tcPr>
            <w:tcW w:w="240" w:type="dxa"/>
            <w:vAlign w:val="bottom"/>
          </w:tcPr>
          <w:p>
            <w:pPr>
              <w:spacing w:after="0"/>
              <w:rPr>
                <w:sz w:val="21"/>
                <w:szCs w:val="21"/>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200" w:type="dxa"/>
            <w:vAlign w:val="bottom"/>
          </w:tcPr>
          <w:p>
            <w:pPr>
              <w:spacing w:after="0"/>
              <w:rPr>
                <w:sz w:val="21"/>
                <w:szCs w:val="21"/>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APPLICATION NO.</w:t>
            </w:r>
          </w:p>
        </w:tc>
      </w:tr>
      <w:tr>
        <w:trPr>
          <w:trHeight w:val="432"/>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BATTLE BORN ENERGY</w:t>
            </w:r>
          </w:p>
        </w:tc>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UNITED STATES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6428841</w:t>
            </w:r>
          </w:p>
        </w:tc>
      </w:tr>
      <w:tr>
        <w:trPr>
          <w:trHeight w:val="432"/>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BATTLE BORN SOLAR</w:t>
            </w:r>
          </w:p>
        </w:tc>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UNITED STATES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NO. 6428842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137160</wp:posOffset>
            </wp:positionV>
            <wp:extent cx="1337310" cy="7886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3731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40"/>
        <w:spacing w:after="0"/>
        <w:tabs>
          <w:tab w:leader="none" w:pos="8900" w:val="left"/>
        </w:tabs>
        <w:rPr>
          <w:sz w:val="20"/>
          <w:szCs w:val="20"/>
          <w:color w:val="auto"/>
        </w:rPr>
      </w:pP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7"/>
          <w:szCs w:val="17"/>
          <w:b w:val="1"/>
          <w:bCs w:val="1"/>
          <w:color w:val="auto"/>
        </w:rPr>
        <w:t>SER. NO. 98197989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80"/>
        <w:spacing w:after="0"/>
        <w:tabs>
          <w:tab w:leader="none" w:pos="5020" w:val="left"/>
          <w:tab w:leader="none" w:pos="8900" w:val="left"/>
        </w:tabs>
        <w:rPr>
          <w:sz w:val="20"/>
          <w:szCs w:val="20"/>
          <w:color w:val="auto"/>
        </w:rPr>
      </w:pPr>
      <w:r>
        <w:rPr>
          <w:rFonts w:ascii="Times New Roman" w:cs="Times New Roman" w:eastAsia="Times New Roman" w:hAnsi="Times New Roman"/>
          <w:sz w:val="18"/>
          <w:szCs w:val="18"/>
          <w:b w:val="1"/>
          <w:bCs w:val="1"/>
          <w:color w:val="auto"/>
        </w:rPr>
        <w:t>BATTLE BORN BASE STATION</w:t>
      </w:r>
      <w:r>
        <w:rPr>
          <w:sz w:val="20"/>
          <w:szCs w:val="20"/>
          <w:color w:val="auto"/>
        </w:rPr>
        <w:tab/>
      </w: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7"/>
          <w:szCs w:val="17"/>
          <w:b w:val="1"/>
          <w:bCs w:val="1"/>
          <w:color w:val="auto"/>
        </w:rPr>
        <w:t>SER. NO. 98198017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ersion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u w:val="single" w:color="auto"/>
          <w:color w:val="auto"/>
        </w:rPr>
        <w:t>DRAGONFLY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ersion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u w:val="single" w:color="auto"/>
          <w:color w:val="auto"/>
        </w:rPr>
        <w:t>BRAND MANUAL/USE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LIMITED WAIVER, CONSENT AND SECOND AMENDMENT TO</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TERM LOAN, GUARANTEE AND SECURITY AGREEMENT</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LIMITED WAIVER, CONSENT AND SECOND AMENDMENT TO TERM LOAN, GUARANTEE AND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July 29, 2024, by and among DRAGONFLY ENERGY CORP.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DRAGONFLY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HOLDINGS CORP. (F/K/A CHARDAN NEXTECH ACQUISITION 2 CORP)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Battle Born Battery Products, LLC (“</w:t>
      </w:r>
      <w:r>
        <w:rPr>
          <w:rFonts w:ascii="Times New Roman" w:cs="Times New Roman" w:eastAsia="Times New Roman" w:hAnsi="Times New Roman"/>
          <w:sz w:val="18"/>
          <w:szCs w:val="18"/>
          <w:u w:val="single" w:color="auto"/>
          <w:color w:val="auto"/>
        </w:rPr>
        <w:t>Battle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Born</w:t>
      </w:r>
      <w:r>
        <w:rPr>
          <w:rFonts w:ascii="Times New Roman" w:cs="Times New Roman" w:eastAsia="Times New Roman" w:hAnsi="Times New Roman"/>
          <w:sz w:val="18"/>
          <w:szCs w:val="18"/>
          <w:color w:val="auto"/>
        </w:rPr>
        <w:t>”), the Lenders signatory hereto, which constitute all current Lenders under the Loan Agreement (as hereinafter defined)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ALTER DOMUS (US) LLC, as agent on behalf of the Lenders under the Loan Agreement (as hereinafter defined)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Borrower, Holdings, the Lenders and the Agent are parties to that certain Term Loan, Guarantee and Security Agreement, dated as of October 7, 2022 (as amended by that certain Limited Waiver and First Amendment to Term Loan, Guarantee and Security Agreement, dated as of June 28, 2024, and as may be further amended, modified, extended, restated, replaced, and/or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Battle Born is becoming a party to the Loan Agreement pursuant to a Joinder Agreement, dated as of the date hereof;</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Borrower has advised the Agent and the Lenders that Borrower plans to (i) transfer the rights in and to certain Trademarks to Battle Born pursuant to the Trademark Transfer Agreement, dated as of the Second Amendment Effective Date, by and between Battle Born and Borrower (the “</w:t>
      </w:r>
      <w:r>
        <w:rPr>
          <w:rFonts w:ascii="Times New Roman" w:cs="Times New Roman" w:eastAsia="Times New Roman" w:hAnsi="Times New Roman"/>
          <w:sz w:val="18"/>
          <w:szCs w:val="18"/>
          <w:u w:val="single" w:color="auto"/>
          <w:color w:val="auto"/>
        </w:rPr>
        <w:t>Trademark Transfer Agreement</w:t>
      </w:r>
      <w:r>
        <w:rPr>
          <w:rFonts w:ascii="Times New Roman" w:cs="Times New Roman" w:eastAsia="Times New Roman" w:hAnsi="Times New Roman"/>
          <w:sz w:val="18"/>
          <w:szCs w:val="18"/>
          <w:color w:val="auto"/>
        </w:rPr>
        <w:t xml:space="preserve">”), which transfer would be prohibited by the terms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the Loan Agreement, and (ii) enter into that certain Trademark License Agreement, dated as of the Second Amendment Effective Date (the “</w:t>
      </w:r>
      <w:r>
        <w:rPr>
          <w:rFonts w:ascii="Times New Roman" w:cs="Times New Roman" w:eastAsia="Times New Roman" w:hAnsi="Times New Roman"/>
          <w:sz w:val="18"/>
          <w:szCs w:val="18"/>
          <w:u w:val="single" w:color="auto"/>
          <w:color w:val="auto"/>
        </w:rPr>
        <w:t>Trademark License Agreement</w:t>
      </w:r>
      <w:r>
        <w:rPr>
          <w:rFonts w:ascii="Times New Roman" w:cs="Times New Roman" w:eastAsia="Times New Roman" w:hAnsi="Times New Roman"/>
          <w:sz w:val="18"/>
          <w:szCs w:val="18"/>
          <w:color w:val="auto"/>
        </w:rPr>
        <w:t xml:space="preserve">”), by and between Battle Born, Borrower and Stryten Energy LLC, which agreement may cause Borrower and Battle Born to engage in certain business other than that presently engaged in which would be prohibited by the terms of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of the Loan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of the Loan Agreement, the Credit Parties would be required to make a Mandatory Prepayment of the Obligations following the receipt of the $5,000,000 Initial Licensing Fee under, and as defined in, the Trademark License Agreement (the “</w:t>
      </w:r>
      <w:r>
        <w:rPr>
          <w:rFonts w:ascii="Times New Roman" w:cs="Times New Roman" w:eastAsia="Times New Roman" w:hAnsi="Times New Roman"/>
          <w:sz w:val="18"/>
          <w:szCs w:val="18"/>
          <w:u w:val="single" w:color="auto"/>
          <w:color w:val="auto"/>
        </w:rPr>
        <w:t>Initial Licensing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 Mandatory Prepayment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Credit Parties have requested that the Agent and the Lenders (i) consent to Borrower and Battle Born entering into the Trademark Transfer Agreement and the Trademark License Agreement, (ii) waive the Initial Licensing Fee Mandatory Prepayment and (iii) subject to the satisfaction of the conditions set forth below and the Credit Parties agreeing to certain amendments to the Loan Agreement provided for herein, each of the Agent (acting at the direction of the Lenders) and the Lenders are willing to consent to Borrower and Battle Born entering into the Trademark Transfer Agreement and the Trademark License Agreement and are willing to waive the Initial Licensing Fee Mandatory Prepayment, in each case subject to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NOW THEREFORE, the Credit Parties, the Lenders and the Agent each hereby agrees as follows:</w:t>
      </w:r>
    </w:p>
    <w:p>
      <w:pPr>
        <w:spacing w:after="0" w:line="225" w:lineRule="exact"/>
        <w:rPr>
          <w:sz w:val="20"/>
          <w:szCs w:val="20"/>
          <w:color w:val="auto"/>
        </w:rPr>
      </w:pPr>
    </w:p>
    <w:p>
      <w:pPr>
        <w:ind w:left="840" w:hanging="184"/>
        <w:spacing w:after="0"/>
        <w:tabs>
          <w:tab w:leader="none" w:pos="8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All terms used but not otherwise defined herein have the meanings assigned to them in the Loan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81" w:lineRule="auto"/>
        <w:tabs>
          <w:tab w:leader="none" w:pos="82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Limited Waiver and Consent</w:t>
      </w:r>
      <w:r>
        <w:rPr>
          <w:rFonts w:ascii="Times New Roman" w:cs="Times New Roman" w:eastAsia="Times New Roman" w:hAnsi="Times New Roman"/>
          <w:sz w:val="17"/>
          <w:szCs w:val="17"/>
          <w:color w:val="auto"/>
        </w:rPr>
        <w:t xml:space="preserve">. Subject to the satisfaction of the conditions to effectiveness set forth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 each of the Agent (acting at the direction of the Lenders) and the Lenders hereby consents to the Borrower and Battle Born entering into the Trademark Transfer Agreement and the Credit Parties entering into the Trademark Licensing Agreement and waives the Initial Licensing Fee Mandatory Prepayment;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waiver and consent is applicable only to the foregoing and to no other current or prospective covenants or mandatory prepayments under the Loan Agreement.</w:t>
      </w:r>
    </w:p>
    <w:p>
      <w:pPr>
        <w:spacing w:after="0" w:line="164" w:lineRule="exact"/>
        <w:rPr>
          <w:rFonts w:ascii="Times New Roman" w:cs="Times New Roman" w:eastAsia="Times New Roman" w:hAnsi="Times New Roman"/>
          <w:sz w:val="17"/>
          <w:szCs w:val="17"/>
          <w:color w:val="auto"/>
        </w:rPr>
      </w:pPr>
    </w:p>
    <w:p>
      <w:pPr>
        <w:jc w:val="both"/>
        <w:ind w:firstLine="656"/>
        <w:spacing w:after="0" w:line="261" w:lineRule="auto"/>
        <w:tabs>
          <w:tab w:leader="none" w:pos="8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Loan Agreement</w:t>
      </w:r>
      <w:r>
        <w:rPr>
          <w:rFonts w:ascii="Times New Roman" w:cs="Times New Roman" w:eastAsia="Times New Roman" w:hAnsi="Times New Roman"/>
          <w:sz w:val="18"/>
          <w:szCs w:val="18"/>
          <w:color w:val="auto"/>
        </w:rPr>
        <w:t xml:space="preserve">. Subject to the satisfaction of the conditions to effectiveness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the Loan Agreement (including Schedules A through F thereto) is hereby amended as of the date hereof by incorporating the changes shown on the marked copy of the Loan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(it being understood that language which appears as “</w:t>
      </w:r>
      <w:r>
        <w:rPr>
          <w:rFonts w:ascii="Times New Roman" w:cs="Times New Roman" w:eastAsia="Times New Roman" w:hAnsi="Times New Roman"/>
          <w:sz w:val="18"/>
          <w:szCs w:val="18"/>
          <w:color w:val="FF2500"/>
          <w:strike w:val="1"/>
        </w:rPr>
        <w:t>struck out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color w:val="28CD41"/>
          <w:strike w:val="1"/>
        </w:rPr>
        <w:t>struck out</w:t>
      </w:r>
      <w:r>
        <w:rPr>
          <w:rFonts w:ascii="Times New Roman" w:cs="Times New Roman" w:eastAsia="Times New Roman" w:hAnsi="Times New Roman"/>
          <w:sz w:val="18"/>
          <w:szCs w:val="18"/>
          <w:color w:val="auto"/>
        </w:rPr>
        <w:t>”, as applicable, has been deleted, and language which appears as “</w:t>
      </w:r>
      <w:r>
        <w:rPr>
          <w:rFonts w:ascii="Times New Roman" w:cs="Times New Roman" w:eastAsia="Times New Roman" w:hAnsi="Times New Roman"/>
          <w:sz w:val="18"/>
          <w:szCs w:val="18"/>
          <w:u w:val="single" w:color="auto"/>
          <w:color w:val="0431FF"/>
        </w:rPr>
        <w:t>double-underlined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28CD41"/>
        </w:rPr>
        <w:t>double-underlined</w:t>
      </w:r>
      <w:r>
        <w:rPr>
          <w:rFonts w:ascii="Times New Roman" w:cs="Times New Roman" w:eastAsia="Times New Roman" w:hAnsi="Times New Roman"/>
          <w:sz w:val="18"/>
          <w:szCs w:val="18"/>
          <w:color w:val="auto"/>
        </w:rPr>
        <w:t>”, as applicable, has been added).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upon the satisfaction of the below:</w:t>
      </w:r>
    </w:p>
    <w:p>
      <w:pPr>
        <w:spacing w:after="0" w:line="162" w:lineRule="exact"/>
        <w:rPr>
          <w:sz w:val="20"/>
          <w:szCs w:val="20"/>
          <w:color w:val="auto"/>
        </w:rPr>
      </w:pPr>
    </w:p>
    <w:p>
      <w:pPr>
        <w:ind w:left="900" w:hanging="244"/>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Amendment shall have been executed and delivered by the Credit Parties, the Agent and the Lenders;</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delivered to Agent and the Lenders (i) a true and correct copy of the duly executed Trademark Transfer Agreement, (ii) a true and correct copy of the duly executed Trademark License Agreement, (iii) a true and correct copy of the duly executed Manufacturing Supply Agreement, dated as of on or about the date hereof, by and among Stryten Energy LLC and the Borrower, and (iv) any other agreements and documents required under the foregoing or related to the foregoing (including, without limitation, the Rights Acknowledgment and Agreement), each in form and substance satisfactory to the Agent and the Lenders;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delivered to Agent and the Lenders the following documents with respect to Battle Born: (i) a Secretarial Certificate, (ii) a Power of Attorney, (iii) a Joinder Agreement, (iv) a Supplement to Pledge Agreement, (v) a Perfection Certificate Supplement, and (vi) any other agreements and documents required under the Loan Agreement in connection with the joinder of Battle Born to the Loan Documents, all of the foregoing under this clause (c) in form and substance satisfactory to the Agent and the Lenders;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50% of the invoiced amount (as represented on the invoice delivered to Borrower on or prior to the Second Amendment Effective Date) of the legal fees and expenses of Chapman and Cutler LLP, counsel for the Lenders, incurred in connection with the preparation, negotiation, execution and delivery of this Amendment, the Rights Acknowledgment and Agreement and other services rendered in connection with the Loan Agreement prior to the date hereof; provided, that the Borrower agrees to pay the remaining 50% of such legal fees and expenses (together with any other fees and expenses of Chapman and Cutler LLP, as counsel for the Lenders, incurred by the Lenders after the Second Amendment Effective Date and prior to August 31, 2024 for which the Borrower is responsible under the Loan Agreement) no later than August 31,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firstLine="656"/>
        <w:spacing w:after="0" w:line="266" w:lineRule="auto"/>
        <w:tabs>
          <w:tab w:leader="none" w:pos="9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the legal fees and expenses of Holland &amp; Knight LLP, counsel for the Agent, incurred in connection with the preparation, negotiation, execution and delivery of this Amendment and other services rendered in connection with the Loan Agreement prior to the date hereof;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and the Lenders shall have received such other documents, opinions or materials reasonably requested by Agent or the Lenders, in form and substance reasonably acceptable to Agent and the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Credit Party hereby represents and warrants to Agent and the Lenders as follows:</w:t>
      </w:r>
    </w:p>
    <w:p>
      <w:pPr>
        <w:spacing w:after="0" w:line="225" w:lineRule="exact"/>
        <w:rPr>
          <w:sz w:val="20"/>
          <w:szCs w:val="20"/>
          <w:color w:val="auto"/>
        </w:rPr>
      </w:pPr>
    </w:p>
    <w:p>
      <w:pPr>
        <w:ind w:firstLine="656"/>
        <w:spacing w:after="0" w:line="282" w:lineRule="auto"/>
        <w:tabs>
          <w:tab w:leader="none" w:pos="8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of the Credit Parties of this Amendment have been duly authorized by all necessary action, and do not and will not:</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the terms of any of that Person’s Organization Documents;</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result in any material breach or contravention of, or result in the creation of any Lien under, any document evidencing any material Contractual Obligation to which such Person is a party or any order, injunction, writ or decree of any Governmental Authority to which such Person or its Property is subject; or</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material Requirement of Law in any material respect;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Credit Party has the power and authority to execute, deliver and perform its obligations under this Amendment and the Loan Agreement, as amended hereby;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constitutes the legal, valid and binding obligations of each such Person which is a party hereto enforceable against such Person in accordance with its terms, except as enforceability may be limited by applicable bankruptcy, insolvency or similar laws affecting the enforcement of creditors’ rights generally or by equitable principles relating to enforceability;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Amendment, the representations and warranties contained in the Loan Agreement are true and correct in all material respects on and as of the date hereof as if such representations and warranties had been made on and as of the date hereof (except to the extent that any such representations and warranties specifically relate to an earlier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Amendment, no Default or Event of Default will have occurred and be continuing on and as of the Effective Date.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copies of the Trademark License Agreement and Trademark Transfer Agreement delivered to Agent and Lenders are true, correct and complete copies of such agreements.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ind w:firstLine="656"/>
        <w:spacing w:after="0" w:line="282" w:lineRule="auto"/>
        <w:tabs>
          <w:tab w:leader="none" w:pos="84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202020"/>
        </w:rPr>
        <w:t>Covenants</w:t>
      </w:r>
      <w:r>
        <w:rPr>
          <w:rFonts w:ascii="Times New Roman" w:cs="Times New Roman" w:eastAsia="Times New Roman" w:hAnsi="Times New Roman"/>
          <w:sz w:val="18"/>
          <w:szCs w:val="18"/>
          <w:color w:val="202020"/>
        </w:rPr>
        <w:t>. The Credit Parties agree to execute and deliver to Agent and Lenders the following documents and/or complete the following actions before the dates set forth below (or such later date as the Required Lenders may agree to in their sole discretion):</w:t>
      </w:r>
    </w:p>
    <w:p>
      <w:pPr>
        <w:spacing w:after="0" w:line="162" w:lineRule="exact"/>
        <w:rPr>
          <w:sz w:val="20"/>
          <w:szCs w:val="20"/>
          <w:color w:val="auto"/>
        </w:rPr>
      </w:pPr>
    </w:p>
    <w:p>
      <w:pPr>
        <w:jc w:val="both"/>
        <w:ind w:firstLine="656"/>
        <w:spacing w:after="0" w:line="258" w:lineRule="auto"/>
        <w:tabs>
          <w:tab w:leader="none" w:pos="90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By the date that is 10 Business Days after the Second Amendment Effective Date, deliver to the Agent and Lenders amended and restated Disclosure Schedules to the Loan Agreement that set forth (with any references to “as of the Closing Date” or similar language in the applicable language of the Loan Agreement deemed amended solely for purposes of this covenant to read “as of the date of the delivery of the amended and restated Disclosure Schedules under Section 6 of the Second Amendment to this Agreement”) for each of Disclosure Schedule (3.7) (Subsidiaries), Disclosure Schedule (3.11) (Litigation), Disclosure Schedule (3.12) (Intellectual Property), and Disclosure Schedule (3.25) (Controlled Accounts);</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By the date that is 5 Business Days after the Second Amendment Effective Date, execute and deliver to the Agent a Trademark Security Agreement in respect of any Intellectual Property owned by the Grantors and registered with the United States Patent and Trademark Office and/or United States Copyright Office that is not the subject of a Trademark Security Agreement previously executed and delivered to the Agent;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By the date that is 5 Business Days after the Second Amendment Effective Date, deliver to the Agent an equity certificate evidencing the equity interests in Battle Born issued to Borrower and an Instrument of Transfer executed in blank;</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date that is 7 Business Days after the Second Amendment Effective Date, an opinion of counsel to Battle Born, in form, substance and scope comparable in all material respects to the legal opinion of the Grantors’ counsel delivered to Agent and Lenders on the Closing Date, and covering certain matters relating to the Trademark Transfer Agreement, the Trademark License Agreement and the Rights Acknowledgment and Agreement in form and substance satisfactory to the Lenders; and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By the date that is 45 days after the Second Amendment Effective Date, execute and deliver to the Agent a Control Agreement for any Blocked Accounts not subject to a currently effective Control Agreement in favor of Agent, including any Blocked Accounts of Battle Born.</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date that is 1 Business Day after the Second Amendment Effective Date, deliver to the Agent and Lenders amended Disclosure Schedules to the Loan Agreement </w:t>
      </w:r>
      <w:r>
        <w:rPr>
          <w:rFonts w:ascii="Times New Roman" w:cs="Times New Roman" w:eastAsia="Times New Roman" w:hAnsi="Times New Roman"/>
          <w:sz w:val="18"/>
          <w:szCs w:val="18"/>
          <w:color w:val="202020"/>
        </w:rPr>
        <w:t>(with any references to “as of the Closing Date” or similar language in the applicable language of the Loan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020"/>
        </w:rPr>
        <w:t xml:space="preserve">deemed amended solely for purposes of this clause to read “as of the Second Amendment Effective Date”) </w:t>
      </w:r>
      <w:r>
        <w:rPr>
          <w:rFonts w:ascii="Times New Roman" w:cs="Times New Roman" w:eastAsia="Times New Roman" w:hAnsi="Times New Roman"/>
          <w:sz w:val="18"/>
          <w:szCs w:val="18"/>
          <w:color w:val="000000"/>
        </w:rPr>
        <w:t>that set forth the supplemental information with</w:t>
      </w:r>
      <w:r>
        <w:rPr>
          <w:rFonts w:ascii="Times New Roman" w:cs="Times New Roman" w:eastAsia="Times New Roman" w:hAnsi="Times New Roman"/>
          <w:sz w:val="18"/>
          <w:szCs w:val="18"/>
          <w:color w:val="202020"/>
        </w:rPr>
        <w:t xml:space="preserve"> </w:t>
      </w:r>
      <w:r>
        <w:rPr>
          <w:rFonts w:ascii="Times New Roman" w:cs="Times New Roman" w:eastAsia="Times New Roman" w:hAnsi="Times New Roman"/>
          <w:sz w:val="18"/>
          <w:szCs w:val="18"/>
          <w:color w:val="000000"/>
        </w:rPr>
        <w:t>respect to Battle Born.</w:t>
      </w:r>
    </w:p>
    <w:p>
      <w:pPr>
        <w:spacing w:after="0" w:line="180" w:lineRule="exact"/>
        <w:rPr>
          <w:sz w:val="20"/>
          <w:szCs w:val="20"/>
          <w:color w:val="auto"/>
        </w:rPr>
      </w:pPr>
    </w:p>
    <w:p>
      <w:pPr>
        <w:ind w:left="840" w:hanging="184"/>
        <w:spacing w:after="0"/>
        <w:tabs>
          <w:tab w:leader="none" w:pos="8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This Amendment is designated a Loan Document by the Agent, Borrower and the Lenders party hereto.</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Except as expressly set forth herein, nothing contained herein shall be deemed to constitute a waiver of compliance with any term or condition contained in the Loan Agreement or any of the other Loan Documents. Except as expressly amended hereby, the Loan Agreement shall continue unmodified and in full force and effect in accordance with the provisions thereof on the date hereof. This Amendment shall be limited precisely as drafted and shall not imply an obligation on the Agent or any Lender to consent to any matter on any future occasion. As used in the Loan Agreement, the terms “Agreement,” “this Agreement,” “this Loan Agreement,” “herein,” “hereafter,” “hereto,” “hereof” and words of similar import shall mean, unless the context otherwise requires, the Loan Agreement as modified by this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firstLine="656"/>
        <w:spacing w:after="0" w:line="262" w:lineRule="auto"/>
        <w:tabs>
          <w:tab w:leader="none" w:pos="8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b w:val="1"/>
          <w:bCs w:val="1"/>
          <w:color w:val="auto"/>
        </w:rPr>
        <w:t>. THIS AMENDMENT SHALL IN ALL RESPECTS BE CONSTRUED IN ACCORDANCE WITH, AND GOVERNED BY, THE LAWS OF THE STATE OF NEW YORK WHICH ARE APPLICABLE TO CONTRACTS MADE AND TO BE PERFORMED WHOLLY WITHIN SUCH STATE WITHOUT REGARD TO ANY PRINCIPLES OF CONFLICTS OF LAW THAT WOULD RESULT IN THE APPLICATION OF THE LAWS OF ANOTHER JURISDICTION.</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shall constitute an original, but all of which when taken together shall constitute but one instrument. Counterparts may be delivered via facsimile, electronic mail (including pdf) or other transmission method and any counterpart so delivered shall be deemed to be as effective as an original signature page delivered manually.</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Amendment are for the purposes of reference only and shall not affect the construction of this Amendment.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Amendment shall be binding upon and inure to the benefit of the parties hereto and their respective successors and assigns; provided that none of the Credit Parties may assign or transfer any of its rights or obligations under this Amendment without the prior written consent of the Agent.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illegality or unenforceability of any provision of this Amendment or any instrument or agreement required hereunder shall not in any way affect or impair the legality or enforceability of the remaining provisions of this Amendment or any instrument or agreement required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consideration of the Lenders’ and the Agent’s agreements contained in this Amendment, the Borrower and Guarantor hereby irrevocably release and forever discharge the Lenders and the Agent and their affiliates, subsidiaries, successors, assigns, directors, officers, employees, agents, consultants and attorneys (each, a “</w:t>
      </w:r>
      <w:r>
        <w:rPr>
          <w:rFonts w:ascii="Times New Roman" w:cs="Times New Roman" w:eastAsia="Times New Roman" w:hAnsi="Times New Roman"/>
          <w:sz w:val="18"/>
          <w:szCs w:val="18"/>
          <w:u w:val="single" w:color="auto"/>
          <w:color w:val="auto"/>
        </w:rPr>
        <w:t>Released Person</w:t>
      </w:r>
      <w:r>
        <w:rPr>
          <w:rFonts w:ascii="Times New Roman" w:cs="Times New Roman" w:eastAsia="Times New Roman" w:hAnsi="Times New Roman"/>
          <w:sz w:val="18"/>
          <w:szCs w:val="18"/>
          <w:color w:val="auto"/>
        </w:rPr>
        <w:t>”) of and from any and all claims, suits, actions, investigations, proceedings or demands, whether based in contract, tort, implied or express warranty, strict liability, criminal or civil statute or common law of any kind or character, known or unknown, which such Borrower and Guarantor ever had or now has against Agent, any Lender or any other Released Person which relates, directly or indirectly, to any acts or omissions of Agent, any Lender or any other Released Person relating to the Loan Agreement or any other Loan Document on or prior to the date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of the Credit Parties as debtor, grantor, pledgor, guarantor, assignor, or in other any other similar capacity in which such Credit Party grants liens or security interests in its property or otherwise acts as accommodation party or guarantor, as the case may be, hereby (i) ratifies and reaffirms all of its payment and performance obligations, contingent or otherwise, under each of the Loan Documents to which it is a party (after giving effect hereto) and (ii) to the extent such Credit Party granted liens on or security interests in any of its property pursuant to any such Loan Document as security for or otherwise guaranteed the Borrower’s Obligations under or with respect to the Loan Documents, ratifies and reaffirms such guarantee and grant of security interests and liens and confirms and agrees that such security interests and liens hereafter secure all of the Obligations as amended hereby. Each of the Credit Parties hereby consents to this Amendment and acknowledges that each of the Loan Documents remains in full force and effect and is hereby ratified and reaffirmed. The execution of this Amendment shall not operate as a waiver of any right, power or remedy of the Agent or Lenders, constitute a waiver of any provision of any of the Loan Documents or serve to effect a novation of the Obligations.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Each of the Lenders, by their execution of this Amendment, hereby directs the Agent to execute this Amendment and the Rights Acknowledgement and Agreement. In doing so, the Agent shall be entitled to all of its rights, benefits and protections set forth in the Loan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by their duly authorized officers, all as of the date and year first above written.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202020"/>
              </w:rPr>
              <w:t>DRAGONFLY ENERGY CORP.</w:t>
            </w:r>
          </w:p>
        </w:tc>
      </w:tr>
      <w:tr>
        <w:trPr>
          <w:trHeight w:val="460"/>
        </w:trPr>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700" w:type="dxa"/>
            <w:vAlign w:val="bottom"/>
          </w:tcPr>
          <w:p>
            <w:pPr>
              <w:ind w:left="2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w:t>
            </w: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92"/>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b w:val="1"/>
                <w:bCs w:val="1"/>
                <w:u w:val="single" w:color="auto"/>
                <w:color w:val="0E0E0E"/>
              </w:rPr>
              <w:t>:</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202020"/>
              </w:rPr>
              <w:t>DRAGONFLY ENERGY HOLDINGS CORP. (F/K/A</w:t>
            </w:r>
          </w:p>
        </w:tc>
      </w:tr>
      <w:tr>
        <w:trPr>
          <w:trHeight w:val="237"/>
        </w:trPr>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2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202020"/>
              </w:rPr>
              <w:t>CHARDAN NEXTECH ACQUISITION 2 CORP.)</w:t>
            </w:r>
          </w:p>
        </w:tc>
      </w:tr>
      <w:tr>
        <w:trPr>
          <w:trHeight w:val="43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700" w:type="dxa"/>
            <w:vAlign w:val="bottom"/>
          </w:tcPr>
          <w:p>
            <w:pPr>
              <w:ind w:left="2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w:t>
            </w: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202020"/>
              </w:rPr>
              <w:t>BATTLE BORN BATTERY PRODUCTS, LLC</w:t>
            </w:r>
          </w:p>
        </w:tc>
      </w:tr>
      <w:tr>
        <w:trPr>
          <w:trHeight w:val="43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700" w:type="dxa"/>
            <w:vAlign w:val="bottom"/>
          </w:tcPr>
          <w:p>
            <w:pPr>
              <w:ind w:left="2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w:t>
            </w: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02020"/>
        </w:rPr>
        <w:t>SIGNATURE PAG</w:t>
      </w:r>
      <w:r>
        <w:rPr>
          <w:rFonts w:ascii="Times New Roman" w:cs="Times New Roman" w:eastAsia="Times New Roman" w:hAnsi="Times New Roman"/>
          <w:sz w:val="18"/>
          <w:szCs w:val="18"/>
          <w:color w:val="393A3A"/>
        </w:rPr>
        <w:t>E</w:t>
      </w:r>
      <w:r>
        <w:rPr>
          <w:rFonts w:ascii="Times New Roman" w:cs="Times New Roman" w:eastAsia="Times New Roman" w:hAnsi="Times New Roman"/>
          <w:sz w:val="18"/>
          <w:szCs w:val="18"/>
          <w:color w:val="202020"/>
        </w:rPr>
        <w:t xml:space="preserve"> TO LIMITED WAIVER, CO</w:t>
      </w:r>
      <w:r>
        <w:rPr>
          <w:rFonts w:ascii="Times New Roman" w:cs="Times New Roman" w:eastAsia="Times New Roman" w:hAnsi="Times New Roman"/>
          <w:sz w:val="18"/>
          <w:szCs w:val="18"/>
          <w:color w:val="393A3A"/>
        </w:rPr>
        <w:t>N</w:t>
      </w:r>
      <w:r>
        <w:rPr>
          <w:rFonts w:ascii="Times New Roman" w:cs="Times New Roman" w:eastAsia="Times New Roman" w:hAnsi="Times New Roman"/>
          <w:sz w:val="18"/>
          <w:szCs w:val="18"/>
          <w:color w:val="202020"/>
        </w:rPr>
        <w:t>S</w:t>
      </w:r>
      <w:r>
        <w:rPr>
          <w:rFonts w:ascii="Times New Roman" w:cs="Times New Roman" w:eastAsia="Times New Roman" w:hAnsi="Times New Roman"/>
          <w:sz w:val="18"/>
          <w:szCs w:val="18"/>
          <w:color w:val="393A3A"/>
        </w:rPr>
        <w:t>E</w:t>
      </w:r>
      <w:r>
        <w:rPr>
          <w:rFonts w:ascii="Times New Roman" w:cs="Times New Roman" w:eastAsia="Times New Roman" w:hAnsi="Times New Roman"/>
          <w:sz w:val="18"/>
          <w:szCs w:val="18"/>
          <w:color w:val="202020"/>
        </w:rPr>
        <w:t>NT AND S</w:t>
      </w:r>
      <w:r>
        <w:rPr>
          <w:rFonts w:ascii="Times New Roman" w:cs="Times New Roman" w:eastAsia="Times New Roman" w:hAnsi="Times New Roman"/>
          <w:sz w:val="18"/>
          <w:szCs w:val="18"/>
          <w:color w:val="393A3A"/>
        </w:rPr>
        <w:t>E</w:t>
      </w:r>
      <w:r>
        <w:rPr>
          <w:rFonts w:ascii="Times New Roman" w:cs="Times New Roman" w:eastAsia="Times New Roman" w:hAnsi="Times New Roman"/>
          <w:sz w:val="18"/>
          <w:szCs w:val="18"/>
          <w:color w:val="202020"/>
        </w:rPr>
        <w:t>COND ..AM</w:t>
      </w:r>
      <w:r>
        <w:rPr>
          <w:rFonts w:ascii="Times New Roman" w:cs="Times New Roman" w:eastAsia="Times New Roman" w:hAnsi="Times New Roman"/>
          <w:sz w:val="18"/>
          <w:szCs w:val="18"/>
          <w:color w:val="393A3A"/>
        </w:rPr>
        <w:t>E</w:t>
      </w:r>
      <w:r>
        <w:rPr>
          <w:rFonts w:ascii="Times New Roman" w:cs="Times New Roman" w:eastAsia="Times New Roman" w:hAnsi="Times New Roman"/>
          <w:sz w:val="18"/>
          <w:szCs w:val="18"/>
          <w:color w:val="202020"/>
        </w:rPr>
        <w:t>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tabs>
          <w:tab w:leader="none" w:pos="5620" w:val="left"/>
        </w:tabs>
        <w:rPr>
          <w:sz w:val="20"/>
          <w:szCs w:val="20"/>
          <w:color w:val="auto"/>
        </w:rPr>
      </w:pPr>
      <w:r>
        <w:rPr>
          <w:rFonts w:ascii="Times New Roman" w:cs="Times New Roman" w:eastAsia="Times New Roman" w:hAnsi="Times New Roman"/>
          <w:sz w:val="18"/>
          <w:szCs w:val="18"/>
          <w:b w:val="1"/>
          <w:bCs w:val="1"/>
          <w:u w:val="single" w:color="auto"/>
          <w:color w:val="auto"/>
        </w:rPr>
        <w:t>AGENT:</w:t>
      </w:r>
      <w:r>
        <w:rPr>
          <w:sz w:val="20"/>
          <w:szCs w:val="20"/>
          <w:color w:val="auto"/>
        </w:rPr>
        <w:tab/>
      </w:r>
      <w:r>
        <w:rPr>
          <w:rFonts w:ascii="Times New Roman" w:cs="Times New Roman" w:eastAsia="Times New Roman" w:hAnsi="Times New Roman"/>
          <w:sz w:val="18"/>
          <w:szCs w:val="18"/>
          <w:b w:val="1"/>
          <w:bCs w:val="1"/>
          <w:color w:val="auto"/>
        </w:rPr>
        <w:t>ALTER DOMUS (US)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Pinju Chiu</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Associate Counsel</w:t>
      </w:r>
    </w:p>
    <w:p>
      <w:pPr>
        <w:spacing w:after="0" w:line="207"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8"/>
          <w:szCs w:val="18"/>
          <w:color w:val="auto"/>
        </w:rPr>
        <w:t>SIGNATURE PAGE TO LIMITED WAIVER, CONSENT AND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090909"/>
              </w:rPr>
              <w:t>ENERGY IMPACT CREDIT FUND I LP</w:t>
            </w:r>
          </w:p>
        </w:tc>
      </w:tr>
      <w:tr>
        <w:trPr>
          <w:trHeight w:val="453"/>
        </w:trPr>
        <w:tc>
          <w:tcPr>
            <w:tcW w:w="86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Energy Impact Credit Fund I GP LLC, its general partner</w:t>
            </w:r>
          </w:p>
        </w:tc>
      </w:tr>
      <w:tr>
        <w:trPr>
          <w:trHeight w:val="439"/>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Harry Giovani</w:t>
            </w:r>
          </w:p>
        </w:tc>
      </w:tr>
      <w:tr>
        <w:trPr>
          <w:trHeight w:val="198"/>
        </w:trPr>
        <w:tc>
          <w:tcPr>
            <w:tcW w:w="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920" w:type="dxa"/>
            <w:vAlign w:val="bottom"/>
          </w:tcPr>
          <w:p>
            <w:pPr>
              <w:ind w:left="23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Harry Giovani</w:t>
            </w:r>
          </w:p>
        </w:tc>
      </w:tr>
      <w:tr>
        <w:trPr>
          <w:trHeight w:val="234"/>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090909"/>
              </w:rPr>
              <w:t>ENERGY IMPACT CREDIT FUND II LP</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Energy Impact Credit Fund II GP LLC, its general partner</w:t>
            </w:r>
          </w:p>
        </w:tc>
      </w:tr>
      <w:tr>
        <w:trPr>
          <w:trHeight w:val="439"/>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Harry Giovani</w:t>
            </w:r>
          </w:p>
        </w:tc>
      </w:tr>
      <w:tr>
        <w:trPr>
          <w:trHeight w:val="198"/>
        </w:trPr>
        <w:tc>
          <w:tcPr>
            <w:tcW w:w="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920" w:type="dxa"/>
            <w:vAlign w:val="bottom"/>
          </w:tcPr>
          <w:p>
            <w:pPr>
              <w:ind w:left="23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Harry Giovani</w:t>
            </w:r>
          </w:p>
        </w:tc>
      </w:tr>
      <w:tr>
        <w:trPr>
          <w:trHeight w:val="234"/>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LIMITED WAIVER, CONSENT AND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7" w:name="page68"/>
    <w:bookmarkEnd w:id="67"/>
    <w:p>
      <w:pPr>
        <w:ind w:left="4520"/>
        <w:spacing w:after="0"/>
        <w:rPr>
          <w:sz w:val="20"/>
          <w:szCs w:val="20"/>
          <w:color w:val="auto"/>
        </w:rPr>
      </w:pPr>
      <w:r>
        <w:rPr>
          <w:rFonts w:ascii="Times New Roman" w:cs="Times New Roman" w:eastAsia="Times New Roman" w:hAnsi="Times New Roman"/>
          <w:sz w:val="18"/>
          <w:szCs w:val="18"/>
          <w:b w:val="1"/>
          <w:bCs w:val="1"/>
          <w:color w:val="090909"/>
        </w:rPr>
        <w:t>BP HOLDINGS XVII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BPC AS Cayman LLC, its General Partner</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BPC AS LLC, its Manager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090909"/>
        </w:rPr>
        <w:t>By:</w:t>
      </w:r>
      <w:r>
        <w:rPr>
          <w:sz w:val="20"/>
          <w:szCs w:val="20"/>
          <w:color w:val="auto"/>
        </w:rPr>
        <w:tab/>
      </w:r>
      <w:r>
        <w:rPr>
          <w:rFonts w:ascii="Times New Roman" w:cs="Times New Roman" w:eastAsia="Times New Roman" w:hAnsi="Times New Roman"/>
          <w:sz w:val="18"/>
          <w:szCs w:val="18"/>
          <w:i w:val="1"/>
          <w:iCs w:val="1"/>
          <w:color w:val="auto"/>
        </w:rPr>
        <w:t>/s/ Allen Schweitzer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Allan Schweitzer</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Portfolio Manager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LIMITED WAIVER, CONSENT AND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MARKED CREDIT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69" w:name="page70"/>
    <w:bookmarkEnd w:id="69"/>
    <w:p>
      <w:pPr>
        <w:jc w:val="right"/>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CONFORMED COPY – </w:t>
      </w:r>
      <w:r>
        <w:rPr>
          <w:rFonts w:ascii="Times New Roman" w:cs="Times New Roman" w:eastAsia="Times New Roman" w:hAnsi="Times New Roman"/>
          <w:sz w:val="18"/>
          <w:szCs w:val="18"/>
          <w:color w:val="auto"/>
        </w:rPr>
        <w:t>NOT EXECUTED IN THIS FORM</w:t>
      </w:r>
      <w:r>
        <w:rPr>
          <w:rFonts w:ascii="Times New Roman" w:cs="Times New Roman" w:eastAsia="Times New Roman" w:hAnsi="Times New Roman"/>
          <w:sz w:val="18"/>
          <w:szCs w:val="18"/>
          <w:i w:val="1"/>
          <w:iCs w:val="1"/>
          <w:color w:val="auto"/>
        </w:rPr>
        <w:t xml:space="preserve"> INCORPORATING THE LIMITED WAIVER AND FIRST AMENDMENT TO TERM LOAN, GUARANTEE AND SECURITY AGREEMENT, DATED AS OF JUNE 28, </w:t>
      </w:r>
      <w:r>
        <w:rPr>
          <w:rFonts w:ascii="Times New Roman" w:cs="Times New Roman" w:eastAsia="Times New Roman" w:hAnsi="Times New Roman"/>
          <w:sz w:val="18"/>
          <w:szCs w:val="18"/>
          <w:i w:val="1"/>
          <w:iCs w:val="1"/>
          <w:u w:val="single" w:color="auto"/>
          <w:color w:val="0000FF"/>
        </w:rPr>
        <w:t>2024, AND THE LIMITED WAIVER, CONSENT AND SECOND AMENDMENT TO TERM LOAN, GUARANTEE AND SECURITY AGREEMENT, DATED AS OF JULY 29,</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264795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290830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436245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453390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599440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624840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770890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796290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TERM LOAN, GUARANTEE AND SECURITY AGREEMENT</w:t>
      </w:r>
    </w:p>
    <w:p>
      <w:pPr>
        <w:spacing w:after="0" w:line="22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DATED AS OF OCTOBER 7, 2022</w:t>
      </w:r>
    </w:p>
    <w:p>
      <w:pPr>
        <w:spacing w:after="0" w:line="22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ALTER DOMUS (US) LLC,</w:t>
      </w:r>
    </w:p>
    <w:p>
      <w:pPr>
        <w:spacing w:after="0" w:line="22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AS AGENT FOR THE LENDERS SIGNATORY HERETO,</w:t>
      </w:r>
    </w:p>
    <w:p>
      <w:pPr>
        <w:spacing w:after="0" w:line="22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2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EICF AGENT LLC,</w:t>
      </w:r>
    </w:p>
    <w:p>
      <w:pPr>
        <w:spacing w:after="0" w:line="22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AS LEAD ARRANGER</w:t>
      </w:r>
    </w:p>
    <w:p>
      <w:pPr>
        <w:spacing w:after="0" w:line="22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THE OTHER CREDIT PARTIES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156845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173990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320040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345440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491490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516890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662940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680085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CHAPMAN AND CUTLER LLP</w:t>
      </w:r>
    </w:p>
    <w:p>
      <w:pPr>
        <w:spacing w:after="0" w:line="3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1270 Avenue of the Americas, 30th Floor</w:t>
      </w:r>
    </w:p>
    <w:p>
      <w:pPr>
        <w:spacing w:after="0" w:line="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280035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1020" w:top="686"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u w:val="single" w:color="auto"/>
          <w:color w:val="FF0000"/>
          <w:strike w:val="1"/>
        </w:rPr>
        <w:t>T</w:t>
      </w:r>
      <w:r>
        <w:rPr>
          <w:rFonts w:ascii="Times New Roman" w:cs="Times New Roman" w:eastAsia="Times New Roman" w:hAnsi="Times New Roman"/>
          <w:sz w:val="12"/>
          <w:szCs w:val="12"/>
          <w:u w:val="single" w:color="auto"/>
          <w:color w:val="FF0000"/>
          <w:strike w:val="1"/>
        </w:rPr>
        <w:t>able of</w:t>
      </w:r>
      <w:r>
        <w:rPr>
          <w:rFonts w:ascii="Times New Roman" w:cs="Times New Roman" w:eastAsia="Times New Roman" w:hAnsi="Times New Roman"/>
          <w:sz w:val="18"/>
          <w:szCs w:val="18"/>
          <w:u w:val="single" w:color="auto"/>
          <w:color w:val="FF0000"/>
          <w:strike w:val="1"/>
        </w:rPr>
        <w:t xml:space="preserve"> C</w:t>
      </w:r>
      <w:r>
        <w:rPr>
          <w:rFonts w:ascii="Times New Roman" w:cs="Times New Roman" w:eastAsia="Times New Roman" w:hAnsi="Times New Roman"/>
          <w:sz w:val="12"/>
          <w:szCs w:val="12"/>
          <w:u w:val="single" w:color="auto"/>
          <w:color w:val="FF0000"/>
          <w:strike w:val="1"/>
        </w:rPr>
        <w:t>ontents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FF0000"/>
          <w:strike w:val="1"/>
        </w:rPr>
        <w:t>P</w:t>
      </w:r>
      <w:r>
        <w:rPr>
          <w:rFonts w:ascii="Times New Roman" w:cs="Times New Roman" w:eastAsia="Times New Roman" w:hAnsi="Times New Roman"/>
          <w:sz w:val="12"/>
          <w:szCs w:val="12"/>
          <w:u w:val="single" w:color="auto"/>
          <w:color w:val="FF0000"/>
          <w:strike w:val="1"/>
        </w:rPr>
        <w:t>age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9" w:lineRule="exact"/>
        <w:rPr>
          <w:sz w:val="20"/>
          <w:szCs w:val="20"/>
          <w:color w:val="auto"/>
        </w:rPr>
      </w:pPr>
    </w:p>
    <w:p>
      <w:pPr>
        <w:spacing w:after="0"/>
        <w:tabs>
          <w:tab w:leader="none" w:pos="5360" w:val="left"/>
          <w:tab w:leader="none" w:pos="10660" w:val="left"/>
        </w:tabs>
        <w:rPr>
          <w:sz w:val="20"/>
          <w:szCs w:val="20"/>
          <w:color w:val="auto"/>
        </w:rPr>
      </w:pPr>
      <w:r>
        <w:rPr>
          <w:rFonts w:ascii="Times New Roman" w:cs="Times New Roman" w:eastAsia="Times New Roman" w:hAnsi="Times New Roman"/>
          <w:sz w:val="18"/>
          <w:szCs w:val="18"/>
          <w:color w:val="0000FF"/>
        </w:rPr>
        <w:t>SECTION</w:t>
      </w:r>
      <w:r>
        <w:rPr>
          <w:sz w:val="20"/>
          <w:szCs w:val="20"/>
          <w:color w:val="auto"/>
        </w:rPr>
        <w:tab/>
      </w:r>
      <w:r>
        <w:rPr>
          <w:rFonts w:ascii="Times New Roman" w:cs="Times New Roman" w:eastAsia="Times New Roman" w:hAnsi="Times New Roman"/>
          <w:sz w:val="18"/>
          <w:szCs w:val="18"/>
          <w:color w:val="0000FF"/>
        </w:rPr>
        <w:t>HEADING</w:t>
      </w:r>
      <w:r>
        <w:rPr>
          <w:sz w:val="20"/>
          <w:szCs w:val="20"/>
          <w:color w:val="auto"/>
        </w:rPr>
        <w:tab/>
      </w:r>
      <w:r>
        <w:rPr>
          <w:rFonts w:ascii="Times New Roman" w:cs="Times New Roman" w:eastAsia="Times New Roman" w:hAnsi="Times New Roman"/>
          <w:sz w:val="17"/>
          <w:szCs w:val="17"/>
          <w:color w:val="0000F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AND TERMS OF CREDIT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FF"/>
              </w:rPr>
              <w:t>.</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and Prepayment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1"/>
        </w:trPr>
        <w:tc>
          <w:tcPr>
            <w:tcW w:w="8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978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Use of Proceeds</w:t>
            </w:r>
          </w:p>
        </w:tc>
        <w:tc>
          <w:tcPr>
            <w:tcW w:w="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FF0000"/>
                <w:strike w:val="1"/>
                <w:w w:val="70"/>
              </w:rPr>
              <w:t>4</w:t>
            </w:r>
          </w:p>
        </w:tc>
        <w:tc>
          <w:tcPr>
            <w:tcW w:w="100" w:type="dxa"/>
            <w:vAlign w:val="bottom"/>
            <w:tcBorders>
              <w:bottom w:val="single" w:sz="8" w:color="0000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r>
      <w:tr>
        <w:trPr>
          <w:trHeight w:val="176"/>
        </w:trPr>
        <w:tc>
          <w:tcPr>
            <w:tcW w:w="820" w:type="dxa"/>
            <w:vAlign w:val="bottom"/>
            <w:tcBorders>
              <w:top w:val="single" w:sz="8" w:color="CCEEFF"/>
            </w:tcBorders>
          </w:tcPr>
          <w:p>
            <w:pPr>
              <w:ind w:left="340"/>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9780" w:type="dxa"/>
            <w:vAlign w:val="bottom"/>
            <w:tcBorders>
              <w:top w:val="single" w:sz="8" w:color="CCEEFF"/>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Single Loan</w:t>
            </w:r>
          </w:p>
        </w:tc>
        <w:tc>
          <w:tcPr>
            <w:tcW w:w="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7"/>
                <w:szCs w:val="17"/>
                <w:color w:val="FF0000"/>
                <w:strike w:val="1"/>
                <w:w w:val="70"/>
              </w:rPr>
              <w:t>4</w:t>
            </w:r>
          </w:p>
        </w:tc>
        <w:tc>
          <w:tcPr>
            <w:tcW w:w="100" w:type="dxa"/>
            <w:vAlign w:val="bottom"/>
            <w:tcBorders>
              <w:top w:val="single" w:sz="8" w:color="CCEEFF"/>
              <w:bottom w:val="single" w:sz="8" w:color="0000FF"/>
            </w:tcBorders>
          </w:tcPr>
          <w:p>
            <w:pPr>
              <w:spacing w:after="0" w:line="176"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1"/>
        </w:trPr>
        <w:tc>
          <w:tcPr>
            <w:tcW w:w="8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978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Interest</w:t>
            </w:r>
          </w:p>
        </w:tc>
        <w:tc>
          <w:tcPr>
            <w:tcW w:w="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FF0000"/>
                <w:strike w:val="1"/>
                <w:w w:val="70"/>
              </w:rPr>
              <w:t>4</w:t>
            </w:r>
          </w:p>
        </w:tc>
        <w:tc>
          <w:tcPr>
            <w:tcW w:w="100" w:type="dxa"/>
            <w:vAlign w:val="bottom"/>
            <w:tcBorders>
              <w:bottom w:val="single" w:sz="8" w:color="0000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r>
      <w:tr>
        <w:trPr>
          <w:trHeight w:val="175"/>
        </w:trPr>
        <w:tc>
          <w:tcPr>
            <w:tcW w:w="820" w:type="dxa"/>
            <w:vAlign w:val="bottom"/>
            <w:tcBorders>
              <w:top w:val="single" w:sz="8" w:color="CCEEFF"/>
            </w:tcBorders>
          </w:tcPr>
          <w:p>
            <w:pPr>
              <w:ind w:left="34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9780" w:type="dxa"/>
            <w:vAlign w:val="bottom"/>
            <w:tcBorders>
              <w:top w:val="single" w:sz="8" w:color="CCEEFF"/>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Fees</w:t>
            </w:r>
          </w:p>
        </w:tc>
        <w:tc>
          <w:tcPr>
            <w:tcW w:w="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7"/>
                <w:szCs w:val="17"/>
                <w:color w:val="FF0000"/>
                <w:strike w:val="1"/>
                <w:w w:val="70"/>
              </w:rPr>
              <w:t>5</w:t>
            </w:r>
          </w:p>
        </w:tc>
        <w:tc>
          <w:tcPr>
            <w:tcW w:w="100" w:type="dxa"/>
            <w:vAlign w:val="bottom"/>
            <w:tcBorders>
              <w:top w:val="single" w:sz="8" w:color="CCEEFF"/>
              <w:bottom w:val="single" w:sz="8" w:color="0000FF"/>
            </w:tcBorders>
          </w:tcPr>
          <w:p>
            <w:pPr>
              <w:spacing w:after="0" w:line="176"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r>
      <w:tr>
        <w:trPr>
          <w:trHeight w:val="21"/>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1"/>
        </w:trPr>
        <w:tc>
          <w:tcPr>
            <w:tcW w:w="8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978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Receipt of Payments; Taxes</w:t>
            </w:r>
          </w:p>
        </w:tc>
        <w:tc>
          <w:tcPr>
            <w:tcW w:w="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FF0000"/>
                <w:strike w:val="1"/>
                <w:w w:val="70"/>
              </w:rPr>
              <w:t>5</w:t>
            </w:r>
          </w:p>
        </w:tc>
        <w:tc>
          <w:tcPr>
            <w:tcW w:w="100" w:type="dxa"/>
            <w:vAlign w:val="bottom"/>
            <w:tcBorders>
              <w:bottom w:val="single" w:sz="8" w:color="0000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r>
      <w:tr>
        <w:trPr>
          <w:trHeight w:val="176"/>
        </w:trPr>
        <w:tc>
          <w:tcPr>
            <w:tcW w:w="820" w:type="dxa"/>
            <w:vAlign w:val="bottom"/>
            <w:tcBorders>
              <w:top w:val="single" w:sz="8" w:color="CCEEFF"/>
            </w:tcBorders>
          </w:tcPr>
          <w:p>
            <w:pPr>
              <w:ind w:left="340"/>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9780" w:type="dxa"/>
            <w:vAlign w:val="bottom"/>
            <w:tcBorders>
              <w:top w:val="single" w:sz="8" w:color="CCEEFF"/>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Application and Allocation of Payments</w:t>
            </w:r>
          </w:p>
        </w:tc>
        <w:tc>
          <w:tcPr>
            <w:tcW w:w="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7"/>
                <w:szCs w:val="17"/>
                <w:color w:val="FF0000"/>
                <w:strike w:val="1"/>
                <w:w w:val="70"/>
              </w:rPr>
              <w:t>6</w:t>
            </w:r>
          </w:p>
        </w:tc>
        <w:tc>
          <w:tcPr>
            <w:tcW w:w="100" w:type="dxa"/>
            <w:vAlign w:val="bottom"/>
            <w:tcBorders>
              <w:top w:val="single" w:sz="8" w:color="CCEEFF"/>
              <w:bottom w:val="single" w:sz="8" w:color="0000FF"/>
            </w:tcBorders>
          </w:tcPr>
          <w:p>
            <w:pPr>
              <w:spacing w:after="0" w:line="176" w:lineRule="exact"/>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1"/>
        </w:trPr>
        <w:tc>
          <w:tcPr>
            <w:tcW w:w="8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978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Accounting</w:t>
            </w:r>
          </w:p>
        </w:tc>
        <w:tc>
          <w:tcPr>
            <w:tcW w:w="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FF0000"/>
                <w:strike w:val="1"/>
                <w:w w:val="70"/>
              </w:rPr>
              <w:t>7</w:t>
            </w:r>
          </w:p>
        </w:tc>
        <w:tc>
          <w:tcPr>
            <w:tcW w:w="100" w:type="dxa"/>
            <w:vAlign w:val="bottom"/>
            <w:tcBorders>
              <w:bottom w:val="single" w:sz="8" w:color="0000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r>
      <w:tr>
        <w:trPr>
          <w:trHeight w:val="176"/>
        </w:trPr>
        <w:tc>
          <w:tcPr>
            <w:tcW w:w="820" w:type="dxa"/>
            <w:vAlign w:val="bottom"/>
            <w:tcBorders>
              <w:top w:val="single" w:sz="8" w:color="CCEEFF"/>
            </w:tcBorders>
          </w:tcPr>
          <w:p>
            <w:pPr>
              <w:ind w:left="340"/>
              <w:spacing w:after="0" w:line="176" w:lineRule="exact"/>
              <w:rPr>
                <w:sz w:val="20"/>
                <w:szCs w:val="20"/>
                <w:color w:val="auto"/>
              </w:rPr>
            </w:pPr>
            <w:r>
              <w:rPr>
                <w:rFonts w:ascii="Times New Roman" w:cs="Times New Roman" w:eastAsia="Times New Roman" w:hAnsi="Times New Roman"/>
                <w:sz w:val="18"/>
                <w:szCs w:val="18"/>
                <w:color w:val="auto"/>
              </w:rPr>
              <w:t>1.10</w:t>
            </w:r>
          </w:p>
        </w:tc>
        <w:tc>
          <w:tcPr>
            <w:tcW w:w="9780" w:type="dxa"/>
            <w:vAlign w:val="bottom"/>
            <w:tcBorders>
              <w:top w:val="single" w:sz="8" w:color="CCEEFF"/>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Indemnity</w:t>
            </w:r>
          </w:p>
        </w:tc>
        <w:tc>
          <w:tcPr>
            <w:tcW w:w="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7"/>
                <w:szCs w:val="17"/>
                <w:color w:val="FF0000"/>
                <w:strike w:val="1"/>
                <w:w w:val="70"/>
              </w:rPr>
              <w:t>7</w:t>
            </w:r>
          </w:p>
        </w:tc>
        <w:tc>
          <w:tcPr>
            <w:tcW w:w="28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FF"/>
              </w:rPr>
              <w:t>10</w:t>
            </w:r>
          </w:p>
        </w:tc>
        <w:tc>
          <w:tcPr>
            <w:tcW w:w="280" w:type="dxa"/>
            <w:vAlign w:val="bottom"/>
            <w:tcBorders>
              <w:top w:val="single" w:sz="8" w:color="CCEEFF"/>
            </w:tcBorders>
          </w:tcPr>
          <w:p>
            <w:pPr>
              <w:spacing w:after="0"/>
              <w:rPr>
                <w:sz w:val="15"/>
                <w:szCs w:val="15"/>
                <w:color w:val="auto"/>
              </w:rPr>
            </w:pPr>
          </w:p>
        </w:tc>
      </w:tr>
      <w:tr>
        <w:trPr>
          <w:trHeight w:val="21"/>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5"/>
        </w:trPr>
        <w:tc>
          <w:tcPr>
            <w:tcW w:w="8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978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Rates</w:t>
            </w:r>
          </w:p>
        </w:tc>
        <w:tc>
          <w:tcPr>
            <w:tcW w:w="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FF0000"/>
                <w:strike w:val="1"/>
                <w:w w:val="70"/>
              </w:rPr>
              <w:t>8</w:t>
            </w:r>
          </w:p>
        </w:tc>
        <w:tc>
          <w:tcPr>
            <w:tcW w:w="180" w:type="dxa"/>
            <w:vAlign w:val="bottom"/>
            <w:tcBorders>
              <w:bottom w:val="single" w:sz="8" w:color="0000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88"/>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r>
      <w:tr>
        <w:trPr>
          <w:trHeight w:val="156"/>
        </w:trPr>
        <w:tc>
          <w:tcPr>
            <w:tcW w:w="8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1.12</w:t>
            </w:r>
          </w:p>
        </w:tc>
        <w:tc>
          <w:tcPr>
            <w:tcW w:w="9780" w:type="dxa"/>
            <w:vAlign w:val="bottom"/>
          </w:tcPr>
          <w:p>
            <w:pPr>
              <w:ind w:left="160"/>
              <w:spacing w:after="0" w:line="156" w:lineRule="exact"/>
              <w:rPr>
                <w:sz w:val="20"/>
                <w:szCs w:val="20"/>
                <w:color w:val="auto"/>
              </w:rPr>
            </w:pPr>
            <w:r>
              <w:rPr>
                <w:rFonts w:ascii="Times New Roman" w:cs="Times New Roman" w:eastAsia="Times New Roman" w:hAnsi="Times New Roman"/>
                <w:sz w:val="18"/>
                <w:szCs w:val="18"/>
                <w:color w:val="auto"/>
              </w:rPr>
              <w:t>Joinder of New Subsidiaries as a Credit Party, Etc</w:t>
            </w:r>
          </w:p>
        </w:tc>
        <w:tc>
          <w:tcPr>
            <w:tcW w:w="80" w:type="dxa"/>
            <w:vAlign w:val="bottom"/>
          </w:tcPr>
          <w:p>
            <w:pPr>
              <w:spacing w:after="0" w:line="156" w:lineRule="exact"/>
              <w:rPr>
                <w:sz w:val="20"/>
                <w:szCs w:val="20"/>
                <w:color w:val="auto"/>
              </w:rPr>
            </w:pPr>
            <w:r>
              <w:rPr>
                <w:rFonts w:ascii="Times New Roman" w:cs="Times New Roman" w:eastAsia="Times New Roman" w:hAnsi="Times New Roman"/>
                <w:sz w:val="17"/>
                <w:szCs w:val="17"/>
                <w:color w:val="FF0000"/>
                <w:strike w:val="1"/>
                <w:w w:val="70"/>
              </w:rPr>
              <w:t>8</w:t>
            </w:r>
          </w:p>
        </w:tc>
        <w:tc>
          <w:tcPr>
            <w:tcW w:w="18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88"/>
              </w:rPr>
              <w:t>11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1.13</w:t>
            </w:r>
          </w:p>
        </w:tc>
        <w:tc>
          <w:tcPr>
            <w:tcW w:w="9780" w:type="dxa"/>
            <w:vAlign w:val="bottom"/>
            <w:tcBorders>
              <w:bottom w:val="single" w:sz="8" w:color="CCEEFF"/>
            </w:tcBorders>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Non</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-Funding Lenders</w:t>
            </w:r>
          </w:p>
        </w:tc>
        <w:tc>
          <w:tcPr>
            <w:tcW w:w="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7"/>
                <w:szCs w:val="17"/>
                <w:color w:val="FF0000"/>
                <w:strike w:val="1"/>
                <w:w w:val="70"/>
              </w:rPr>
              <w:t>8</w:t>
            </w:r>
          </w:p>
        </w:tc>
        <w:tc>
          <w:tcPr>
            <w:tcW w:w="180" w:type="dxa"/>
            <w:vAlign w:val="bottom"/>
            <w:tcBorders>
              <w:bottom w:val="single" w:sz="8" w:color="0000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88"/>
              </w:rPr>
              <w:t>11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r>
      <w:tr>
        <w:trPr>
          <w:trHeight w:val="156"/>
        </w:trPr>
        <w:tc>
          <w:tcPr>
            <w:tcW w:w="8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1.14</w:t>
            </w:r>
          </w:p>
        </w:tc>
        <w:tc>
          <w:tcPr>
            <w:tcW w:w="9780" w:type="dxa"/>
            <w:vAlign w:val="bottom"/>
          </w:tcPr>
          <w:p>
            <w:pPr>
              <w:ind w:left="160"/>
              <w:spacing w:after="0" w:line="156" w:lineRule="exact"/>
              <w:rPr>
                <w:sz w:val="20"/>
                <w:szCs w:val="20"/>
                <w:color w:val="auto"/>
              </w:rPr>
            </w:pPr>
            <w:r>
              <w:rPr>
                <w:rFonts w:ascii="Times New Roman" w:cs="Times New Roman" w:eastAsia="Times New Roman" w:hAnsi="Times New Roman"/>
                <w:sz w:val="18"/>
                <w:szCs w:val="18"/>
                <w:color w:val="auto"/>
              </w:rPr>
              <w:t>Substitution of Lenders</w:t>
            </w:r>
          </w:p>
        </w:tc>
        <w:tc>
          <w:tcPr>
            <w:tcW w:w="80" w:type="dxa"/>
            <w:vAlign w:val="bottom"/>
          </w:tcPr>
          <w:p>
            <w:pPr>
              <w:spacing w:after="0" w:line="156" w:lineRule="exact"/>
              <w:rPr>
                <w:sz w:val="20"/>
                <w:szCs w:val="20"/>
                <w:color w:val="auto"/>
              </w:rPr>
            </w:pPr>
            <w:r>
              <w:rPr>
                <w:rFonts w:ascii="Times New Roman" w:cs="Times New Roman" w:eastAsia="Times New Roman" w:hAnsi="Times New Roman"/>
                <w:sz w:val="17"/>
                <w:szCs w:val="17"/>
                <w:color w:val="FF0000"/>
                <w:strike w:val="1"/>
                <w:w w:val="70"/>
              </w:rPr>
              <w:t>9</w:t>
            </w:r>
          </w:p>
        </w:tc>
        <w:tc>
          <w:tcPr>
            <w:tcW w:w="28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12</w:t>
            </w:r>
          </w:p>
        </w:tc>
        <w:tc>
          <w:tcPr>
            <w:tcW w:w="28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20" w:type="dxa"/>
            <w:vAlign w:val="bottom"/>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1.15</w:t>
            </w:r>
          </w:p>
        </w:tc>
        <w:tc>
          <w:tcPr>
            <w:tcW w:w="9780" w:type="dxa"/>
            <w:vAlign w:val="bottom"/>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Inability to Determine Rates</w:t>
            </w:r>
          </w:p>
        </w:tc>
        <w:tc>
          <w:tcPr>
            <w:tcW w:w="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7"/>
                <w:szCs w:val="17"/>
                <w:color w:val="FF0000"/>
                <w:strike w:val="1"/>
                <w:w w:val="70"/>
              </w:rPr>
              <w:t>9</w:t>
            </w:r>
          </w:p>
        </w:tc>
        <w:tc>
          <w:tcPr>
            <w:tcW w:w="28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13</w:t>
            </w:r>
          </w:p>
        </w:tc>
        <w:tc>
          <w:tcPr>
            <w:tcW w:w="280" w:type="dxa"/>
            <w:vAlign w:val="bottom"/>
            <w:shd w:val="clear" w:color="auto" w:fill="CCEEFF"/>
          </w:tcPr>
          <w:p>
            <w:pPr>
              <w:spacing w:after="0"/>
              <w:rPr>
                <w:sz w:val="17"/>
                <w:szCs w:val="17"/>
                <w:color w:val="auto"/>
              </w:rPr>
            </w:pPr>
          </w:p>
        </w:tc>
      </w:tr>
      <w:tr>
        <w:trPr>
          <w:trHeight w:val="197"/>
        </w:trPr>
        <w:tc>
          <w:tcPr>
            <w:tcW w:w="1060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r>
      <w:tr>
        <w:trPr>
          <w:trHeight w:val="215"/>
        </w:trPr>
        <w:tc>
          <w:tcPr>
            <w:tcW w:w="106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  CONDITIONS PRECEDENT</w:t>
            </w:r>
          </w:p>
        </w:tc>
        <w:tc>
          <w:tcPr>
            <w:tcW w:w="1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10</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14</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197"/>
        </w:trPr>
        <w:tc>
          <w:tcPr>
            <w:tcW w:w="820" w:type="dxa"/>
            <w:vAlign w:val="bottom"/>
          </w:tcPr>
          <w:p>
            <w:pPr>
              <w:spacing w:after="0"/>
              <w:rPr>
                <w:sz w:val="17"/>
                <w:szCs w:val="17"/>
                <w:color w:val="auto"/>
              </w:rPr>
            </w:pPr>
          </w:p>
        </w:tc>
        <w:tc>
          <w:tcPr>
            <w:tcW w:w="9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5"/>
        </w:trPr>
        <w:tc>
          <w:tcPr>
            <w:tcW w:w="8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978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Conditions to the Loan</w:t>
            </w:r>
          </w:p>
        </w:tc>
        <w:tc>
          <w:tcPr>
            <w:tcW w:w="1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10</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14</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197"/>
        </w:trPr>
        <w:tc>
          <w:tcPr>
            <w:tcW w:w="106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5"/>
        </w:trPr>
        <w:tc>
          <w:tcPr>
            <w:tcW w:w="106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  REPRESENTATIONS, WARRANTIES AND AFFIRMATIVE COVENANTS</w:t>
            </w:r>
          </w:p>
        </w:tc>
        <w:tc>
          <w:tcPr>
            <w:tcW w:w="1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12</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17</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196"/>
        </w:trPr>
        <w:tc>
          <w:tcPr>
            <w:tcW w:w="820" w:type="dxa"/>
            <w:vAlign w:val="bottom"/>
          </w:tcPr>
          <w:p>
            <w:pPr>
              <w:spacing w:after="0"/>
              <w:rPr>
                <w:sz w:val="17"/>
                <w:szCs w:val="17"/>
                <w:color w:val="auto"/>
              </w:rPr>
            </w:pPr>
          </w:p>
        </w:tc>
        <w:tc>
          <w:tcPr>
            <w:tcW w:w="9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82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978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Corporate Existence; Compliance with Law</w:t>
            </w:r>
          </w:p>
        </w:tc>
        <w:tc>
          <w:tcPr>
            <w:tcW w:w="1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12</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17</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156"/>
        </w:trPr>
        <w:tc>
          <w:tcPr>
            <w:tcW w:w="8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9780" w:type="dxa"/>
            <w:vAlign w:val="bottom"/>
          </w:tcPr>
          <w:p>
            <w:pPr>
              <w:ind w:left="160"/>
              <w:spacing w:after="0" w:line="156" w:lineRule="exact"/>
              <w:rPr>
                <w:sz w:val="20"/>
                <w:szCs w:val="20"/>
                <w:color w:val="auto"/>
              </w:rPr>
            </w:pPr>
            <w:r>
              <w:rPr>
                <w:rFonts w:ascii="Times New Roman" w:cs="Times New Roman" w:eastAsia="Times New Roman" w:hAnsi="Times New Roman"/>
                <w:sz w:val="18"/>
                <w:szCs w:val="18"/>
                <w:color w:val="auto"/>
              </w:rPr>
              <w:t>Executive Offices; Corporate or Other Names</w:t>
            </w: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12</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w:t>
            </w:r>
          </w:p>
        </w:tc>
        <w:tc>
          <w:tcPr>
            <w:tcW w:w="28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3.3</w:t>
            </w:r>
          </w:p>
        </w:tc>
        <w:tc>
          <w:tcPr>
            <w:tcW w:w="9780" w:type="dxa"/>
            <w:vAlign w:val="bottom"/>
            <w:tcBorders>
              <w:bottom w:val="single" w:sz="8" w:color="CCEEFF"/>
            </w:tcBorders>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Corporate Power; Authorization; Enforceable Obligations</w:t>
            </w: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13</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156"/>
        </w:trPr>
        <w:tc>
          <w:tcPr>
            <w:tcW w:w="8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3.4</w:t>
            </w:r>
          </w:p>
        </w:tc>
        <w:tc>
          <w:tcPr>
            <w:tcW w:w="9780" w:type="dxa"/>
            <w:vAlign w:val="bottom"/>
          </w:tcPr>
          <w:p>
            <w:pPr>
              <w:ind w:left="160"/>
              <w:spacing w:after="0" w:line="156" w:lineRule="exact"/>
              <w:rPr>
                <w:sz w:val="20"/>
                <w:szCs w:val="20"/>
                <w:color w:val="auto"/>
              </w:rPr>
            </w:pPr>
            <w:r>
              <w:rPr>
                <w:rFonts w:ascii="Times New Roman" w:cs="Times New Roman" w:eastAsia="Times New Roman" w:hAnsi="Times New Roman"/>
                <w:sz w:val="18"/>
                <w:szCs w:val="18"/>
                <w:color w:val="auto"/>
              </w:rPr>
              <w:t>Financial Statements; Books and Records</w:t>
            </w: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13</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w:t>
            </w:r>
          </w:p>
        </w:tc>
        <w:tc>
          <w:tcPr>
            <w:tcW w:w="28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3.5</w:t>
            </w:r>
          </w:p>
        </w:tc>
        <w:tc>
          <w:tcPr>
            <w:tcW w:w="9780" w:type="dxa"/>
            <w:vAlign w:val="bottom"/>
            <w:tcBorders>
              <w:bottom w:val="single" w:sz="8" w:color="CCEEFF"/>
            </w:tcBorders>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Material Adverse Change</w:t>
            </w: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13</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156"/>
        </w:trPr>
        <w:tc>
          <w:tcPr>
            <w:tcW w:w="8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3.6</w:t>
            </w:r>
          </w:p>
        </w:tc>
        <w:tc>
          <w:tcPr>
            <w:tcW w:w="9780" w:type="dxa"/>
            <w:vAlign w:val="bottom"/>
          </w:tcPr>
          <w:p>
            <w:pPr>
              <w:ind w:left="160"/>
              <w:spacing w:after="0" w:line="15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13</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w:t>
            </w:r>
          </w:p>
        </w:tc>
        <w:tc>
          <w:tcPr>
            <w:tcW w:w="28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3.7</w:t>
            </w:r>
          </w:p>
        </w:tc>
        <w:tc>
          <w:tcPr>
            <w:tcW w:w="9780" w:type="dxa"/>
            <w:vAlign w:val="bottom"/>
            <w:tcBorders>
              <w:bottom w:val="single" w:sz="8" w:color="CCEEFF"/>
            </w:tcBorders>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13</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156"/>
        </w:trPr>
        <w:tc>
          <w:tcPr>
            <w:tcW w:w="8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3.8</w:t>
            </w:r>
          </w:p>
        </w:tc>
        <w:tc>
          <w:tcPr>
            <w:tcW w:w="9780" w:type="dxa"/>
            <w:vAlign w:val="bottom"/>
          </w:tcPr>
          <w:p>
            <w:pPr>
              <w:ind w:left="160"/>
              <w:spacing w:after="0" w:line="156" w:lineRule="exact"/>
              <w:rPr>
                <w:sz w:val="20"/>
                <w:szCs w:val="20"/>
                <w:color w:val="auto"/>
              </w:rPr>
            </w:pPr>
            <w:r>
              <w:rPr>
                <w:rFonts w:ascii="Times New Roman" w:cs="Times New Roman" w:eastAsia="Times New Roman" w:hAnsi="Times New Roman"/>
                <w:sz w:val="18"/>
                <w:szCs w:val="18"/>
                <w:color w:val="auto"/>
              </w:rPr>
              <w:t>Government Regulation; Margin Regulations</w:t>
            </w: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14</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w:t>
            </w:r>
          </w:p>
        </w:tc>
        <w:tc>
          <w:tcPr>
            <w:tcW w:w="28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3.9</w:t>
            </w:r>
          </w:p>
        </w:tc>
        <w:tc>
          <w:tcPr>
            <w:tcW w:w="9780" w:type="dxa"/>
            <w:vAlign w:val="bottom"/>
            <w:tcBorders>
              <w:bottom w:val="single" w:sz="8" w:color="CCEEFF"/>
            </w:tcBorders>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Taxes; Charges</w:t>
            </w: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14</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156"/>
        </w:trPr>
        <w:tc>
          <w:tcPr>
            <w:tcW w:w="8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3.10</w:t>
            </w:r>
          </w:p>
        </w:tc>
        <w:tc>
          <w:tcPr>
            <w:tcW w:w="9780" w:type="dxa"/>
            <w:vAlign w:val="bottom"/>
          </w:tcPr>
          <w:p>
            <w:pPr>
              <w:ind w:left="160"/>
              <w:spacing w:after="0" w:line="156" w:lineRule="exact"/>
              <w:rPr>
                <w:sz w:val="20"/>
                <w:szCs w:val="20"/>
                <w:color w:val="auto"/>
              </w:rPr>
            </w:pPr>
            <w:r>
              <w:rPr>
                <w:rFonts w:ascii="Times New Roman" w:cs="Times New Roman" w:eastAsia="Times New Roman" w:hAnsi="Times New Roman"/>
                <w:sz w:val="18"/>
                <w:szCs w:val="18"/>
                <w:color w:val="auto"/>
              </w:rPr>
              <w:t>ERISA</w:t>
            </w: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14</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w:t>
            </w:r>
          </w:p>
        </w:tc>
        <w:tc>
          <w:tcPr>
            <w:tcW w:w="28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3.11</w:t>
            </w:r>
          </w:p>
        </w:tc>
        <w:tc>
          <w:tcPr>
            <w:tcW w:w="9780" w:type="dxa"/>
            <w:vAlign w:val="bottom"/>
            <w:tcBorders>
              <w:bottom w:val="single" w:sz="8" w:color="CCEEFF"/>
            </w:tcBorders>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Litigation</w:t>
            </w: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15</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21</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156"/>
        </w:trPr>
        <w:tc>
          <w:tcPr>
            <w:tcW w:w="8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3.12</w:t>
            </w:r>
          </w:p>
        </w:tc>
        <w:tc>
          <w:tcPr>
            <w:tcW w:w="9780" w:type="dxa"/>
            <w:vAlign w:val="bottom"/>
          </w:tcPr>
          <w:p>
            <w:pPr>
              <w:ind w:left="160"/>
              <w:spacing w:after="0" w:line="156" w:lineRule="exact"/>
              <w:rPr>
                <w:sz w:val="20"/>
                <w:szCs w:val="20"/>
                <w:color w:val="auto"/>
              </w:rPr>
            </w:pPr>
            <w:r>
              <w:rPr>
                <w:rFonts w:ascii="Times New Roman" w:cs="Times New Roman" w:eastAsia="Times New Roman" w:hAnsi="Times New Roman"/>
                <w:sz w:val="18"/>
                <w:szCs w:val="18"/>
                <w:color w:val="auto"/>
              </w:rPr>
              <w:t>Intellectual Property</w:t>
            </w: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15</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21</w:t>
            </w:r>
          </w:p>
        </w:tc>
        <w:tc>
          <w:tcPr>
            <w:tcW w:w="28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3.13</w:t>
            </w:r>
          </w:p>
        </w:tc>
        <w:tc>
          <w:tcPr>
            <w:tcW w:w="9780" w:type="dxa"/>
            <w:vAlign w:val="bottom"/>
            <w:tcBorders>
              <w:bottom w:val="single" w:sz="8" w:color="CCEEFF"/>
            </w:tcBorders>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Full Disclosure</w:t>
            </w: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16</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22</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156"/>
        </w:trPr>
        <w:tc>
          <w:tcPr>
            <w:tcW w:w="8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3.14</w:t>
            </w:r>
          </w:p>
        </w:tc>
        <w:tc>
          <w:tcPr>
            <w:tcW w:w="9780" w:type="dxa"/>
            <w:vAlign w:val="bottom"/>
          </w:tcPr>
          <w:p>
            <w:pPr>
              <w:ind w:left="160"/>
              <w:spacing w:after="0" w:line="156" w:lineRule="exact"/>
              <w:rPr>
                <w:sz w:val="20"/>
                <w:szCs w:val="20"/>
                <w:color w:val="auto"/>
              </w:rPr>
            </w:pPr>
            <w:r>
              <w:rPr>
                <w:rFonts w:ascii="Times New Roman" w:cs="Times New Roman" w:eastAsia="Times New Roman" w:hAnsi="Times New Roman"/>
                <w:sz w:val="18"/>
                <w:szCs w:val="18"/>
                <w:color w:val="auto"/>
              </w:rPr>
              <w:t>Environmental Liabilities</w:t>
            </w: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16</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22</w:t>
            </w:r>
          </w:p>
        </w:tc>
        <w:tc>
          <w:tcPr>
            <w:tcW w:w="28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3.15</w:t>
            </w:r>
          </w:p>
        </w:tc>
        <w:tc>
          <w:tcPr>
            <w:tcW w:w="9780" w:type="dxa"/>
            <w:vAlign w:val="bottom"/>
            <w:tcBorders>
              <w:bottom w:val="single" w:sz="8" w:color="CCEEFF"/>
            </w:tcBorders>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17</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23</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156"/>
        </w:trPr>
        <w:tc>
          <w:tcPr>
            <w:tcW w:w="8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3.16</w:t>
            </w:r>
          </w:p>
        </w:tc>
        <w:tc>
          <w:tcPr>
            <w:tcW w:w="9780" w:type="dxa"/>
            <w:vAlign w:val="bottom"/>
          </w:tcPr>
          <w:p>
            <w:pPr>
              <w:ind w:left="160"/>
              <w:spacing w:after="0" w:line="156" w:lineRule="exact"/>
              <w:rPr>
                <w:sz w:val="20"/>
                <w:szCs w:val="20"/>
                <w:color w:val="auto"/>
              </w:rPr>
            </w:pPr>
            <w:r>
              <w:rPr>
                <w:rFonts w:ascii="Times New Roman" w:cs="Times New Roman" w:eastAsia="Times New Roman" w:hAnsi="Times New Roman"/>
                <w:sz w:val="18"/>
                <w:szCs w:val="18"/>
                <w:color w:val="auto"/>
              </w:rPr>
              <w:t>Solvency</w:t>
            </w: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18</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25</w:t>
            </w:r>
          </w:p>
        </w:tc>
        <w:tc>
          <w:tcPr>
            <w:tcW w:w="28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3.17</w:t>
            </w:r>
          </w:p>
        </w:tc>
        <w:tc>
          <w:tcPr>
            <w:tcW w:w="9780" w:type="dxa"/>
            <w:vAlign w:val="bottom"/>
            <w:tcBorders>
              <w:bottom w:val="single" w:sz="8" w:color="CCEEFF"/>
            </w:tcBorders>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Other Financings</w:t>
            </w: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18</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25</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156"/>
        </w:trPr>
        <w:tc>
          <w:tcPr>
            <w:tcW w:w="8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3.18</w:t>
            </w:r>
          </w:p>
        </w:tc>
        <w:tc>
          <w:tcPr>
            <w:tcW w:w="9780" w:type="dxa"/>
            <w:vAlign w:val="bottom"/>
          </w:tcPr>
          <w:p>
            <w:pPr>
              <w:ind w:left="160"/>
              <w:spacing w:after="0" w:line="156" w:lineRule="exact"/>
              <w:rPr>
                <w:sz w:val="20"/>
                <w:szCs w:val="20"/>
                <w:color w:val="auto"/>
              </w:rPr>
            </w:pPr>
            <w:r>
              <w:rPr>
                <w:rFonts w:ascii="Times New Roman" w:cs="Times New Roman" w:eastAsia="Times New Roman" w:hAnsi="Times New Roman"/>
                <w:sz w:val="18"/>
                <w:szCs w:val="18"/>
                <w:color w:val="auto"/>
              </w:rPr>
              <w:t>Conduct of Business</w:t>
            </w:r>
          </w:p>
        </w:tc>
        <w:tc>
          <w:tcPr>
            <w:tcW w:w="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18</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25</w:t>
            </w:r>
          </w:p>
        </w:tc>
        <w:tc>
          <w:tcPr>
            <w:tcW w:w="28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INDEX – PAGE i</w:t>
      </w:r>
      <w:r>
        <w:rPr>
          <w:rFonts w:ascii="Times New Roman" w:cs="Times New Roman" w:eastAsia="Times New Roman" w:hAnsi="Times New Roman"/>
          <w:sz w:val="18"/>
          <w:szCs w:val="18"/>
          <w:u w:val="single" w:color="auto"/>
          <w:color w:val="0000FF"/>
          <w:strike w:val="1"/>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FF0000"/>
                <w:strike w:val="1"/>
              </w:rPr>
              <w:t>T</w:t>
            </w:r>
            <w:r>
              <w:rPr>
                <w:rFonts w:ascii="Times New Roman" w:cs="Times New Roman" w:eastAsia="Times New Roman" w:hAnsi="Times New Roman"/>
                <w:sz w:val="12"/>
                <w:szCs w:val="12"/>
                <w:color w:val="FF0000"/>
                <w:strike w:val="1"/>
              </w:rPr>
              <w:t>able of</w:t>
            </w:r>
            <w:r>
              <w:rPr>
                <w:rFonts w:ascii="Times New Roman" w:cs="Times New Roman" w:eastAsia="Times New Roman" w:hAnsi="Times New Roman"/>
                <w:sz w:val="18"/>
                <w:szCs w:val="18"/>
                <w:color w:val="FF0000"/>
                <w:strike w:val="1"/>
              </w:rPr>
              <w:t xml:space="preserve"> C</w:t>
            </w:r>
            <w:r>
              <w:rPr>
                <w:rFonts w:ascii="Times New Roman" w:cs="Times New Roman" w:eastAsia="Times New Roman" w:hAnsi="Times New Roman"/>
                <w:sz w:val="12"/>
                <w:szCs w:val="12"/>
                <w:color w:val="FF0000"/>
                <w:strike w:val="1"/>
              </w:rPr>
              <w:t>ontents</w:t>
            </w: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FF0000"/>
                <w:strike w:val="1"/>
              </w:rPr>
              <w:t>P</w:t>
            </w:r>
            <w:r>
              <w:rPr>
                <w:rFonts w:ascii="Times New Roman" w:cs="Times New Roman" w:eastAsia="Times New Roman" w:hAnsi="Times New Roman"/>
                <w:sz w:val="12"/>
                <w:szCs w:val="12"/>
                <w:color w:val="FF0000"/>
                <w:strike w:val="1"/>
              </w:rPr>
              <w:t>age</w:t>
            </w:r>
          </w:p>
        </w:tc>
        <w:tc>
          <w:tcPr>
            <w:tcW w:w="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3.19</w:t>
            </w:r>
          </w:p>
        </w:tc>
        <w:tc>
          <w:tcPr>
            <w:tcW w:w="978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Further Assurances</w:t>
            </w: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19</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25</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3.20</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Collateral/Maintenance of Property</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19</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26</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3.21</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Anti</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Terrorism and Anti</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Money Laundering Compliance</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19</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27</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3.22</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Maintenance of Corporate Existence</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20</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3.23</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Compliance with Laws, Etc</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21</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28</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3.24</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Landlord and Bailee Agreements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21</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3.25</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Deposit Accounts; Cash Collateral Accounts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21</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29</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3.26</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Assets of Holdings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30</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3.27</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After</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acquired Property; Additional Collateral</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22</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31</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3.28</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Equity Interests and Subsidiaries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32</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3.29</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Security Documents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33</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3.30</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Equity Line Registration Covenant</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24</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33</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3.31</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Government Contracts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34</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3.32</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Customer and Trade Relations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24</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34</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3.33</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Bonding; Licenses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34</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3.34</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Affiliate Transactions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34</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3.35</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Post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Closing Matters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34</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3.36</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Investment Company Act</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34</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3.37</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Notice of Change in Investment Company Status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34</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3.38</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Notice of Change in Ownership</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34</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3.39</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34</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3.40</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ESG Data</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35</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3.41</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Merger Agreement</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35</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4880" w:type="dxa"/>
            <w:vAlign w:val="bottom"/>
            <w:gridSpan w:val="2"/>
          </w:tcPr>
          <w:p>
            <w:pPr>
              <w:spacing w:after="0"/>
              <w:rPr>
                <w:sz w:val="17"/>
                <w:szCs w:val="17"/>
                <w:color w:val="auto"/>
              </w:rPr>
            </w:pPr>
          </w:p>
        </w:tc>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1036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FINANCIAL MATTERS; REPORTS</w:t>
            </w: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25</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35</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4.1</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Reports and Notices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35</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4.2</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Financial Covenants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27</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38</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4.3</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Other Reports and Information</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28</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40</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4.4</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Notices under Subordinated Loan Documents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28</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40</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4880" w:type="dxa"/>
            <w:vAlign w:val="bottom"/>
            <w:gridSpan w:val="2"/>
          </w:tcPr>
          <w:p>
            <w:pPr>
              <w:spacing w:after="0"/>
              <w:rPr>
                <w:sz w:val="17"/>
                <w:szCs w:val="17"/>
                <w:color w:val="auto"/>
              </w:rPr>
            </w:pPr>
          </w:p>
        </w:tc>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1036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NEGATIVE COVENANTS</w:t>
            </w: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28</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40</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978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Indebtedness</w:t>
            </w: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28</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40</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5.2</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Liens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29</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5.3</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Investments; Fundamental Changes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29</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41</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5.4</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Asset Sales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31</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43</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5.5</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Restricted Payments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31</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44</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5.6</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Changes in Nature of Business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44</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5.7</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32</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45</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5.8</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Third</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Party Restrictions on Indebtedness, Liens, Investments or Restricted Payments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45</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5.9</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Modification of Certain Documents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45</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5.10</w:t>
            </w:r>
          </w:p>
        </w:tc>
        <w:tc>
          <w:tcPr>
            <w:tcW w:w="978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Accounting Changes; Fiscal Year</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46</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5.11</w:t>
            </w:r>
          </w:p>
        </w:tc>
        <w:tc>
          <w:tcPr>
            <w:tcW w:w="9780" w:type="dxa"/>
            <w:vAlign w:val="bottom"/>
            <w:tcBorders>
              <w:bottom w:val="single" w:sz="8" w:color="CCEEFF"/>
            </w:tcBorders>
            <w:gridSpan w:val="2"/>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Changes to Name, Locations, Etc</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46</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-6111240</wp:posOffset>
            </wp:positionV>
            <wp:extent cx="285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INDEX – PAGE i</w:t>
      </w:r>
      <w:r>
        <w:rPr>
          <w:rFonts w:ascii="Times New Roman" w:cs="Times New Roman" w:eastAsia="Times New Roman" w:hAnsi="Times New Roman"/>
          <w:sz w:val="18"/>
          <w:szCs w:val="18"/>
          <w:color w:val="0000FF"/>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FF0000"/>
                <w:strike w:val="1"/>
              </w:rPr>
              <w:t>T</w:t>
            </w:r>
            <w:r>
              <w:rPr>
                <w:rFonts w:ascii="Times New Roman" w:cs="Times New Roman" w:eastAsia="Times New Roman" w:hAnsi="Times New Roman"/>
                <w:sz w:val="12"/>
                <w:szCs w:val="12"/>
                <w:color w:val="FF0000"/>
                <w:strike w:val="1"/>
              </w:rPr>
              <w:t>able of</w:t>
            </w:r>
            <w:r>
              <w:rPr>
                <w:rFonts w:ascii="Times New Roman" w:cs="Times New Roman" w:eastAsia="Times New Roman" w:hAnsi="Times New Roman"/>
                <w:sz w:val="18"/>
                <w:szCs w:val="18"/>
                <w:color w:val="FF0000"/>
                <w:strike w:val="1"/>
              </w:rPr>
              <w:t xml:space="preserve"> C</w:t>
            </w:r>
            <w:r>
              <w:rPr>
                <w:rFonts w:ascii="Times New Roman" w:cs="Times New Roman" w:eastAsia="Times New Roman" w:hAnsi="Times New Roman"/>
                <w:sz w:val="12"/>
                <w:szCs w:val="12"/>
                <w:color w:val="FF0000"/>
                <w:strike w:val="1"/>
              </w:rPr>
              <w:t>ontents</w:t>
            </w: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FF0000"/>
                <w:strike w:val="1"/>
              </w:rPr>
              <w:t>P</w:t>
            </w:r>
            <w:r>
              <w:rPr>
                <w:rFonts w:ascii="Times New Roman" w:cs="Times New Roman" w:eastAsia="Times New Roman" w:hAnsi="Times New Roman"/>
                <w:sz w:val="12"/>
                <w:szCs w:val="12"/>
                <w:color w:val="FF0000"/>
                <w:strike w:val="1"/>
              </w:rPr>
              <w:t>age</w:t>
            </w:r>
          </w:p>
        </w:tc>
        <w:tc>
          <w:tcPr>
            <w:tcW w:w="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8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5.12</w:t>
            </w:r>
          </w:p>
        </w:tc>
        <w:tc>
          <w:tcPr>
            <w:tcW w:w="9620" w:type="dxa"/>
            <w:vAlign w:val="bottom"/>
            <w:tcBorders>
              <w:bottom w:val="single" w:sz="8" w:color="CCEEFF"/>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Bank Accounts</w:t>
            </w: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46</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5.13</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Margin Regulations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46</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5.14</w:t>
            </w:r>
          </w:p>
        </w:tc>
        <w:tc>
          <w:tcPr>
            <w:tcW w:w="9620" w:type="dxa"/>
            <w:vAlign w:val="bottom"/>
            <w:tcBorders>
              <w:bottom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Compliance with ERISA</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46</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5.15</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Hazardous Materials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46</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5.16</w:t>
            </w:r>
          </w:p>
        </w:tc>
        <w:tc>
          <w:tcPr>
            <w:tcW w:w="9620" w:type="dxa"/>
            <w:vAlign w:val="bottom"/>
            <w:tcBorders>
              <w:bottom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Modifications to Subordinated Debt</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46</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5.17</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47</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5.18</w:t>
            </w:r>
          </w:p>
        </w:tc>
        <w:tc>
          <w:tcPr>
            <w:tcW w:w="9620" w:type="dxa"/>
            <w:vAlign w:val="bottom"/>
            <w:tcBorders>
              <w:bottom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Compliance with Anti</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Terrorism Laws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47</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5.19</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Sale</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Leasebacks</w:t>
            </w:r>
          </w:p>
        </w:tc>
        <w:tc>
          <w:tcPr>
            <w:tcW w:w="3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47</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0000FF"/>
              </w:rPr>
              <w:t>5.20</w:t>
            </w:r>
          </w:p>
        </w:tc>
        <w:tc>
          <w:tcPr>
            <w:tcW w:w="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9440" w:type="dxa"/>
            <w:vAlign w:val="bottom"/>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Modifications to Trademark Agreements</w:t>
            </w:r>
          </w:p>
        </w:tc>
        <w:tc>
          <w:tcPr>
            <w:tcW w:w="3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47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gridSpan w:val="2"/>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444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320" w:type="dxa"/>
            <w:vAlign w:val="bottom"/>
            <w:tcBorders>
              <w:bottom w:val="single" w:sz="8" w:color="CCEEFF"/>
            </w:tcBorders>
            <w:gridSpan w:val="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SECURITY INTEREST</w:t>
            </w: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34</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47</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9620" w:type="dxa"/>
            <w:vAlign w:val="bottom"/>
            <w:tcBorders>
              <w:bottom w:val="single" w:sz="8" w:color="CCEEFF"/>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Grant of Security Interest</w:t>
            </w: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47</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6.2</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Agent’s Rights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6.3</w:t>
            </w:r>
          </w:p>
        </w:tc>
        <w:tc>
          <w:tcPr>
            <w:tcW w:w="9620" w:type="dxa"/>
            <w:vAlign w:val="bottom"/>
            <w:tcBorders>
              <w:bottom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Agent’s Appointment as Attorney</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fact</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51</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6.4</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Grant of License to Use Intellectual Property Collateral</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52</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6.5</w:t>
            </w:r>
          </w:p>
        </w:tc>
        <w:tc>
          <w:tcPr>
            <w:tcW w:w="9620" w:type="dxa"/>
            <w:vAlign w:val="bottom"/>
            <w:tcBorders>
              <w:bottom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Commercial Tort Claims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38</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52</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6.6</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Duties of Agent</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38</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53</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0000FF"/>
              </w:rPr>
              <w:t>6.7</w:t>
            </w:r>
          </w:p>
        </w:tc>
        <w:tc>
          <w:tcPr>
            <w:tcW w:w="1540" w:type="dxa"/>
            <w:vAlign w:val="bottom"/>
            <w:tcBorders>
              <w:bottom w:val="single" w:sz="8" w:color="0000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8"/>
              </w:rPr>
              <w:t>Release; Termination</w:t>
            </w:r>
          </w:p>
        </w:tc>
        <w:tc>
          <w:tcPr>
            <w:tcW w:w="8080" w:type="dxa"/>
            <w:vAlign w:val="bottom"/>
            <w:tcBorders>
              <w:bottom w:val="single" w:sz="8" w:color="CCEEFF"/>
            </w:tcBorders>
            <w:gridSpan w:val="6"/>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88"/>
              </w:rPr>
              <w:t>53</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320" w:type="dxa"/>
            <w:vAlign w:val="bottom"/>
            <w:tcBorders>
              <w:bottom w:val="single" w:sz="8" w:color="CCEEFF"/>
            </w:tcBorders>
            <w:gridSpan w:val="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EVENTS OF DEFAULT: RIGHTS AND REMEDIES</w:t>
            </w: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39</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53</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9620" w:type="dxa"/>
            <w:vAlign w:val="bottom"/>
            <w:tcBorders>
              <w:bottom w:val="single" w:sz="8" w:color="CCEEFF"/>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Events of Default</w:t>
            </w: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39</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53</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7.2</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Remedies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40</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56</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7.3</w:t>
            </w:r>
          </w:p>
        </w:tc>
        <w:tc>
          <w:tcPr>
            <w:tcW w:w="9620" w:type="dxa"/>
            <w:vAlign w:val="bottom"/>
            <w:tcBorders>
              <w:bottom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Waivers by Credit Parties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41</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57</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7.4</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Proceeds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57</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500" w:type="dxa"/>
            <w:vAlign w:val="bottom"/>
            <w:gridSpan w:val="4"/>
          </w:tcPr>
          <w:p>
            <w:pPr>
              <w:ind w:left="60"/>
              <w:spacing w:after="0" w:line="176" w:lineRule="exact"/>
              <w:rPr>
                <w:sz w:val="20"/>
                <w:szCs w:val="20"/>
                <w:color w:val="auto"/>
              </w:rPr>
            </w:pPr>
            <w:r>
              <w:rPr>
                <w:rFonts w:ascii="Times New Roman" w:cs="Times New Roman" w:eastAsia="Times New Roman" w:hAnsi="Times New Roman"/>
                <w:sz w:val="18"/>
                <w:szCs w:val="18"/>
                <w:color w:val="auto"/>
              </w:rPr>
              <w:t>SUCCESSORS AND ASSIGNS;</w:t>
            </w:r>
          </w:p>
        </w:tc>
        <w:tc>
          <w:tcPr>
            <w:tcW w:w="1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98"/>
              </w:rPr>
              <w:t>tax documentation</w:t>
            </w:r>
          </w:p>
        </w:tc>
        <w:tc>
          <w:tcPr>
            <w:tcW w:w="6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FF"/>
              </w:rPr>
              <w:t>TAX DOCUMENTATION</w:t>
            </w:r>
          </w:p>
        </w:tc>
        <w:tc>
          <w:tcPr>
            <w:tcW w:w="1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42</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58</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FF"/>
              <w:bottom w:val="single" w:sz="8" w:color="0000FF"/>
            </w:tcBorders>
          </w:tcPr>
          <w:p>
            <w:pPr>
              <w:spacing w:after="0" w:line="20" w:lineRule="exact"/>
              <w:rPr>
                <w:sz w:val="1"/>
                <w:szCs w:val="1"/>
                <w:color w:val="auto"/>
              </w:rPr>
            </w:pPr>
          </w:p>
        </w:tc>
        <w:tc>
          <w:tcPr>
            <w:tcW w:w="1040" w:type="dxa"/>
            <w:vAlign w:val="bottom"/>
            <w:tcBorders>
              <w:top w:val="single" w:sz="8" w:color="0000FF"/>
              <w:bottom w:val="single" w:sz="8" w:color="0000FF"/>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7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AGENT</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45</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60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7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9.1</w:t>
            </w:r>
          </w:p>
        </w:tc>
        <w:tc>
          <w:tcPr>
            <w:tcW w:w="96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Appointment and Duties</w:t>
            </w:r>
          </w:p>
        </w:tc>
        <w:tc>
          <w:tcPr>
            <w:tcW w:w="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45</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60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9.2</w:t>
            </w:r>
          </w:p>
        </w:tc>
        <w:tc>
          <w:tcPr>
            <w:tcW w:w="9620" w:type="dxa"/>
            <w:vAlign w:val="bottom"/>
            <w:tcBorders>
              <w:bottom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Binding Effect</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61</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9.3</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Use of Discretion</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9.4</w:t>
            </w:r>
          </w:p>
        </w:tc>
        <w:tc>
          <w:tcPr>
            <w:tcW w:w="9620" w:type="dxa"/>
            <w:vAlign w:val="bottom"/>
            <w:tcBorders>
              <w:bottom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Delegation of Rights and Duties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46</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62</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9.5</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Reliance and Liability</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46</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62</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9.6</w:t>
            </w:r>
          </w:p>
        </w:tc>
        <w:tc>
          <w:tcPr>
            <w:tcW w:w="9620" w:type="dxa"/>
            <w:vAlign w:val="bottom"/>
            <w:tcBorders>
              <w:bottom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Agent Individually</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64</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9.7</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[Intentionally Omitted]</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64</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9.8</w:t>
            </w:r>
          </w:p>
        </w:tc>
        <w:tc>
          <w:tcPr>
            <w:tcW w:w="9620" w:type="dxa"/>
            <w:vAlign w:val="bottom"/>
            <w:tcBorders>
              <w:bottom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Expenses; Indemnities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48</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64</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9.9</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Resignation of Agent</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48</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65</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9.10</w:t>
            </w:r>
          </w:p>
        </w:tc>
        <w:tc>
          <w:tcPr>
            <w:tcW w:w="9620" w:type="dxa"/>
            <w:vAlign w:val="bottom"/>
            <w:tcBorders>
              <w:bottom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Release of Collateral</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49</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66</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320" w:type="dxa"/>
            <w:vAlign w:val="bottom"/>
            <w:tcBorders>
              <w:bottom w:val="single" w:sz="8" w:color="CCEEFF"/>
            </w:tcBorders>
            <w:gridSpan w:val="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MISCELLANEOUS</w:t>
            </w: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49</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66</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620" w:type="dxa"/>
            <w:vAlign w:val="bottom"/>
            <w:tcBorders>
              <w:bottom w:val="single" w:sz="8" w:color="CCEEFF"/>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Complete Agreement; Modification of Agreement</w:t>
            </w: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49</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66</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7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10.2</w:t>
            </w:r>
          </w:p>
        </w:tc>
        <w:tc>
          <w:tcPr>
            <w:tcW w:w="96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50</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10.3</w:t>
            </w:r>
          </w:p>
        </w:tc>
        <w:tc>
          <w:tcPr>
            <w:tcW w:w="9620" w:type="dxa"/>
            <w:vAlign w:val="bottom"/>
            <w:tcBorders>
              <w:bottom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No Waiver</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50</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68</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INDEX – PAGE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33"/>
        </w:trPr>
        <w:tc>
          <w:tcPr>
            <w:tcW w:w="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FF0000"/>
                <w:strike w:val="1"/>
              </w:rPr>
              <w:t>T</w:t>
            </w:r>
            <w:r>
              <w:rPr>
                <w:rFonts w:ascii="Times New Roman" w:cs="Times New Roman" w:eastAsia="Times New Roman" w:hAnsi="Times New Roman"/>
                <w:sz w:val="12"/>
                <w:szCs w:val="12"/>
                <w:color w:val="FF0000"/>
                <w:strike w:val="1"/>
              </w:rPr>
              <w:t>able of</w:t>
            </w:r>
            <w:r>
              <w:rPr>
                <w:rFonts w:ascii="Times New Roman" w:cs="Times New Roman" w:eastAsia="Times New Roman" w:hAnsi="Times New Roman"/>
                <w:sz w:val="18"/>
                <w:szCs w:val="18"/>
                <w:color w:val="FF0000"/>
                <w:strike w:val="1"/>
              </w:rPr>
              <w:t xml:space="preserve"> C</w:t>
            </w:r>
            <w:r>
              <w:rPr>
                <w:rFonts w:ascii="Times New Roman" w:cs="Times New Roman" w:eastAsia="Times New Roman" w:hAnsi="Times New Roman"/>
                <w:sz w:val="12"/>
                <w:szCs w:val="12"/>
                <w:color w:val="FF0000"/>
                <w:strike w:val="1"/>
              </w:rPr>
              <w:t>ontents</w:t>
            </w:r>
          </w:p>
        </w:tc>
        <w:tc>
          <w:tcPr>
            <w:tcW w:w="4140" w:type="dxa"/>
            <w:vAlign w:val="bottom"/>
            <w:vMerge w:val="restart"/>
          </w:tcPr>
          <w:p>
            <w:pPr>
              <w:spacing w:after="0"/>
              <w:rPr>
                <w:sz w:val="2"/>
                <w:szCs w:val="2"/>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FF0000"/>
                <w:strike w:val="1"/>
              </w:rPr>
              <w:t>P</w:t>
            </w:r>
            <w:r>
              <w:rPr>
                <w:rFonts w:ascii="Times New Roman" w:cs="Times New Roman" w:eastAsia="Times New Roman" w:hAnsi="Times New Roman"/>
                <w:sz w:val="12"/>
                <w:szCs w:val="12"/>
                <w:color w:val="FF0000"/>
                <w:strike w:val="1"/>
              </w:rPr>
              <w:t>age</w:t>
            </w:r>
          </w:p>
        </w:tc>
        <w:tc>
          <w:tcPr>
            <w:tcW w:w="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40" w:type="dxa"/>
            <w:vAlign w:val="bottom"/>
            <w:tcBorders>
              <w:bottom w:val="single" w:sz="8" w:color="FF0000"/>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340" w:type="dxa"/>
            <w:vAlign w:val="bottom"/>
            <w:tcBorders>
              <w:bottom w:val="single" w:sz="8" w:color="FF0000"/>
            </w:tcBorders>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9740" w:type="dxa"/>
            <w:vAlign w:val="bottom"/>
            <w:tcBorders>
              <w:bottom w:val="single" w:sz="8" w:color="CCEEFF"/>
            </w:tcBorders>
            <w:gridSpan w:val="6"/>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Severability; Section Titles</w:t>
            </w: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51</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69</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10.5</w:t>
            </w:r>
          </w:p>
        </w:tc>
        <w:tc>
          <w:tcPr>
            <w:tcW w:w="9740" w:type="dxa"/>
            <w:vAlign w:val="bottom"/>
            <w:gridSpan w:val="6"/>
          </w:tcPr>
          <w:p>
            <w:pPr>
              <w:ind w:left="120"/>
              <w:spacing w:after="0" w:line="156" w:lineRule="exact"/>
              <w:rPr>
                <w:sz w:val="20"/>
                <w:szCs w:val="20"/>
                <w:color w:val="auto"/>
              </w:rPr>
            </w:pPr>
            <w:r>
              <w:rPr>
                <w:rFonts w:ascii="Times New Roman" w:cs="Times New Roman" w:eastAsia="Times New Roman" w:hAnsi="Times New Roman"/>
                <w:sz w:val="18"/>
                <w:szCs w:val="18"/>
                <w:color w:val="auto"/>
              </w:rPr>
              <w:t>Authorized Signature</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51</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69</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10.6</w:t>
            </w:r>
          </w:p>
        </w:tc>
        <w:tc>
          <w:tcPr>
            <w:tcW w:w="9740" w:type="dxa"/>
            <w:vAlign w:val="bottom"/>
            <w:tcBorders>
              <w:bottom w:val="single" w:sz="8" w:color="CCEEFF"/>
            </w:tcBorders>
            <w:gridSpan w:val="6"/>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Notices</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51</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69</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10.7</w:t>
            </w:r>
          </w:p>
        </w:tc>
        <w:tc>
          <w:tcPr>
            <w:tcW w:w="9740" w:type="dxa"/>
            <w:vAlign w:val="bottom"/>
            <w:gridSpan w:val="6"/>
          </w:tcPr>
          <w:p>
            <w:pPr>
              <w:ind w:left="120"/>
              <w:spacing w:after="0" w:line="156" w:lineRule="exact"/>
              <w:rPr>
                <w:sz w:val="20"/>
                <w:szCs w:val="20"/>
                <w:color w:val="auto"/>
              </w:rPr>
            </w:pPr>
            <w:r>
              <w:rPr>
                <w:rFonts w:ascii="Times New Roman" w:cs="Times New Roman" w:eastAsia="Times New Roman" w:hAnsi="Times New Roman"/>
                <w:sz w:val="18"/>
                <w:szCs w:val="18"/>
                <w:color w:val="auto"/>
              </w:rPr>
              <w:t>Counterparts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51</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69</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10.8</w:t>
            </w:r>
          </w:p>
        </w:tc>
        <w:tc>
          <w:tcPr>
            <w:tcW w:w="9740" w:type="dxa"/>
            <w:vAlign w:val="bottom"/>
            <w:tcBorders>
              <w:bottom w:val="single" w:sz="8" w:color="CCEEFF"/>
            </w:tcBorders>
            <w:gridSpan w:val="6"/>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Time of the Essence</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70</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10.9</w:t>
            </w:r>
          </w:p>
        </w:tc>
        <w:tc>
          <w:tcPr>
            <w:tcW w:w="9740" w:type="dxa"/>
            <w:vAlign w:val="bottom"/>
            <w:gridSpan w:val="6"/>
          </w:tcPr>
          <w:p>
            <w:pPr>
              <w:ind w:left="120"/>
              <w:spacing w:after="0" w:line="156" w:lineRule="exact"/>
              <w:rPr>
                <w:sz w:val="20"/>
                <w:szCs w:val="20"/>
                <w:color w:val="auto"/>
              </w:rPr>
            </w:pPr>
            <w:r>
              <w:rPr>
                <w:rFonts w:ascii="Times New Roman" w:cs="Times New Roman" w:eastAsia="Times New Roman" w:hAnsi="Times New Roman"/>
                <w:sz w:val="18"/>
                <w:szCs w:val="18"/>
                <w:color w:val="auto"/>
              </w:rPr>
              <w:t>GOVERNING LAW</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70</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10.10</w:t>
            </w:r>
          </w:p>
        </w:tc>
        <w:tc>
          <w:tcPr>
            <w:tcW w:w="9740" w:type="dxa"/>
            <w:vAlign w:val="bottom"/>
            <w:tcBorders>
              <w:bottom w:val="single" w:sz="8" w:color="CCEEFF"/>
            </w:tcBorders>
            <w:gridSpan w:val="6"/>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SUBMISSION TO JURISDICTION; WAIVER OF JURY TRIAL</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70</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10.11</w:t>
            </w:r>
          </w:p>
        </w:tc>
        <w:tc>
          <w:tcPr>
            <w:tcW w:w="9740" w:type="dxa"/>
            <w:vAlign w:val="bottom"/>
            <w:gridSpan w:val="6"/>
          </w:tcPr>
          <w:p>
            <w:pPr>
              <w:ind w:left="120"/>
              <w:spacing w:after="0" w:line="156" w:lineRule="exact"/>
              <w:rPr>
                <w:sz w:val="20"/>
                <w:szCs w:val="20"/>
                <w:color w:val="auto"/>
              </w:rPr>
            </w:pPr>
            <w:r>
              <w:rPr>
                <w:rFonts w:ascii="Times New Roman" w:cs="Times New Roman" w:eastAsia="Times New Roman" w:hAnsi="Times New Roman"/>
                <w:sz w:val="18"/>
                <w:szCs w:val="18"/>
                <w:color w:val="auto"/>
              </w:rPr>
              <w:t>Press Releases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10.12</w:t>
            </w:r>
          </w:p>
        </w:tc>
        <w:tc>
          <w:tcPr>
            <w:tcW w:w="9740" w:type="dxa"/>
            <w:vAlign w:val="bottom"/>
            <w:tcBorders>
              <w:bottom w:val="single" w:sz="8" w:color="CCEEFF"/>
            </w:tcBorders>
            <w:gridSpan w:val="6"/>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Reinstatement</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71</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10.13</w:t>
            </w:r>
          </w:p>
        </w:tc>
        <w:tc>
          <w:tcPr>
            <w:tcW w:w="9740" w:type="dxa"/>
            <w:vAlign w:val="bottom"/>
            <w:gridSpan w:val="6"/>
          </w:tcPr>
          <w:p>
            <w:pPr>
              <w:ind w:left="120"/>
              <w:spacing w:after="0" w:line="156" w:lineRule="exact"/>
              <w:rPr>
                <w:sz w:val="20"/>
                <w:szCs w:val="20"/>
                <w:color w:val="auto"/>
              </w:rPr>
            </w:pPr>
            <w:r>
              <w:rPr>
                <w:rFonts w:ascii="Times New Roman" w:cs="Times New Roman" w:eastAsia="Times New Roman" w:hAnsi="Times New Roman"/>
                <w:sz w:val="18"/>
                <w:szCs w:val="18"/>
                <w:color w:val="auto"/>
              </w:rPr>
              <w:t>USA PATRIOT Act Notice and Customer Verification</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10.14</w:t>
            </w:r>
          </w:p>
        </w:tc>
        <w:tc>
          <w:tcPr>
            <w:tcW w:w="9740" w:type="dxa"/>
            <w:vAlign w:val="bottom"/>
            <w:tcBorders>
              <w:bottom w:val="single" w:sz="8" w:color="CCEEFF"/>
            </w:tcBorders>
            <w:gridSpan w:val="6"/>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Sharing of Payments, Etc</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72</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10.15</w:t>
            </w:r>
          </w:p>
        </w:tc>
        <w:tc>
          <w:tcPr>
            <w:tcW w:w="9740" w:type="dxa"/>
            <w:vAlign w:val="bottom"/>
            <w:gridSpan w:val="6"/>
          </w:tcPr>
          <w:p>
            <w:pPr>
              <w:ind w:left="120"/>
              <w:spacing w:after="0" w:line="15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72</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10.16</w:t>
            </w:r>
          </w:p>
        </w:tc>
        <w:tc>
          <w:tcPr>
            <w:tcW w:w="9740" w:type="dxa"/>
            <w:vAlign w:val="bottom"/>
            <w:tcBorders>
              <w:bottom w:val="single" w:sz="8" w:color="CCEEFF"/>
            </w:tcBorders>
            <w:gridSpan w:val="6"/>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Confidentiality</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72</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10.17</w:t>
            </w:r>
          </w:p>
        </w:tc>
        <w:tc>
          <w:tcPr>
            <w:tcW w:w="9740" w:type="dxa"/>
            <w:vAlign w:val="bottom"/>
            <w:gridSpan w:val="6"/>
          </w:tcPr>
          <w:p>
            <w:pPr>
              <w:ind w:left="120"/>
              <w:spacing w:after="0" w:line="156" w:lineRule="exact"/>
              <w:rPr>
                <w:sz w:val="20"/>
                <w:szCs w:val="20"/>
                <w:color w:val="auto"/>
              </w:rPr>
            </w:pPr>
            <w:r>
              <w:rPr>
                <w:rFonts w:ascii="Times New Roman" w:cs="Times New Roman" w:eastAsia="Times New Roman" w:hAnsi="Times New Roman"/>
                <w:sz w:val="18"/>
                <w:szCs w:val="18"/>
                <w:color w:val="auto"/>
              </w:rPr>
              <w:t>Effect of Benchmark Transition Event</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73</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10.18</w:t>
            </w:r>
          </w:p>
        </w:tc>
        <w:tc>
          <w:tcPr>
            <w:tcW w:w="9740" w:type="dxa"/>
            <w:vAlign w:val="bottom"/>
            <w:tcBorders>
              <w:bottom w:val="single" w:sz="8" w:color="CCEEFF"/>
            </w:tcBorders>
            <w:gridSpan w:val="6"/>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Voting Rights of CCM Lender</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75</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10.19</w:t>
            </w:r>
          </w:p>
        </w:tc>
        <w:tc>
          <w:tcPr>
            <w:tcW w:w="9740" w:type="dxa"/>
            <w:vAlign w:val="bottom"/>
            <w:gridSpan w:val="6"/>
          </w:tcPr>
          <w:p>
            <w:pPr>
              <w:ind w:left="120"/>
              <w:spacing w:after="0" w:line="156" w:lineRule="exact"/>
              <w:rPr>
                <w:sz w:val="20"/>
                <w:szCs w:val="20"/>
                <w:color w:val="auto"/>
              </w:rPr>
            </w:pPr>
            <w:r>
              <w:rPr>
                <w:rFonts w:ascii="Times New Roman" w:cs="Times New Roman" w:eastAsia="Times New Roman" w:hAnsi="Times New Roman"/>
                <w:sz w:val="18"/>
                <w:szCs w:val="18"/>
                <w:color w:val="auto"/>
              </w:rPr>
              <w:t>Erroneous Payments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56</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75</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11. GUARANTEE</w:t>
            </w:r>
          </w:p>
        </w:tc>
        <w:tc>
          <w:tcPr>
            <w:tcW w:w="1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56</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77</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9740" w:type="dxa"/>
            <w:vAlign w:val="bottom"/>
            <w:gridSpan w:val="6"/>
          </w:tcPr>
          <w:p>
            <w:pPr>
              <w:ind w:left="120"/>
              <w:spacing w:after="0" w:line="176" w:lineRule="exact"/>
              <w:rPr>
                <w:sz w:val="20"/>
                <w:szCs w:val="20"/>
                <w:color w:val="auto"/>
              </w:rPr>
            </w:pPr>
            <w:r>
              <w:rPr>
                <w:rFonts w:ascii="Times New Roman" w:cs="Times New Roman" w:eastAsia="Times New Roman" w:hAnsi="Times New Roman"/>
                <w:sz w:val="18"/>
                <w:szCs w:val="18"/>
                <w:color w:val="auto"/>
              </w:rPr>
              <w:t>The Guarantee</w:t>
            </w:r>
          </w:p>
        </w:tc>
        <w:tc>
          <w:tcPr>
            <w:tcW w:w="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56</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77</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11.2</w:t>
            </w:r>
          </w:p>
        </w:tc>
        <w:tc>
          <w:tcPr>
            <w:tcW w:w="9740" w:type="dxa"/>
            <w:vAlign w:val="bottom"/>
            <w:tcBorders>
              <w:bottom w:val="single" w:sz="8" w:color="CCEEFF"/>
            </w:tcBorders>
            <w:gridSpan w:val="6"/>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Obligations Unconditional</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57</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77</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11.3</w:t>
            </w:r>
          </w:p>
        </w:tc>
        <w:tc>
          <w:tcPr>
            <w:tcW w:w="9740" w:type="dxa"/>
            <w:vAlign w:val="bottom"/>
            <w:gridSpan w:val="6"/>
          </w:tcPr>
          <w:p>
            <w:pPr>
              <w:ind w:left="120"/>
              <w:spacing w:after="0" w:line="156" w:lineRule="exact"/>
              <w:rPr>
                <w:sz w:val="20"/>
                <w:szCs w:val="20"/>
                <w:color w:val="auto"/>
              </w:rPr>
            </w:pPr>
            <w:r>
              <w:rPr>
                <w:rFonts w:ascii="Times New Roman" w:cs="Times New Roman" w:eastAsia="Times New Roman" w:hAnsi="Times New Roman"/>
                <w:sz w:val="18"/>
                <w:szCs w:val="18"/>
                <w:color w:val="auto"/>
              </w:rPr>
              <w:t>Reinstatement</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57</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11.4</w:t>
            </w:r>
          </w:p>
        </w:tc>
        <w:tc>
          <w:tcPr>
            <w:tcW w:w="9740" w:type="dxa"/>
            <w:vAlign w:val="bottom"/>
            <w:tcBorders>
              <w:bottom w:val="single" w:sz="8" w:color="CCEEFF"/>
            </w:tcBorders>
            <w:gridSpan w:val="6"/>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Subrogation; Subordination</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57</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79</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11.5</w:t>
            </w:r>
          </w:p>
        </w:tc>
        <w:tc>
          <w:tcPr>
            <w:tcW w:w="9740" w:type="dxa"/>
            <w:vAlign w:val="bottom"/>
            <w:gridSpan w:val="6"/>
          </w:tcPr>
          <w:p>
            <w:pPr>
              <w:ind w:left="120"/>
              <w:spacing w:after="0" w:line="156" w:lineRule="exact"/>
              <w:rPr>
                <w:sz w:val="20"/>
                <w:szCs w:val="20"/>
                <w:color w:val="auto"/>
              </w:rPr>
            </w:pPr>
            <w:r>
              <w:rPr>
                <w:rFonts w:ascii="Times New Roman" w:cs="Times New Roman" w:eastAsia="Times New Roman" w:hAnsi="Times New Roman"/>
                <w:sz w:val="18"/>
                <w:szCs w:val="18"/>
                <w:color w:val="auto"/>
              </w:rPr>
              <w:t>Remedies</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79</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11.6</w:t>
            </w:r>
          </w:p>
        </w:tc>
        <w:tc>
          <w:tcPr>
            <w:tcW w:w="9740" w:type="dxa"/>
            <w:vAlign w:val="bottom"/>
            <w:tcBorders>
              <w:bottom w:val="single" w:sz="8" w:color="CCEEFF"/>
            </w:tcBorders>
            <w:gridSpan w:val="6"/>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Instrument for the Payment of Money</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79</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11.7</w:t>
            </w:r>
          </w:p>
        </w:tc>
        <w:tc>
          <w:tcPr>
            <w:tcW w:w="9740" w:type="dxa"/>
            <w:vAlign w:val="bottom"/>
            <w:gridSpan w:val="6"/>
          </w:tcPr>
          <w:p>
            <w:pPr>
              <w:ind w:left="120"/>
              <w:spacing w:after="0" w:line="156" w:lineRule="exact"/>
              <w:rPr>
                <w:sz w:val="20"/>
                <w:szCs w:val="20"/>
                <w:color w:val="auto"/>
              </w:rPr>
            </w:pPr>
            <w:r>
              <w:rPr>
                <w:rFonts w:ascii="Times New Roman" w:cs="Times New Roman" w:eastAsia="Times New Roman" w:hAnsi="Times New Roman"/>
                <w:sz w:val="18"/>
                <w:szCs w:val="18"/>
                <w:color w:val="auto"/>
              </w:rPr>
              <w:t>Continuing Guarantee</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79</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11.8</w:t>
            </w:r>
          </w:p>
        </w:tc>
        <w:tc>
          <w:tcPr>
            <w:tcW w:w="154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General Limitation</w:t>
            </w:r>
          </w:p>
        </w:tc>
        <w:tc>
          <w:tcPr>
            <w:tcW w:w="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on</w:t>
            </w:r>
          </w:p>
        </w:tc>
        <w:tc>
          <w:tcPr>
            <w:tcW w:w="802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of </w:t>
            </w:r>
            <w:r>
              <w:rPr>
                <w:rFonts w:ascii="Times New Roman" w:cs="Times New Roman" w:eastAsia="Times New Roman" w:hAnsi="Times New Roman"/>
                <w:sz w:val="18"/>
                <w:szCs w:val="18"/>
                <w:color w:val="000000"/>
              </w:rPr>
              <w:t>Guarantee Obligations</w:t>
            </w:r>
          </w:p>
        </w:tc>
        <w:tc>
          <w:tcPr>
            <w:tcW w:w="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18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79</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Borders>
              <w:top w:val="single" w:sz="8" w:color="CCEEFF"/>
            </w:tcBorders>
          </w:tcPr>
          <w:p>
            <w:pPr>
              <w:ind w:left="340"/>
              <w:spacing w:after="0" w:line="156" w:lineRule="exact"/>
              <w:rPr>
                <w:sz w:val="20"/>
                <w:szCs w:val="20"/>
                <w:color w:val="auto"/>
              </w:rPr>
            </w:pPr>
            <w:r>
              <w:rPr>
                <w:rFonts w:ascii="Times New Roman" w:cs="Times New Roman" w:eastAsia="Times New Roman" w:hAnsi="Times New Roman"/>
                <w:sz w:val="18"/>
                <w:szCs w:val="18"/>
                <w:color w:val="auto"/>
              </w:rPr>
              <w:t>11.9</w:t>
            </w:r>
          </w:p>
        </w:tc>
        <w:tc>
          <w:tcPr>
            <w:tcW w:w="1720" w:type="dxa"/>
            <w:vAlign w:val="bottom"/>
            <w:tcBorders>
              <w:top w:val="single" w:sz="8" w:color="CCEEFF"/>
            </w:tcBorders>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w w:val="98"/>
              </w:rPr>
              <w:t>Release of Guarantors</w:t>
            </w:r>
          </w:p>
        </w:tc>
        <w:tc>
          <w:tcPr>
            <w:tcW w:w="200" w:type="dxa"/>
            <w:vAlign w:val="bottom"/>
            <w:tcBorders>
              <w:top w:val="single" w:sz="8" w:color="0000FF"/>
            </w:tcBorders>
          </w:tcPr>
          <w:p>
            <w:pPr>
              <w:spacing w:after="0"/>
              <w:rPr>
                <w:sz w:val="13"/>
                <w:szCs w:val="13"/>
                <w:color w:val="auto"/>
              </w:rPr>
            </w:pPr>
          </w:p>
        </w:tc>
        <w:tc>
          <w:tcPr>
            <w:tcW w:w="7820" w:type="dxa"/>
            <w:vAlign w:val="bottom"/>
            <w:tcBorders>
              <w:top w:val="single" w:sz="8" w:color="CCEEFF"/>
            </w:tcBorders>
            <w:gridSpan w:val="3"/>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180" w:type="dxa"/>
            <w:vAlign w:val="bottom"/>
            <w:tcBorders>
              <w:top w:val="single" w:sz="8" w:color="0000FF"/>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79</w:t>
            </w:r>
          </w:p>
        </w:tc>
        <w:tc>
          <w:tcPr>
            <w:tcW w:w="2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11.10</w:t>
            </w:r>
          </w:p>
        </w:tc>
        <w:tc>
          <w:tcPr>
            <w:tcW w:w="9740" w:type="dxa"/>
            <w:vAlign w:val="bottom"/>
            <w:tcBorders>
              <w:bottom w:val="single" w:sz="8" w:color="CCEEFF"/>
            </w:tcBorders>
            <w:gridSpan w:val="6"/>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Right of Contribution</w:t>
            </w: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79</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INDEX – PAGE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INDEX OF EXHIBITS AND SCHEDULES</w:t>
            </w:r>
          </w:p>
        </w:tc>
      </w:tr>
      <w:tr>
        <w:trPr>
          <w:trHeight w:val="4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A</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Definitions</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B</w:t>
            </w:r>
          </w:p>
        </w:tc>
        <w:tc>
          <w:tcPr>
            <w:tcW w:w="6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Schedule of Term Loan Commitments and Loan Principal Amortization</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C</w:t>
            </w:r>
          </w:p>
        </w:tc>
        <w:tc>
          <w:tcPr>
            <w:tcW w:w="6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Agent’s, Lenders’ and Credit Parties’ Addresses for Notices</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D</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Closing Checklist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E</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Locations</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F</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Post-Closing Matters</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Disclosure Schedule (3.2)</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Places of Business; Corporate Names Disclosure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(3.7)</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Disclosure Schedule (3.9)</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Disclosure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(3.10)</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ERISA Disclosure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(3.11)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Disclosure Schedule (3.12)</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 Disclosure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(3.14)</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Matters Disclosure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(3.15)</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Disclosure Schedule (3.17)</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Existing Indebtedness Disclosure</w:t>
            </w: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(3.20(a))</w:t>
            </w:r>
          </w:p>
        </w:tc>
        <w:tc>
          <w:tcPr>
            <w:tcW w:w="84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Existing Liens Disclosure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(3.25)</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Controlled Accounts Disclosure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(3.31)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Contracts Disclosure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(3.33)</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Bonding; Licensing Disclosure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(3.34)</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Affiliate Transactions</w:t>
            </w:r>
          </w:p>
        </w:tc>
      </w:tr>
      <w:tr>
        <w:trPr>
          <w:trHeight w:val="216"/>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Disclosure Schedule (4.2(d))</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Approved Capital Expenditures Disclosure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(6.1)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Actions to Perfect Liens Disclosure</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(8.1(a))</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Disqualified Lenders</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Perfection Certificate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Term Note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Secretarial Certificate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Power of Attorney</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Closing Certificate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Joinder Agreement</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Perfection Certificate Supplement</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Assignment Agreement</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Warrant ($10 Per Share)</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L</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Notice of Borrowing</w:t>
            </w:r>
          </w:p>
        </w:tc>
      </w:tr>
    </w:tbl>
    <w:p>
      <w:pPr>
        <w:spacing w:after="0" w:line="19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FF0000"/>
          <w:strike w:val="1"/>
        </w:rPr>
        <w:t>INDEX – PAGE v</w:t>
      </w:r>
      <w:r>
        <w:rPr>
          <w:rFonts w:ascii="Times New Roman" w:cs="Times New Roman" w:eastAsia="Times New Roman" w:hAnsi="Times New Roman"/>
          <w:sz w:val="18"/>
          <w:szCs w:val="18"/>
          <w:u w:val="single" w:color="auto"/>
          <w:color w:val="0000FF"/>
          <w:strike w:val="1"/>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TERM LOAN, GUARANTEE AND SECURITY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TERM LOAN, GUARANTEE AND SECURITY AGREEMENT is dated as of October 7, 2022, and agreed to by and among Dragonfly Energy Corp., a Nevada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Dragonfly Energy Holdings Corp. (f/k/a Chardan NexTech Acquisition 2 Corp.), a Delaware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the other Credit Parties from time to time party hereto, and ALTER DOMUS (US) LLC, a Delaware limited liability company, as agent (in such capacity, together with its successors and assigns,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xml:space="preserve">”) for the lenders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 and party hereto (each herein referred to as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The Credit Parties desire that Borrower obtain the Term Loans described herein from the Lenders and the Lenders are willing to provide the Term Loans all in accordance with and subject to the terms and conditions of this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 Capitalized terms used herein shall have the meanings assigned to them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for purposes of this Agreement and the other Loan Documents, the rules of construction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govern. All schedules, attachments, addenda and exhibits hereto, or expressly identified to this Agreement, are incorporated herein by reference, and taken together with this Agreement, constitute but a single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covenants hereinafter contained, the parties hereto agree as follows:</w:t>
      </w:r>
    </w:p>
    <w:p>
      <w:pPr>
        <w:spacing w:after="0" w:line="221" w:lineRule="exact"/>
        <w:rPr>
          <w:sz w:val="20"/>
          <w:szCs w:val="20"/>
          <w:color w:val="auto"/>
        </w:rPr>
      </w:pPr>
    </w:p>
    <w:p>
      <w:pPr>
        <w:ind w:left="1300" w:hanging="1292"/>
        <w:spacing w:after="0"/>
        <w:tabs>
          <w:tab w:leader="none" w:pos="13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AND TERMS OF CREDIT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3" w:lineRule="auto"/>
        <w:tabs>
          <w:tab w:leader="none" w:pos="9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agrees severally, but not jointly, upon the terms and subject to the conditions of this Agreement, to make to the Borrower an advance (each, a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on the Closing Date in the principal amount equal to such Lender’s Term Loan Commitment. If requested by a Lender, such Lender’s Term Loan shall be evidenced by a promissory note (each a “</w:t>
      </w:r>
      <w:r>
        <w:rPr>
          <w:rFonts w:ascii="Times New Roman" w:cs="Times New Roman" w:eastAsia="Times New Roman" w:hAnsi="Times New Roman"/>
          <w:sz w:val="18"/>
          <w:szCs w:val="18"/>
          <w:b w:val="1"/>
          <w:bCs w:val="1"/>
          <w:color w:val="auto"/>
        </w:rPr>
        <w:t>Term Note</w:t>
      </w:r>
      <w:r>
        <w:rPr>
          <w:rFonts w:ascii="Times New Roman" w:cs="Times New Roman" w:eastAsia="Times New Roman" w:hAnsi="Times New Roman"/>
          <w:sz w:val="18"/>
          <w:szCs w:val="18"/>
          <w:color w:val="auto"/>
        </w:rPr>
        <w:t xml:space="preserve">”) duly executed and delivered by the Borrower prior to the funding of such Term Loan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be repayable in accordance with the terms of such Term Note and this Agreement. Borrower shall repay the outstanding principal balance of the Loan to the Agent for the pro rata benefit of the Lenders in consecutive quarterly installments in the amounts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due and payable on the first Business Day of each calendar quarter beginning with the first quarter indicated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(each such date, a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and a payment of the entire outstanding balance of the Loan on the Stated Maturity Date. Once repaid, any amount borrowed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 Loan Commitment of each Lender may not be re-borrowed. Subject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all amounts owed hereunder with respect to the Term Loans shall be paid in full no later than the Maturity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jc w:val="both"/>
        <w:ind w:left="660" w:hanging="4"/>
        <w:spacing w:after="0" w:line="253" w:lineRule="auto"/>
        <w:tabs>
          <w:tab w:leader="none" w:pos="92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to Agent at least one (1) Business Day prior to the Closing Date (or such later date as Administrative Agent may agree in its sole discretion), an executed Notice of Borrowing substantially in the form of Exhibit L (a “Notice of Borrowing”), executed by a Responsible Officer of Borrower and including such certifications as may be required under Section 2 hereof, the requested date of the borrowing (which shall be the Closing Date), the amount of the borrowing (which shall not exceed the aggregate Term Loan Commitments of all Lenders), and wire instructions for the account of the Borrower to which proceeds of the Loans should be sent. Following receipt of a Notice of Borrowing, the Agent shall promptly notify each Lender of the amount of its pro rata share of the borrowing. Each Lender shall make the amount of its Loan available to Agent in immediately available funds by wire transfer to Agent’s account (as provided in writing by Agent) not later than 1:00 p.m., New York City time, on the Business Day specified in the applicable Notice of Borrowing. Upon receipt of all request funds, Agent shall make all funds so received available to the Borrower by wire transfer in like funds as received by Agent in accordance with the instructions provided by (and reasonably acceptable to) Agent by the Borrower. In the event that the Loans are advanced directly from any Lender to the Borrower, unless the Borrower has notified Agent in writing (which notification may be by email) by not later than 5:00 p.m., New York City time, on the Closing Date that it has not received the funds equal to the Term Loan Commitment of such Lender pursuant to the Notice of Borrowing, Agent shall deem such Term Loan(s) funded and make the appropriate recordations in the Register.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Term and Prepayment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0" w:hanging="4"/>
        <w:spacing w:after="0" w:line="282" w:lineRule="auto"/>
        <w:tabs>
          <w:tab w:leader="none" w:pos="9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Maturity Date of the Loan, Borrower shall pay to Agent (i) for the pro rata benefit of the Lenders, all outstanding principal and accrued but unpaid interest on the Loan and (ii) all other Obligations relating to the Loan then due to or incurred by Agent or the Lenders.</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8" w:lineRule="auto"/>
        <w:tabs>
          <w:tab w:leader="none" w:pos="92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have the right upon fifteen (15) calendar days’ prior written notice to Agent (or such shorter period as the Agent may agree in its sole discretion), to make a voluntary prepayment (a “</w:t>
      </w:r>
      <w:r>
        <w:rPr>
          <w:rFonts w:ascii="Times New Roman" w:cs="Times New Roman" w:eastAsia="Times New Roman" w:hAnsi="Times New Roman"/>
          <w:sz w:val="17"/>
          <w:szCs w:val="17"/>
          <w:b w:val="1"/>
          <w:bCs w:val="1"/>
          <w:color w:val="auto"/>
        </w:rPr>
        <w:t>Voluntary Prepayment</w:t>
      </w:r>
      <w:r>
        <w:rPr>
          <w:rFonts w:ascii="Times New Roman" w:cs="Times New Roman" w:eastAsia="Times New Roman" w:hAnsi="Times New Roman"/>
          <w:sz w:val="17"/>
          <w:szCs w:val="17"/>
          <w:color w:val="auto"/>
        </w:rPr>
        <w:t xml:space="preserve">”) of the principal amount of the Term Loans then outstanding, in whole or in part. If the Borrower elects to prepay the Term Loans pursuant to this </w:t>
      </w:r>
      <w:r>
        <w:rPr>
          <w:rFonts w:ascii="Times New Roman" w:cs="Times New Roman" w:eastAsia="Times New Roman" w:hAnsi="Times New Roman"/>
          <w:sz w:val="17"/>
          <w:szCs w:val="17"/>
          <w:u w:val="single" w:color="auto"/>
          <w:color w:val="auto"/>
        </w:rPr>
        <w:t>Section 1.2(b)</w:t>
      </w:r>
      <w:r>
        <w:rPr>
          <w:rFonts w:ascii="Times New Roman" w:cs="Times New Roman" w:eastAsia="Times New Roman" w:hAnsi="Times New Roman"/>
          <w:sz w:val="17"/>
          <w:szCs w:val="17"/>
          <w:color w:val="auto"/>
        </w:rPr>
        <w:t xml:space="preserve"> or otherwise, or if the Term Loans are mandatorily prepaid in whole or in part pursuant to any other clause of this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b w:val="1"/>
          <w:bCs w:val="1"/>
          <w:color w:val="auto"/>
        </w:rPr>
        <w:t>Mandatory Prepayment</w:t>
      </w:r>
      <w:r>
        <w:rPr>
          <w:rFonts w:ascii="Times New Roman" w:cs="Times New Roman" w:eastAsia="Times New Roman" w:hAnsi="Times New Roman"/>
          <w:sz w:val="17"/>
          <w:szCs w:val="17"/>
          <w:color w:val="auto"/>
        </w:rPr>
        <w:t>” and together with any Voluntary Prepayment, the “</w:t>
      </w:r>
      <w:r>
        <w:rPr>
          <w:rFonts w:ascii="Times New Roman" w:cs="Times New Roman" w:eastAsia="Times New Roman" w:hAnsi="Times New Roman"/>
          <w:sz w:val="17"/>
          <w:szCs w:val="17"/>
          <w:b w:val="1"/>
          <w:bCs w:val="1"/>
          <w:color w:val="auto"/>
        </w:rPr>
        <w:t>Prepayments</w:t>
      </w:r>
      <w:r>
        <w:rPr>
          <w:rFonts w:ascii="Times New Roman" w:cs="Times New Roman" w:eastAsia="Times New Roman" w:hAnsi="Times New Roman"/>
          <w:sz w:val="17"/>
          <w:szCs w:val="17"/>
          <w:color w:val="auto"/>
        </w:rPr>
        <w:t xml:space="preserve">”), the Borrower shall pay to the Agent for the benefit of the Lenders a prepayment fee as follows: (i) in the case of any Prepayment (other than (x) under </w:t>
      </w:r>
      <w:r>
        <w:rPr>
          <w:rFonts w:ascii="Times New Roman" w:cs="Times New Roman" w:eastAsia="Times New Roman" w:hAnsi="Times New Roman"/>
          <w:sz w:val="17"/>
          <w:szCs w:val="17"/>
          <w:u w:val="single" w:color="auto"/>
          <w:color w:val="auto"/>
        </w:rPr>
        <w:t>Section 1.2(c)</w:t>
      </w:r>
      <w:r>
        <w:rPr>
          <w:rFonts w:ascii="Times New Roman" w:cs="Times New Roman" w:eastAsia="Times New Roman" w:hAnsi="Times New Roman"/>
          <w:sz w:val="17"/>
          <w:szCs w:val="17"/>
          <w:color w:val="auto"/>
        </w:rPr>
        <w:t xml:space="preserve"> in respect of a Casualty Event only, (y) under </w:t>
      </w:r>
      <w:r>
        <w:rPr>
          <w:rFonts w:ascii="Times New Roman" w:cs="Times New Roman" w:eastAsia="Times New Roman" w:hAnsi="Times New Roman"/>
          <w:sz w:val="17"/>
          <w:szCs w:val="17"/>
          <w:u w:val="single" w:color="auto"/>
          <w:color w:val="auto"/>
        </w:rPr>
        <w:t>Section 1.2(f)</w:t>
      </w:r>
      <w:r>
        <w:rPr>
          <w:rFonts w:ascii="Times New Roman" w:cs="Times New Roman" w:eastAsia="Times New Roman" w:hAnsi="Times New Roman"/>
          <w:sz w:val="17"/>
          <w:szCs w:val="17"/>
          <w:color w:val="auto"/>
        </w:rPr>
        <w:t xml:space="preserve">) or (z) under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1.2(e))</w:t>
      </w:r>
      <w:r>
        <w:rPr>
          <w:rFonts w:ascii="Times New Roman" w:cs="Times New Roman" w:eastAsia="Times New Roman" w:hAnsi="Times New Roman"/>
          <w:sz w:val="17"/>
          <w:szCs w:val="17"/>
          <w:color w:val="auto"/>
        </w:rPr>
        <w:t xml:space="preserve"> made prior to the first anniversary of the Closing Date, 5% of the principal Loan amount being prepaid on the date of such Prepayment; (ii) in the case of any Prepayment (other than (x) under </w:t>
      </w:r>
      <w:r>
        <w:rPr>
          <w:rFonts w:ascii="Times New Roman" w:cs="Times New Roman" w:eastAsia="Times New Roman" w:hAnsi="Times New Roman"/>
          <w:sz w:val="17"/>
          <w:szCs w:val="17"/>
          <w:u w:val="single" w:color="auto"/>
          <w:color w:val="auto"/>
        </w:rPr>
        <w:t>Section 1.2(c)</w:t>
      </w:r>
      <w:r>
        <w:rPr>
          <w:rFonts w:ascii="Times New Roman" w:cs="Times New Roman" w:eastAsia="Times New Roman" w:hAnsi="Times New Roman"/>
          <w:sz w:val="17"/>
          <w:szCs w:val="17"/>
          <w:color w:val="auto"/>
        </w:rPr>
        <w:t xml:space="preserve"> in respect of a Casualty Event only, (y) under </w:t>
      </w:r>
      <w:r>
        <w:rPr>
          <w:rFonts w:ascii="Times New Roman" w:cs="Times New Roman" w:eastAsia="Times New Roman" w:hAnsi="Times New Roman"/>
          <w:sz w:val="17"/>
          <w:szCs w:val="17"/>
          <w:u w:val="single" w:color="auto"/>
          <w:color w:val="auto"/>
        </w:rPr>
        <w:t>Section 1.2(f)</w:t>
      </w:r>
      <w:r>
        <w:rPr>
          <w:rFonts w:ascii="Times New Roman" w:cs="Times New Roman" w:eastAsia="Times New Roman" w:hAnsi="Times New Roman"/>
          <w:sz w:val="17"/>
          <w:szCs w:val="17"/>
          <w:color w:val="auto"/>
        </w:rPr>
        <w:t xml:space="preserve"> or (z) under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1.2(e))</w:t>
      </w:r>
      <w:r>
        <w:rPr>
          <w:rFonts w:ascii="Times New Roman" w:cs="Times New Roman" w:eastAsia="Times New Roman" w:hAnsi="Times New Roman"/>
          <w:sz w:val="17"/>
          <w:szCs w:val="17"/>
          <w:color w:val="auto"/>
        </w:rPr>
        <w:t xml:space="preserve"> made on or after the first anniversary of the Closing Date and prior to the second anniversary of the Closing Date, 3% of the principal Loan amount being prepaid on the date of such Prepayment; (iii) in the case of any Prepayment (other than (x) under </w:t>
      </w:r>
      <w:r>
        <w:rPr>
          <w:rFonts w:ascii="Times New Roman" w:cs="Times New Roman" w:eastAsia="Times New Roman" w:hAnsi="Times New Roman"/>
          <w:sz w:val="17"/>
          <w:szCs w:val="17"/>
          <w:u w:val="single" w:color="auto"/>
          <w:color w:val="auto"/>
        </w:rPr>
        <w:t>Section 1.2(c)</w:t>
      </w:r>
      <w:r>
        <w:rPr>
          <w:rFonts w:ascii="Times New Roman" w:cs="Times New Roman" w:eastAsia="Times New Roman" w:hAnsi="Times New Roman"/>
          <w:sz w:val="17"/>
          <w:szCs w:val="17"/>
          <w:color w:val="auto"/>
        </w:rPr>
        <w:t xml:space="preserve"> in respect of a Casualty Event only, (y) under </w:t>
      </w:r>
      <w:r>
        <w:rPr>
          <w:rFonts w:ascii="Times New Roman" w:cs="Times New Roman" w:eastAsia="Times New Roman" w:hAnsi="Times New Roman"/>
          <w:sz w:val="17"/>
          <w:szCs w:val="17"/>
          <w:u w:val="single" w:color="auto"/>
          <w:color w:val="auto"/>
        </w:rPr>
        <w:t>Section 1.2(f)</w:t>
      </w:r>
      <w:r>
        <w:rPr>
          <w:rFonts w:ascii="Times New Roman" w:cs="Times New Roman" w:eastAsia="Times New Roman" w:hAnsi="Times New Roman"/>
          <w:sz w:val="17"/>
          <w:szCs w:val="17"/>
          <w:color w:val="auto"/>
        </w:rPr>
        <w:t xml:space="preserve"> or (z) under </w:t>
      </w:r>
      <w:r>
        <w:rPr>
          <w:rFonts w:ascii="Times New Roman" w:cs="Times New Roman" w:eastAsia="Times New Roman" w:hAnsi="Times New Roman"/>
          <w:sz w:val="17"/>
          <w:szCs w:val="17"/>
          <w:u w:val="single" w:color="auto"/>
          <w:color w:val="auto"/>
        </w:rPr>
        <w:t>Section 1.2(e))</w:t>
      </w:r>
      <w:r>
        <w:rPr>
          <w:rFonts w:ascii="Times New Roman" w:cs="Times New Roman" w:eastAsia="Times New Roman" w:hAnsi="Times New Roman"/>
          <w:sz w:val="17"/>
          <w:szCs w:val="17"/>
          <w:color w:val="auto"/>
        </w:rPr>
        <w:t xml:space="preserve"> made on or after the second anniversary of the Closing Date and prior to the third anniversary of the Closing Date, 1% of the principal Loan amount being prepaid on the date of such Prepayment; and (iv) in the case of any Prepayment made on or after the third anniversary of the Closing Date, 0% of the principal Loan amount being prepaid on the date of such Prepayment. Each Lender shall have the right in its sole discretion to decline any Mandatory Prepayment in accordance with </w:t>
      </w:r>
      <w:r>
        <w:rPr>
          <w:rFonts w:ascii="Times New Roman" w:cs="Times New Roman" w:eastAsia="Times New Roman" w:hAnsi="Times New Roman"/>
          <w:sz w:val="17"/>
          <w:szCs w:val="17"/>
          <w:u w:val="single" w:color="auto"/>
          <w:color w:val="auto"/>
        </w:rPr>
        <w:t>Section 1.2(h)</w:t>
      </w:r>
      <w:r>
        <w:rPr>
          <w:rFonts w:ascii="Times New Roman" w:cs="Times New Roman" w:eastAsia="Times New Roman" w:hAnsi="Times New Roman"/>
          <w:sz w:val="17"/>
          <w:szCs w:val="17"/>
          <w:color w:val="auto"/>
        </w:rPr>
        <w:t xml:space="preserve"> below.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both"/>
        <w:ind w:left="4" w:hanging="4"/>
        <w:spacing w:after="0" w:line="252" w:lineRule="auto"/>
        <w:tabs>
          <w:tab w:leader="none" w:pos="26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Sales and Casualty Events</w:t>
      </w:r>
      <w:r>
        <w:rPr>
          <w:rFonts w:ascii="Times New Roman" w:cs="Times New Roman" w:eastAsia="Times New Roman" w:hAnsi="Times New Roman"/>
          <w:sz w:val="18"/>
          <w:szCs w:val="18"/>
          <w:color w:val="auto"/>
        </w:rPr>
        <w:t xml:space="preserve">. If the aggregate amount of Net Cash Proceeds received by the Credit Parties and their Subsidiaries (not including Excluded Subsidiaries) that is in connection with any Asset Sale or Casualty Event and all other Asset Sales and Casualty Events occurring during any Fiscal Year (other than Asset Sales permitted under </w:t>
      </w:r>
      <w:r>
        <w:rPr>
          <w:rFonts w:ascii="Times New Roman" w:cs="Times New Roman" w:eastAsia="Times New Roman" w:hAnsi="Times New Roman"/>
          <w:sz w:val="18"/>
          <w:szCs w:val="18"/>
          <w:u w:val="single" w:color="auto"/>
          <w:color w:val="auto"/>
        </w:rPr>
        <w:t>Section 5.4(a), (b), (d), (e), (g), or (n)</w:t>
      </w:r>
      <w:r>
        <w:rPr>
          <w:rFonts w:ascii="Times New Roman" w:cs="Times New Roman" w:eastAsia="Times New Roman" w:hAnsi="Times New Roman"/>
          <w:sz w:val="18"/>
          <w:szCs w:val="18"/>
          <w:color w:val="auto"/>
        </w:rPr>
        <w:t xml:space="preserve">) exceeds $750,000, then not later than five (5) Business Days following the receipt of such excess Net Cash Proceeds, Credit Parties shall make Mandatory Prepayments of the Obligations to be applied thereto in accordance with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in an aggregate amount equal to 100% of such Net Cash Proceeds; provided, that such Net Cash Proceeds shall not be required to be applied as a mandatory prepayment on such date to the extent that (x) no Default or Event of Default has occurred and is continuing or would result therefrom and (y) Credit Parties have delivered an Officers’ Certificate to the Agent on or prior to such date stating that such Net Cash Proceeds are expected to be reinvested in capital assets useful in the business of the Credit Parties within twelve (12) months following the date of such Asset Sale or Casualty Event (which Officers’ Certificate shall set forth the estimates of the proceeds to be so expended); provided, that if all or any portion of such Net Cash Proceeds is not so reinvested within such twelve (12)-month period (or such longer period as the Agent may agree in its sole discretion), such unused portion shall be applied on the last day of such period as a Mandatory Prepayment as provided in this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provided, further, that if the property subject to such Asset Sale or such Casualty Event constituted Collateral, then all property purchased with the Net Cash Proceeds thereof pursuant to this subsection shall be made subject to the Lien created pursuant to this Agreement in favor of the Agent for its benefit and the benefit of the Lenders in accordance with </w:t>
      </w:r>
      <w:r>
        <w:rPr>
          <w:rFonts w:ascii="Times New Roman" w:cs="Times New Roman" w:eastAsia="Times New Roman" w:hAnsi="Times New Roman"/>
          <w:sz w:val="18"/>
          <w:szCs w:val="18"/>
          <w:u w:val="single" w:color="auto"/>
          <w:color w:val="auto"/>
        </w:rPr>
        <w:t>Sections 3.20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3.27</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shall permit any Credit Party or any of its Subsidiaries to effect any Asset Sale other than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Issuance</w:t>
      </w:r>
      <w:r>
        <w:rPr>
          <w:rFonts w:ascii="Times New Roman" w:cs="Times New Roman" w:eastAsia="Times New Roman" w:hAnsi="Times New Roman"/>
          <w:sz w:val="18"/>
          <w:szCs w:val="18"/>
          <w:color w:val="auto"/>
        </w:rPr>
        <w:t xml:space="preserve">. Not later than one (1) Business Day following the receipt of any Net Cash Proceeds of any Debt Issuance by the Credit Parties or any of their Subsidiaries, at the election of Agent (acting at the direction of the Required Lenders), Borrower shall make Mandatory Prepayments of the Obligations to be applied thereto in accordance with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in an aggregate amount equal to 100% of such Net Cash Proceeds. The provisions of this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shall not be an implied consent to any such issuance otherwise prohibited by the terms of this Agreement. Borrower shall provide written notice to Agent of any Debt Issuance no less than five (5) Business Days prior to the date of such Debt Issuance with a reference to this clause (d) and a calculation of the amount of such Net Cash Proceeds, and upon receipt thereof Agent shall promptly notify the Lenders of the contents of such notice.</w:t>
      </w:r>
    </w:p>
    <w:p>
      <w:pPr>
        <w:spacing w:after="0" w:line="18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78" w:name="page79"/>
    <w:bookmarkEnd w:id="78"/>
    <w:p>
      <w:pPr>
        <w:jc w:val="both"/>
        <w:ind w:left="4" w:hanging="4"/>
        <w:spacing w:after="0" w:line="261" w:lineRule="auto"/>
        <w:tabs>
          <w:tab w:leader="none" w:pos="2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Issuance</w:t>
      </w:r>
      <w:r>
        <w:rPr>
          <w:rFonts w:ascii="Times New Roman" w:cs="Times New Roman" w:eastAsia="Times New Roman" w:hAnsi="Times New Roman"/>
          <w:sz w:val="18"/>
          <w:szCs w:val="18"/>
          <w:color w:val="auto"/>
        </w:rPr>
        <w:t xml:space="preserve">. Not later than three (3) Business Days following the receipt of any Net Cash Proceeds of any Equity Issuance, Borrower shall make Mandatory Prepayments of the Obligations to be applied thereto in accordance with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in an aggregate amount equal to 25% of such Net Cash Proceeds. The provisions of this </w:t>
      </w:r>
      <w:r>
        <w:rPr>
          <w:rFonts w:ascii="Times New Roman" w:cs="Times New Roman" w:eastAsia="Times New Roman" w:hAnsi="Times New Roman"/>
          <w:sz w:val="18"/>
          <w:szCs w:val="18"/>
          <w:u w:val="single" w:color="auto"/>
          <w:color w:val="auto"/>
        </w:rPr>
        <w:t>Section 1.2(e)</w:t>
      </w:r>
      <w:r>
        <w:rPr>
          <w:rFonts w:ascii="Times New Roman" w:cs="Times New Roman" w:eastAsia="Times New Roman" w:hAnsi="Times New Roman"/>
          <w:sz w:val="18"/>
          <w:szCs w:val="18"/>
          <w:color w:val="auto"/>
        </w:rPr>
        <w:t xml:space="preserve"> shall not be an implied consent to any such issuance otherwise prohibited by the terms of this Agreement.</w:t>
      </w:r>
    </w:p>
    <w:p>
      <w:pPr>
        <w:spacing w:after="0" w:line="17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2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Prepayments from Excess Cash Flow</w:t>
      </w:r>
      <w:r>
        <w:rPr>
          <w:rFonts w:ascii="Times New Roman" w:cs="Times New Roman" w:eastAsia="Times New Roman" w:hAnsi="Times New Roman"/>
          <w:sz w:val="18"/>
          <w:szCs w:val="18"/>
          <w:color w:val="auto"/>
        </w:rPr>
        <w:t xml:space="preserve">. On the date that the Borrower’s financial statements are required to be delivered to Agent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for the periods ending December 31 of each calendar year, beginning with the financial statements for the period ending December 31, 2023, the Borrower shall deliver a certificate (the “</w:t>
      </w:r>
      <w:r>
        <w:rPr>
          <w:rFonts w:ascii="Times New Roman" w:cs="Times New Roman" w:eastAsia="Times New Roman" w:hAnsi="Times New Roman"/>
          <w:sz w:val="18"/>
          <w:szCs w:val="18"/>
          <w:b w:val="1"/>
          <w:bCs w:val="1"/>
          <w:color w:val="auto"/>
        </w:rPr>
        <w:t>Excess Cash Flow Certificate</w:t>
      </w:r>
      <w:r>
        <w:rPr>
          <w:rFonts w:ascii="Times New Roman" w:cs="Times New Roman" w:eastAsia="Times New Roman" w:hAnsi="Times New Roman"/>
          <w:sz w:val="18"/>
          <w:szCs w:val="18"/>
          <w:color w:val="auto"/>
        </w:rPr>
        <w:t xml:space="preserve">”), executed by a Responsible Officer of Borrower, to Agent which shall set forth the calculation of Excess Cash Flow for such period and irrevocably offer to prepay the Obligations in an amount equal to (x) (A) if the Senior Leverage Ratio is greater than 3.00:1.00, fifty percent (50%) of Excess Cash Flow and (B) if the Senior Leverage Ratio is equal to or less than 3.00:1.00, twenty-five percent (25%) of Excess Cash Flow,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(y) all Voluntary Prepayments made during such calendar year on the Term Loans. The Borrower shall make any Prepayment under this clause (f) on the date that is ten (10) Business Days after the date that Borrower’s financial statements are required to be delivered to Agent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for the period ending December 31 of each calendar year. Excess Cash Flow for calendar year shall be calculated on the basis of the financial statements delivered to Agent pursuant to the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for period ending on the last day of such calendar year. Each Lender may accept or reject the offer to prepay the Obligations made pursuant to this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by causing a written notice of such acceptance or rejection to be delivered to Agent on or before 11:00 a.m. New York City time two Business Days prior to the date the Prepayment is due. A failure by a Lender to respond to an offer to prepay made pursuant to this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on or before such date shall be deemed to constitute an acceptance of such offer. All such prepayments from Excess Cash Flow shall be applied to the Obligations in accordance with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Option to Decline Prepayment</w:t>
      </w:r>
      <w:r>
        <w:rPr>
          <w:rFonts w:ascii="Times New Roman" w:cs="Times New Roman" w:eastAsia="Times New Roman" w:hAnsi="Times New Roman"/>
          <w:sz w:val="18"/>
          <w:szCs w:val="18"/>
          <w:color w:val="auto"/>
        </w:rPr>
        <w:t xml:space="preserve">. With respect to any Mandatory Prepayment required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any Lender, at its option, may elect not to accept such prepayment as provided below. The Borrower shall use commercially reasonable efforts to notify the Agent of any event giving rise to a prepayment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no later than 1:00 p.m. New York City time five (5) Business Days prior to the date of such prepayment. Each such notice shall specify the expected date of such prepayment and provide a reasonably detailed estimated calculation of the amount of such prepayment that is required to be made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The Agent will promptly notify each Lender of the contents of any such prepayment notice so received from the Borrower, including the date on which such prepayment is expected to be made by the Borrower (the “</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 Any Lender may decline to accept all or any portion of its share of any such prepayment (any such Lender, a “</w:t>
      </w:r>
      <w:r>
        <w:rPr>
          <w:rFonts w:ascii="Times New Roman" w:cs="Times New Roman" w:eastAsia="Times New Roman" w:hAnsi="Times New Roman"/>
          <w:sz w:val="18"/>
          <w:szCs w:val="18"/>
          <w:b w:val="1"/>
          <w:bCs w:val="1"/>
          <w:color w:val="auto"/>
        </w:rPr>
        <w:t>Declining Lender</w:t>
      </w:r>
      <w:r>
        <w:rPr>
          <w:rFonts w:ascii="Times New Roman" w:cs="Times New Roman" w:eastAsia="Times New Roman" w:hAnsi="Times New Roman"/>
          <w:sz w:val="18"/>
          <w:szCs w:val="18"/>
          <w:color w:val="auto"/>
        </w:rPr>
        <w:t>”) by providing written notice to the Agent no later than 11:00 a.m. New York City time two</w:t>
      </w:r>
    </w:p>
    <w:p>
      <w:pPr>
        <w:jc w:val="both"/>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Business Days prior to the scheduled Prepayment Date. If any Lender does not give a notice to the Agent on or prior to such time that it declines to accept the applicable prepayment, then such Lender will be deemed to have accepted such prepayment. On any Prepayment Date, an amount equal to the Prepayment Amount including the portion thereof allocable to Declining Lenders, in each case for such Prepayment Date, shall be paid to the Agent by the Borrower and applied by the Agent ratably to prepay the applicable Loan owing to Lenders (other than Declining Lenders) in the manner described in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for such prepayment. The portion of such Prepayment Amount that was allocated to any Declining Lender shall be applied pro rata to the Lenders who have not declined their share of such Prepayment Amount.</w:t>
      </w:r>
    </w:p>
    <w:p>
      <w:pPr>
        <w:spacing w:after="0" w:line="19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Borrower shall use the proceeds of the Loan (i) to refinance on the Closing Date, prior Indebtedness, (ii) to support the Combination,</w:t>
      </w:r>
    </w:p>
    <w:p>
      <w:pPr>
        <w:spacing w:after="0" w:line="27" w:lineRule="exact"/>
        <w:rPr>
          <w:sz w:val="20"/>
          <w:szCs w:val="20"/>
          <w:color w:val="auto"/>
        </w:rPr>
      </w:pPr>
    </w:p>
    <w:p>
      <w:pPr>
        <w:ind w:right="20" w:firstLine="8"/>
        <w:spacing w:after="0" w:line="260" w:lineRule="auto"/>
        <w:tabs>
          <w:tab w:leader="none" w:pos="32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working capital purposes and other corporate purposes, and (iv) to pay any fees associated with transactions contemplated under this Agreement and the other Loan Documents, including the transactions described in the foregoing clauses (i) and (ii).</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Single Loan</w:t>
      </w:r>
      <w:r>
        <w:rPr>
          <w:rFonts w:ascii="Times New Roman" w:cs="Times New Roman" w:eastAsia="Times New Roman" w:hAnsi="Times New Roman"/>
          <w:sz w:val="18"/>
          <w:szCs w:val="18"/>
          <w:color w:val="auto"/>
        </w:rPr>
        <w:t>. The Loan and all of the other Obligations shall constitute one general obligation of Borrower secured by all of the Collateral.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8" w:lineRule="auto"/>
        <w:tabs>
          <w:tab w:leader="none" w:pos="9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 of the Loan shall accrue interest at a per annum rate equal to Adjusted Term SOFR plus the Applicable Margin. All computations of interest on the Loan shall be made by Agent on the basis of a three hundred and sixty (360) day year, in each case for the actual number of days occurring in the period for which such interest is payable. In no event will Agent charge interest at a rate that exceeds the Maximum Lawful Rate. For the avoidance of doubt, no date of payment shall be included in any interest computation provided such payment is received on or before 1:00 p.m. New York city time.</w:t>
      </w:r>
    </w:p>
    <w:p>
      <w:pPr>
        <w:spacing w:after="0" w:line="183"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1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pay interest to Agent for the pro rata benefit of the Lenders on the outstanding balance of the Loan on a quarterly basis. Interest shall be payable on the balance of the Loan (i) quarterly in arrears and shall be due on the first Business Day of each Fiscal Quarter, (ii) on the Maturity Date of the Loan, and (iii) if any interest accrues or remains payable after the Maturity Date of the Loan, upon demand by Agent. For each Payment Date from the Closing Date until and including October 1, 2024 (other than the Payment Date occurring on July 1, 2024 which is governed by the provided clause at the end of this sentence), interest shall be payable partly in cash and payable partly in-kind at a rate per annum equal to Adjusted Term SOFR </w:t>
      </w:r>
      <w:r>
        <w:rPr>
          <w:rFonts w:ascii="Times New Roman" w:cs="Times New Roman" w:eastAsia="Times New Roman" w:hAnsi="Times New Roman"/>
          <w:sz w:val="18"/>
          <w:szCs w:val="18"/>
          <w:i w:val="1"/>
          <w:iCs w:val="1"/>
          <w:color w:val="auto"/>
        </w:rPr>
        <w:t>plus the Applicable Margin,</w:t>
      </w:r>
      <w:r>
        <w:rPr>
          <w:rFonts w:ascii="Times New Roman" w:cs="Times New Roman" w:eastAsia="Times New Roman" w:hAnsi="Times New Roman"/>
          <w:sz w:val="18"/>
          <w:szCs w:val="18"/>
          <w:color w:val="auto"/>
        </w:rPr>
        <w:t xml:space="preserve"> with the portion payable in-kind at the Applicable PIK Rate which shall be capitalized, compounded and thereby increase the outstanding principal amount of the Loan on a quarterly basis on each such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in the case of the Payment Date occurring on July 1, 2024, all interest payable on such Payment Date shall be payable in-kind at a per annum rate equal to Adjusted Term SOFR </w:t>
      </w:r>
      <w:r>
        <w:rPr>
          <w:rFonts w:ascii="Times New Roman" w:cs="Times New Roman" w:eastAsia="Times New Roman" w:hAnsi="Times New Roman"/>
          <w:sz w:val="18"/>
          <w:szCs w:val="18"/>
          <w:i w:val="1"/>
          <w:iCs w:val="1"/>
          <w:color w:val="auto"/>
        </w:rPr>
        <w:t>plus the Applicable Margin</w:t>
      </w:r>
      <w:r>
        <w:rPr>
          <w:rFonts w:ascii="Times New Roman" w:cs="Times New Roman" w:eastAsia="Times New Roman" w:hAnsi="Times New Roman"/>
          <w:sz w:val="18"/>
          <w:szCs w:val="18"/>
          <w:color w:val="auto"/>
        </w:rPr>
        <w:t xml:space="preserve"> which shall be capitalized, compounded and thereby increase the outstanding principal amount of the Loan on such Payment Date. For each Payment Date occurring on and after January 1, 2025 (for the avoidance of doubt, including all interest accruing for the period beginning October 1, 2024 and ending December 31, 2024), all interest shall be payable in cash at a rate per annum equal to Adjusted Term SOFR </w:t>
      </w:r>
      <w:r>
        <w:rPr>
          <w:rFonts w:ascii="Times New Roman" w:cs="Times New Roman" w:eastAsia="Times New Roman" w:hAnsi="Times New Roman"/>
          <w:sz w:val="18"/>
          <w:szCs w:val="18"/>
          <w:i w:val="1"/>
          <w:iCs w:val="1"/>
          <w:color w:val="auto"/>
        </w:rPr>
        <w:t>plus the Applicable Margin.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jc w:val="both"/>
        <w:ind w:left="660" w:hanging="4"/>
        <w:spacing w:after="0" w:line="258" w:lineRule="auto"/>
        <w:tabs>
          <w:tab w:leader="none" w:pos="91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occurrence of any Event of Default and for so long as any Event of Default shall be continuing, the interest rate applicable to the Loan shall automatically be increased by two percent (2.0%) per annum (such increased rate,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and all outstanding Obligations, including accrued but unpaid interest (to the extent permitted under applicable law), shall continue to accrue interest from the date of such Event of Default until the earlier of (x) the date on which such Obligations are paid in full and (y) the date on which such Event of Default ceases to be continuing, at the Default Rate applicable to such Obligations.</w:t>
      </w:r>
    </w:p>
    <w:p>
      <w:pPr>
        <w:spacing w:after="0" w:line="183" w:lineRule="exact"/>
        <w:rPr>
          <w:rFonts w:ascii="Times New Roman" w:cs="Times New Roman" w:eastAsia="Times New Roman" w:hAnsi="Times New Roman"/>
          <w:sz w:val="18"/>
          <w:szCs w:val="18"/>
          <w:color w:val="auto"/>
        </w:rPr>
      </w:pPr>
    </w:p>
    <w:p>
      <w:pPr>
        <w:jc w:val="both"/>
        <w:ind w:left="660" w:hanging="4"/>
        <w:spacing w:after="0" w:line="282" w:lineRule="auto"/>
        <w:tabs>
          <w:tab w:leader="none" w:pos="9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to the Agent or any Lender under this Agreement becomes due and payable on a day other than a Business Day, such Payment Date shall be extended to the next succeeding Business Day and interest thereon shall be payable at the then applicable rate during such extension.</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54" w:lineRule="auto"/>
        <w:tabs>
          <w:tab w:leader="none" w:pos="9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if a court of competent jurisdiction determines in a final order that the rate of interest payable hereunder exceeds the highest rate of interest permissible under law (the “</w:t>
      </w:r>
      <w:r>
        <w:rPr>
          <w:rFonts w:ascii="Times New Roman" w:cs="Times New Roman" w:eastAsia="Times New Roman" w:hAnsi="Times New Roman"/>
          <w:sz w:val="18"/>
          <w:szCs w:val="18"/>
          <w:b w:val="1"/>
          <w:bCs w:val="1"/>
          <w:color w:val="auto"/>
        </w:rPr>
        <w:t>Maximum Lawful Rate</w:t>
      </w:r>
      <w:r>
        <w:rPr>
          <w:rFonts w:ascii="Times New Roman" w:cs="Times New Roman" w:eastAsia="Times New Roman" w:hAnsi="Times New Roman"/>
          <w:sz w:val="18"/>
          <w:szCs w:val="18"/>
          <w:color w:val="auto"/>
        </w:rPr>
        <w:t>”), then so long as the Maximum Lawful Rate would be so exceeded, the rate of interest payable hereunder shall be equal to the Maximum Lawful Rate; provided, however, that if at any time thereafter the rate of interest payable hereunder is less than the Maximum Lawful Rate, Borrower shall continue to pay interest hereunder at the Maximum Lawful Rate until such time as the total interest received by Agent for the pro rata benefit of the Lenders is equal to the total interest that would have been received had the interest rate payable hereunder been (but for the operation of this paragraph) the interest rate payable since the Closing Date as otherwise provided in this Agreement. In no event shall the total interest received by Agent for the pro rata benefit of the Lenders pursuant to the terms hereof exceed the amount that Agent could lawfully have received had the interest due hereunder been calculated for the full term hereof at the Maximum Lawful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agrees to pay to Agent:</w:t>
      </w:r>
    </w:p>
    <w:p>
      <w:pPr>
        <w:spacing w:after="0" w:line="225" w:lineRule="exact"/>
        <w:rPr>
          <w:sz w:val="20"/>
          <w:szCs w:val="20"/>
          <w:color w:val="auto"/>
        </w:rPr>
      </w:pPr>
    </w:p>
    <w:p>
      <w:pPr>
        <w:ind w:left="660" w:hanging="4"/>
        <w:spacing w:after="0" w:line="282" w:lineRule="auto"/>
        <w:tabs>
          <w:tab w:leader="none" w:pos="9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pro rata benefit of the Lenders, the fees set forth in that certain Fee Letter, dated as of May 15, 2022, by and among the Lenders and the Borrower (the “</w:t>
      </w:r>
      <w:r>
        <w:rPr>
          <w:rFonts w:ascii="Times New Roman" w:cs="Times New Roman" w:eastAsia="Times New Roman" w:hAnsi="Times New Roman"/>
          <w:sz w:val="18"/>
          <w:szCs w:val="18"/>
          <w:b w:val="1"/>
          <w:bCs w:val="1"/>
          <w:color w:val="auto"/>
        </w:rPr>
        <w:t>Lender Fee Letter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benefit of the Agent, the fees set forth in that certain fee letter dated as of the Closing Date by and between Agent and the Borrower (as it may be amended, modified or amended and restated from time to time, the “</w:t>
      </w:r>
      <w:r>
        <w:rPr>
          <w:rFonts w:ascii="Times New Roman" w:cs="Times New Roman" w:eastAsia="Times New Roman" w:hAnsi="Times New Roman"/>
          <w:sz w:val="18"/>
          <w:szCs w:val="18"/>
          <w:b w:val="1"/>
          <w:bCs w:val="1"/>
          <w:color w:val="auto"/>
        </w:rPr>
        <w:t>Agent Fee Letter</w:t>
      </w:r>
      <w:r>
        <w:rPr>
          <w:rFonts w:ascii="Times New Roman" w:cs="Times New Roman" w:eastAsia="Times New Roman" w:hAnsi="Times New Roman"/>
          <w:sz w:val="18"/>
          <w:szCs w:val="18"/>
          <w:color w:val="auto"/>
        </w:rPr>
        <w:t>”), in each case at the times and in the manner set for in the Agent Fee Letter;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jc w:val="both"/>
        <w:ind w:left="660" w:hanging="4"/>
        <w:spacing w:after="0" w:line="254" w:lineRule="auto"/>
        <w:tabs>
          <w:tab w:leader="none" w:pos="9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benefit of the Person to whom such fees, costs, and expenses are owed, all fees, costs and expenses of closing due and owing and presented as of the Closing Date, including without limitation, those relating to (i) Agent’s and Initial Commitment Parties’ due diligence review and evaluation of the transaction, (ii) the preparation, negotiation, execution and delivery of the Loan Documents, (iii) the closing of the Transactions, (iv) all appraisal, audit, environmental, title work, travel, inspection, surveys, filing, search and registration fees, (v) any loan, escrow, recording and transfer fees and taxes (as applicable), and (vi) Agent’s counsel fees and expenses relating to any of the foregoing, and Initial Commitment Parties’ counsel fees and expenses relating to any of the foregoing, together with post-closing fees and expenses; provided that fees of counsel shall be limited to one primary outside counsel for each Initial Commitment Party, one counsel for Agent, one local counsel in each relevant jurisdiction and one specialty intellectual property counsel and, solely in the case of an actual or perceived conflict of interest, on additional counsel to each relevant jurisdiction for all such affected Persons taken as a whole.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Borrower agrees that any fees due and payable by the Borrower on the Closing Date may be satisfied by the Agent deducting or setting off the amount of such fees from the proceeds of the Term Loan funded to the Borrower on the Closing Date and by Agent paying such fees to the Persons to whom such fees are owed, in each case in accordance with the flow of funds attached to the Notice of Borrowing.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Receipt of Payments;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2" w:lineRule="auto"/>
        <w:tabs>
          <w:tab w:leader="none" w:pos="9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make each payment under this Agreement (not otherwise made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without set-off, counterclaim or deduction and free and clear of all Taxes not later than 1:00 PM New York City time on the day when due in lawful money of the United States of America in immediately available funds by wire transfer to an account specified by the Agent in writing, except as required by applicable law. Any payments received by Agent after 1:00 PM New York City time may, in the Agent’s discretion (in consultation with the Required Lenders), be deemed received on the next succeeding Business Day and, in such case, any applicable interest or fee shall continue to accrue; provided, however if Agent receives the payment after 1:00 PM New York City time and does not have sufficient time to wire such funds to the applicable Lenders, then such payment shall be deemed to be received on the next succeeding Business Day. If a Withholding Agent determines in its good faith discretion that it shall be required by applicable law to deduct or withhold any Taxes from any payment to any Recipient under any Loan Document,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so that, after making all required deductions (including such deductions applicable to additional sums payable under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the applicable Recipient receives an amount equal to that which it would have received had no such deductions been made. Borrower shall timely pay to the relevant Governmental Authority in accordance with applicable law, or at the option of Agent timely reimburse it for the payment of, any Other Taxes. As soon as practicable after any payment of Taxes by Borrower to a Governmental Authority pursuant to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Borrower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jc w:val="both"/>
        <w:ind w:left="4" w:hanging="4"/>
        <w:spacing w:after="0" w:line="256" w:lineRule="auto"/>
        <w:tabs>
          <w:tab w:leader="none" w:pos="2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jc w:val="both"/>
        <w:ind w:left="4" w:hanging="4"/>
        <w:spacing w:after="0" w:line="254" w:lineRule="auto"/>
        <w:tabs>
          <w:tab w:leader="none" w:pos="2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the Agent, within 10 days after demand therefor, for (i) any Indemnified Taxes attributable to such Lender (but only to the extent that the Borrower has not already indemnified the Agent for such Indemnified Taxes and without limiting the obligation of the Borrower to do so), (ii) any Taxes attributable to such Lender’s failure to comply with the provisions of this Agreement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Administrative Agent to the Lender from any other source against any amount due to the Administrative Agent under this clause (c).</w:t>
      </w:r>
    </w:p>
    <w:p>
      <w:pPr>
        <w:spacing w:after="0" w:line="188"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determines, in its sole discretion exercised in good faith, that it has received a refund of any Taxes as to which it has been indemnified pursuant to </w:t>
      </w:r>
      <w:r>
        <w:rPr>
          <w:rFonts w:ascii="Times New Roman" w:cs="Times New Roman" w:eastAsia="Times New Roman" w:hAnsi="Times New Roman"/>
          <w:sz w:val="18"/>
          <w:szCs w:val="18"/>
          <w:u w:val="single" w:color="auto"/>
          <w:color w:val="auto"/>
        </w:rPr>
        <w:t>Section 1.7(a)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(including by the payment of additional amounts pursuant to </w:t>
      </w:r>
      <w:r>
        <w:rPr>
          <w:rFonts w:ascii="Times New Roman" w:cs="Times New Roman" w:eastAsia="Times New Roman" w:hAnsi="Times New Roman"/>
          <w:sz w:val="18"/>
          <w:szCs w:val="18"/>
          <w:u w:val="single" w:color="auto"/>
          <w:color w:val="auto"/>
        </w:rPr>
        <w:t>Section 1.7(a)</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with respect to the Taxes giving rise to such refund), net of all out-of-pocket expenses (including Taxes) of such indemnified party incurred in order to obtain such refund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83" w:name="page84"/>
    <w:bookmarkEnd w:id="83"/>
    <w:p>
      <w:pPr>
        <w:ind w:left="660" w:right="20" w:hanging="4"/>
        <w:spacing w:after="0" w:line="282" w:lineRule="auto"/>
        <w:tabs>
          <w:tab w:leader="none" w:pos="92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shall survive the resignation or replacement of the Agent or any assignment of rights by, or the replacement of, a Lender, and the repayment, satisfaction or discharge of all obligations under any Loan Document.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Application and Allocation of Payments.</w:t>
      </w:r>
      <w:r>
        <w:rPr>
          <w:rFonts w:ascii="Times New Roman" w:cs="Times New Roman" w:eastAsia="Times New Roman" w:hAnsi="Times New Roman"/>
          <w:sz w:val="18"/>
          <w:szCs w:val="18"/>
          <w:color w:val="auto"/>
        </w:rPr>
        <w:t xml:space="preserve"> Borrower irrevocably agrees that Agent shall have the continuing and exclusive right to apply any and all payments against the then due and payable Obligations in such order as Agent may deem advisable (as directed by the Required Lenders); provided, however, that (i) any and all Mandatory Prepayments shall be applied against the then due and payable Obligations as follows: (a)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against the next 4 scheduled installments of the Term Loan in direct order of maturity until such scheduled installments have been paid in full; (b)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against all other remaining principal installments of the Term Loan (including the final installment on the Maturity Date) in inverse order of maturity until the principal on the Term Loans is paid in full; (b)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payment of all accrued unpaid cash interest on the Obligations; (c)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payment of costs and expenses, including attorneys’ fees, of Agent payable or reimbursable by Credit Parties under the Loan Documents; (d)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payment of any other amounts owing constituting Obligations; and (e)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any remainder shall be for the account of and paid to whoever may be lawfully entitled thereto; and (ii) any and all Voluntary Prepayments shall be applied as directed by Borrower (and, in the absence of such direction, payments will be applied in the order of maturity). Each of the Lenders or other Persons entitled to payment shall receive an amount equal to its pro rata share of amounts available to be applied pursuant to the applicable foregoing clauses.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Accounting.</w:t>
      </w:r>
      <w:r>
        <w:rPr>
          <w:rFonts w:ascii="Times New Roman" w:cs="Times New Roman" w:eastAsia="Times New Roman" w:hAnsi="Times New Roman"/>
          <w:sz w:val="18"/>
          <w:szCs w:val="18"/>
          <w:color w:val="auto"/>
        </w:rPr>
        <w:t xml:space="preserve"> Each Lender is authorized to record on its books and records the date and amount of the Loan and each payment of principal thereof and such recordation shall constitute prima facie evidence of the accuracy of the information so recorded absent manifest error.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Borrower and each other Credit Party executing this Agreement jointly and severally agree to indemnify and hold Agent, its Affiliates, and each of their respective employees, officers, attorneys, advisors and agents (each, an “</w:t>
      </w:r>
      <w:r>
        <w:rPr>
          <w:rFonts w:ascii="Times New Roman" w:cs="Times New Roman" w:eastAsia="Times New Roman" w:hAnsi="Times New Roman"/>
          <w:sz w:val="18"/>
          <w:szCs w:val="18"/>
          <w:b w:val="1"/>
          <w:bCs w:val="1"/>
          <w:color w:val="auto"/>
        </w:rPr>
        <w:t>Agent Indemnified Person</w:t>
      </w:r>
      <w:r>
        <w:rPr>
          <w:rFonts w:ascii="Times New Roman" w:cs="Times New Roman" w:eastAsia="Times New Roman" w:hAnsi="Times New Roman"/>
          <w:sz w:val="18"/>
          <w:szCs w:val="18"/>
          <w:color w:val="auto"/>
        </w:rPr>
        <w:t>”), each Lender and their respective Affiliates, and each of their respective employees, officers, attorneys, advisors and agents (each, a “</w:t>
      </w:r>
      <w:r>
        <w:rPr>
          <w:rFonts w:ascii="Times New Roman" w:cs="Times New Roman" w:eastAsia="Times New Roman" w:hAnsi="Times New Roman"/>
          <w:sz w:val="18"/>
          <w:szCs w:val="18"/>
          <w:b w:val="1"/>
          <w:bCs w:val="1"/>
          <w:color w:val="auto"/>
        </w:rPr>
        <w:t>Lender Indemnified Person</w:t>
      </w:r>
      <w:r>
        <w:rPr>
          <w:rFonts w:ascii="Times New Roman" w:cs="Times New Roman" w:eastAsia="Times New Roman" w:hAnsi="Times New Roman"/>
          <w:sz w:val="18"/>
          <w:szCs w:val="18"/>
          <w:color w:val="auto"/>
        </w:rPr>
        <w:t>” and, together with the Agent Indemnified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from and against any and all suits, actions, proceedings, claims, damages, demands, losses, liabilities and expenses of any kind or nature whatsoever, whether asserted by a Credit Party or any third party (including reasonable attorneys’ fees and disbursements (provided that fees of counsel shall be limited to one primary outside counsel for each Initial Commitment Party, one counsel for Agent, one local counsel in each relevant jurisdiction and one specialty intellectual property counsel, and, solely in the case of an actual or perceived conflict of interest, one additional counsel in each relevant jurisdiction for all such affected Persons taken as a whole)) and other costs of investigation or defense, including those incurred upon any appeal), that may be instituted or asserted against or incurred by any such Indemnified Person (whether asserted by a Credit Party or any third party) as the result of credit having been extended, suspended or terminated under this Agreement and the other Loan Documents or with respect to the execution, delivery, enforcement, performance and administration of, or in any other way arising out of or relating to, in connection with or resulting from (i) the execution or delivery of this Agreement and the other Loan Documents or any other documents or transactions contemplated by or referred to herein or therein and any actions or failures to act with respect to any of the foregoing or, in the case of the Agent Indemnified Persons, the administration of this Agreement and the other Loan Documents; (ii) any Loan or the use or proposed use of the proceeds therefrom; (iii) any actual or alleged presence or Release of Hazardous Materials at, on, under or emanating from any property owned, leased or operated by the Borrower or any of its Subsidiaries, or any Environmental Liability related in any way to the Borrower or any Credit Party or any subsidiary thereof; or (iv) any actual or prospective claim, litigation, investigation or proceeding relating to any of the foregoing, whether based on contract, tort or any other theory, whether brought by a third party or by the Borrower or any other Loan Party or any of the Borrower’s or such Loan Party’s directors, shareholders or creditors, and regardless of whether any Indemnitee is a party thereto, including, in each case and without limitation, any and all product liabilities, and reasonable legal costs and expenses arising out of or incurred in connection therewith (collectively,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provided that the foregoing indemnity will not (i) apply to any losses, claims, damages and liabilities that both (x) do not involve an act or omission by a Credit Party or any of its Affiliates and (y) arise from a dispute among the Indemnified Persons (other than in connection with Agent acting in its capacity as such, or any Initial Commitment Party acting in its capacity as Lead Arranger, or any other agent or co-agent (if any) designated by the Lead Arranger, in each case in their respective capacities as such), (ii) as to any Indemnified Person, apply to losses, claims, damages, liabilities or related expenses to the extent that they have resulted from the gross negligence, bad faith or willful misconduct of such Indemnified Person or any such Indemnified Person’s controlled Affiliates (as determined by a court of competent jurisdiction in a final and non-appealable judgment) or (iii) apply to Taxes other than Taxes arising from a non-Tax claim. NO INDEMNIFIED PERSON SHALL BE RESPONSIBLE OR LIABLE TO ANY CREDIT PARTY, ANY SUCCESSOR, ASSIGNEE OR THIRD PARTY BENEFICIARY OR ANY OTHER PERSON ASSERTING CLAIMS DERIVATIVELY THROUGH SUCH PARTY, FOR ANY ACT OR FAILURE TO ACT UNDER ANY POWER OF ATTORNEY OR FOR INDIRECT, PUNITIVE, EXEMPLARY OR CONSEQUENTIAL DAMAGES THAT MAY BE ALLEGED AS A RESULT OF CREDIT HAVING BEEN EXTENDED, SUSPENDED OR TERMINATED UNDER THIS AGREEMENT OR ANY OTHER LOAN DOCUMENT OR AS A RESULT OF ANY OTHER TRANSACTION CONTEMPLATED HEREUNDER OR THEREUNDER. The Borrower’s and other Credit Parties’ obligations under this Section shall survive the resignation or replacement of the Agent or any assignment of rights by, or the replacement of, a Lender, and the repayment, satisfaction or discharge of all obligations under any Loan Document.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Agent does not warrant or accept responsibility for, and shall not have any liability with respect to (a) 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Base Rate, the Term SOFR Reference Rate, Adjusted Term SOFR, Term SOFR, any alternative, successor or replacement rate (including any Benchmark Replacement) or any relevant adjustments thereto, in each case, in a manner adverse to the Borrower. The Agent may select information sources or services in its reasonable discretion to ascertain the Base Rate, the Term SOFR Reference Rate, Adjusted Term SOFR,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Joinder of New Subsidiaries as a Credit Party, Etc</w:t>
      </w:r>
      <w:r>
        <w:rPr>
          <w:rFonts w:ascii="Times New Roman" w:cs="Times New Roman" w:eastAsia="Times New Roman" w:hAnsi="Times New Roman"/>
          <w:sz w:val="18"/>
          <w:szCs w:val="18"/>
          <w:color w:val="auto"/>
        </w:rPr>
        <w:t xml:space="preserve">. As soon as possible but in any event upon the earlier of (x) twenty (20) days after formation of any new Subsidiary of a Credit Party (other than an Excluded Subsidiary) and (y) the date upon which any material assets are transferred to such new Subsidiary or simultaneously with the consummation of acquisition of any new Subsidiary of a Credit Party (other than an Excluded Subsidiary), Borrower shall take such actions as required by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xml:space="preserve"> and cause such new Subsidiary to become a Grantor and either a co-Borrower or Guarantor and under this Agreement by having the following documents delivered to Agent and the Lenders: (i) a Secretarial Certificate, a Power of Attorney and a Joinder Agreement in the forms of </w:t>
      </w:r>
      <w:r>
        <w:rPr>
          <w:rFonts w:ascii="Times New Roman" w:cs="Times New Roman" w:eastAsia="Times New Roman" w:hAnsi="Times New Roman"/>
          <w:sz w:val="18"/>
          <w:szCs w:val="18"/>
          <w:u w:val="single" w:color="auto"/>
          <w:color w:val="auto"/>
        </w:rPr>
        <w:t>Exhibits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attached hereto, respectively, duly completed, executed and delivered by such new Subsidiary, (ii) security and other collateral documents, filings and instruments with respect to such new Subsidiary of the types described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attached hereto, (iii) an opinion of counsel to such new Subsidiary, in form, substance and scope comparable in all material respects to the legal opinion of Grantor’s counsel delivered to Agent and Lenders on the Closing Date and (iv) an updated </w:t>
      </w:r>
      <w:r>
        <w:rPr>
          <w:rFonts w:ascii="Times New Roman" w:cs="Times New Roman" w:eastAsia="Times New Roman" w:hAnsi="Times New Roman"/>
          <w:sz w:val="18"/>
          <w:szCs w:val="18"/>
          <w:u w:val="single" w:color="auto"/>
          <w:color w:val="auto"/>
        </w:rPr>
        <w:t>Disclosure Schedule 3.7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Non-Funding Lenders</w:t>
      </w:r>
      <w:r>
        <w:rPr>
          <w:rFonts w:ascii="Times New Roman" w:cs="Times New Roman" w:eastAsia="Times New Roman" w:hAnsi="Times New Roman"/>
          <w:sz w:val="18"/>
          <w:szCs w:val="18"/>
          <w:color w:val="auto"/>
        </w:rPr>
        <w:t xml:space="preserve">. Unless Agent shall have received written notice from any Lender prior to the date such Lender is required to make any payment hereunder with respect to the Loan that such Lender will not make such payment (or any portion thereof) available to Agent, Agent may assume that such Lender has made such payment available to Agent on the date such payment is required to be made in accordance with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and Agent may (but shall be under no obligation to), in reliance upon such assumption, make available to Borrower on such date a corresponding amount. Borrower agrees to repay to Agent on demand such amount (until repaid by such Lender) with interest thereon for each day from the date such amount is made available to Borrower until the date such amount is repaid to Agent, at the interest rate applicable to the Obligation that would have been created when Agent made available such amount to Borrower had such Lender made a corresponding payment available; provided, however, that such payment shall not relieve such Lender of any obligation it may have to Borrower. In addition, any Lender that shall not have made available to Agent any portion of any payment described above (any such Lender, a “</w:t>
      </w:r>
      <w:r>
        <w:rPr>
          <w:rFonts w:ascii="Times New Roman" w:cs="Times New Roman" w:eastAsia="Times New Roman" w:hAnsi="Times New Roman"/>
          <w:sz w:val="18"/>
          <w:szCs w:val="18"/>
          <w:b w:val="1"/>
          <w:bCs w:val="1"/>
          <w:color w:val="auto"/>
        </w:rPr>
        <w:t>Non-Funding Lender</w:t>
      </w:r>
      <w:r>
        <w:rPr>
          <w:rFonts w:ascii="Times New Roman" w:cs="Times New Roman" w:eastAsia="Times New Roman" w:hAnsi="Times New Roman"/>
          <w:sz w:val="18"/>
          <w:szCs w:val="18"/>
          <w:color w:val="auto"/>
        </w:rPr>
        <w:t>”) agrees to pay such amount to Agent on demand together with interest thereon, for each day from the date such amount is made available to Borrower until the date such amount is repaid to Agent, at the interest rate applicable at the time to the Term Loan. Such repayment shall then constitute the funding of the corresponding Loan (including any Loan deemed to have been made hereunder with such payment) or participation. In the event interest is paid by Borrower pursuant to this Section 1.13 and Agent subsequently receives payment of such interest from the Non-Funding Lender, Borrower shall be entitled to be reimbursed for such interest paid by Borrower up to the amount therefor received from the Non-Funding Lender. The existence of any Non-Funding Lender shall not relieve any other Lender of its obligations under any Loan Document, but no other Lender shall be responsible for the failure of any Non-Funding Lender to make any payment required under any Loan Document.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Substitution of Lenders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660" w:hanging="4"/>
        <w:spacing w:after="0" w:line="256" w:lineRule="auto"/>
        <w:tabs>
          <w:tab w:leader="none" w:pos="9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Substitution Right</w:t>
      </w:r>
      <w:r>
        <w:rPr>
          <w:rFonts w:ascii="Times New Roman" w:cs="Times New Roman" w:eastAsia="Times New Roman" w:hAnsi="Times New Roman"/>
          <w:sz w:val="18"/>
          <w:szCs w:val="18"/>
          <w:color w:val="auto"/>
        </w:rPr>
        <w:t>. In the event that any Lender (an “</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(i) becomes a Non-Funding Lender with respect to the Loan, (ii) does not consent to any amendment, waiver or consent to any Loan Document for which the consent of the Required Lenders is obtained but that requires the consent of all Lenders, or (iii) requires payment of any Indemnified Taxes or additional amount to such Lender or any Governmental Authority, Borrower may either pay in full such Affected Lender with respect to amounts due on the Term Loan of such Lender with the consent of Agent (at the direction of the Required Lenders) (such consent not to be unreasonably withheld, delayed or conditioned) or substitute for such Affected Lender any Lender or any Affiliate of any Lender or any other Person acceptable (which acceptance shall not be unreasonably withheld or delayed) to Agent (at the direction of the Required Lenders) (in each case, a “</w:t>
      </w:r>
      <w:r>
        <w:rPr>
          <w:rFonts w:ascii="Times New Roman" w:cs="Times New Roman" w:eastAsia="Times New Roman" w:hAnsi="Times New Roman"/>
          <w:sz w:val="18"/>
          <w:szCs w:val="18"/>
          <w:b w:val="1"/>
          <w:bCs w:val="1"/>
          <w:color w:val="auto"/>
        </w:rPr>
        <w:t>Substitute Lender</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To substitute such Affected Lender or pay in full the Obligations owed to such Affected Lender under such Lender’s Term Loan, Borrower shall deliver a notice to Agent and such Affected Lender. The effectiveness of such payment or substitution shall be subject to the delivery to Agent by Borrower (or, as may be applicable in the case of a substitution, by the Substitute Lender) of (i) payment for the account of such Affected Lender, of, to the extent accrued through, and outstanding on, the effective date for such payment or substitution, all Obligations owing to such Affected Lender with respect to such Lender’s Term Loan (including those that will be owed because of such payment and all Obligations that would be owed to such Lender as if it was solely a Lender hereunder but excluding inchoate obligations for indemnification or reimbursement for which no claim has been asserted), and (ii) in the case of a substitution, (A) payment of the assignment fee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8(a)</w:t>
      </w:r>
      <w:r>
        <w:rPr>
          <w:rFonts w:ascii="Times New Roman" w:cs="Times New Roman" w:eastAsia="Times New Roman" w:hAnsi="Times New Roman"/>
          <w:sz w:val="18"/>
          <w:szCs w:val="18"/>
          <w:color w:val="auto"/>
        </w:rPr>
        <w:t xml:space="preserve"> and (B) an Assignment Agreement in form and substance satisfactory to Agent whereby the Substitute Lender shall, among other things, agree to be bound by the terms of the Loan Documents and assume the Term Loan Commitment of the Affected Lender, and, if such assignee is not currently a Lender, such assignee shall have delivered to Agent an administrative questionnaire (in a form provided by Agent), a properly completed and duly executed IRS Form W-9 (or other applicable tax form) and all other documentation and other information about such assignee as required under applicable “know your customer” and anti-money laundering rules and regulations, including, without limitation, the USA PATRIOT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jc w:val="both"/>
        <w:ind w:left="660" w:hanging="4"/>
        <w:spacing w:after="0" w:line="253" w:lineRule="auto"/>
        <w:tabs>
          <w:tab w:leader="none" w:pos="90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Upon satisfaction of the conditions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Agent shall record such substitution or payment in the Register, whereupon (i) in the case of any payment in full of all Obligations owing to such Affected Lender, such Affected Lender’s Term Loan Commitments shall be terminated and (ii) in the case of any substitution, (A) the Affected Lender shall sell and be relieved of, and the Substitute Lender shall purchase and assume, all rights and claims of such Affected Lender under the Loan Documents with respect to such Lender’s Term Loan, except that the Affected Lender shall retain such rights expressly providing that they survive the repayment of the Obligations and the termination of the Term Loan Commitments, (B) the Substitute Lender shall become a “Lender” hereunder having a Term Loan Commitment in the amount of such Affected Lender’s Term Loan Commitment and (C) the Affected Lender shall execute and deliver to Agent an Assignment Agreement to evidence such substitution and deliver to Borrower any Note in its possession with respect to its Term Loan; provided, however, that the failure of any Affected Lender to execute any such Assignment Agreement or deliver any such Note shall not render such sale and purchase (or the corresponding assignment) invalid.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 Subject to Section 10.17, if, on or prior to the first day of any quarter, either (a) the Agent determines (which determination shall be conclusive and binding absent manifest error) that “Adjusted Term SOFR” cannot be determined pursuant to the definition thereof, or (b) the Required Lenders determine that for any reason in connection with any request for a SOFR Loan or a conversion thereto or a continuation thereof that Adjusted Term SOFR for any applicable interest period with respect to a proposed SOFR Loan does not adequately and fairly reflect the cost to such Lenders of making and maintaining such Loan, and the Required Lenders have provided notice of such determination to the Agent, the Agent will promptly so notify the Borrower and each Lender.</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notice thereof by the Agent to the Borrower, any obligation of the Lenders to make SOFR Loans, and any right of the Borrower to continue SOFR Loans shall be suspended (to the extent of the affected SOFR Loans or affected interest periods) until the Agent (with respect to the foregoing clause (b), at the instruction of the Required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or continuation of, or conversion to, Base Rate Loans in the amount specified therein and (ii) any outstanding affected SOFR Loans will be deemed to have been converted into Base Rate Loans at the end of the applicable interest period. Upon any such conversion, the Borrower shall also pay accrued interest on the amount so converted. Subject to Section 10.17, if the Agent determines (which determination shall be conclusive and binding absent manifest error) that “Adjusted Term SOFR” cannot be determined pursuant to the definition thereof on any given day, the interest rate on Base Rate Loans shall be determined by the Agent without reference to the clause of the definition of “Base Rate” that is based on Adjusted Term SOFR until the Agent revokes such determination.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ind w:left="1300" w:hanging="1292"/>
        <w:spacing w:after="0"/>
        <w:tabs>
          <w:tab w:leader="none" w:pos="13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Conditions to the Loan</w:t>
      </w:r>
      <w:r>
        <w:rPr>
          <w:rFonts w:ascii="Times New Roman" w:cs="Times New Roman" w:eastAsia="Times New Roman" w:hAnsi="Times New Roman"/>
          <w:sz w:val="18"/>
          <w:szCs w:val="18"/>
          <w:color w:val="auto"/>
        </w:rPr>
        <w:t>. No Lender shall be obligated to make a Term Loan on the Closing Date, unless and until all of the following conditions have been (or shall be substantially concurrently with the borrowing of the Term Loans on the Closing Date) satisfied in a manner reasonably satisfactory to Agent and the Required Lenders, or waived in writing by Agent and the Required Lenders:</w:t>
      </w:r>
    </w:p>
    <w:p>
      <w:pPr>
        <w:spacing w:after="0" w:line="176" w:lineRule="exact"/>
        <w:rPr>
          <w:sz w:val="20"/>
          <w:szCs w:val="20"/>
          <w:color w:val="auto"/>
        </w:rPr>
      </w:pPr>
    </w:p>
    <w:p>
      <w:pPr>
        <w:jc w:val="both"/>
        <w:ind w:left="660" w:hanging="4"/>
        <w:spacing w:after="0" w:line="256" w:lineRule="auto"/>
        <w:tabs>
          <w:tab w:leader="none" w:pos="90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shall have been consummated (or shall be consummated substantially concurrently with the borrowing of the Term Loans on the Closing Date) in accordance with the Merger Agreement in all material respects, but without giving effect to any modifications, amendments, waivers or consents to the Merger Agreement as in effect on the date hereof that are material and adverse to Agent or the Lenders without the consent of the Initial Commitment Parties; provided that any amendment or waiver to the terms of the Merger Agreement that has the effect of increasing the cash consideration required to be paid thereunder on the Closing Date will not be deemed to be adverse to the Lenders if such increase is funded with an increase in the aggregate amount of the equity contribution required by the terms of the Commitment Letter.</w:t>
      </w:r>
    </w:p>
    <w:p>
      <w:pPr>
        <w:spacing w:after="0" w:line="187"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and the Required Lenders (or, in the case of clause (i) below, the Lenders (excluding CCM Lender or any of its Affiliates that holds a Term Loan, but including any assignee of the Term Loans held by CCM Lender on the Closing Date) on a ratable basis based on the principal amount of Term Loans held by each Lender on the Closing Date) shall have received the following: (a) duly executed Loan Documents, which shall be substantially consistent with the Commitment Letter and Term Sheet, (b) customary legal opinions, (c) customary evidence of authority,</w:t>
      </w:r>
    </w:p>
    <w:p>
      <w:pPr>
        <w:spacing w:after="0" w:line="2"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2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officer’s certificates and closing certificates, inclusive of an incumbency certificate for the Borrower, (e) good standing certificates (to the extent applicable) in the respective jurisdictions of organization of the Credit Parties, (f) a Notice of Borrowing, (g) a solvency certificate in the form attached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 (h) the SBA Documents, (i) substantially concurrently with the making of the Term Loans on the Closing Date, the Closing Date Warrants, and (j) a completed customary perfection certificate, in each case subject to the Certain Funds Provision.</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(or caused to be paid), to the extent invoiced at least one (1) Business Day prior to the Closing Date, (i) all fees and expenses due to Initial Commitment Parties and the Lenders under the Commitment Letter and Lender Fee Letter required to be paid on the Closing Date; and (ii) all fees and expenses due to Agent under the Agent Fee Letter, this Agreement and the other Loan Documents which are required to be paid on the Closing Date (including, without limitation, the fees and expenses of counsel to the Administrative Agent).</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58" w:lineRule="auto"/>
        <w:tabs>
          <w:tab w:leader="none" w:pos="9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Representations and the Specified Merger Agreement Representations shall be true in all material respects; provided that any such Specified Representation or Specified Merger Agreement Representation that is qualified by materiality shall be true in all respects (except in the case of any Specified Representation or Specified Merger Agreement Representation which expressly relates to a given date or period, such representation and warranty shall be true and correct in all material respects as of the respective date or for the respective period, as the case may be).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ind w:left="4" w:hanging="4"/>
        <w:spacing w:after="0" w:line="282" w:lineRule="auto"/>
        <w:tabs>
          <w:tab w:leader="none" w:pos="2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Company Material Adverse Effect (as defined in the Merger Agreement) after the date of the Merger Agreement.</w:t>
      </w:r>
    </w:p>
    <w:p>
      <w:pPr>
        <w:spacing w:after="0" w:line="161"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4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Lenders shall have received (i) internal monthly financials for Borrower for each calendar month beginning with April, 2022 through the calendar month ended at least thirty (30) days before the Closing Date and (ii) a pro forma consolidated balance sheet of Holdings as of the last day of the most recent fiscal month ended at least thirty (30) days before the Closing Date, prepared after giving effect to the Combination as if the Combination has occurred as of such date.</w:t>
      </w:r>
    </w:p>
    <w:p>
      <w:pPr>
        <w:spacing w:after="0" w:line="179"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5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shall have been consummated substantially concurrently with the funding of the Term Loans on the Closing Date and all liens and security interests (including UCC financing statements filed to secure present or future obligations) encumbering any of the Collateral shall substantially concurrently be terminated.</w:t>
      </w:r>
    </w:p>
    <w:p>
      <w:pPr>
        <w:spacing w:after="0" w:line="175" w:lineRule="exact"/>
        <w:rPr>
          <w:rFonts w:ascii="Times New Roman" w:cs="Times New Roman" w:eastAsia="Times New Roman" w:hAnsi="Times New Roman"/>
          <w:sz w:val="18"/>
          <w:szCs w:val="18"/>
          <w:color w:val="auto"/>
        </w:rPr>
      </w:pPr>
    </w:p>
    <w:p>
      <w:pPr>
        <w:jc w:val="both"/>
        <w:ind w:left="4" w:hanging="4"/>
        <w:spacing w:after="0" w:line="258" w:lineRule="auto"/>
        <w:tabs>
          <w:tab w:leader="none" w:pos="28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Certain Funds Provisions, all documents and instruments required to create and perfect the Agent’s security interests in the Collateral under the Loan Documents shall have been delivered (and if applicable, executed) and be in the proper form for filing and shall otherwise be in form and substance reasonably satisfactory to the Agent and the Required Lenders, and the Agent and the Required Lenders shall have received bringdown UCC, tax and judgment lien searches with respect to the Credit Parties which results shall be consistent in all material respects with such lien search results reviewed by the Required Lenders on or before the date of the Commitment Letter.</w:t>
      </w:r>
    </w:p>
    <w:p>
      <w:pPr>
        <w:spacing w:after="0" w:line="183"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1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each Lender shall have received, at least three Business Days prior to the Closing Date, a properly completed and duly executed IRS Form W-9 (or other applicable tax form) from Borrower and all other documentation and other information about the Credit Parties required by regulatory authorities under applicable “know your customer” and anti-money laundering rules and regulations, including without limitation the USA PATRIOT Act.</w:t>
      </w:r>
    </w:p>
    <w:p>
      <w:pPr>
        <w:spacing w:after="0" w:line="179" w:lineRule="exact"/>
        <w:rPr>
          <w:rFonts w:ascii="Times New Roman" w:cs="Times New Roman" w:eastAsia="Times New Roman" w:hAnsi="Times New Roman"/>
          <w:sz w:val="18"/>
          <w:szCs w:val="18"/>
          <w:color w:val="auto"/>
        </w:rPr>
      </w:pPr>
    </w:p>
    <w:p>
      <w:pPr>
        <w:ind w:left="4" w:hanging="4"/>
        <w:spacing w:after="0" w:line="282" w:lineRule="auto"/>
        <w:tabs>
          <w:tab w:leader="none" w:pos="22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and after giving effect to funding of the Term Loans on the Closing Date and payment or accrual of all expenses related to the Combination, Borrower shall have minimum unrestricted cash of at least $22,500,000.</w:t>
      </w:r>
    </w:p>
    <w:p>
      <w:pPr>
        <w:spacing w:after="0" w:line="161"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invested $5,000,000 in Holdings by purchasing shares on the open market and such shares shall not have been redeemed on or prior to the Closing Date. Sponsor shall deliver a trade confirmation or such other evidence reasonably satisfactory to the Agent and Lenders to evidence (i) the purchase of shares of Holdings and (ii) that Sponsor still owns the shares after the applicable redemption date with respect to the Combination</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90" w:name="page91"/>
    <w:bookmarkEnd w:id="90"/>
    <w:p>
      <w:pPr>
        <w:jc w:val="both"/>
        <w:ind w:left="660" w:hanging="4"/>
        <w:spacing w:after="0" w:line="266" w:lineRule="auto"/>
        <w:tabs>
          <w:tab w:leader="none" w:pos="8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definitive documentation to establish a $150,000,000 committed equity facility on terms substantially similar to those set forth in the letter agreement, together with the Summary of Indicative Terms attached as an exhibit thereto, dated May 15, 2022, duly executed by Holdings, Borrower and CCM Investments 5 LLC.</w:t>
      </w:r>
    </w:p>
    <w:p>
      <w:pPr>
        <w:spacing w:after="0" w:line="1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and the Required Lenders shall have received any amendments or modifications to the Merger Agreement.</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Denis Phares and Sean Nichols shall continue to be employed by Borrower as of the Closing Date in their current capacities as chief executive officer and chief operating officer, respectively.</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Notwithstanding anything in the Loan Documents, or any other letter agreement or other undertaking concerning the financing of the Initial Transactions, to the contrary, (a) the only representations and warranties the accuracy of which shall be a condition to the availability and funding of the Term Loans on the Closing Date shall be (i) such of the representations and warranties made by or on behalf of the Credit Parties and their related parties in the Merger Agreement as are material to the interests of the Lenders, but only to the extent that Borrower or Holdings (or any of their affiliates) have the right to terminate their obligations under the Merger Agreement or to decline to consummate the Initial Transactions as a result of a breach of such representations or warranties in the Merger Agreement (to such extent, the “</w:t>
      </w:r>
      <w:r>
        <w:rPr>
          <w:rFonts w:ascii="Times New Roman" w:cs="Times New Roman" w:eastAsia="Times New Roman" w:hAnsi="Times New Roman"/>
          <w:sz w:val="18"/>
          <w:szCs w:val="18"/>
          <w:b w:val="1"/>
          <w:bCs w:val="1"/>
          <w:color w:val="auto"/>
        </w:rPr>
        <w:t>Specified Merger Agreement Representations</w:t>
      </w:r>
      <w:r>
        <w:rPr>
          <w:rFonts w:ascii="Times New Roman" w:cs="Times New Roman" w:eastAsia="Times New Roman" w:hAnsi="Times New Roman"/>
          <w:sz w:val="18"/>
          <w:szCs w:val="18"/>
          <w:color w:val="auto"/>
        </w:rPr>
        <w:t>”) and (ii) the Specified Representations (as defined below) and (b) the terms of the Loan Documents shall be in a form such that they do not impair the availability or funding of the Term Loans on the Closing Date if the conditions set forth in this Section 2.1 are satisfied (it being understood that to the extent any security interest in any Collateral (other than to the extent that a security interest in such Collateral may be perfected by (x) the filing of a financing statement under the Code, (y) taking delivery and possession of certificated equity interests of the Borrower and any domestic subsidiaries of the Borrower pledged under the Loan Documents and (z) the filing of short form intellectual property filings with the United States Patent and Trademark Office or the United States Copyright Office) is not or cannot be provided or perfected on the Closing Date after Borrower’s use of commercially reasonable efforts to do so, then the perfection and/or provision of a security interest in such Collateral shall not constitute a condition precedent to the availability of the Term Loans on the Closing Date but instead shall be required to be delivered after the Closing Date within forty-five (45) days. For purposes hereof, “</w:t>
      </w:r>
      <w:r>
        <w:rPr>
          <w:rFonts w:ascii="Times New Roman" w:cs="Times New Roman" w:eastAsia="Times New Roman" w:hAnsi="Times New Roman"/>
          <w:sz w:val="18"/>
          <w:szCs w:val="18"/>
          <w:b w:val="1"/>
          <w:bCs w:val="1"/>
          <w:i w:val="1"/>
          <w:iCs w:val="1"/>
          <w:color w:val="auto"/>
        </w:rPr>
        <w:t>Specified Representations</w:t>
      </w:r>
      <w:r>
        <w:rPr>
          <w:rFonts w:ascii="Times New Roman" w:cs="Times New Roman" w:eastAsia="Times New Roman" w:hAnsi="Times New Roman"/>
          <w:sz w:val="18"/>
          <w:szCs w:val="18"/>
          <w:color w:val="auto"/>
        </w:rPr>
        <w:t xml:space="preserve">” means the representations and warranties of the Credit Parties set forth in the Loan Documents relating to organizational existence of the Credit Parties; good standing and qualification of the Credit Parties; power and authority of the Credit Parties as to execution, delivery and performance of the Loan Documents; due authorization, execution and delivery of the Credit Parties and enforceability against the Credit Parties, in each case, with respect to the Loan Documents; the absence of any third-party litigation or other proceeding enjoining the entry into or performance of the Loan Documents; no conflicts with material applicable law and no conflicts with, or consent under, organizational documents of the Credit Parties related to the entering into and the performance of the Loan Documents and the incurrence of the extensions of credit thereunder; solvency as of the Closing Date (after giving effect to the Initial Transactions) of Holdings and its subsidiaries on a consolidated basis (in form and scope consistent with the solvency certificate in the form attached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 status of the Term Loans as senior debt; Federal Reserve margin regulations; the use of loan proceeds not violating the USA PATRIOT Act; the Investment Company Act of 1940; use of loan proceeds not violating OFAC and other anti-terrorism laws; use of loan proceeds not violating FCPA; the SBA representations and warranties and delivery of SBA Documents; assets and holding company only status of Holdings; and, subject to the limitations set forth in clause (b) above and liens permitted under the Loan Documents, creation, validity and perfection of security interests in the Collateral. This paragraph, and the provisions herein, shall be referred to as the “</w:t>
      </w:r>
      <w:r>
        <w:rPr>
          <w:rFonts w:ascii="Times New Roman" w:cs="Times New Roman" w:eastAsia="Times New Roman" w:hAnsi="Times New Roman"/>
          <w:sz w:val="18"/>
          <w:szCs w:val="18"/>
          <w:b w:val="1"/>
          <w:bCs w:val="1"/>
          <w:color w:val="auto"/>
        </w:rPr>
        <w:t>Certain Funds Provisions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ind w:left="1300" w:hanging="1292"/>
        <w:spacing w:after="0"/>
        <w:tabs>
          <w:tab w:leader="none" w:pos="13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AFFIRMATIVE COVENANTS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induce Agent and the Lenders to enter into this Agreement and to induce the Lenders to make the Loan, Borrower and each other Credit Party executing this Agreement, jointly and severally, represent and warrant to Agent and each Lender (each of which representations and warranties shall survive the execution and delivery of this Agreement), and promise to and agree with Agent and each Lender until the Termination Date as follows: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Corporate Existence; Compliance with Law</w:t>
      </w:r>
      <w:r>
        <w:rPr>
          <w:rFonts w:ascii="Times New Roman" w:cs="Times New Roman" w:eastAsia="Times New Roman" w:hAnsi="Times New Roman"/>
          <w:sz w:val="18"/>
          <w:szCs w:val="18"/>
          <w:color w:val="auto"/>
        </w:rPr>
        <w:t>. Each Grantor: (a) is, as of the Closing Date, and will continue to be (i) (A) a corporation, limited liability company or limited partnership, as applicable, duly organized, and validly existing and (B) in good standing under the laws of the jurisdiction of its incorporation or organization, subject to the Permitted Redomicile, (ii) duly qualified to do business and in good standing in each other jurisdiction where its ownership or lease of property or the conduct of its business requires such qualification, except where the failure to be so qualified could not reasonably be expected to have a Material Adverse Effect, and (iii) in compliance with all Requirements of Law and Contractual Obligations, except to the extent failure to comply therewith could not, individually or in the aggregate, reasonably be expected to have a Material Adverse Effect; and (b) has and will continue to have (i) the requisite corporate power, or limited liability company power, as applicable, and authority and the legal right to execute, deliver and perform its obligations under the Loan Documents and to own, pledge, mortgage or otherwise encumber and operate its properties, to lease the property it operates under lease, and to conduct its business as now, heretofore or proposed to be conducted, and (ii) except as could not, individually, or in the aggregate, reasonably be expected to have a Material Adverse Effect, all licenses, permits, franchises, rights, powers, consents or approvals from or by all Persons or Governmental Authorities having jurisdiction over such Grantor that are necessary or appropriate for the conduct of its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Executive Offices; Corporate or Other Names</w:t>
      </w:r>
      <w:r>
        <w:rPr>
          <w:rFonts w:ascii="Times New Roman" w:cs="Times New Roman" w:eastAsia="Times New Roman" w:hAnsi="Times New Roman"/>
          <w:sz w:val="18"/>
          <w:szCs w:val="18"/>
          <w:color w:val="auto"/>
        </w:rPr>
        <w:t xml:space="preserve">. Except as disclosed in compliance with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after the Closing Date, including pursuant to Permitted Redomicile, (a) each Grantor’s name as it appears in official filings in the jurisdiction of its incorporation or organization, (b) the type of entity of each Grantor, (c) the organizational identification number issued by each Grantor’s jurisdiction of incorporation or organization or a statement that no such number has been issued, (d) each Grantor’s jurisdiction of organization or incorporation, and (e) except as disclosed 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after the Closing Date, the location of each Grantor’s chief executive office and locations of Collateral having a value in excess of $500,000 (when not in use by a customer of any Grantor and other than temporary locations for repair, maintenance or transit and equipment maintained with employees) are as set forth in </w:t>
      </w:r>
      <w:r>
        <w:rPr>
          <w:rFonts w:ascii="Times New Roman" w:cs="Times New Roman" w:eastAsia="Times New Roman" w:hAnsi="Times New Roman"/>
          <w:sz w:val="18"/>
          <w:szCs w:val="18"/>
          <w:u w:val="single" w:color="auto"/>
          <w:color w:val="auto"/>
        </w:rPr>
        <w:t>Disclosure Schedule (3.2)</w:t>
      </w:r>
      <w:r>
        <w:rPr>
          <w:rFonts w:ascii="Times New Roman" w:cs="Times New Roman" w:eastAsia="Times New Roman" w:hAnsi="Times New Roman"/>
          <w:sz w:val="18"/>
          <w:szCs w:val="18"/>
          <w:color w:val="auto"/>
        </w:rPr>
        <w:t xml:space="preserve"> and, except as set forth in such Disclosure Schedule, such locations have not changed during the twelve (12) months preceding the Closing Date. As of the Closing Date, during the prior five (5) years, except as set forth in </w:t>
      </w:r>
      <w:r>
        <w:rPr>
          <w:rFonts w:ascii="Times New Roman" w:cs="Times New Roman" w:eastAsia="Times New Roman" w:hAnsi="Times New Roman"/>
          <w:sz w:val="18"/>
          <w:szCs w:val="18"/>
          <w:u w:val="single" w:color="auto"/>
          <w:color w:val="auto"/>
        </w:rPr>
        <w:t>Disclosure Schedule (3.2)</w:t>
      </w:r>
      <w:r>
        <w:rPr>
          <w:rFonts w:ascii="Times New Roman" w:cs="Times New Roman" w:eastAsia="Times New Roman" w:hAnsi="Times New Roman"/>
          <w:sz w:val="18"/>
          <w:szCs w:val="18"/>
          <w:color w:val="auto"/>
        </w:rPr>
        <w:t>, no Grantor has been known as or conducted business in any other name (including trade names) than the name of such Grantor set forth on the signature page hereto. Borrower has only one jurisdiction of incorporation or organization.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2" w:name="page93"/>
    <w:bookmarkEnd w:id="92"/>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Corporate Power; Authorization; Enforceable Obligations</w:t>
      </w:r>
      <w:r>
        <w:rPr>
          <w:rFonts w:ascii="Times New Roman" w:cs="Times New Roman" w:eastAsia="Times New Roman" w:hAnsi="Times New Roman"/>
          <w:sz w:val="18"/>
          <w:szCs w:val="18"/>
          <w:color w:val="auto"/>
        </w:rPr>
        <w:t>. The execution, delivery and performance by each Grantor of the Loan Documents to which it is a party, and the creation of all Liens provided for herein and therein: (a) are and will continue to be within such Grantor’s power and authority; (b) have been and will continue to be duly authorized by all necessary or proper action; (c) are not and will not be in violation of any material Requirement of Law or material Contractual Obligation of such Grantor; (d) do not and will not result in the creation or imposition of any Lien (other than Permitted Liens) upon any of the Collateral; and (e) do not and will not require the consent or approval of any Governmental Authority or any other Person except for such consents as have been obtained. As of the Closing Date, each Loan Document shall have been duly executed and delivered on behalf of each Grantor party thereto, and each such Loan Document upon such execution and delivery shall be and will continue to be a legal, valid and binding obligation of such Grantor, enforceable against it in accordance with its terms, except as such enforcement may be limited by bankruptcy, insolvency and other similar laws affecting creditors’ rights generally and general principles of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Financial Statements; Books and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66" w:lineRule="auto"/>
        <w:tabs>
          <w:tab w:leader="none" w:pos="92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and monthly Financial Statements of the Grantors delivered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present fairly in all material respects the financial condition of such Grantors as of the date of each such Financial Statement in accordance with GAAP (subject to normal year-end adjustments and to the absence of footnotes in the case of unaudited statements).</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Grantors shall keep proper Books and Records in which proper entries, reflecting all consolidated and consolidating financial transactions, will be made in accordance with GAAP and all Requirements of Law in all material respects of all financial transactions and the assets and business of each Grantor on a basis consistent with the Financial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Between December 31, 2021 and the Closing Date, no events with respect to any Grantor have occurred that alone or in the aggregate has had or could reasonably be expected to have a Material Adverse Effect. No Requirement of Law or Contractual Obligation of any Grantor has or has had or could reasonably be expected to have a Material Adverse Effect. No Grantor is in default, and to such Grantor’s knowledge no third party is in default, under or with respect to any of its Contractual Obligations, that alone or in the aggregate has had or could reasonably be expected to have a Material Adverse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Disclosure Schedule (3.7)</w:t>
      </w:r>
      <w:r>
        <w:rPr>
          <w:rFonts w:ascii="Times New Roman" w:cs="Times New Roman" w:eastAsia="Times New Roman" w:hAnsi="Times New Roman"/>
          <w:sz w:val="18"/>
          <w:szCs w:val="18"/>
          <w:color w:val="auto"/>
        </w:rPr>
        <w:t xml:space="preserve">, as of the Closing Date, Borrower does not have any Subsidiaries. The issued and outstanding Stock of Borrower (excluding all rights to purchase, options, warrants or similar rights or agreements pursuant to which Borrower or Holdings may be required to issue, sell, repurchase or redeem any of its Stock) as of the Closing Date is accurately reflected in the organizational chart delivered pursuant to </w:t>
      </w:r>
      <w:r>
        <w:rPr>
          <w:rFonts w:ascii="Times New Roman" w:cs="Times New Roman" w:eastAsia="Times New Roman" w:hAnsi="Times New Roman"/>
          <w:sz w:val="18"/>
          <w:szCs w:val="18"/>
          <w:u w:val="single" w:color="auto"/>
          <w:color w:val="auto"/>
        </w:rPr>
        <w:t>Section 3.28(c)</w:t>
      </w:r>
      <w:r>
        <w:rPr>
          <w:rFonts w:ascii="Times New Roman" w:cs="Times New Roman" w:eastAsia="Times New Roman" w:hAnsi="Times New Roman"/>
          <w:sz w:val="18"/>
          <w:szCs w:val="18"/>
          <w:color w:val="auto"/>
        </w:rPr>
        <w:t xml:space="preserve"> and set forth on </w:t>
      </w:r>
      <w:r>
        <w:rPr>
          <w:rFonts w:ascii="Times New Roman" w:cs="Times New Roman" w:eastAsia="Times New Roman" w:hAnsi="Times New Roman"/>
          <w:sz w:val="18"/>
          <w:szCs w:val="18"/>
          <w:u w:val="single" w:color="auto"/>
          <w:color w:val="auto"/>
        </w:rPr>
        <w:t>Schedule 10(a)</w:t>
      </w:r>
      <w:r>
        <w:rPr>
          <w:rFonts w:ascii="Times New Roman" w:cs="Times New Roman" w:eastAsia="Times New Roman" w:hAnsi="Times New Roman"/>
          <w:sz w:val="18"/>
          <w:szCs w:val="18"/>
          <w:color w:val="auto"/>
        </w:rPr>
        <w:t xml:space="preserve"> to the Perfection Certificate or any Perfection Certificate Supplement (whichever was most recently delivered to Agent). A list of the shareholders of Holdings owning ten percent (10%) or more of the outstanding Stock of Holdings, as of the Closing Date, is set forth on </w:t>
      </w:r>
      <w:r>
        <w:rPr>
          <w:rFonts w:ascii="Times New Roman" w:cs="Times New Roman" w:eastAsia="Times New Roman" w:hAnsi="Times New Roman"/>
          <w:sz w:val="18"/>
          <w:szCs w:val="18"/>
          <w:u w:val="single" w:color="auto"/>
          <w:color w:val="auto"/>
        </w:rPr>
        <w:t>Schedule 10(a)</w:t>
      </w:r>
      <w:r>
        <w:rPr>
          <w:rFonts w:ascii="Times New Roman" w:cs="Times New Roman" w:eastAsia="Times New Roman" w:hAnsi="Times New Roman"/>
          <w:sz w:val="18"/>
          <w:szCs w:val="18"/>
          <w:color w:val="auto"/>
        </w:rPr>
        <w:t xml:space="preserve"> to the Perfection Certificate.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Government Regulation; Margin Regulations</w:t>
      </w:r>
      <w:r>
        <w:rPr>
          <w:rFonts w:ascii="Times New Roman" w:cs="Times New Roman" w:eastAsia="Times New Roman" w:hAnsi="Times New Roman"/>
          <w:sz w:val="18"/>
          <w:szCs w:val="18"/>
          <w:color w:val="auto"/>
        </w:rPr>
        <w:t>. No Grantor is subject to or regulated under any Federal or state statute, rule or regulation that restricts or limits such Person’s ability to incur the Obligations, pledge its assets, or to perform its obligations under the Loan Documents. The making of the Loan, the application of the proceeds and repayment thereof, and the consummation of the transactions contemplated by the Loan Documents do not and will not violate any Requirement of Law. No Grantor is engaged, nor will it engage, in the business of extending credit for the purpose of “purchasing” or “carrying” any “margin security” as such terms are defined in Regulation U of the Federal Reserve Board as now and hereafter in effect (such securities being referred to herein as “</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No Grantor owns any Margin Stock, and none of the proceeds of the Loan or other extensions of credit under this Agreement will be used, directly or indirectly, for the purpose of purchasing or carrying any Margin Stock or reducing or retiring any Indebtedness that was originally incurred to purchase or carry any Margin Stock. No Grantor will take or permit to be taken any action that might cause any Loan Document to violate any regulation of the Federal Reserve Board.</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Taxes; Charges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Disclosure Schedule (3.9)</w:t>
      </w:r>
      <w:r>
        <w:rPr>
          <w:rFonts w:ascii="Times New Roman" w:cs="Times New Roman" w:eastAsia="Times New Roman" w:hAnsi="Times New Roman"/>
          <w:sz w:val="18"/>
          <w:szCs w:val="18"/>
          <w:color w:val="auto"/>
        </w:rPr>
        <w:t xml:space="preserve">, all federal and other material tax returns, reports and statements required by any Governmental Authority to be filed by Borrower or any other Grantor have, as of the Closing Date, been filed and will, until the Termination Date, be filed with the appropriate Governmental Authority and no tax Lien has been filed against any Grantor or any Grantor’s property (other than (i) Liens for Taxes not yet due and payable or that are being contested in good faith by appropriate proceedings diligently conducted and for which adequate reserves are being maintained in accordance with GAAP and (ii) tax Liens securing de minimis amounts that are discharged promptly upon such Grantor obtaining knowledge thereof). Borrower and each Grantor has paid all federal, state and other taxes, assessments, fees and other governmental charges levied or imposed upon them or their properties, income or assets otherwise due and payable, except (a) Taxes that are being contested in good faith by appropriate proceedings diligently conducted and for which adequate reserves are being maintained in accordance with GAAP or (b) to the extent that the failure to do so could not reasonably be expected to have a Material Adverse Effect. </w:t>
      </w:r>
      <w:r>
        <w:rPr>
          <w:rFonts w:ascii="Times New Roman" w:cs="Times New Roman" w:eastAsia="Times New Roman" w:hAnsi="Times New Roman"/>
          <w:sz w:val="18"/>
          <w:szCs w:val="18"/>
          <w:u w:val="single" w:color="auto"/>
          <w:color w:val="auto"/>
        </w:rPr>
        <w:t>Disclosure Schedule (3.9)</w:t>
      </w:r>
      <w:r>
        <w:rPr>
          <w:rFonts w:ascii="Times New Roman" w:cs="Times New Roman" w:eastAsia="Times New Roman" w:hAnsi="Times New Roman"/>
          <w:sz w:val="18"/>
          <w:szCs w:val="18"/>
          <w:color w:val="auto"/>
        </w:rPr>
        <w:t xml:space="preserve"> sets forth as of the Closing Date those taxable years for which any Grantor’s tax returns are currently being audited by the IRS or any other applicable Governmental Authority and any assessments or threatened assessments in connection with such audit, or otherwise currently outstanding. As of the Closing Date, no Grantor has agreed or been requested to make any adjustment under Section 481(a) of the IRC, by reason of a change in accounting method or otherwise, which could reasonably be expected to have a Material Adverse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4" w:lineRule="auto"/>
        <w:tabs>
          <w:tab w:leader="none" w:pos="93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ERISA Event has occurred or is reasonably expected to occur that, when taken together with all other existing ERISA Events, could reasonably be expected to have a Material Adverse Effect. Except as disclosed in </w:t>
      </w:r>
      <w:r>
        <w:rPr>
          <w:rFonts w:ascii="Times New Roman" w:cs="Times New Roman" w:eastAsia="Times New Roman" w:hAnsi="Times New Roman"/>
          <w:sz w:val="18"/>
          <w:szCs w:val="18"/>
          <w:u w:val="single" w:color="auto"/>
          <w:color w:val="auto"/>
        </w:rPr>
        <w:t>Disclosure Schedule (3.10)</w:t>
      </w:r>
      <w:r>
        <w:rPr>
          <w:rFonts w:ascii="Times New Roman" w:cs="Times New Roman" w:eastAsia="Times New Roman" w:hAnsi="Times New Roman"/>
          <w:sz w:val="18"/>
          <w:szCs w:val="18"/>
          <w:color w:val="auto"/>
        </w:rPr>
        <w:t>, the present value of all accumulated benefit obligations of the Grantors under each Plan (based on the assumptions used for purposes of Statement of Financial Accounting Standards No. 87) did not, as of the date of the most recent Financial Statements reflecting such amounts, exceed the fair market value of the assets of such Plan by more than $750,000 when aggregated with the potential Withdrawal Liability, and the present value of all accumulated benefit obligations of all underfunded Plans (based on the assumptions used for purposes of Statement of Financial Account Standards No. 87) did not, as of the date of the most recent Financial Statements reflecting such amounts, exceed the fair market value of the assets of such underfunded Plans by more than $750,000 when aggregated with the potential Withdrawal Liability. No Grantor or ERISA Affiliate has incurred or reasonably expects to incur any Withdrawal Liability in excess of $750,000.</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jc w:val="both"/>
        <w:ind w:left="4" w:hanging="4"/>
        <w:spacing w:after="0" w:line="261" w:lineRule="auto"/>
        <w:tabs>
          <w:tab w:leader="none" w:pos="26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shall furnish to the Agent (x) as soon as possible after, and in any event within five (5) days after any Responsible Officer of any Credit Party or any of its ERISA Affiliates knows or has reason to know that, any ERISA Event has occurred that, alone or together with any other ERISA Event could reasonably be expected to result in liability of the Credit Parties or any of their ERISA Affiliates in an aggregate amount exceeding</w:t>
      </w:r>
    </w:p>
    <w:p>
      <w:pPr>
        <w:spacing w:after="0" w:line="180"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$750,000 or the imposition of a Lien, a statement of a Responsible Officer of such Credit Party or such ERISA Affiliate setting forth details as to such ERISA Event and the action, if any, that such Credit Party or such ERISA Affiliate proposes to take with respect thereto;</w:t>
      </w:r>
    </w:p>
    <w:p>
      <w:pPr>
        <w:spacing w:after="0" w:line="162" w:lineRule="exact"/>
        <w:rPr>
          <w:sz w:val="20"/>
          <w:szCs w:val="20"/>
          <w:color w:val="auto"/>
        </w:rPr>
      </w:pPr>
    </w:p>
    <w:p>
      <w:pPr>
        <w:jc w:val="both"/>
        <w:ind w:left="4" w:hanging="4"/>
        <w:spacing w:after="0" w:line="253"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Agent (at the direction of the Required Lenders), copies of (i) each Schedule B (Actuarial Information) to the annual report (Form 5500 Series) filed by any Credit Party or any ERISA Affiliate with the IRS with respect to each Plan; (ii) the most recent actuarial valuation report for each Plan; (iii) all notices received by any Credit Party or any ERISA Affiliate from a Multiemployer Plan sponsor or any governmental agency concerning an ERISA Event; and (iv) such other documents or governmental reports or filings relating to any Plan (or employee benefit plan sponsored or contributed to by any Credit Party) as the Agent or the Required Lenders shall reasonably request and (z) promptly following any request therefor, copies of (i) any documents described in Section 101(k) of ERISA that any Credit Party or its ERISA Affiliate may request with respect to any Multiemployer Plan and (ii) any notices described in Section 101(1) of ERISA that any Credit Party or its ERISA Affiliate may request with respect to any Multiemployer Plan; provided, that if any Credit Party or its ERISA Affiliate has not requested such documents or notices from the administrator or sponsor of the applicable Multiemployer Plan, the applicable Credit Party or ERISA Affiliate shall promptly make a request for such documents or notices from such administrator or sponsor and shall provide copies of such documents and notices promptly after receipt thereof.</w:t>
      </w:r>
    </w:p>
    <w:p>
      <w:pPr>
        <w:spacing w:after="0" w:line="1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66" w:lineRule="auto"/>
        <w:tabs>
          <w:tab w:leader="none" w:pos="93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specifically disclosed in </w:t>
      </w:r>
      <w:r>
        <w:rPr>
          <w:rFonts w:ascii="Times New Roman" w:cs="Times New Roman" w:eastAsia="Times New Roman" w:hAnsi="Times New Roman"/>
          <w:sz w:val="18"/>
          <w:szCs w:val="18"/>
          <w:u w:val="single" w:color="auto"/>
          <w:color w:val="auto"/>
        </w:rPr>
        <w:t>Disclosure Schedule (3.11)</w:t>
      </w:r>
      <w:r>
        <w:rPr>
          <w:rFonts w:ascii="Times New Roman" w:cs="Times New Roman" w:eastAsia="Times New Roman" w:hAnsi="Times New Roman"/>
          <w:sz w:val="18"/>
          <w:szCs w:val="18"/>
          <w:color w:val="auto"/>
        </w:rPr>
        <w:t xml:space="preserve"> as of the Closing Date, there are no actions, suits, proceedings, claims or disputes pending, or to the knowledge of each Credit Party, threatened or contemplated, at law, in equity, in arbitration or before any Governmental Authority, against any Credit Party or any of their respective Properties which:</w:t>
      </w:r>
    </w:p>
    <w:p>
      <w:pPr>
        <w:spacing w:after="0" w:line="175" w:lineRule="exact"/>
        <w:rPr>
          <w:rFonts w:ascii="Times New Roman" w:cs="Times New Roman" w:eastAsia="Times New Roman" w:hAnsi="Times New Roman"/>
          <w:sz w:val="18"/>
          <w:szCs w:val="18"/>
          <w:color w:val="auto"/>
        </w:rPr>
      </w:pPr>
    </w:p>
    <w:p>
      <w:pPr>
        <w:ind w:left="1300" w:firstLine="4"/>
        <w:spacing w:after="0" w:line="282" w:lineRule="auto"/>
        <w:tabs>
          <w:tab w:leader="none" w:pos="15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 to affect or pertain to this Agreement, any other Loan Document or Related Agreement, or any of the Transactions contemplated hereby or thereby; or</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58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reasonably be expected to result in equitable relief or monetary judgment(s), individually or in the aggregate, in excess of $750,000.</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proceedings, claims or disputes pending, or to the knowledge of each Credit Party, threatened or contemplated, at law, in equity, in arbitration or before any Governmental Authority, against any Credit Party or any of their respective Properties which could reasonably be expected to cause a Material Adverse Effect.</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54" w:lineRule="auto"/>
        <w:tabs>
          <w:tab w:leader="none" w:pos="9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injunction, writ, temporary restraining order or any order of any nature has been issued by any court or other Governmental Authority purporting to enjoin or restrain the execution, delivery or performance of this Agreement, any other Loan Document or any Related Agreement, or directing that the transactions provided for herein or therein not be consummated as herein or therein provided. As of the Closing Date, except with respect to matters set forth on </w:t>
      </w:r>
      <w:r>
        <w:rPr>
          <w:rFonts w:ascii="Times New Roman" w:cs="Times New Roman" w:eastAsia="Times New Roman" w:hAnsi="Times New Roman"/>
          <w:sz w:val="18"/>
          <w:szCs w:val="18"/>
          <w:u w:val="single" w:color="auto"/>
          <w:color w:val="auto"/>
        </w:rPr>
        <w:t>Disclosure Schedule (3.11)</w:t>
      </w:r>
      <w:r>
        <w:rPr>
          <w:rFonts w:ascii="Times New Roman" w:cs="Times New Roman" w:eastAsia="Times New Roman" w:hAnsi="Times New Roman"/>
          <w:sz w:val="18"/>
          <w:szCs w:val="18"/>
          <w:color w:val="auto"/>
        </w:rPr>
        <w:t>, no Credit Party or any Subsidiary of any Credit Party is the subject of an audit or, to each Credit Party’s knowledge, any review or investigation by any Governmental Authority (excluding the IRS and other taxing authorities) concerning the violation or possible violation of any Requirement of Law. Each Grantor shall notify Agent promptly in writing upon learning of the existence, threat or commencement of any such Litigation or any such order, investigation or audit that, if adversely determined, would reasonably be expected to result in a liability in excess of $750,000.</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Each Grantor owns, or is licensed to use, all Intellectual Property material to its business as currently conducted, except for such Intellectual Property the failure of which to so own or be so licensed could not reasonably be expected to have a Material Adverse Effect. Each Grantor will take all commercially reasonable steps to maintain the registrations and Patents existing as of the Closing Date, except for such registrations and Patents for which the failure to maintain would not reasonably be expected to have a Material Adverse Effect. Each Grantor will take all commercially reasonable steps to preserve its licenses to any Intellectual Property material to its business, and to protect and preserve its rights in any Intellectual Property owned by such Grantor and material to its business, so as to permit Agent (or its designee) to sell, transfer, rent, or use the Collateral upon the occurrence and during the continuation of an Event of Default. As of the Closing Date, the Grantors own or are licensed to use the Intellectual Property material to its business as currently conducted as set forth in </w:t>
      </w:r>
      <w:r>
        <w:rPr>
          <w:rFonts w:ascii="Times New Roman" w:cs="Times New Roman" w:eastAsia="Times New Roman" w:hAnsi="Times New Roman"/>
          <w:sz w:val="18"/>
          <w:szCs w:val="18"/>
          <w:u w:val="single" w:color="auto"/>
          <w:color w:val="auto"/>
        </w:rPr>
        <w:t>Disclosure Schedule (3.12)</w:t>
      </w:r>
      <w:r>
        <w:rPr>
          <w:rFonts w:ascii="Times New Roman" w:cs="Times New Roman" w:eastAsia="Times New Roman" w:hAnsi="Times New Roman"/>
          <w:sz w:val="18"/>
          <w:szCs w:val="18"/>
          <w:color w:val="auto"/>
        </w:rPr>
        <w:t xml:space="preserve"> (excluding off-the-shelf software and click-through licenses). As of the Closing Date, the Intellectual Property set forth in </w:t>
      </w:r>
      <w:r>
        <w:rPr>
          <w:rFonts w:ascii="Times New Roman" w:cs="Times New Roman" w:eastAsia="Times New Roman" w:hAnsi="Times New Roman"/>
          <w:sz w:val="18"/>
          <w:szCs w:val="18"/>
          <w:u w:val="single" w:color="auto"/>
          <w:color w:val="auto"/>
        </w:rPr>
        <w:t>Disclosure Schedule (3.12)</w:t>
      </w:r>
      <w:r>
        <w:rPr>
          <w:rFonts w:ascii="Times New Roman" w:cs="Times New Roman" w:eastAsia="Times New Roman" w:hAnsi="Times New Roman"/>
          <w:sz w:val="18"/>
          <w:szCs w:val="18"/>
          <w:color w:val="auto"/>
        </w:rPr>
        <w:t xml:space="preserve"> and owned by a Grantor, is, to the knowledge of such Grantor, valid, in full force and effect, subsisting, unexpired and enforceable. In the event that any Grantor becomes aware that any Intellectual Property owned by such Grantor and that is material to the conduct of its business has been or is about to be infringed, misappropriated or diluted by a third party in a manner that would reasonably be expected to result in a Material Adverse Effect, such Grantor promptly shall take such commercially reasonable actions as are appropriate under the circumstances to protect such Intellectual Property, including, if consistent with good business judgment, promptly suing for infringement, misappropriation or dilution and to recover any and all damages for such infringement, misappropriation or dilution. Each Grantor shall not knowingly do any act to infringe, misappropriate, dilute, or otherwise violate the Intellectual Property rights of any other Person in any material respect.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Full Disclosure</w:t>
      </w:r>
      <w:r>
        <w:rPr>
          <w:rFonts w:ascii="Times New Roman" w:cs="Times New Roman" w:eastAsia="Times New Roman" w:hAnsi="Times New Roman"/>
          <w:sz w:val="18"/>
          <w:szCs w:val="18"/>
          <w:color w:val="auto"/>
        </w:rPr>
        <w:t xml:space="preserve">. No information contained in any Loan Document, the Financial Statements or any written statement furnished by or on behalf of any Grantor under any Loan Document, or to induce Agent and the Lenders to execute the Loan Documents (as such information has been amended, supplemented or superseded by any other information later delivered to the same parties receiving such information, provided that the delivery of such amended, supplemented or superseding information shall not cure any Event of Default arising under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other than with respect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3.13</w:t>
      </w:r>
      <w:r>
        <w:rPr>
          <w:rFonts w:ascii="Times New Roman" w:cs="Times New Roman" w:eastAsia="Times New Roman" w:hAnsi="Times New Roman"/>
          <w:sz w:val="18"/>
          <w:szCs w:val="18"/>
          <w:color w:val="auto"/>
        </w:rPr>
        <w:t>), taken as a whole, contains any untrue statement of a material fact or omits to state a material fact necessary to make the statements contained herein or therein not materially misleading in light of the circumstances under which they were made, it being recognized by Agent and the Lenders that the projections and forecasts provided by the Grantors in good faith and based upon reasonable assumptions are not viewed as facts and that actual results during the period or periods covered by such projections and forecasts may differ from the projected or forecasted results.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Disclosure Schedule (3.14)</w:t>
      </w:r>
      <w:r>
        <w:rPr>
          <w:rFonts w:ascii="Times New Roman" w:cs="Times New Roman" w:eastAsia="Times New Roman" w:hAnsi="Times New Roman"/>
          <w:sz w:val="18"/>
          <w:szCs w:val="18"/>
          <w:color w:val="auto"/>
        </w:rPr>
        <w:t>, as of the Closing Date, (a) no Grantor is subject to any Environmental Liabilities or, to any Grantor’s knowledge, potential Environmental Liabilities, that could reasonably be expected to result in Environmental Liabilities in excess of $750,000 in the aggregate and (b) no notice has been received by any Grantor identifying it as a “potentially responsible party” or requesting information under CERCLA or analogous state statutes, and to the knowledge of any Grantor, there are no facts, circumstances or conditions that may result in any Grantor being identified as a “potentially responsible party” under CERCLA or analogous state statutes, in each such case if such circumstance could reasonably be expected to result in Environmental Liabilities in excess of $750,000 in the aggregate. Each Grantor: (i) shall comply in all material respects with all applicable Environmental Laws and environmental permits, (ii) shall notify Agent in writing within seven (7) days if and when it becomes aware of any Release, on, at, in, under, above, to, from or about any real property owned, leased or occupied by a Grantor if such Release could reasonably be expected to result in Environmental Liabilities in excess of $750,000 in the aggregate, (iii) shall notify Agent in writing within seven (7) days if and when it becomes aware of any claims that could form the basis for any Environmental Liabilities that could reasonably be expected to result in Environmental Liabilities in excess of $750,000 in the aggregate, and (iv) shall notify Agent in writing within seven (7) days if and when it becomes aware of any occurrences of non-compliance with Environmental Laws or environmental permits that would reasonably be expected to result in a Material Adverse Effect. Without limiting the foregoing, if an Event of Default is continuing or if Agent or the Required Lenders at any time has a reasonable basis to believe that there exist violations of Environmental Laws by any Grantor or that there exist any Environmental Liabilities, in each case, that would have, in the aggregate, a Material Adverse Effect, then each Grantor shall, promptly upon receipt of request from Agent (at the direction of the Required Lenders), cause the performance of, and allow Agent (or its designee) access to such real property for the purpose of conducting, such environmental audits and assessments, including subsurface sampling of soil and groundwater, and cause the preparation of such reports, in each case as Agent (at the direction of the Required Lenders) may from time to time reasonably request. Such audits, assessments and reports, to the extent not conducted by Agent (or its designee) shall be conducted and prepared by reputable environmental consulting firms reasonably acceptable to Agent and shall be in form and substance reasonably acceptable to Agent and the Required Lenders. Each Credit Party has made available to the Required Lenders copies of all existing environmental reports, reviews and audits and all documents prepared since January 1, 2010 pertaining to actual or potential Environmental Liabilities, in each case to the extent such reports, reviews, audits and documents are in their possession, custody, control or otherwise available to the Credit Parties.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As of the Closing Date, </w:t>
      </w:r>
      <w:r>
        <w:rPr>
          <w:rFonts w:ascii="Times New Roman" w:cs="Times New Roman" w:eastAsia="Times New Roman" w:hAnsi="Times New Roman"/>
          <w:sz w:val="18"/>
          <w:szCs w:val="18"/>
          <w:u w:val="single" w:color="auto"/>
          <w:color w:val="auto"/>
        </w:rPr>
        <w:t>Disclosure Schedule (3.15)</w:t>
      </w:r>
      <w:r>
        <w:rPr>
          <w:rFonts w:ascii="Times New Roman" w:cs="Times New Roman" w:eastAsia="Times New Roman" w:hAnsi="Times New Roman"/>
          <w:sz w:val="18"/>
          <w:szCs w:val="18"/>
          <w:color w:val="auto"/>
        </w:rPr>
        <w:t xml:space="preserve"> lists all insurance of any nature maintained by Borrower with respect to the Collateral as well as all liability insurance maintained by the Grantors, as well as a summary of the terms of such insurance.</w:t>
      </w:r>
    </w:p>
    <w:p>
      <w:pPr>
        <w:spacing w:after="0" w:line="162" w:lineRule="exact"/>
        <w:rPr>
          <w:sz w:val="20"/>
          <w:szCs w:val="20"/>
          <w:color w:val="auto"/>
        </w:rPr>
      </w:pPr>
    </w:p>
    <w:p>
      <w:pPr>
        <w:jc w:val="both"/>
        <w:ind w:left="660" w:hanging="4"/>
        <w:spacing w:after="0" w:line="255" w:lineRule="auto"/>
        <w:tabs>
          <w:tab w:leader="none" w:pos="9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Coverage</w:t>
      </w:r>
      <w:r>
        <w:rPr>
          <w:rFonts w:ascii="Times New Roman" w:cs="Times New Roman" w:eastAsia="Times New Roman" w:hAnsi="Times New Roman"/>
          <w:sz w:val="18"/>
          <w:szCs w:val="18"/>
          <w:color w:val="auto"/>
        </w:rPr>
        <w:t xml:space="preserve">. Without limiting any of the other obligations or liabilities of the Grantors under this Agreement, the Grantors shall, during the term of this Agreement, carry and maintain, at its own expense, at least the minimum insurance coverage set forth in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All insurance carried pursuant to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shall be placed with such insurers having a minimum A.M. Best rating of A-:VIII (or as may be otherwise reasonably acceptable to the Agent and the Required Lenders), be in such amounts as are customarily carried or maintained by similarly situated entities engaged in similar businesses, and be in such form, with terms, conditions, limits and deductibles as shall be reasonably acceptable to Agent and the Required Lenders. The insurance required to be carried and maintained by Grantors hereunder shall, in all events, include, without limitation, the following:</w:t>
      </w:r>
    </w:p>
    <w:p>
      <w:pPr>
        <w:spacing w:after="0" w:line="188"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154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Risk Property Insurance</w:t>
      </w:r>
      <w:r>
        <w:rPr>
          <w:rFonts w:ascii="Times New Roman" w:cs="Times New Roman" w:eastAsia="Times New Roman" w:hAnsi="Times New Roman"/>
          <w:sz w:val="18"/>
          <w:szCs w:val="18"/>
          <w:color w:val="auto"/>
        </w:rPr>
        <w:t>. The Grantors shall maintain, all risk property insurance covering against physical loss or damage, including but not limited to fire and extended coverage, collapse, flood, earth movement and comprehensive boiler and machinery coverage (including electrical malfunction and mechanical breakdown). Coverage shall be written on a replacement cost basis in an amount reasonably acceptable to Agent and the Required Lenders; and,</w:t>
      </w:r>
    </w:p>
    <w:p>
      <w:pPr>
        <w:spacing w:after="0" w:line="179"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60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General Liability Insurance</w:t>
      </w:r>
      <w:r>
        <w:rPr>
          <w:rFonts w:ascii="Times New Roman" w:cs="Times New Roman" w:eastAsia="Times New Roman" w:hAnsi="Times New Roman"/>
          <w:sz w:val="18"/>
          <w:szCs w:val="18"/>
          <w:color w:val="auto"/>
        </w:rPr>
        <w:t>. The Grantors shall maintain comprehensive general liability insurance written on an occurrence basis with a limit of not less than $1,000,000. Such coverage shall include, but not be limited to, premises/operations, broad form contractual liability, products/completed operations, property damage and personal injury liability;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161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Excess/Umbrella Liability Insurance</w:t>
      </w:r>
      <w:r>
        <w:rPr>
          <w:rFonts w:ascii="Times New Roman" w:cs="Times New Roman" w:eastAsia="Times New Roman" w:hAnsi="Times New Roman"/>
          <w:sz w:val="18"/>
          <w:szCs w:val="18"/>
          <w:color w:val="auto"/>
        </w:rPr>
        <w:t>. The Grantors shall maintain excess and/or umbrella liability insurance written on an occurrence basis in an amount not less than $21,000,000 providing coverage limits excess of the insurance limits required under subsection (a)(ii). Such insurance shall follow the form of the primary insurances and drop down in case of exhaustion of underlying limits and/or aggregates.</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8" w:name="page99"/>
    <w:bookmarkEnd w:id="98"/>
    <w:p>
      <w:pPr>
        <w:ind w:left="4" w:right="20" w:hanging="4"/>
        <w:spacing w:after="0" w:line="282"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Endorsements</w:t>
      </w:r>
      <w:r>
        <w:rPr>
          <w:rFonts w:ascii="Times New Roman" w:cs="Times New Roman" w:eastAsia="Times New Roman" w:hAnsi="Times New Roman"/>
          <w:sz w:val="18"/>
          <w:szCs w:val="18"/>
          <w:color w:val="auto"/>
        </w:rPr>
        <w:t xml:space="preserve">. Within the period permitted pursuant to </w:t>
      </w:r>
      <w:r>
        <w:rPr>
          <w:rFonts w:ascii="Times New Roman" w:cs="Times New Roman" w:eastAsia="Times New Roman" w:hAnsi="Times New Roman"/>
          <w:sz w:val="18"/>
          <w:szCs w:val="18"/>
          <w:u w:val="single" w:color="auto"/>
          <w:color w:val="auto"/>
        </w:rPr>
        <w:t>Section 3.35</w:t>
      </w:r>
      <w:r>
        <w:rPr>
          <w:rFonts w:ascii="Times New Roman" w:cs="Times New Roman" w:eastAsia="Times New Roman" w:hAnsi="Times New Roman"/>
          <w:sz w:val="18"/>
          <w:szCs w:val="18"/>
          <w:color w:val="auto"/>
        </w:rPr>
        <w:t xml:space="preserve">, the Grantors shall cause all insurance policies carried and maintained in accordance with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to be endorsed as follows:</w:t>
      </w:r>
    </w:p>
    <w:p>
      <w:pPr>
        <w:spacing w:after="0" w:line="161" w:lineRule="exact"/>
        <w:rPr>
          <w:rFonts w:ascii="Times New Roman" w:cs="Times New Roman" w:eastAsia="Times New Roman" w:hAnsi="Times New Roman"/>
          <w:sz w:val="18"/>
          <w:szCs w:val="18"/>
          <w:color w:val="auto"/>
        </w:rPr>
      </w:pPr>
    </w:p>
    <w:p>
      <w:pPr>
        <w:jc w:val="both"/>
        <w:ind w:left="644" w:firstLine="4"/>
        <w:spacing w:after="0" w:line="258" w:lineRule="auto"/>
        <w:tabs>
          <w:tab w:leader="none" w:pos="87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Agent, on behalf of itself and the Lenders, shall be named as lender’s loss payable with respect to property policy described in </w:t>
      </w:r>
      <w:r>
        <w:rPr>
          <w:rFonts w:ascii="Times New Roman" w:cs="Times New Roman" w:eastAsia="Times New Roman" w:hAnsi="Times New Roman"/>
          <w:sz w:val="18"/>
          <w:szCs w:val="18"/>
          <w:u w:val="single" w:color="auto"/>
          <w:color w:val="auto"/>
        </w:rPr>
        <w:t>subsection (a)(i)</w:t>
      </w:r>
      <w:r>
        <w:rPr>
          <w:rFonts w:ascii="Times New Roman" w:cs="Times New Roman" w:eastAsia="Times New Roman" w:hAnsi="Times New Roman"/>
          <w:sz w:val="18"/>
          <w:szCs w:val="18"/>
          <w:color w:val="auto"/>
        </w:rPr>
        <w:t xml:space="preserve">. Agent, on behalf of itself and the Lenders, shall be named as an additional insured with respect to liability policies described in </w:t>
      </w:r>
      <w:r>
        <w:rPr>
          <w:rFonts w:ascii="Times New Roman" w:cs="Times New Roman" w:eastAsia="Times New Roman" w:hAnsi="Times New Roman"/>
          <w:sz w:val="18"/>
          <w:szCs w:val="18"/>
          <w:u w:val="single" w:color="auto"/>
          <w:color w:val="auto"/>
        </w:rPr>
        <w:t>subsections (a)(ii)</w:t>
      </w:r>
      <w:r>
        <w:rPr>
          <w:rFonts w:ascii="Times New Roman" w:cs="Times New Roman" w:eastAsia="Times New Roman" w:hAnsi="Times New Roman"/>
          <w:sz w:val="18"/>
          <w:szCs w:val="18"/>
          <w:color w:val="auto"/>
        </w:rPr>
        <w:t xml:space="preserve"> and, to the extent allowed by law,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It shall be understood that any obligation imposed upon the Grantors, including but not limited to the obligation to pay premiums, shall be the sole obligation of the Grantors and not that of the Agent; and,</w:t>
      </w:r>
    </w:p>
    <w:p>
      <w:pPr>
        <w:spacing w:after="0" w:line="183" w:lineRule="exact"/>
        <w:rPr>
          <w:rFonts w:ascii="Times New Roman" w:cs="Times New Roman" w:eastAsia="Times New Roman" w:hAnsi="Times New Roman"/>
          <w:sz w:val="18"/>
          <w:szCs w:val="18"/>
          <w:color w:val="auto"/>
        </w:rPr>
      </w:pPr>
    </w:p>
    <w:p>
      <w:pPr>
        <w:jc w:val="both"/>
        <w:ind w:left="644" w:firstLine="4"/>
        <w:spacing w:after="0" w:line="266" w:lineRule="auto"/>
        <w:tabs>
          <w:tab w:leader="none" w:pos="92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property policy described in </w:t>
      </w:r>
      <w:r>
        <w:rPr>
          <w:rFonts w:ascii="Times New Roman" w:cs="Times New Roman" w:eastAsia="Times New Roman" w:hAnsi="Times New Roman"/>
          <w:sz w:val="18"/>
          <w:szCs w:val="18"/>
          <w:u w:val="single" w:color="auto"/>
          <w:color w:val="auto"/>
        </w:rPr>
        <w:t>subsection (a)(i)</w:t>
      </w:r>
      <w:r>
        <w:rPr>
          <w:rFonts w:ascii="Times New Roman" w:cs="Times New Roman" w:eastAsia="Times New Roman" w:hAnsi="Times New Roman"/>
          <w:sz w:val="18"/>
          <w:szCs w:val="18"/>
          <w:color w:val="auto"/>
        </w:rPr>
        <w:t>, the interests of the Agent shall not be invalidated by any action or inaction of any Grantor or any other Person, and shall insure the Agent regardless of any breach or violation by any Grantor or any other Person, of any warranties, declarations or conditions of such policies; and</w:t>
      </w:r>
    </w:p>
    <w:p>
      <w:pPr>
        <w:spacing w:after="0" w:line="175" w:lineRule="exact"/>
        <w:rPr>
          <w:rFonts w:ascii="Times New Roman" w:cs="Times New Roman" w:eastAsia="Times New Roman" w:hAnsi="Times New Roman"/>
          <w:sz w:val="18"/>
          <w:szCs w:val="18"/>
          <w:color w:val="auto"/>
        </w:rPr>
      </w:pPr>
    </w:p>
    <w:p>
      <w:pPr>
        <w:jc w:val="both"/>
        <w:ind w:left="644" w:firstLine="4"/>
        <w:spacing w:after="0" w:line="261" w:lineRule="auto"/>
        <w:tabs>
          <w:tab w:leader="none" w:pos="98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insurance is canceled for any reason whatsoever, including nonpayment of premium, or any changes are initiated by the Grantors or the carrier which affect the interests of the Agent, such cancellation or change shall not be effective as to the Agent until thirty (30) days (or 10 days, in the case of a cancellation resulting from the non-payment of any insurance premiums) after receipt by Agent of written notice from such insurer.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7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On the Closing Date, and at each policy renewal, but not less than annually, the Grantors shall provide to the Agent a certification from each insurer or by an authorized representative of each insurer. Such certification shall identify the underwriters, the type of insurance, the limits, deductibles, and term thereof and shall specifically list the special provisions delineated in </w:t>
      </w:r>
      <w:r>
        <w:rPr>
          <w:rFonts w:ascii="Times New Roman" w:cs="Times New Roman" w:eastAsia="Times New Roman" w:hAnsi="Times New Roman"/>
          <w:sz w:val="18"/>
          <w:szCs w:val="18"/>
          <w:u w:val="single" w:color="auto"/>
          <w:color w:val="auto"/>
        </w:rPr>
        <w:t>section (b)</w:t>
      </w:r>
      <w:r>
        <w:rPr>
          <w:rFonts w:ascii="Times New Roman" w:cs="Times New Roman" w:eastAsia="Times New Roman" w:hAnsi="Times New Roman"/>
          <w:sz w:val="18"/>
          <w:szCs w:val="18"/>
          <w:color w:val="auto"/>
        </w:rPr>
        <w:t xml:space="preserve"> above for such insurance required for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Agent</w:t>
      </w:r>
      <w:r>
        <w:rPr>
          <w:rFonts w:ascii="Times New Roman" w:cs="Times New Roman" w:eastAsia="Times New Roman" w:hAnsi="Times New Roman"/>
          <w:sz w:val="18"/>
          <w:szCs w:val="18"/>
          <w:color w:val="auto"/>
        </w:rPr>
        <w:t xml:space="preserve">. The Grantors shall notify the Agent in writing immediately whenever any separate insurance concurrent in form or contributing in the event of loss with that required to be maintained under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is taken out by any Credit Party; and promptly deliver to the Agent a copy of such policy or policies.</w:t>
      </w:r>
    </w:p>
    <w:p>
      <w:pPr>
        <w:spacing w:after="0" w:line="175" w:lineRule="exact"/>
        <w:rPr>
          <w:rFonts w:ascii="Times New Roman" w:cs="Times New Roman" w:eastAsia="Times New Roman" w:hAnsi="Times New Roman"/>
          <w:sz w:val="18"/>
          <w:szCs w:val="18"/>
          <w:color w:val="auto"/>
        </w:rPr>
      </w:pPr>
    </w:p>
    <w:p>
      <w:pPr>
        <w:jc w:val="both"/>
        <w:ind w:left="4" w:hanging="4"/>
        <w:spacing w:after="0" w:line="256" w:lineRule="auto"/>
        <w:tabs>
          <w:tab w:leader="none" w:pos="22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Flood Insurance</w:t>
      </w:r>
      <w:r>
        <w:rPr>
          <w:rFonts w:ascii="Times New Roman" w:cs="Times New Roman" w:eastAsia="Times New Roman" w:hAnsi="Times New Roman"/>
          <w:sz w:val="18"/>
          <w:szCs w:val="18"/>
          <w:color w:val="auto"/>
        </w:rPr>
        <w:t>. With respect to each Mortgaged Property (if any), the Grantors shall obtain flood insurance in such total amount as the Agent or the Required Lenders may from time to time require, if at any time the area in which any improvements located on any Mortgaged Property is designated a “flood hazard area” in any Flood Insurance Rate Map published by the Federal Emergency Management Agency (or any successor agency), and otherwise comply with the National Flood Insurance Program as set forth in the Flood Disaster Protection Act of 1973 and all legislation, and rules and regulations thereunder, administered by the relevant local conservation authority with respect to flood plain management and other conservation matters.</w:t>
      </w:r>
    </w:p>
    <w:p>
      <w:pPr>
        <w:spacing w:after="0" w:line="18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99" w:name="page100"/>
    <w:bookmarkEnd w:id="99"/>
    <w:p>
      <w:pPr>
        <w:jc w:val="both"/>
        <w:ind w:left="660" w:hanging="4"/>
        <w:spacing w:after="0" w:line="254" w:lineRule="auto"/>
        <w:tabs>
          <w:tab w:leader="none" w:pos="9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Mortgaged Properties</w:t>
      </w:r>
      <w:r>
        <w:rPr>
          <w:rFonts w:ascii="Times New Roman" w:cs="Times New Roman" w:eastAsia="Times New Roman" w:hAnsi="Times New Roman"/>
          <w:sz w:val="18"/>
          <w:szCs w:val="18"/>
          <w:color w:val="auto"/>
        </w:rPr>
        <w:t xml:space="preserve">. No Credit Party that is an owner of any Mortgaged Property shall take any action that is reasonably likely to be the basis for termination, revocation or denial of any insurance coverage required to be maintained under such Credit Party’s respective Mortgage or that could be the basis for a defense to any claim under any insurance policy maintained in respect of the mortgaged properties, and each Credit Party shall otherwise comply in all material respects with all Insurance Requirements in respect of the mortgaged properties; provided, however, that each Credit Party may, at its own expense and after written notice to the Agent, (i) contest the applicability or enforceability of any such Insurance Requirements by appropriate legal proceedings, the prosecution of which does not constitute a basis for cancellation or revocation of any insurance coverage required under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or (ii) cause the insurance policy containing any such Insurance Requirement to be replaced by a new policy complying with the provisions of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Borrower shall direct all present and future insurers under its policies of insurance to pay all proceeds payable thereunder with respect to the Collateral directly to Agent for application pursuant to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(subject to the terms thereof). If any insurance proceeds are paid by check, draft or other instrument payable to Borrower and Agent jointly, Agent may endorse Borrower’s name thereon and, upon the occurrence of an Event of Default that is continuing, do such other things as Agent may deem advisable to reduce the same to cash.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Both before and after giving effect to (a) the Loan, the issuance of the Guarantees of the Obligations and the pledge of assets as security therefor by all of the Grantors, (b) the disbursement of the proceeds of the Loan pursuant to the instructions of the Borrower, and (c) the payment and accrual of all transaction costs in connection with the foregoing, the Borrower and its Subsidiaries taken as a whole are Solvent.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Other Financings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Disclosure Schedule (3.17)</w:t>
      </w:r>
      <w:r>
        <w:rPr>
          <w:rFonts w:ascii="Times New Roman" w:cs="Times New Roman" w:eastAsia="Times New Roman" w:hAnsi="Times New Roman"/>
          <w:sz w:val="18"/>
          <w:szCs w:val="18"/>
          <w:color w:val="auto"/>
        </w:rPr>
        <w:t xml:space="preserve"> or as otherwise permitted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none of the Credit Parties has outstanding as of the Closing Date any Indebtedness that exceeds $25,000 in the aggregate.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xml:space="preserve">. Each Grantor (a) shall conduct its business in compliance with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or as otherwise permitted hereunder, and (b) shall,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at all times maintain, preserve and protect all of the Collateral and keep the same in good repair, working order and condition (ordinary wear and tear excepted) and make, or cause to be made, all commercially reasonable repairs, replacements and improvements thereto materially consistent with manufacturer specifications and industry practices.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any time and from time to time, upon the written request of Agent and at the sole expense of the Grantors, the Grantors shall promptly and duly execute and deliver any and all such further instruments and documents and take such further action as Agent or Required Lenders may reasonably deem desirable (other than Excluded Perfection Actions) (a) to obtain the full benefits of this Agreement and the other Loan Documents, (b) to protect, preserve and maintain Agent’s rights in any Collateral and security interests, or (c) to enable Agent to exercise all or any of the rights and powers herein granted.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Collateral/Maintenance of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4"/>
        <w:spacing w:after="0" w:line="282" w:lineRule="auto"/>
        <w:tabs>
          <w:tab w:leader="none" w:pos="92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each Grantor holds and will continue to hold good title to the Collateral and any of its property necessary for the ordinary operation of its business as currently conducted and none of such property is or will be subject to any Liens except Permitted Liens.</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54" w:lineRule="auto"/>
        <w:tabs>
          <w:tab w:leader="none" w:pos="9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shall (i) except in connection with the Permitted Redomicile, obtain, maintain and preserve all material rights, permits, licenses, approvals and privileges (including all Permits) necessary, whether because of its ownership, lease, sublease or other operation or occupation of property or other conduct of its business, and shall make all necessary or appropriate filings with, and give all required notices to, Governmental Authorities, in each case, except as would not reasonably be expected to result in a Material Adverse Effect, (ii) maintain the Collateral in compliance with all statutes, laws, ordinances, regulations, standards, directives, orders, judgments and permits (including environmental) issued by any Governmental Authority, except as would not reasonably be expected to result in a Material Adverse Effect, and (iii) in the case of Collateral comprised of motor vehicles located in the United States and subject to motor vehicle registration requirements, to the extent the fair market value of such Collateral in the aggregate exceeds</w:t>
      </w:r>
    </w:p>
    <w:p>
      <w:pPr>
        <w:spacing w:after="0" w:line="19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$500,000 at any time if requested by the Agent (at the direction of the Required Lenders), note, or shall have noted, Agent’s Lien on all certificates of title of such Collateral (to the extent Agent’s Lien therein cannot be perfected by the filing of a financing statement).</w:t>
      </w:r>
    </w:p>
    <w:p>
      <w:pPr>
        <w:spacing w:after="0" w:line="162" w:lineRule="exact"/>
        <w:rPr>
          <w:sz w:val="20"/>
          <w:szCs w:val="20"/>
          <w:color w:val="auto"/>
        </w:rPr>
      </w:pPr>
    </w:p>
    <w:p>
      <w:pPr>
        <w:jc w:val="both"/>
        <w:ind w:left="660" w:hanging="4"/>
        <w:spacing w:after="0" w:line="253" w:lineRule="auto"/>
        <w:tabs>
          <w:tab w:leader="none" w:pos="90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Collateral shall not be located in, in transit to or used by a customer, in any country, state, nation, or territory (i) listed on the Lists or otherwise under United States sanctions for conducting business or (ii) set forth on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xml:space="preserve"> hereto (as such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xml:space="preserve"> may be amended by written notice from time to time by Agent to Borrower on a prospective basis) (each a “</w:t>
      </w:r>
      <w:r>
        <w:rPr>
          <w:rFonts w:ascii="Times New Roman" w:cs="Times New Roman" w:eastAsia="Times New Roman" w:hAnsi="Times New Roman"/>
          <w:sz w:val="18"/>
          <w:szCs w:val="18"/>
          <w:b w:val="1"/>
          <w:bCs w:val="1"/>
          <w:color w:val="auto"/>
        </w:rPr>
        <w:t>Restricted Location</w:t>
      </w:r>
      <w:r>
        <w:rPr>
          <w:rFonts w:ascii="Times New Roman" w:cs="Times New Roman" w:eastAsia="Times New Roman" w:hAnsi="Times New Roman"/>
          <w:sz w:val="18"/>
          <w:szCs w:val="18"/>
          <w:color w:val="auto"/>
        </w:rPr>
        <w:t xml:space="preserve">”). Upon an amendment to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xml:space="preserve"> pursuant to the forgoing sentence such that Collateral is located in a Restricted Location that was not located in a Restricted Location prior to such amendment, no Grantor shall extend or renew any rental agreements or enter into any new rental agreements which would cause the Collateral to be located in, in transit to or in use in a Restricted Location by a customer of such Grantor and such Grantor shall remove such Collateral from such Restricted Location within forty-five (45) days from the delivery of such notice or, if such Collateral is subject to a rental agreement with a customer of such Grantor at such time, fifteen (15) days from the end of the then current term of such rental agreement. Except as permitted pursuant to the immediately preceding sentence, when not in transit to or in use by a customer of any Grantor, or temporarily relocated for maintenance or repair, or equipment in the possession of an employee of Grantor the Collateral having a value in excess of $500,000 in the aggregate will primarily be located at the Chief Executive Office or a Rental Office.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jc w:val="both"/>
        <w:ind w:left="660" w:hanging="4"/>
        <w:spacing w:after="0" w:line="255" w:lineRule="auto"/>
        <w:tabs>
          <w:tab w:leader="none" w:pos="9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Schedules 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8(b)</w:t>
      </w:r>
      <w:r>
        <w:rPr>
          <w:rFonts w:ascii="Times New Roman" w:cs="Times New Roman" w:eastAsia="Times New Roman" w:hAnsi="Times New Roman"/>
          <w:sz w:val="18"/>
          <w:szCs w:val="18"/>
          <w:color w:val="auto"/>
        </w:rPr>
        <w:t xml:space="preserve"> to the Perfection Certificate dated the Closing Date contain a true and complete list of each interest in Real Property (i) owned by any Credit Party as of the Closing Date and describes the type of interest therein held by such Credit Party and whether such owned Real Property is leased and if leased whether the underlying lease contains any option to purchase all or any portion of such Real Property or any interest therein or contains any right of first refusal relating to any sale of such Real Property or any portion thereof or interest therein and (ii) leased, subleased or otherwise occupied or utilized by any Credit Party, as lessee, sublessee, franchisee or licensee, as of the Closing Date and describes the type of interest therein held by such Credit Party and, in each of the cases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3.20(d)</w:t>
      </w:r>
      <w:r>
        <w:rPr>
          <w:rFonts w:ascii="Times New Roman" w:cs="Times New Roman" w:eastAsia="Times New Roman" w:hAnsi="Times New Roman"/>
          <w:sz w:val="18"/>
          <w:szCs w:val="18"/>
          <w:color w:val="auto"/>
        </w:rPr>
        <w:t>, whether any lease requires the consent of the landlord or tenant thereunder, or other party thereto, to the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Anti-Terrorism and Anti-Money Laundering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2" w:lineRule="auto"/>
        <w:tabs>
          <w:tab w:leader="none" w:pos="9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and, after making due inquiry, no Person who owns a controlling interest in or otherwise controls a Credit Party, and no customer of a Credit Party, is (i) listed on the Specially Designated Nationals and Blocked Persons List (the “</w:t>
      </w:r>
      <w:r>
        <w:rPr>
          <w:rFonts w:ascii="Times New Roman" w:cs="Times New Roman" w:eastAsia="Times New Roman" w:hAnsi="Times New Roman"/>
          <w:sz w:val="18"/>
          <w:szCs w:val="18"/>
          <w:b w:val="1"/>
          <w:bCs w:val="1"/>
          <w:color w:val="auto"/>
        </w:rPr>
        <w:t>SDN List</w:t>
      </w:r>
      <w:r>
        <w:rPr>
          <w:rFonts w:ascii="Times New Roman" w:cs="Times New Roman" w:eastAsia="Times New Roman" w:hAnsi="Times New Roman"/>
          <w:sz w:val="18"/>
          <w:szCs w:val="18"/>
          <w:color w:val="auto"/>
        </w:rPr>
        <w:t>”) maintained by the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Department of the Treasury, and/or on any other similar list (“</w:t>
      </w:r>
      <w:r>
        <w:rPr>
          <w:rFonts w:ascii="Times New Roman" w:cs="Times New Roman" w:eastAsia="Times New Roman" w:hAnsi="Times New Roman"/>
          <w:sz w:val="18"/>
          <w:szCs w:val="18"/>
          <w:b w:val="1"/>
          <w:bCs w:val="1"/>
          <w:color w:val="auto"/>
        </w:rPr>
        <w:t>Other Lists</w:t>
      </w:r>
      <w:r>
        <w:rPr>
          <w:rFonts w:ascii="Times New Roman" w:cs="Times New Roman" w:eastAsia="Times New Roman" w:hAnsi="Times New Roman"/>
          <w:sz w:val="18"/>
          <w:szCs w:val="18"/>
          <w:color w:val="auto"/>
        </w:rPr>
        <w:t>” and, collectively with the SDN List, the “</w:t>
      </w:r>
      <w:r>
        <w:rPr>
          <w:rFonts w:ascii="Times New Roman" w:cs="Times New Roman" w:eastAsia="Times New Roman" w:hAnsi="Times New Roman"/>
          <w:sz w:val="18"/>
          <w:szCs w:val="18"/>
          <w:b w:val="1"/>
          <w:bCs w:val="1"/>
          <w:color w:val="auto"/>
        </w:rPr>
        <w:t>Lists</w:t>
      </w:r>
      <w:r>
        <w:rPr>
          <w:rFonts w:ascii="Times New Roman" w:cs="Times New Roman" w:eastAsia="Times New Roman" w:hAnsi="Times New Roman"/>
          <w:sz w:val="18"/>
          <w:szCs w:val="18"/>
          <w:color w:val="auto"/>
        </w:rPr>
        <w:t>”) maintained by the OFAC pursuant to any authorizing statute, Executive Order or regulation (collectively, “</w:t>
      </w:r>
      <w:r>
        <w:rPr>
          <w:rFonts w:ascii="Times New Roman" w:cs="Times New Roman" w:eastAsia="Times New Roman" w:hAnsi="Times New Roman"/>
          <w:sz w:val="18"/>
          <w:szCs w:val="18"/>
          <w:b w:val="1"/>
          <w:bCs w:val="1"/>
          <w:color w:val="auto"/>
        </w:rPr>
        <w:t>OFAC Laws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or (ii) a Person (a “</w:t>
      </w:r>
      <w:r>
        <w:rPr>
          <w:rFonts w:ascii="Times New Roman" w:cs="Times New Roman" w:eastAsia="Times New Roman" w:hAnsi="Times New Roman"/>
          <w:sz w:val="18"/>
          <w:szCs w:val="18"/>
          <w:b w:val="1"/>
          <w:bCs w:val="1"/>
          <w:color w:val="auto"/>
        </w:rPr>
        <w:t>Designated Person</w:t>
      </w:r>
      <w:r>
        <w:rPr>
          <w:rFonts w:ascii="Times New Roman" w:cs="Times New Roman" w:eastAsia="Times New Roman" w:hAnsi="Times New Roman"/>
          <w:sz w:val="18"/>
          <w:szCs w:val="18"/>
          <w:color w:val="auto"/>
        </w:rPr>
        <w:t>”) either (A) included within the term “designated national” as defined in the Cuban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Regulations, 31 C.F.R. Part 515, or (B) designated under Sections 1(a), 1(b), 1(c) or 1(d) of Executive Order No. 13224, 66 Fed. Reg. 49079 (published September 25, 2001) or similarly designated under any related enabling legislation or any other similar Executive Orders (collectively, the “</w:t>
      </w:r>
      <w:r>
        <w:rPr>
          <w:rFonts w:ascii="Times New Roman" w:cs="Times New Roman" w:eastAsia="Times New Roman" w:hAnsi="Times New Roman"/>
          <w:sz w:val="18"/>
          <w:szCs w:val="18"/>
          <w:b w:val="1"/>
          <w:bCs w:val="1"/>
          <w:color w:val="auto"/>
        </w:rPr>
        <w:t>Executive Orders</w:t>
      </w:r>
      <w:r>
        <w:rPr>
          <w:rFonts w:ascii="Times New Roman" w:cs="Times New Roman" w:eastAsia="Times New Roman" w:hAnsi="Times New Roman"/>
          <w:sz w:val="18"/>
          <w:szCs w:val="18"/>
          <w:color w:val="auto"/>
        </w:rPr>
        <w:t>”). The OFAC Laws and Regulations and the Executive Orders are collectively referred to in this Agreement as the “</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xml:space="preserve">”. Each of the Credit Parties represents and warrants that it requires, and has taken reasonable measures to ensure compliance with the requirement, that no Person who owns any other direct interest in a Credit Party is or shall be listed on any of the Lists or is or shall be a Designated Person. This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shall not apply to any Person to the extent that such Person’s interest in the Borrower is through a U.S. Publicly-Traded Entity. As used in this Agreement, “</w:t>
      </w:r>
      <w:r>
        <w:rPr>
          <w:rFonts w:ascii="Times New Roman" w:cs="Times New Roman" w:eastAsia="Times New Roman" w:hAnsi="Times New Roman"/>
          <w:sz w:val="18"/>
          <w:szCs w:val="18"/>
          <w:b w:val="1"/>
          <w:bCs w:val="1"/>
          <w:color w:val="auto"/>
        </w:rPr>
        <w:t>U.S. Publicly-Traded Entity</w:t>
      </w:r>
      <w:r>
        <w:rPr>
          <w:rFonts w:ascii="Times New Roman" w:cs="Times New Roman" w:eastAsia="Times New Roman" w:hAnsi="Times New Roman"/>
          <w:sz w:val="18"/>
          <w:szCs w:val="18"/>
          <w:color w:val="auto"/>
        </w:rPr>
        <w:t>” means a Person (other than an individual) whose securities are listed on a national securities exchange, or quoted on an automated quotation system, in the United States, or a wholly</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owned subsidiary of such a Person.</w:t>
      </w:r>
    </w:p>
    <w:p>
      <w:pPr>
        <w:spacing w:after="0" w:line="197"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9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represents and warrants that it has taken reasonable measures appropriate to the circumstances (and in any event as required by law), with respect to each holder of a direct or indirect interest in such Credit Party, to assure that funds invested by such holders in the Credit Parties are derived from legal sources (“</w:t>
      </w:r>
      <w:r>
        <w:rPr>
          <w:rFonts w:ascii="Times New Roman" w:cs="Times New Roman" w:eastAsia="Times New Roman" w:hAnsi="Times New Roman"/>
          <w:sz w:val="18"/>
          <w:szCs w:val="18"/>
          <w:b w:val="1"/>
          <w:bCs w:val="1"/>
          <w:color w:val="auto"/>
        </w:rPr>
        <w:t>Anti-Money Laundering Measures</w:t>
      </w:r>
      <w:r>
        <w:rPr>
          <w:rFonts w:ascii="Times New Roman" w:cs="Times New Roman" w:eastAsia="Times New Roman" w:hAnsi="Times New Roman"/>
          <w:sz w:val="18"/>
          <w:szCs w:val="18"/>
          <w:color w:val="auto"/>
        </w:rPr>
        <w:t>”). The Anti-Money Laundering Measures have been undertaken in accordance with the Bank Secrecy Act, 31 U.S.C. §§ 5311 et seq. (“</w:t>
      </w:r>
      <w:r>
        <w:rPr>
          <w:rFonts w:ascii="Times New Roman" w:cs="Times New Roman" w:eastAsia="Times New Roman" w:hAnsi="Times New Roman"/>
          <w:sz w:val="18"/>
          <w:szCs w:val="18"/>
          <w:b w:val="1"/>
          <w:bCs w:val="1"/>
          <w:color w:val="auto"/>
        </w:rPr>
        <w:t>BSA</w:t>
      </w:r>
      <w:r>
        <w:rPr>
          <w:rFonts w:ascii="Times New Roman" w:cs="Times New Roman" w:eastAsia="Times New Roman" w:hAnsi="Times New Roman"/>
          <w:sz w:val="18"/>
          <w:szCs w:val="18"/>
          <w:color w:val="auto"/>
        </w:rPr>
        <w:t>”), and all applicable laws, regulations and government guidance on BSA compliance and on the prevention and detection of money laundering violations under 18 U.S.C. §§ 1956 and 1957 (collectively with the BSA,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jc w:val="both"/>
        <w:ind w:left="660" w:hanging="4"/>
        <w:spacing w:after="0" w:line="258" w:lineRule="auto"/>
        <w:tabs>
          <w:tab w:leader="none" w:pos="92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represents and warrants to Agent and each Lender, to its actual knowledge after making due inquiry, that no such Credit Party or any holder of a direct or indirect interest in such Credit Party (i) is under investigation by any Governmental Authority for, or has been charged with, or convicted of, money laundering under 18 U.S.C. §§ 1956 and 1957, drug trafficking, terrorist-related activities or other money laundering predicate crimes, or any violation of the BSA, (ii) has been assessed civil penalties under any Anti-Money Laundering Laws, or (iii) has had any of its funds seized or forfeited in an action under any Anti-Money Laundering Laws.</w:t>
      </w:r>
    </w:p>
    <w:p>
      <w:pPr>
        <w:spacing w:after="0" w:line="183"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represents and warrants to Agent and each Lender that it has taken reasonable measures appropriate to the circumstances (in any event as required by law), to ensure that such Credit Party is in compliance with all current and future Anti-Money Laundering Laws and laws, regulations and government guidance for the prevention of terrorism, terrorist financing and drug trafficking.</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58" w:lineRule="auto"/>
        <w:tabs>
          <w:tab w:leader="none" w:pos="91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its respective directors, officers and employees and, to the knowledge of the applicable Credit Party, the agents of each Credit Party and their Subsidiaries, are in compliance with the Foreign Corrupt Practices Act of 1977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and any other applicable anti-corruption law, including without limitation the UK Bribery Act, in all material respects. The Credit Parties and their Subsidiaries have instituted and maintained, and shall maintain, policies and procedures designed to ensure continued compliance with the FCPA and any other applicable anti-corruption laws.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Maintenance of Corporate Existence</w:t>
      </w:r>
      <w:r>
        <w:rPr>
          <w:rFonts w:ascii="Times New Roman" w:cs="Times New Roman" w:eastAsia="Times New Roman" w:hAnsi="Times New Roman"/>
          <w:sz w:val="18"/>
          <w:szCs w:val="18"/>
          <w:color w:val="auto"/>
        </w:rPr>
        <w:t xml:space="preserve">. Each Credit Party shall preserve and maintain (a) its legal existence and good standing under the laws of the jurisdiction of its incorporation or organization and (b) its rights (charter and statutory), privileges franchises and Permits necessary or desirable in the conduct of its business, except,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where the failure to do so would not, in the aggregate, have a Material Adverse Effect.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Each Credit Party shall comply with all applicable Requirements of Law, Contractual Obligations and Permits, except for such failures to comply that could not reasonably be expected, individually or in the aggregate, to have a Material Adverse Effect.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Landlord and Bailee Agreements</w:t>
      </w:r>
      <w:r>
        <w:rPr>
          <w:rFonts w:ascii="Times New Roman" w:cs="Times New Roman" w:eastAsia="Times New Roman" w:hAnsi="Times New Roman"/>
          <w:sz w:val="18"/>
          <w:szCs w:val="18"/>
          <w:color w:val="auto"/>
        </w:rPr>
        <w:t>. Upon the request of Agent (at the direction of the Required Lenders), each Grantor shall use reasonable best efforts to deliver to Agent a landlord waiver or mortgagee waiver, as applicable, from the lessor of each leased real property of a Credit Party or mortgagee of any owned real property of a Credit Party with respect to each location where the Collateral having a value in excess of $500,000 and/or Books and Records are stored or located, which agreement shall be reasonably satisfactory in form and substance to Agent and the Required Lenders. Upon the request of Agent (at the direction of the Required Lenders), each Grantor shall deliver to Agent a bailee waiver from a bailee with respect to each warehouse or location where the Collateral having a value in excess of $500,000, which agreement shall be reasonably satisfactory in form and substance to Agent and the Required Lenders.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Deposit Accounts; Cash Collateral Accounts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4"/>
        <w:spacing w:after="0" w:line="282" w:lineRule="auto"/>
        <w:tabs>
          <w:tab w:leader="none" w:pos="91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Guarantor shall maintain a cash management system which is reasonably acceptable to Agent and the Required Lenders (the “</w:t>
      </w:r>
      <w:r>
        <w:rPr>
          <w:rFonts w:ascii="Times New Roman" w:cs="Times New Roman" w:eastAsia="Times New Roman" w:hAnsi="Times New Roman"/>
          <w:sz w:val="18"/>
          <w:szCs w:val="18"/>
          <w:b w:val="1"/>
          <w:bCs w:val="1"/>
          <w:color w:val="auto"/>
        </w:rPr>
        <w:t>Cash Management System</w:t>
      </w:r>
      <w:r>
        <w:rPr>
          <w:rFonts w:ascii="Times New Roman" w:cs="Times New Roman" w:eastAsia="Times New Roman" w:hAnsi="Times New Roman"/>
          <w:sz w:val="18"/>
          <w:szCs w:val="18"/>
          <w:color w:val="auto"/>
        </w:rPr>
        <w:t>”), which shall operate as follows:</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cash Proceeds of Collateral held by Borrower or any other Credit Party (other than funds being collected pursuant to the provisions stated below) shall be deposited in one or more bank accounts or securities investment accounts, as set forth on </w:t>
      </w:r>
      <w:r>
        <w:rPr>
          <w:rFonts w:ascii="Times New Roman" w:cs="Times New Roman" w:eastAsia="Times New Roman" w:hAnsi="Times New Roman"/>
          <w:sz w:val="18"/>
          <w:szCs w:val="18"/>
          <w:u w:val="single" w:color="auto"/>
          <w:color w:val="auto"/>
        </w:rPr>
        <w:t>Disclosure Schedule (3.25)</w:t>
      </w:r>
      <w:r>
        <w:rPr>
          <w:rFonts w:ascii="Times New Roman" w:cs="Times New Roman" w:eastAsia="Times New Roman" w:hAnsi="Times New Roman"/>
          <w:sz w:val="18"/>
          <w:szCs w:val="18"/>
          <w:color w:val="auto"/>
        </w:rPr>
        <w:t xml:space="preserve"> or other accounts that comply with the requirements of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54" w:lineRule="auto"/>
        <w:tabs>
          <w:tab w:leader="none" w:pos="91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Grantors shall promptly deposit and direct their respective Account Debtors to directly remit all payments on Accounts and all payments constituting Proceeds of Collateral in the identical form in which such payments are made, whether by cash, check or other manner into the accounts and related lockboxes maintained by the financial institutions as described on </w:t>
      </w:r>
      <w:r>
        <w:rPr>
          <w:rFonts w:ascii="Times New Roman" w:cs="Times New Roman" w:eastAsia="Times New Roman" w:hAnsi="Times New Roman"/>
          <w:sz w:val="18"/>
          <w:szCs w:val="18"/>
          <w:u w:val="single" w:color="auto"/>
          <w:color w:val="auto"/>
        </w:rPr>
        <w:t>Disclosure Schedule (3.25)</w:t>
      </w:r>
      <w:r>
        <w:rPr>
          <w:rFonts w:ascii="Times New Roman" w:cs="Times New Roman" w:eastAsia="Times New Roman" w:hAnsi="Times New Roman"/>
          <w:sz w:val="18"/>
          <w:szCs w:val="18"/>
          <w:color w:val="auto"/>
        </w:rPr>
        <w:t xml:space="preserve"> hereto or such other accounts established in compliance with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(in each case, other than Excluded Accounts, “</w:t>
      </w:r>
      <w:r>
        <w:rPr>
          <w:rFonts w:ascii="Times New Roman" w:cs="Times New Roman" w:eastAsia="Times New Roman" w:hAnsi="Times New Roman"/>
          <w:sz w:val="18"/>
          <w:szCs w:val="18"/>
          <w:b w:val="1"/>
          <w:bCs w:val="1"/>
          <w:color w:val="auto"/>
        </w:rPr>
        <w:t>Blocked Accounts</w:t>
      </w:r>
      <w:r>
        <w:rPr>
          <w:rFonts w:ascii="Times New Roman" w:cs="Times New Roman" w:eastAsia="Times New Roman" w:hAnsi="Times New Roman"/>
          <w:sz w:val="18"/>
          <w:szCs w:val="18"/>
          <w:color w:val="auto"/>
        </w:rPr>
        <w:t>”) and segregated from other funds of the Grantors not constituting Collateral, if any. By the date that is forty-five (45) days after the Closing Date (or such later date as may be agreed by Agent in consultation with the Required Lenders), Borrower and Grantors shall deliver, or cause to be delivered, to Agent a Control Agreement duly authorized, executed and delivered by each bank where a Blocked Account for the benefit of Borrower or any Grantors is maintained. Borrower shall further execute and deliver, and shall cause each Grantor to execute and deliver, such agreements and documents as Agent or the Required Lenders may reasonably require in connection with such Blocked Accounts and such Control Agreements.</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Grantor shall not establish any deposit accounts after the Closing Date into which Proceeds of Collateral are deposited other than Excluded Accounts, unless Borrower or such Grantor has caused to be delivered to Agent a Control Agreement duly authorized, executed and delivered by such Grantor and each bank where a such deposit account is maintained. Borrower and each Grantor agrees that from and after the delivery of an Activation Notice (as such term is defined in </w:t>
      </w:r>
      <w:r>
        <w:rPr>
          <w:rFonts w:ascii="Times New Roman" w:cs="Times New Roman" w:eastAsia="Times New Roman" w:hAnsi="Times New Roman"/>
          <w:sz w:val="18"/>
          <w:szCs w:val="18"/>
          <w:u w:val="single" w:color="auto"/>
          <w:color w:val="auto"/>
        </w:rPr>
        <w:t>Section 3.25(e)</w:t>
      </w:r>
      <w:r>
        <w:rPr>
          <w:rFonts w:ascii="Times New Roman" w:cs="Times New Roman" w:eastAsia="Times New Roman" w:hAnsi="Times New Roman"/>
          <w:sz w:val="18"/>
          <w:szCs w:val="18"/>
          <w:color w:val="auto"/>
        </w:rPr>
        <w:t xml:space="preserve"> below) all payments made to such Blocked Accounts or other funds received and collected by Agent or any Lender, whether in respect of the Accounts or as Proceeds of Collateral shall be treated as payments to Agent and the Lenders in respect of the Obligations and therefore shall constitute the property of Agent and the Lenders to the extent of the then outstanding applicable Obligations.</w:t>
      </w:r>
    </w:p>
    <w:p>
      <w:pPr>
        <w:spacing w:after="0" w:line="184" w:lineRule="exact"/>
        <w:rPr>
          <w:rFonts w:ascii="Times New Roman" w:cs="Times New Roman" w:eastAsia="Times New Roman" w:hAnsi="Times New Roman"/>
          <w:sz w:val="18"/>
          <w:szCs w:val="18"/>
          <w:color w:val="auto"/>
        </w:rPr>
      </w:pPr>
    </w:p>
    <w:p>
      <w:pPr>
        <w:jc w:val="both"/>
        <w:ind w:left="660" w:hanging="4"/>
        <w:spacing w:after="0" w:line="259" w:lineRule="auto"/>
        <w:tabs>
          <w:tab w:leader="none" w:pos="9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bank at which any Blocked Accounts are maintained shall agree from and after the receipt of a notice (an “</w:t>
      </w:r>
      <w:r>
        <w:rPr>
          <w:rFonts w:ascii="Times New Roman" w:cs="Times New Roman" w:eastAsia="Times New Roman" w:hAnsi="Times New Roman"/>
          <w:sz w:val="18"/>
          <w:szCs w:val="18"/>
          <w:b w:val="1"/>
          <w:bCs w:val="1"/>
          <w:color w:val="auto"/>
        </w:rPr>
        <w:t>Activation Notice</w:t>
      </w:r>
      <w:r>
        <w:rPr>
          <w:rFonts w:ascii="Times New Roman" w:cs="Times New Roman" w:eastAsia="Times New Roman" w:hAnsi="Times New Roman"/>
          <w:sz w:val="18"/>
          <w:szCs w:val="18"/>
          <w:color w:val="auto"/>
        </w:rPr>
        <w:t>”) from Agent (which Activation Notice may, or upon instruction of the applicable Required Lenders, shall, be given by Agent at any time during an Event of Default) pursuant to and subject to the terms of the applicable Control Agreement, to forward, daily, all amounts in each Blocked Account to the account designated as collection account (the “</w:t>
      </w:r>
      <w:r>
        <w:rPr>
          <w:rFonts w:ascii="Times New Roman" w:cs="Times New Roman" w:eastAsia="Times New Roman" w:hAnsi="Times New Roman"/>
          <w:sz w:val="18"/>
          <w:szCs w:val="18"/>
          <w:b w:val="1"/>
          <w:bCs w:val="1"/>
          <w:color w:val="auto"/>
        </w:rPr>
        <w:t>Collection Account</w:t>
      </w:r>
      <w:r>
        <w:rPr>
          <w:rFonts w:ascii="Times New Roman" w:cs="Times New Roman" w:eastAsia="Times New Roman" w:hAnsi="Times New Roman"/>
          <w:sz w:val="18"/>
          <w:szCs w:val="18"/>
          <w:color w:val="auto"/>
        </w:rPr>
        <w:t>”) which shall be under the exclusive dominion and control of Agent.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4" w:name="page105"/>
    <w:bookmarkEnd w:id="104"/>
    <w:p>
      <w:pPr>
        <w:jc w:val="both"/>
        <w:ind w:left="660" w:right="20" w:hanging="4"/>
        <w:spacing w:after="0" w:line="261" w:lineRule="auto"/>
        <w:tabs>
          <w:tab w:leader="none" w:pos="91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delivery of an Activation Notice, Agent shall apply all such funds in the Collection Account on a daily basis to the repayment of the applicable Obligations in accordance with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Notwithstanding the foregoing sentence, after payment in full has been made of the amounts required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any additional funds deposited in the Collection Account shall be released to such Credit Party or other Person lawfully entitled to the same.</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92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Grantors and their directors, employees, agents and other Affiliates shall promptly deposit or cause the same to be deposited, any monies, checks, notes, drafts or any other payment constituting Proceeds of Collateral which come into their possession or under their control on behalf of Borrower or any Grantor in the applicable Blocked Accounts. Borrower agrees to reimburse Agent on demand for any amounts owed or paid to any bank at which a Blocked Account is established or any other bank or person involved in the transfer of funds to or from the Blocked Accounts arising out of Agent’s payments to or indemnification of such bank or person other than amounts arising out of Agent’s gross negligence, bad faith, or willful misconduct as determined by a final non-appealable judgment by a court of competent jurisdiction.</w:t>
      </w:r>
    </w:p>
    <w:p>
      <w:pPr>
        <w:spacing w:after="0" w:line="187"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3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except to the extent required to be applied as a Mandatory Prepayment pursuant to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prior to the delivery by Agent of an Activation Notice, Borrower is entitled to access and use the amounts on deposit in any Blocked Account in any manner not otherwise prohibited under the Loan Documents, including maintaining amounts in the Excluded Accounts to the extent permitted under the definition of Excluded Accounts.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Assets of Holdings</w:t>
      </w:r>
      <w:r>
        <w:rPr>
          <w:rFonts w:ascii="Times New Roman" w:cs="Times New Roman" w:eastAsia="Times New Roman" w:hAnsi="Times New Roman"/>
          <w:sz w:val="18"/>
          <w:szCs w:val="18"/>
          <w:color w:val="auto"/>
        </w:rPr>
        <w:t xml:space="preserve">. Holdings represents and warrants that as of the Closing Date it has no assets, and after the Closing Date will have no assets, other than its Ownership Interests of its Subsidiaries, which have been pledged to Agent for its benefit and the benefit of the Lenders as Collateral for the Obligations, other assets related thereto, deposit accounts and deposits therein in connection with the conduct of its business that comply with the provisions of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contractual rights and Permits in connection with the operation of its business and the Transactions, and proceeds of Restricted Payments permitted hereunder. Holdings hereby agrees it shall not accept or receive any other assets from any other Credit Party (except as permitted by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After-acquired Property; Additional Collateral</w:t>
      </w:r>
      <w:r>
        <w:rPr>
          <w:rFonts w:ascii="Times New Roman" w:cs="Times New Roman" w:eastAsia="Times New Roman" w:hAnsi="Times New Roman"/>
          <w:sz w:val="18"/>
          <w:szCs w:val="18"/>
          <w:color w:val="auto"/>
        </w:rPr>
        <w:t>. Each Grantor shall:</w:t>
      </w:r>
    </w:p>
    <w:p>
      <w:pPr>
        <w:spacing w:after="0" w:line="225" w:lineRule="exact"/>
        <w:rPr>
          <w:sz w:val="20"/>
          <w:szCs w:val="20"/>
          <w:color w:val="auto"/>
        </w:rPr>
      </w:pPr>
    </w:p>
    <w:p>
      <w:pPr>
        <w:jc w:val="both"/>
        <w:ind w:left="660" w:hanging="4"/>
        <w:spacing w:after="0" w:line="270" w:lineRule="auto"/>
        <w:tabs>
          <w:tab w:leader="none" w:pos="91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this </w:t>
      </w:r>
      <w:r>
        <w:rPr>
          <w:rFonts w:ascii="Times New Roman" w:cs="Times New Roman" w:eastAsia="Times New Roman" w:hAnsi="Times New Roman"/>
          <w:sz w:val="17"/>
          <w:szCs w:val="17"/>
          <w:u w:val="single" w:color="auto"/>
          <w:color w:val="auto"/>
        </w:rPr>
        <w:t>Section 3.27</w:t>
      </w:r>
      <w:r>
        <w:rPr>
          <w:rFonts w:ascii="Times New Roman" w:cs="Times New Roman" w:eastAsia="Times New Roman" w:hAnsi="Times New Roman"/>
          <w:sz w:val="17"/>
          <w:szCs w:val="17"/>
          <w:color w:val="auto"/>
        </w:rPr>
        <w:t>, with respect to any property (other than Excluded Property) acquired after the Closing Date by any Credit Party that is intended to be subject to the Lien created by any of the Loan Documents but is not so subject, promptly (and in any event within thirty (30) days after the acquisition thereof (or such later date permitted by Agent in its discretion)) (i) execute and deliver to the Agent such other documents as the Agent and the Required Lenders shall reasonably deem necessary or advisable to grant to the Agent for its benefit and the benefit of the Lenders, a Lien on such property (other than Excluded Property) subject to no Liens other than Permitted Liens, and (ii) take all actions necessary to cause such Lien to be duly perfected to the extent required hereunder in accordance with all applicable Requirements of Law, including the filing of financing statements in such jurisdictions as may be reasonably requested by the Agent (acting at the direction of the Required Lenders) (other than Excluded Perfection Actions). The Borrower shall otherwise take such actions and execute and/or deliver to the Agent such documents as the Agent (acting at the direction of the Required Lenders) shall require to confirm the validity, perfection and priority of the Lien hereunder on such after-acquired properties (other than Excluded Perfection Actions and other than with respect to Excluded Property).</w:t>
      </w:r>
    </w:p>
    <w:p>
      <w:pPr>
        <w:spacing w:after="0" w:line="176" w:lineRule="exact"/>
        <w:rPr>
          <w:rFonts w:ascii="Times New Roman" w:cs="Times New Roman" w:eastAsia="Times New Roman" w:hAnsi="Times New Roman"/>
          <w:sz w:val="17"/>
          <w:szCs w:val="17"/>
          <w:color w:val="auto"/>
        </w:rPr>
      </w:pPr>
    </w:p>
    <w:p>
      <w:pPr>
        <w:jc w:val="both"/>
        <w:ind w:left="660" w:hanging="4"/>
        <w:spacing w:after="0" w:line="252" w:lineRule="auto"/>
        <w:tabs>
          <w:tab w:leader="none" w:pos="90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possible but in any event within the earlier of (x) twenty (20) days after formation (or such later date permitted by Agent in its sole discretion) after the formation of any new Subsidiary (including any Foreign Subsidiary) of a Credit Party and (y) the date upon which any material assets are transferred to such new Subsidiary or simultaneously with the consummation of an acquisition of any new Subsidiary: (i) deliver to the Agent the original certificates, if any, representing all of the Equity Interests of such Subsidiary (except to the extent constituting Excluded Property), together with undated stock powers in blank or other appropriate instruments of transfer executed and delivered in blank by a duly authorized officer of the holder(s) of such Equity Interests, and all intercompany notes owing from such Subsidiary to any Credit Party together with instruments of transfer executed and delivered in blank by a duly authorized officer of such Credit Party and (ii) cause such new Subsidiary (excluding Excluded Subsidiaries) (A) to execute a Joinder Agreement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or such comparable documentation to become a Grantor and Guarantor under this Agreement, and (B) to take all actions reasonably requested by Agent (at the direction of the Required Lenders) to cause the Lien created hereunder to be duly perfected to the extent required hereunder in accordance with all applicable Requirements of Law, including (x) the execution by Borrower or the applicable Credit Party of a Joinder Agreement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or such comparable documentation to the applicable Pledge Agreement, (y) the filing of financing statements in such jurisdictions as may be reasonably requested by the Agent (at the direction of the Required Lenders), and (z) to the extent such new Subsidiary owns Collateral subject to motor vehicle registration requirements which is located in the United States and has a fair market value in the aggregate in excess of $500,000 and which is not otherwise subject to perfection by the filing of financing statements under clause (y) above, the noting or (having noted) of the Agent’s Lien on all certificates of title of such Collateral (except where such notation is not permitted under the laws of the applicable jurisdiction).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6" w:name="page107"/>
    <w:bookmarkEnd w:id="106"/>
    <w:p>
      <w:pPr>
        <w:jc w:val="both"/>
        <w:ind w:left="660" w:hanging="4"/>
        <w:spacing w:after="0" w:line="253" w:lineRule="auto"/>
        <w:tabs>
          <w:tab w:leader="none" w:pos="9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grant to the Agent, within thirty (30) days of the acquisition thereof (or such later date permitted by Agent in its sole discretion), a security interest in and Mortgage on each Real Property owned in fee by such Credit Party as is acquired by such Credit Party after the Closing Date and that, together with any improvements thereon, individually has a fair market value of at least $1,000,000, as additional security for the Obligations (unless the subject property is already mortgaged to a third party to the extent permitted by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Such Mortgages shall be granted pursuant to documentation reasonably satisfactory in form and substance to the Agent and the Required Lenders and shall constitute valid and enforceable perfected Liens subject only to Permitted Liens or other Liens acceptable to the Agent and the Required Lenders. The Mortgages or instruments related thereto shall be duly recorded or filed in such manner and in such places as are required by law to establish, perfect, preserve and protect the Liens in favor of the Agent required to be granted pursuant to the Mortgages and all taxes, fees and other charges payable in connection therewith shall be paid in full. Such Credit Party shall otherwise take such actions and execute and/or deliver to the Agent such documents as the Agent (at the direction of the Required Lenders) shall require to confirm the validity, perfection and priority of the Lien of any existing Mortgage or new Mortgage against such after-acquired Real Property (including a title insurance policy, a survey and local counsel opinion (each in form and substance reasonably satisfactory to the Agent and the Required Lenders) in respect of such Mortgage).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Equity Interests and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4" w:lineRule="auto"/>
        <w:tabs>
          <w:tab w:leader="none" w:pos="9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Schedules 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10(a)</w:t>
      </w:r>
      <w:r>
        <w:rPr>
          <w:rFonts w:ascii="Times New Roman" w:cs="Times New Roman" w:eastAsia="Times New Roman" w:hAnsi="Times New Roman"/>
          <w:sz w:val="18"/>
          <w:szCs w:val="18"/>
          <w:color w:val="auto"/>
        </w:rPr>
        <w:t xml:space="preserve"> to the Perfection Certificate dated the Closing Date set forth a list of (i) all the Subsidiaries of Holdings and the other Credit Parties and their jurisdictions of organization as of the Closing Date and (ii) the number of each class of its Equity Interests authorized, and the number outstanding, on the Closing Date and the number of shares covered by all outstanding options, warrants, rights of conversion or purchase and similar rights at the Closing Date. All Equity Interests of each Credit Party are duly and validly issued and are fully paid and non-assessable, and, other than the Equity Interests of Holdings, are owned by Holdings, directly or indirectly through Wholly Owned Subsidiaries. Each Credit Party is the record and beneficial owner of, and has good and marketable title to, the Equity Interests pledged by it hereunder, free of any and all Liens, rights or claims of other persons, except the security interest created by the Loan Documents, and there are no outstanding warrants, options or other rights to purchase, or shareholder, voting trust or similar agreements outstanding with respect to, or property that is convertible into, or that requires the issuance or sale of, any such Equity Interests.</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9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 of Third Parties Required</w:t>
      </w:r>
      <w:r>
        <w:rPr>
          <w:rFonts w:ascii="Times New Roman" w:cs="Times New Roman" w:eastAsia="Times New Roman" w:hAnsi="Times New Roman"/>
          <w:sz w:val="18"/>
          <w:szCs w:val="18"/>
          <w:color w:val="auto"/>
        </w:rPr>
        <w:t>. Other than the approval of the Board of Directors of the issuer of the Equity Interests, no consent of any Person including any other general or limited partner, any other member of a limited liability company, any other shareholder or any other trust beneficiary is necessary or reasonably desirable (from the perspective of a secured party) in connection with the creation, perfection or priority status of the security interest of the Agent in any Equity Interests pledged to the Agent for the benefit of the Lenders hereunder or the exercise by the Agent of the voting or other rights provided for hereunder or the exercise of remedies in respect thereof except for such consents as have been obtained.</w:t>
      </w:r>
    </w:p>
    <w:p>
      <w:pPr>
        <w:spacing w:after="0" w:line="187"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Chart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10(a)</w:t>
      </w:r>
      <w:r>
        <w:rPr>
          <w:rFonts w:ascii="Times New Roman" w:cs="Times New Roman" w:eastAsia="Times New Roman" w:hAnsi="Times New Roman"/>
          <w:sz w:val="18"/>
          <w:szCs w:val="18"/>
          <w:color w:val="auto"/>
        </w:rPr>
        <w:t xml:space="preserve"> to the Perfection Certificate or any Perfection Certificate Supplement (whichever was most recently delivered to Agent) sets forth an accurate organizational chart, showing the ownership structure of Holdings, Borrower and each Subsidiary on the Closing Date, and after giving effect to the Transactions, is set forth on </w:t>
      </w:r>
      <w:r>
        <w:rPr>
          <w:rFonts w:ascii="Times New Roman" w:cs="Times New Roman" w:eastAsia="Times New Roman" w:hAnsi="Times New Roman"/>
          <w:sz w:val="18"/>
          <w:szCs w:val="18"/>
          <w:u w:val="single" w:color="auto"/>
          <w:color w:val="auto"/>
        </w:rPr>
        <w:t>Schedule 10(a)</w:t>
      </w:r>
      <w:r>
        <w:rPr>
          <w:rFonts w:ascii="Times New Roman" w:cs="Times New Roman" w:eastAsia="Times New Roman" w:hAnsi="Times New Roman"/>
          <w:sz w:val="18"/>
          <w:szCs w:val="18"/>
          <w:color w:val="auto"/>
        </w:rPr>
        <w:t xml:space="preserve"> to the Perfection Certificate dated the Closing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4" w:lineRule="auto"/>
        <w:tabs>
          <w:tab w:leader="none" w:pos="9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Mortgages</w:t>
      </w:r>
      <w:r>
        <w:rPr>
          <w:rFonts w:ascii="Times New Roman" w:cs="Times New Roman" w:eastAsia="Times New Roman" w:hAnsi="Times New Roman"/>
          <w:sz w:val="18"/>
          <w:szCs w:val="18"/>
          <w:color w:val="auto"/>
        </w:rPr>
        <w:t xml:space="preserve">. Each Mortgage will upon execution and delivery thereof be effective to create, in favor of the Agent, for its benefit and the benefit of the Lenders, legal, valid and enforceable first priority Liens on, and security interests in, all of the Credit Parties’ right, title and interest in and to the mortgaged properties thereunder and the proceeds thereof, subject only to Permitted Liens or other Liens acceptable to the Agent (at the direction of the Required Lenders), and when such Mortgages are filed in the offices specified on </w:t>
      </w:r>
      <w:r>
        <w:rPr>
          <w:rFonts w:ascii="Times New Roman" w:cs="Times New Roman" w:eastAsia="Times New Roman" w:hAnsi="Times New Roman"/>
          <w:sz w:val="18"/>
          <w:szCs w:val="18"/>
          <w:u w:val="single" w:color="auto"/>
          <w:color w:val="auto"/>
        </w:rPr>
        <w:t>Schedule 8(a)</w:t>
      </w:r>
      <w:r>
        <w:rPr>
          <w:rFonts w:ascii="Times New Roman" w:cs="Times New Roman" w:eastAsia="Times New Roman" w:hAnsi="Times New Roman"/>
          <w:sz w:val="18"/>
          <w:szCs w:val="18"/>
          <w:color w:val="auto"/>
        </w:rPr>
        <w:t xml:space="preserve"> to the Perfection Certificate dated the Closing Date (or, in the case of any Mortgage executed and delivered after the date thereof in accordance with the provisions of </w:t>
      </w:r>
      <w:r>
        <w:rPr>
          <w:rFonts w:ascii="Times New Roman" w:cs="Times New Roman" w:eastAsia="Times New Roman" w:hAnsi="Times New Roman"/>
          <w:sz w:val="18"/>
          <w:szCs w:val="18"/>
          <w:u w:val="single" w:color="auto"/>
          <w:color w:val="auto"/>
        </w:rPr>
        <w:t>Sections 3.20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3.27</w:t>
      </w:r>
      <w:r>
        <w:rPr>
          <w:rFonts w:ascii="Times New Roman" w:cs="Times New Roman" w:eastAsia="Times New Roman" w:hAnsi="Times New Roman"/>
          <w:sz w:val="18"/>
          <w:szCs w:val="18"/>
          <w:color w:val="auto"/>
        </w:rPr>
        <w:t xml:space="preserve">, when such Mortgage is filed in the offices specified in the local counsel opinion delivered with respect thereto in accordance with the provisions of </w:t>
      </w:r>
      <w:r>
        <w:rPr>
          <w:rFonts w:ascii="Times New Roman" w:cs="Times New Roman" w:eastAsia="Times New Roman" w:hAnsi="Times New Roman"/>
          <w:sz w:val="18"/>
          <w:szCs w:val="18"/>
          <w:u w:val="single" w:color="auto"/>
          <w:color w:val="auto"/>
        </w:rPr>
        <w:t>Sections 3.20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3.27</w:t>
      </w:r>
      <w:r>
        <w:rPr>
          <w:rFonts w:ascii="Times New Roman" w:cs="Times New Roman" w:eastAsia="Times New Roman" w:hAnsi="Times New Roman"/>
          <w:sz w:val="18"/>
          <w:szCs w:val="18"/>
          <w:color w:val="auto"/>
        </w:rPr>
        <w:t>), such Mortgages shall constitute fully perfected Liens on, and security interests in, all right, title and interest of the Credit Parties in the Mortgaged Properties thereunder and the proceeds thereof, in each case prior and superior in right to any other Person, other than Permitted Liens or other Liens acceptable to the Agent and the Required Lenders.</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4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Liens</w:t>
      </w:r>
      <w:r>
        <w:rPr>
          <w:rFonts w:ascii="Times New Roman" w:cs="Times New Roman" w:eastAsia="Times New Roman" w:hAnsi="Times New Roman"/>
          <w:sz w:val="18"/>
          <w:szCs w:val="18"/>
          <w:color w:val="auto"/>
        </w:rPr>
        <w:t xml:space="preserve">. Each Loan Document, including any such document delivered pursuant to </w:t>
      </w:r>
      <w:r>
        <w:rPr>
          <w:rFonts w:ascii="Times New Roman" w:cs="Times New Roman" w:eastAsia="Times New Roman" w:hAnsi="Times New Roman"/>
          <w:sz w:val="18"/>
          <w:szCs w:val="18"/>
          <w:u w:val="single" w:color="auto"/>
          <w:color w:val="auto"/>
        </w:rPr>
        <w:t>Sections 3.20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3.27</w:t>
      </w:r>
      <w:r>
        <w:rPr>
          <w:rFonts w:ascii="Times New Roman" w:cs="Times New Roman" w:eastAsia="Times New Roman" w:hAnsi="Times New Roman"/>
          <w:sz w:val="18"/>
          <w:szCs w:val="18"/>
          <w:color w:val="auto"/>
        </w:rPr>
        <w:t xml:space="preserve"> will, upon execution and delivery thereof, be effective to create in favor of the Agent, for its benefit and the benefit of the Lenders, legal, valid and enforceable Liens on, and security interests in, all of the Credit Parties’ right, title and interest in and to the Collateral thereunder, and (i) when all appropriate filings or recordings are made in the appropriate offices as may be required under applicable law and</w:t>
      </w:r>
    </w:p>
    <w:p>
      <w:pPr>
        <w:spacing w:after="0" w:line="180" w:lineRule="exact"/>
        <w:rPr>
          <w:sz w:val="20"/>
          <w:szCs w:val="20"/>
          <w:color w:val="auto"/>
        </w:rPr>
      </w:pPr>
    </w:p>
    <w:p>
      <w:pPr>
        <w:jc w:val="both"/>
        <w:ind w:left="660" w:hanging="4"/>
        <w:spacing w:after="0" w:line="261" w:lineRule="auto"/>
        <w:tabs>
          <w:tab w:leader="none" w:pos="93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taking of possession or control by the Agent of such Collateral with respect to which a security interest may be perfected only by possession or control (which possession or control shall be given to the Agent to the extent required hereunder), such Liens will constitute fully perfected Liens on, and security interests in, all right, title and interest of the Credit Parties in such Collateral to the extent perfection may be obtained by such filings, recordings, possession or control, in each case subject to no Liens other than the applicable Permitted Liens.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Equity Line Registration Covenant</w:t>
      </w:r>
      <w:r>
        <w:rPr>
          <w:rFonts w:ascii="Times New Roman" w:cs="Times New Roman" w:eastAsia="Times New Roman" w:hAnsi="Times New Roman"/>
          <w:sz w:val="18"/>
          <w:szCs w:val="18"/>
          <w:color w:val="auto"/>
        </w:rPr>
        <w:t>. The Credit Parties shall use best efforts to (a) file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within thirty (30) days after the Closing Date a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registering the resale of the shares of common stock of Holdings to be issued pursuant to a $150,000,000 committed equity facility on terms substantially similar to those set forth in the letter agreement, dated May 15, 2022, by and among Holdings, Borrower and CCM Investments 5 LLC referred to on Exhibit C to the Commitment Letter, and (b) cause such Registration Statement to become effective within 120 days after the Closing Date. If the Registration Statement does not become effective by the date that is 121 days after the Closing Date, then Holdings shall issue to the Lenders (other than CCM if it is still a Lender on such date) a Warrant ($10 Per Share) exercisable for 200,000 shares of Common Stock in the aggregate on such date. If such Registration Statement has not become effective by the date that is 30 days after such 121st day, Holdings shall issue to the Lenders (other than CCM if it is still a Lender on such date) an additional Warrant ($10 Per Share) exercisable for an additional 200,000 shares of Common Stock on the day that is 30 days after such 121st day, and an additional Warrant ($10 Per Share) exercisable for an additional 200,000 shares of Common Stock on each date that is 30 days thereafter (i.e., the date that is 151 days after the Closing Date, 181 days after the Closing Date, etc.), until the Registration Statement has become effective.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8" w:name="page109"/>
    <w:bookmarkEnd w:id="108"/>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Disclosure Schedule (3.31)</w:t>
      </w:r>
      <w:r>
        <w:rPr>
          <w:rFonts w:ascii="Times New Roman" w:cs="Times New Roman" w:eastAsia="Times New Roman" w:hAnsi="Times New Roman"/>
          <w:sz w:val="18"/>
          <w:szCs w:val="18"/>
          <w:color w:val="auto"/>
        </w:rPr>
        <w:t>, as of the Closing Date, no Credit Party is a party to any contract or agreement with any Governmental Authority and no Credit Party’s Collateral is subject to the Federal Assignment of Claims Act (31 U.S.C. Section 3727) or any similar state or local law.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Customer and Trade Relations</w:t>
      </w:r>
      <w:r>
        <w:rPr>
          <w:rFonts w:ascii="Times New Roman" w:cs="Times New Roman" w:eastAsia="Times New Roman" w:hAnsi="Times New Roman"/>
          <w:sz w:val="18"/>
          <w:szCs w:val="18"/>
          <w:color w:val="auto"/>
        </w:rPr>
        <w:t>. As of the Closing Date, there exists no actual or, to the knowledge of any Credit Party, threatened termination or cancellation of, or since the date of the most recent Financial Statements delivered to Agent, any material adverse modification or change in (a) the business relationship of any Credit Party with any customer or group of customers whose purchases during the preceding twelve (12) calendar months caused them to be ranked among the ten (10) largest customers of such Credit Party or (b) the business relationship of any Credit Party with any supplier essential to its operations.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Bonding; Licenses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Disclosure Schedule (3.33)</w:t>
      </w:r>
      <w:r>
        <w:rPr>
          <w:rFonts w:ascii="Times New Roman" w:cs="Times New Roman" w:eastAsia="Times New Roman" w:hAnsi="Times New Roman"/>
          <w:sz w:val="18"/>
          <w:szCs w:val="18"/>
          <w:color w:val="auto"/>
        </w:rPr>
        <w:t>, as of the Closing Date, no Credit Party is a party to or bound by any surety bond agreement, indemnification agreement therefor or bonding requirement with respect to products or services sold by it.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xml:space="preserve">. No Credit Party is party to any transaction with any Affiliate of the Borrower or of any Subsidiary of the Borrower, except those permitted by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hereof and those set forth on </w:t>
      </w:r>
      <w:r>
        <w:rPr>
          <w:rFonts w:ascii="Times New Roman" w:cs="Times New Roman" w:eastAsia="Times New Roman" w:hAnsi="Times New Roman"/>
          <w:sz w:val="18"/>
          <w:szCs w:val="18"/>
          <w:u w:val="single" w:color="auto"/>
          <w:color w:val="auto"/>
        </w:rPr>
        <w:t>Disclosure Schedule (3.34)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u w:val="single" w:color="auto"/>
          <w:color w:val="auto"/>
        </w:rPr>
        <w:t>Post-Closing Matters</w:t>
      </w:r>
      <w:r>
        <w:rPr>
          <w:rFonts w:ascii="Times New Roman" w:cs="Times New Roman" w:eastAsia="Times New Roman" w:hAnsi="Times New Roman"/>
          <w:sz w:val="18"/>
          <w:szCs w:val="18"/>
          <w:color w:val="auto"/>
        </w:rPr>
        <w:t xml:space="preserve">. The Credit Parties shall deliver to the Agent and the Required Lenders, in form and substance reasonably satisfactory to the Agent, the items (or undertake the efforts) described on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 xml:space="preserve"> on or before the dates specified thereon (or such later date as the Agent may agree in consultation with the Required Lenders).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3.36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Credit Party is an “investment company” or a company “controlled” by an “investment company,” as defined in, or subject to regulation under, the Investment Company Act of 1940.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3.37 </w:t>
      </w:r>
      <w:r>
        <w:rPr>
          <w:rFonts w:ascii="Times New Roman" w:cs="Times New Roman" w:eastAsia="Times New Roman" w:hAnsi="Times New Roman"/>
          <w:sz w:val="18"/>
          <w:szCs w:val="18"/>
          <w:u w:val="single" w:color="auto"/>
          <w:color w:val="auto"/>
        </w:rPr>
        <w:t>Notice of Change in Investment Company Status</w:t>
      </w:r>
      <w:r>
        <w:rPr>
          <w:rFonts w:ascii="Times New Roman" w:cs="Times New Roman" w:eastAsia="Times New Roman" w:hAnsi="Times New Roman"/>
          <w:sz w:val="18"/>
          <w:szCs w:val="18"/>
          <w:color w:val="auto"/>
        </w:rPr>
        <w:t xml:space="preserve">. The Borrower shall provide Agent with prompt written notice of any change with respect to its representation in </w:t>
      </w:r>
      <w:r>
        <w:rPr>
          <w:rFonts w:ascii="Times New Roman" w:cs="Times New Roman" w:eastAsia="Times New Roman" w:hAnsi="Times New Roman"/>
          <w:sz w:val="18"/>
          <w:szCs w:val="18"/>
          <w:u w:val="single" w:color="auto"/>
          <w:color w:val="auto"/>
        </w:rPr>
        <w:t>Section 3.37</w:t>
      </w:r>
      <w:r>
        <w:rPr>
          <w:rFonts w:ascii="Times New Roman" w:cs="Times New Roman" w:eastAsia="Times New Roman" w:hAnsi="Times New Roman"/>
          <w:sz w:val="18"/>
          <w:szCs w:val="18"/>
          <w:color w:val="auto"/>
        </w:rPr>
        <w:t xml:space="preserve"> above, but in no event later than fifteen (15) days following any such change.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3.38 </w:t>
      </w:r>
      <w:r>
        <w:rPr>
          <w:rFonts w:ascii="Times New Roman" w:cs="Times New Roman" w:eastAsia="Times New Roman" w:hAnsi="Times New Roman"/>
          <w:sz w:val="18"/>
          <w:szCs w:val="18"/>
          <w:u w:val="single" w:color="auto"/>
          <w:color w:val="auto"/>
        </w:rPr>
        <w:t>Notice of Change in Ownership</w:t>
      </w:r>
      <w:r>
        <w:rPr>
          <w:rFonts w:ascii="Times New Roman" w:cs="Times New Roman" w:eastAsia="Times New Roman" w:hAnsi="Times New Roman"/>
          <w:sz w:val="18"/>
          <w:szCs w:val="18"/>
          <w:color w:val="auto"/>
        </w:rPr>
        <w:t>. The Borrower shall provide Agent with an updated, accurate and complete capitalization table reflecting all of the direct and indirect owners of each Credit Party (other than Holdings) (including the applicable ownership percentages) (a “</w:t>
      </w:r>
      <w:r>
        <w:rPr>
          <w:rFonts w:ascii="Times New Roman" w:cs="Times New Roman" w:eastAsia="Times New Roman" w:hAnsi="Times New Roman"/>
          <w:sz w:val="18"/>
          <w:szCs w:val="18"/>
          <w:b w:val="1"/>
          <w:bCs w:val="1"/>
          <w:color w:val="auto"/>
        </w:rPr>
        <w:t>Cap Table</w:t>
      </w:r>
      <w:r>
        <w:rPr>
          <w:rFonts w:ascii="Times New Roman" w:cs="Times New Roman" w:eastAsia="Times New Roman" w:hAnsi="Times New Roman"/>
          <w:sz w:val="18"/>
          <w:szCs w:val="18"/>
          <w:color w:val="auto"/>
        </w:rPr>
        <w:t>”) within seven (7) Business Days following a change in ownership of any Credit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3.39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9" w:name="page110"/>
    <w:bookmarkEnd w:id="109"/>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3.40 </w:t>
      </w:r>
      <w:r>
        <w:rPr>
          <w:rFonts w:ascii="Times New Roman" w:cs="Times New Roman" w:eastAsia="Times New Roman" w:hAnsi="Times New Roman"/>
          <w:sz w:val="18"/>
          <w:szCs w:val="18"/>
          <w:u w:val="single" w:color="auto"/>
          <w:color w:val="auto"/>
        </w:rPr>
        <w:t>ESG Data</w:t>
      </w:r>
      <w:r>
        <w:rPr>
          <w:rFonts w:ascii="Times New Roman" w:cs="Times New Roman" w:eastAsia="Times New Roman" w:hAnsi="Times New Roman"/>
          <w:sz w:val="18"/>
          <w:szCs w:val="18"/>
          <w:color w:val="auto"/>
        </w:rPr>
        <w:t>. The Credit Parties shall use their reasonable efforts to cooperate with the Agent to assess and incorporate ESG Data collected hereunder into Lead Arranger’s annual ESG impact measurement report (including, following the discharge in full of the Obligations hereunder, with respect to the report for any year during which any Obligations were outstanding), to assess the Borrower’s ESG performance on an annual basis and to consult with Lead Arranger to improve Borrower’s ESG performance.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3.41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Borrower has heretofore furnished to each Lender a true and correct copy of the Merger Agreement, material Acquisition Documents and any amendments or waivers thereto. Each Loan Party has duly taken all necessary corporate, partnership or other organizational action, and, if applicable, equity holder action, to authorize the execution, delivery and performance of the Merger Agreement, the Acquisition Documents and the consummation of transactions contemplated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MATTERS; REPORTS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Reports and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Parties shall furnish to the Agent and each Lender:</w:t>
      </w:r>
    </w:p>
    <w:p>
      <w:pPr>
        <w:spacing w:after="0" w:line="225" w:lineRule="exact"/>
        <w:rPr>
          <w:sz w:val="20"/>
          <w:szCs w:val="20"/>
          <w:color w:val="auto"/>
        </w:rPr>
      </w:pPr>
    </w:p>
    <w:p>
      <w:pPr>
        <w:jc w:val="both"/>
        <w:ind w:left="660" w:hanging="4"/>
        <w:spacing w:after="0" w:line="254" w:lineRule="auto"/>
        <w:tabs>
          <w:tab w:leader="none" w:pos="90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Reports</w:t>
      </w:r>
      <w:r>
        <w:rPr>
          <w:rFonts w:ascii="Times New Roman" w:cs="Times New Roman" w:eastAsia="Times New Roman" w:hAnsi="Times New Roman"/>
          <w:sz w:val="18"/>
          <w:szCs w:val="18"/>
          <w:color w:val="auto"/>
        </w:rPr>
        <w:t>. Within thirty (30) days after the last day of each Fiscal Month of the Credit Parties, the balance sheets of the Credit Parties and their Subsidiaries on a consolidated basis as at the end of such Fiscal Month and as of the end of the preceding Fiscal Year, and the related statements of operations, the related statements of profits and losses and related statements of cash flows of the Credit Parties and their Subsidiaries on a consolidated basis for such Fiscal Month and for the elapsed portion of the Fiscal Year ended with the last day of such Fiscal Month, which shall set forth in comparative form such figures as at the end of and for such Fiscal Month and appropriate prior period and shall be certified by the Chief Financial Officer of the Borrower to have been prepared in accordance with GAAP and to present fairly in all material respects the financial position of the Credit Parties and their Subsidiaries on a consolidated basis as at the end of such period and the results of operations for such period, and for the elapsed portion of the Fiscal Year ended with the last day of such period, subject only to normal year-end and audit adjustments and the absence of footnotes;</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0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Reports</w:t>
      </w:r>
      <w:r>
        <w:rPr>
          <w:rFonts w:ascii="Times New Roman" w:cs="Times New Roman" w:eastAsia="Times New Roman" w:hAnsi="Times New Roman"/>
          <w:sz w:val="18"/>
          <w:szCs w:val="18"/>
          <w:color w:val="auto"/>
        </w:rPr>
        <w:t>. Within one hundred twenty (120) days after the end of each Fiscal Year of the Credit Parties, the audited consolidated balance sheet of the Credit Parties and their Subsidiaries as of the end of such Fiscal Year and the related audited consolidated statements of operations for such Fiscal Year and for the previous Fiscal Year, the related audited consolidated statements of profits and losses and the related audited consolidated statements of cash flows and stockholders’ equity for such Fiscal Year and for the previous Fiscal Year, which shall be accompanied by an opinion, without a going concern or similar qualification or an exception as to scope (except for any such qualification pertaining to any breach or anticipated breach of any financial covenant), prepared by an independent certified public accountant of recognized national standing reasonably acceptable to Agent and the Required Lenders;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0" w:name="page111"/>
    <w:bookmarkEnd w:id="110"/>
    <w:p>
      <w:pPr>
        <w:jc w:val="both"/>
        <w:ind w:left="4" w:hanging="4"/>
        <w:spacing w:after="0" w:line="266" w:lineRule="auto"/>
        <w:tabs>
          <w:tab w:leader="none" w:pos="25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Officer’s Certificate</w:t>
      </w:r>
      <w:r>
        <w:rPr>
          <w:rFonts w:ascii="Times New Roman" w:cs="Times New Roman" w:eastAsia="Times New Roman" w:hAnsi="Times New Roman"/>
          <w:sz w:val="18"/>
          <w:szCs w:val="18"/>
          <w:color w:val="auto"/>
        </w:rPr>
        <w:t xml:space="preserve">. (i) Within 45 days after the end of each Fiscal Quarter, and (ii) at the time the financial statements are furnished pursuant to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a Compliance Certificate in the form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executed by a Responsible Officer of the Borrower as to the financial performance of the Credit Parties;</w:t>
      </w:r>
    </w:p>
    <w:p>
      <w:pPr>
        <w:spacing w:after="0" w:line="175" w:lineRule="exact"/>
        <w:rPr>
          <w:rFonts w:ascii="Times New Roman" w:cs="Times New Roman" w:eastAsia="Times New Roman" w:hAnsi="Times New Roman"/>
          <w:sz w:val="18"/>
          <w:szCs w:val="18"/>
          <w:color w:val="auto"/>
        </w:rPr>
      </w:pPr>
    </w:p>
    <w:p>
      <w:pPr>
        <w:jc w:val="both"/>
        <w:ind w:left="4" w:right="20" w:hanging="4"/>
        <w:spacing w:after="0" w:line="266" w:lineRule="auto"/>
        <w:tabs>
          <w:tab w:leader="none" w:pos="24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Statements</w:t>
      </w:r>
      <w:r>
        <w:rPr>
          <w:rFonts w:ascii="Times New Roman" w:cs="Times New Roman" w:eastAsia="Times New Roman" w:hAnsi="Times New Roman"/>
          <w:sz w:val="18"/>
          <w:szCs w:val="18"/>
          <w:color w:val="auto"/>
        </w:rPr>
        <w:t>. Monthly bank statements of the Credit Parties for each Fiscal Month shall be delivered to the Agent within five (5) Business Days after the later of the end of each Fiscal Month and the date on which such statements are made available to the Borrower from the applicable bank.</w:t>
      </w:r>
    </w:p>
    <w:p>
      <w:pPr>
        <w:spacing w:after="0" w:line="175" w:lineRule="exact"/>
        <w:rPr>
          <w:rFonts w:ascii="Times New Roman" w:cs="Times New Roman" w:eastAsia="Times New Roman" w:hAnsi="Times New Roman"/>
          <w:sz w:val="18"/>
          <w:szCs w:val="18"/>
          <w:color w:val="auto"/>
        </w:rPr>
      </w:pPr>
    </w:p>
    <w:p>
      <w:pPr>
        <w:jc w:val="both"/>
        <w:ind w:left="4" w:hanging="4"/>
        <w:spacing w:after="0" w:line="258" w:lineRule="auto"/>
        <w:tabs>
          <w:tab w:leader="none" w:pos="22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Update Meetings</w:t>
      </w:r>
      <w:r>
        <w:rPr>
          <w:rFonts w:ascii="Times New Roman" w:cs="Times New Roman" w:eastAsia="Times New Roman" w:hAnsi="Times New Roman"/>
          <w:sz w:val="18"/>
          <w:szCs w:val="18"/>
          <w:color w:val="auto"/>
        </w:rPr>
        <w:t>. Borrower shall, if requested by Agent (at the direction of the Required Lenders), participate (and cause its officers to participate) in a meeting of, or a conference call with, the Agent (or its designee so long as such designee is bound by a confidentiality agreement) and the Lenders (which, absent the occurrence and continuation of an Event of Default, shall not occur more than once during each Fiscal Quarter) to be held at a location and at a time as may be reasonably agreed to by the Borrower, the Agent and the Lenders; provided that such meetings shall be held in-person no more than once per year.</w:t>
      </w:r>
    </w:p>
    <w:p>
      <w:pPr>
        <w:spacing w:after="0" w:line="183"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Responsible Officer’s Certificate Regarding Collateral</w:t>
      </w:r>
      <w:r>
        <w:rPr>
          <w:rFonts w:ascii="Times New Roman" w:cs="Times New Roman" w:eastAsia="Times New Roman" w:hAnsi="Times New Roman"/>
          <w:sz w:val="18"/>
          <w:szCs w:val="18"/>
          <w:color w:val="auto"/>
        </w:rPr>
        <w:t>. Within forty-five (45) days of the end of each_Fiscal Quarter, a certificate of a Responsible Officer setting forth the information required pursuant to the Perfection Certificate Supplement or confirming that there has been no change in such information since the date of the Perfection Certificate or latest Perfection Certificate Supplement;</w:t>
      </w:r>
    </w:p>
    <w:p>
      <w:pPr>
        <w:spacing w:after="0" w:line="175" w:lineRule="exact"/>
        <w:rPr>
          <w:rFonts w:ascii="Times New Roman" w:cs="Times New Roman" w:eastAsia="Times New Roman" w:hAnsi="Times New Roman"/>
          <w:sz w:val="18"/>
          <w:szCs w:val="18"/>
          <w:color w:val="auto"/>
        </w:rPr>
      </w:pPr>
    </w:p>
    <w:p>
      <w:pPr>
        <w:jc w:val="both"/>
        <w:ind w:left="4" w:hanging="4"/>
        <w:spacing w:after="0" w:line="258" w:lineRule="auto"/>
        <w:tabs>
          <w:tab w:leader="none" w:pos="2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Reports</w:t>
      </w:r>
      <w:r>
        <w:rPr>
          <w:rFonts w:ascii="Times New Roman" w:cs="Times New Roman" w:eastAsia="Times New Roman" w:hAnsi="Times New Roman"/>
          <w:sz w:val="18"/>
          <w:szCs w:val="18"/>
          <w:color w:val="auto"/>
        </w:rPr>
        <w:t>. Promptly after the same become publicly available, copies of all periodic and other reports, proxy statements and other materials filed by any Credit Party with any provincial securities commission or the Securities and Exchange Commission, or any Governmental Authority succeeding to any or all of the functions of said commissions, or with any national securities exchange, or distributed to shareholders or holders of its Indebtedness pursuant to the terms of the documentation governing such Indebtedness (or any trustee, agent or other representative therefor), as the case may be;</w:t>
      </w:r>
    </w:p>
    <w:p>
      <w:pPr>
        <w:spacing w:after="0" w:line="183" w:lineRule="exact"/>
        <w:rPr>
          <w:rFonts w:ascii="Times New Roman" w:cs="Times New Roman" w:eastAsia="Times New Roman" w:hAnsi="Times New Roman"/>
          <w:sz w:val="18"/>
          <w:szCs w:val="18"/>
          <w:color w:val="auto"/>
        </w:rPr>
      </w:pPr>
    </w:p>
    <w:p>
      <w:pPr>
        <w:ind w:left="4" w:hanging="4"/>
        <w:spacing w:after="0" w:line="282" w:lineRule="auto"/>
        <w:tabs>
          <w:tab w:leader="none" w:pos="21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Letters</w:t>
      </w:r>
      <w:r>
        <w:rPr>
          <w:rFonts w:ascii="Times New Roman" w:cs="Times New Roman" w:eastAsia="Times New Roman" w:hAnsi="Times New Roman"/>
          <w:sz w:val="18"/>
          <w:szCs w:val="18"/>
          <w:color w:val="auto"/>
        </w:rPr>
        <w:t>. Promptly after the receipt thereof by any Credit Party, a copy of any “management letter” received by any such Person from its independent chartered accountants and the management’s responses thereto;</w:t>
      </w:r>
    </w:p>
    <w:p>
      <w:pPr>
        <w:spacing w:after="0" w:line="161" w:lineRule="exact"/>
        <w:rPr>
          <w:rFonts w:ascii="Times New Roman" w:cs="Times New Roman" w:eastAsia="Times New Roman" w:hAnsi="Times New Roman"/>
          <w:sz w:val="18"/>
          <w:szCs w:val="18"/>
          <w:color w:val="auto"/>
        </w:rPr>
      </w:pPr>
    </w:p>
    <w:p>
      <w:pPr>
        <w:jc w:val="both"/>
        <w:ind w:left="4" w:hanging="4"/>
        <w:spacing w:after="0" w:line="256" w:lineRule="auto"/>
        <w:tabs>
          <w:tab w:leader="none" w:pos="2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Budgets</w:t>
      </w:r>
      <w:r>
        <w:rPr>
          <w:rFonts w:ascii="Times New Roman" w:cs="Times New Roman" w:eastAsia="Times New Roman" w:hAnsi="Times New Roman"/>
          <w:sz w:val="18"/>
          <w:szCs w:val="18"/>
          <w:color w:val="auto"/>
        </w:rPr>
        <w:t>. Within 45 days after the beginning of each Fiscal Year, a consolidated budget for Holdings in form reasonably satisfactory to the Agent and the Required Lenders, but to include balance sheets, statements of income and sources and uses of cash, and projected Liquidity on a consolidated basis, for each month of such Fiscal Year prepared in reasonable detail with appropriate presentation and discussion of the principal assumptions upon which such budgets are based, accompanied by the statement of a Financial Officer of Holdings to the effect that each budget has been prepared in good faith and based on assumptions believed to be reasonable and, promptly when available, any significant revisions of such budget;</w:t>
      </w:r>
    </w:p>
    <w:p>
      <w:pPr>
        <w:spacing w:after="0" w:line="18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11" w:name="page112"/>
    <w:bookmarkEnd w:id="111"/>
    <w:p>
      <w:pPr>
        <w:jc w:val="both"/>
        <w:ind w:left="4" w:hanging="4"/>
        <w:spacing w:after="0" w:line="266" w:lineRule="auto"/>
        <w:tabs>
          <w:tab w:leader="none" w:pos="28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xml:space="preserve">. Within 45 days after the end of each Fiscal Quarter, an accurate Organizational Chart, showing the ownership structure of Holdings, Borrower and each Subsidiary as of the date of delivery, or confirmation that there are no changes to </w:t>
      </w:r>
      <w:r>
        <w:rPr>
          <w:rFonts w:ascii="Times New Roman" w:cs="Times New Roman" w:eastAsia="Times New Roman" w:hAnsi="Times New Roman"/>
          <w:sz w:val="18"/>
          <w:szCs w:val="18"/>
          <w:u w:val="single" w:color="auto"/>
          <w:color w:val="auto"/>
        </w:rPr>
        <w:t>Schedule 10(a)</w:t>
      </w:r>
      <w:r>
        <w:rPr>
          <w:rFonts w:ascii="Times New Roman" w:cs="Times New Roman" w:eastAsia="Times New Roman" w:hAnsi="Times New Roman"/>
          <w:sz w:val="18"/>
          <w:szCs w:val="18"/>
          <w:color w:val="auto"/>
        </w:rPr>
        <w:t xml:space="preserve"> to the Perfection Certificate dated the Closing Date (or the date that an updated organizational chart was most recently provided to Agent);</w:t>
      </w:r>
    </w:p>
    <w:p>
      <w:pPr>
        <w:spacing w:after="0" w:line="175"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1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xml:space="preserve">. Concurrently with any delivery of Financial Statements under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provide copies of any Organizational Documents that have been amended or modified in accordance with the terms hereof and any notice of default given or received by any Credit Party under any Organizational Document during such Fiscal Month;</w:t>
      </w:r>
    </w:p>
    <w:p>
      <w:pPr>
        <w:spacing w:after="0" w:line="175"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30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xml:space="preserve"> At any time after the occurrence of a Default promptly upon the request of the Agent (at the direction of the Required Lenders), an appraisal report performed at the expense of Borrower by a nationally recognized appraiser satisfactory to Agent, setting forth in reasonable detail the orderly liquidation value of the Collateral;</w:t>
      </w:r>
    </w:p>
    <w:p>
      <w:pPr>
        <w:spacing w:after="0" w:line="175" w:lineRule="exact"/>
        <w:rPr>
          <w:rFonts w:ascii="Times New Roman" w:cs="Times New Roman" w:eastAsia="Times New Roman" w:hAnsi="Times New Roman"/>
          <w:sz w:val="18"/>
          <w:szCs w:val="18"/>
          <w:color w:val="auto"/>
        </w:rPr>
      </w:pPr>
    </w:p>
    <w:p>
      <w:pPr>
        <w:jc w:val="both"/>
        <w:ind w:left="4" w:hanging="4"/>
        <w:spacing w:after="0" w:line="256" w:lineRule="auto"/>
        <w:tabs>
          <w:tab w:leader="none" w:pos="25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ESG Reporting</w:t>
      </w:r>
      <w:r>
        <w:rPr>
          <w:rFonts w:ascii="Times New Roman" w:cs="Times New Roman" w:eastAsia="Times New Roman" w:hAnsi="Times New Roman"/>
          <w:sz w:val="18"/>
          <w:szCs w:val="18"/>
          <w:color w:val="auto"/>
        </w:rPr>
        <w:t>. (i) As soon as available, but in any event, within forty-five (45) days after the end of each Fiscal Year in which the Obligations remain outstanding (including, following the discharge in full of the Obligations hereunder, with respect to the Fiscal Year that includes the last date on which any Obligations are outstanding), the Credit Parties shall use commercially reasonable efforts to collect and provide Agent with such ESG Data of Borrower and Credit Parties for its most recently ended Fiscal Year as Agent or the Required Lenders may reasonably request, and (ii) promptly upon becoming available, copies of any reports that include ESG Data with respect to the Credit Parties, including in connection with any on-going projects and construction;</w:t>
      </w:r>
    </w:p>
    <w:p>
      <w:pPr>
        <w:spacing w:after="0" w:line="18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5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Observers</w:t>
      </w:r>
      <w:r>
        <w:rPr>
          <w:rFonts w:ascii="Times New Roman" w:cs="Times New Roman" w:eastAsia="Times New Roman" w:hAnsi="Times New Roman"/>
          <w:sz w:val="18"/>
          <w:szCs w:val="18"/>
          <w:color w:val="auto"/>
        </w:rPr>
        <w:t xml:space="preserve">. Each of the two Lenders holding the two largest Term Loan Commitments (or the two largest aggregate outstanding Term Loans if the Term Loan Commitments are no longer in effect) will each have the right to designate a single non-voting representative to attend all meetings of the Board of Directors of any Credit Party, and will receive all information related to those meetings (including any reports or documents, if any, that are prepared for review by the Board of Directors at the same time as any members of the Board of Directors receive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observer may be required to leave, or not be allowed to attend, any meetings or portion thereof, and information or reports may be withheld (or parts thereof redacted), if the members of the applicable Board of Directors, by majority vote, reasonably believe</w:t>
      </w:r>
    </w:p>
    <w:p>
      <w:pPr>
        <w:spacing w:after="0" w:line="5"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2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conflict of interest or waiver of a privilege arises or may arise in connection with the issues being discussed at such meetings or contained in such information or reports, (ii) the failure to withhold such information or exclude such representative would reasonably be expected to cause the Board of Directors to breach its fiduciary duties, or (iii) that withholding such information or such exclusion is reasonably necessary to protect trade secrets. The Borrower shall reimburse the Lenders’ representatives for the reasonable costs of attending such meetings. For purposes of calculation of the Term Loan holdings of the Lenders under this clause (o), a Lender and any of its Affiliates that are also a Lender, and their respective Term Loan Commitments and/or holdings of the Term Loan, shall be deemed to be a single Lender with a single consolidated Term Loan Commitment and/or holding a single consolidated Term Loan; and</w:t>
      </w:r>
    </w:p>
    <w:p>
      <w:pPr>
        <w:spacing w:after="0" w:line="18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12" w:name="page113"/>
    <w:bookmarkEnd w:id="112"/>
    <w:p>
      <w:pPr>
        <w:jc w:val="both"/>
        <w:ind w:left="660" w:hanging="4"/>
        <w:spacing w:after="0" w:line="258" w:lineRule="auto"/>
        <w:tabs>
          <w:tab w:leader="none" w:pos="9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Promptly, from time to time, such other reports and information regarding the Collateral, operations, business affairs, financial condition or management of any Credit Party, or compliance with the terms of any Loan Document, as the Agent or any Lender may reasonably request, all in reasonable detail; any such material may be redacted by such Credit Party to (i) exclude information relating to the performance of the Agent or any Lender hereunder or to the Borrower’s strategy regarding the Term Loans (including any potential refinancing thereof), or (ii) preserve attorney-client privilege.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Section 4.1 (to the extent any such documents are included in materials otherwise filed with the SEC) may be delivered electronically and if so delivered, shall be deemed to have been delivered on the date (a) on which Holdings posts such documents, or provides a link thereto on Borrower’s website on the internet at the website address listed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or (b) on which such documents are posted on Holdings’ behalf on an internet or intranet website, if any, to which each Lender and the Agent has access (whether a commercial, third-party website or whether sponsored by the Agent); provided that Borrower shall deliver paper copies of such documents to the Agent or any Lender upon its request to Borrower to deliver such paper copies until a written request to cease delivering paper copies is given by the Agent or such Lender. The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61" w:lineRule="auto"/>
        <w:tabs>
          <w:tab w:leader="none" w:pos="90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Senior Leverage Ratio</w:t>
      </w:r>
      <w:r>
        <w:rPr>
          <w:rFonts w:ascii="Times New Roman" w:cs="Times New Roman" w:eastAsia="Times New Roman" w:hAnsi="Times New Roman"/>
          <w:sz w:val="18"/>
          <w:szCs w:val="18"/>
          <w:color w:val="auto"/>
        </w:rPr>
        <w:t>. If (i) Liquidity (Average) for any Fiscal Quarter ending on December 31, 2022, March 31, 2023, June 30, 2023, or September 30, 2023 is less than $17,500,000 or (ii) for any Fiscal Quarter thereafter (commencing with the Fiscal Quarter ending December 31, 2023), Credit Parties shall not permit the Senior Leverage Ratio, as of the last day of any Fiscal Quarter ending during any period set forth below, to exceed the ratio set forth opposite such period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420" w:type="dxa"/>
            <w:vAlign w:val="bottom"/>
          </w:tcPr>
          <w:p>
            <w:pPr>
              <w:spacing w:after="0"/>
              <w:rPr>
                <w:sz w:val="22"/>
                <w:szCs w:val="22"/>
                <w:color w:val="auto"/>
              </w:rPr>
            </w:pPr>
          </w:p>
        </w:tc>
        <w:tc>
          <w:tcPr>
            <w:tcW w:w="39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Test Period Ending</w:t>
            </w:r>
          </w:p>
        </w:tc>
        <w:tc>
          <w:tcPr>
            <w:tcW w:w="22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1400" w:type="dxa"/>
            <w:vAlign w:val="bottom"/>
          </w:tcPr>
          <w:p>
            <w:pPr>
              <w:spacing w:after="0"/>
              <w:rPr>
                <w:sz w:val="22"/>
                <w:szCs w:val="22"/>
                <w:color w:val="auto"/>
              </w:rPr>
            </w:pPr>
          </w:p>
        </w:tc>
      </w:tr>
      <w:tr>
        <w:trPr>
          <w:trHeight w:val="198"/>
        </w:trPr>
        <w:tc>
          <w:tcPr>
            <w:tcW w:w="1420" w:type="dxa"/>
            <w:vAlign w:val="bottom"/>
          </w:tcPr>
          <w:p>
            <w:pPr>
              <w:spacing w:after="0"/>
              <w:rPr>
                <w:sz w:val="17"/>
                <w:szCs w:val="17"/>
                <w:color w:val="auto"/>
              </w:rPr>
            </w:pPr>
          </w:p>
        </w:tc>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December 31, 2022 – March 31, 2023</w:t>
            </w: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6.75 to 1.00</w:t>
            </w:r>
          </w:p>
        </w:tc>
        <w:tc>
          <w:tcPr>
            <w:tcW w:w="1400" w:type="dxa"/>
            <w:vAlign w:val="bottom"/>
          </w:tcPr>
          <w:p>
            <w:pPr>
              <w:spacing w:after="0"/>
              <w:rPr>
                <w:sz w:val="17"/>
                <w:szCs w:val="17"/>
                <w:color w:val="auto"/>
              </w:rPr>
            </w:pPr>
          </w:p>
        </w:tc>
      </w:tr>
      <w:tr>
        <w:trPr>
          <w:trHeight w:val="216"/>
        </w:trPr>
        <w:tc>
          <w:tcPr>
            <w:tcW w:w="1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June 30, 2023 – September 30, 2023</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6.00 to 1.00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 – March 31, 2024</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 to 1.00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June 30, 2024 – September 30, 2024</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 to 1.00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 – March 31, 2025</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140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June 30, 2025 and thereafter</w:t>
            </w: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 to 1.00</w:t>
            </w:r>
          </w:p>
        </w:tc>
        <w:tc>
          <w:tcPr>
            <w:tcW w:w="1400" w:type="dxa"/>
            <w:vAlign w:val="bottom"/>
          </w:tcPr>
          <w:p>
            <w:pPr>
              <w:spacing w:after="0"/>
              <w:rPr>
                <w:sz w:val="20"/>
                <w:szCs w:val="20"/>
                <w:color w:val="auto"/>
              </w:rPr>
            </w:pPr>
          </w:p>
        </w:tc>
      </w:tr>
      <w:tr>
        <w:trPr>
          <w:trHeight w:val="439"/>
        </w:trPr>
        <w:tc>
          <w:tcPr>
            <w:tcW w:w="14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83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13" w:name="page114"/>
    <w:bookmarkEnd w:id="113"/>
    <w:p>
      <w:pPr>
        <w:jc w:val="both"/>
        <w:ind w:left="4" w:hanging="4"/>
        <w:spacing w:after="0" w:line="266"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The Credit Parties shall not permit their Liquidity (determined on a consolidated basis) to be less than (i) $3,500,000 as of the last day of the Fiscal Month ending June 30, 2024 and (ii) $10,000,000 as of the last day of each Fiscal Month thereafter (commencing with the Fiscal Month ending July 31, 2022).</w:t>
      </w:r>
    </w:p>
    <w:p>
      <w:pPr>
        <w:spacing w:after="0" w:line="175"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6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If Liquidity is less than $15,000,000 as of the last day of any Fiscal Quarter (commencing with the Fiscal Quarter ending December 31, 2022), then the Credit Parties shall not permit the Fixed Charge Coverage Ratio for the trailing four (4) Fiscal Quarter period ending on the last day of any such Fiscal Quarter to be less than 1.15:1.00.</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Capital Expenditure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4"/>
        <w:spacing w:after="0" w:line="258" w:lineRule="auto"/>
        <w:tabs>
          <w:tab w:leader="none" w:pos="87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clause (ii) immediately below and except for such Capital Expenditures set forth on </w:t>
      </w:r>
      <w:r>
        <w:rPr>
          <w:rFonts w:ascii="Times New Roman" w:cs="Times New Roman" w:eastAsia="Times New Roman" w:hAnsi="Times New Roman"/>
          <w:sz w:val="18"/>
          <w:szCs w:val="18"/>
          <w:u w:val="single" w:color="auto"/>
          <w:color w:val="auto"/>
        </w:rPr>
        <w:t>Schedule 4.2(d</w:t>
      </w:r>
      <w:r>
        <w:rPr>
          <w:rFonts w:ascii="Times New Roman" w:cs="Times New Roman" w:eastAsia="Times New Roman" w:hAnsi="Times New Roman"/>
          <w:sz w:val="18"/>
          <w:szCs w:val="18"/>
          <w:color w:val="auto"/>
        </w:rPr>
        <w:t>) (it being acknowledged that the dates set forth in Schedule 4.2(d) are estimates only and are not binding), if the Consolidated EBITDA for the trailing twelve (12) Fiscal Month period ending on the last day of the most recently completed Fiscal Quarter is less than $15,000,000, the Credit Parties shall not make and shall not cause or permit their Subsidiaries to make Capital Expenditures in the immediately succeeding Fiscal Quarter in excess of $500,000.</w:t>
      </w:r>
    </w:p>
    <w:p>
      <w:pPr>
        <w:spacing w:after="0" w:line="183" w:lineRule="exact"/>
        <w:rPr>
          <w:rFonts w:ascii="Times New Roman" w:cs="Times New Roman" w:eastAsia="Times New Roman" w:hAnsi="Times New Roman"/>
          <w:sz w:val="18"/>
          <w:szCs w:val="18"/>
          <w:color w:val="auto"/>
        </w:rPr>
      </w:pPr>
    </w:p>
    <w:p>
      <w:pPr>
        <w:jc w:val="both"/>
        <w:ind w:left="644" w:firstLine="4"/>
        <w:spacing w:after="0" w:line="258" w:lineRule="auto"/>
        <w:tabs>
          <w:tab w:leader="none" w:pos="91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Capital Expenditures permitted to be made in accordance with clause (i) immediately above, the Credit Parties may use an amount equal to 50% of the Net Cash Proceeds of any Equity Issuances for the purposes of making additional Capital Expenditures during the period commencing on the date of receipt of such Capital Expenditures and ending 365 days thereafter with the remaining 25% of the Net Cash Proceeds (after application of the first 25% of such Net Cash Proceeds being applied to Mandatory Prepayments pursuant to </w:t>
      </w:r>
      <w:r>
        <w:rPr>
          <w:rFonts w:ascii="Times New Roman" w:cs="Times New Roman" w:eastAsia="Times New Roman" w:hAnsi="Times New Roman"/>
          <w:sz w:val="18"/>
          <w:szCs w:val="18"/>
          <w:u w:val="single" w:color="auto"/>
          <w:color w:val="auto"/>
        </w:rPr>
        <w:t>Section 1.2(e))</w:t>
      </w:r>
      <w:r>
        <w:rPr>
          <w:rFonts w:ascii="Times New Roman" w:cs="Times New Roman" w:eastAsia="Times New Roman" w:hAnsi="Times New Roman"/>
          <w:sz w:val="18"/>
          <w:szCs w:val="18"/>
          <w:color w:val="auto"/>
        </w:rPr>
        <w:t xml:space="preserve"> to be used for working capital purposes (other than Capital Expenditures);</w:t>
      </w:r>
    </w:p>
    <w:p>
      <w:pPr>
        <w:spacing w:after="0" w:line="181" w:lineRule="exact"/>
        <w:rPr>
          <w:sz w:val="20"/>
          <w:szCs w:val="20"/>
          <w:color w:val="auto"/>
        </w:rPr>
      </w:pPr>
    </w:p>
    <w:p>
      <w:pPr>
        <w:ind w:left="644"/>
        <w:spacing w:after="0" w:line="284"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Required Lenders may approve, in their sole discretion, additional Capital Expenditures by providing prior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w:t>
      </w:r>
    </w:p>
    <w:p>
      <w:pPr>
        <w:spacing w:after="0" w:line="16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14" w:name="page115"/>
    <w:bookmarkEnd w:id="11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Other Reports and Information</w:t>
      </w:r>
      <w:r>
        <w:rPr>
          <w:rFonts w:ascii="Times New Roman" w:cs="Times New Roman" w:eastAsia="Times New Roman" w:hAnsi="Times New Roman"/>
          <w:sz w:val="18"/>
          <w:szCs w:val="18"/>
          <w:color w:val="auto"/>
        </w:rPr>
        <w:t>. The Grantors shall advise Agent in reasonable detail promptly after becoming aware of: (a) any Lien, other than Permitted Liens, attaching to or asserted against any of the Collateral or any occurrence of any Casualty Event with respect to the Collateral where the loss exceeds $750,000 and the estimated (or actual, if available) amount of such loss; and (b) the occurrence of any Default or other event that has had or could reasonably be expected to have a Material Adverse Effect.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Notices under Subordinated Loan Documents</w:t>
      </w:r>
      <w:r>
        <w:rPr>
          <w:rFonts w:ascii="Times New Roman" w:cs="Times New Roman" w:eastAsia="Times New Roman" w:hAnsi="Times New Roman"/>
          <w:sz w:val="18"/>
          <w:szCs w:val="18"/>
          <w:color w:val="auto"/>
        </w:rPr>
        <w:t>. The Credit Parties shall provide to Agent promptly, but no later than three (3) Business Days after receipt thereof (a) any notice from the holder of the Subordinated Debt that a default or event of default has occurred under the Subordinated Loan Documents, and (b) any other material notice received by the Credit Parties under the Subordination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NEGATIVE 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Borrower and each Credit Party executing this Agreement covenants and agrees (for itself and each other Credit Party) that, without Agent’s prior written consent, from the Closing Date until the Termination Date, neither Borrower nor any other Credit Party shall, directly or indirectly, by operation of law or otherwise:</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Create, incur, assume or permit to exist any Indebtedness, except: (a) the Obligations, (b) Indebtedness existing as of the Closing Date set forth in </w:t>
      </w:r>
      <w:r>
        <w:rPr>
          <w:rFonts w:ascii="Times New Roman" w:cs="Times New Roman" w:eastAsia="Times New Roman" w:hAnsi="Times New Roman"/>
          <w:sz w:val="18"/>
          <w:szCs w:val="18"/>
          <w:u w:val="single" w:color="auto"/>
          <w:color w:val="auto"/>
        </w:rPr>
        <w:t>Disclosure Schedule (3.17)</w:t>
      </w:r>
      <w:r>
        <w:rPr>
          <w:rFonts w:ascii="Times New Roman" w:cs="Times New Roman" w:eastAsia="Times New Roman" w:hAnsi="Times New Roman"/>
          <w:sz w:val="18"/>
          <w:szCs w:val="18"/>
          <w:color w:val="auto"/>
        </w:rPr>
        <w:t xml:space="preserve">, (c) by endorsement of instruments or items of payment for deposit to the general account of such Credit Party, (d) for Guaranteed Indebtedness incurred for the benefit of any Credit Party if the primary obligation is permitted by this Agreement, (e) Indebtedness outstanding under Subordinated Debt Documents to the extent subject to a Subordination Agreement acceptable to Agent and the Required Lenders, in an aggregate amount not to exceed $5,000,000 at any time outstanding, (f) Purchase Money Obligations and Capital Leases incurred after the Closing Date in an aggregate outstanding amount, calculated on an annual basis with respect to Capital Leases, not to exceed an amount outstanding at any time equal to $2,500,000, (g) Indebtedness incurred in the ordinary course of business in connection with workers’ compensation, unemployment insurance and other social security legislation or in respect of letters of credit, performance bonds, appeal bonds, bid bonds, customs bonds, or surety bonds and other similar obligations (exclusive of obligations for the payment of borrowed money), (h) Contingent Obligations with respect to (i) Indebtedness permitted under this Section 5.1, (ii) operating leases, or (iii) other contractual obligations (other than Indebtedness) permitted by this Agreement, (i) unsecured Subordinated Debt consisting of indemnification obligations, seller notes and/or earnouts incurred in connection with Permitted Acquisitions, so long as (A) such Indebtedness is subject to a Subordination Agreement acceptable to Agent and the Required Lenders that remains in full force and effect and (B) the aggregate amount outstanding shall not exceed $2,500,000 at any time, (j) Indebtedness incurred in respect of netting services and ordinary course of business overdraft protection in connection with deposit accounts permitted under the Loan Documents, (k) contingent obligations incurred in the ordinary course of business with respect to letters of credit, surety and appeal bonds, performance bonds, bid bonds, customs bonds and other similar obligations, (l) Indebtedness representing reasonable deferred compensation owed to officers, employees and directors incurred in the ordinary course of business and consistent with past practice, (m) the financing of insurance premiums in the ordinary course of business, (n) Indebtedness with respect to health, disability and other employee benefits incurred in the ordinary course of business and consistent with past practice, (o) Indebtedness of any Credit Party owing to any other Credit Party, (p) to the extent constituting Indebtedness, any Permitted Investment, (q) Indebtedness incurred in the ordinary course of business in connection with corporate credit cards, purchasing cards, payment processing, automatic clearinghouse arrangements, arrangements in respect of pooled deposit or sweep accounts, check endorsement guarantees, and otherwise in connection with deposit accounts or cash management services in an aggregate amount outstanding not to exceed $2,000,000, (r) unsecured obligations (contingent or otherwise) existing or arising under any Hedging Agreement entered into in the ordinary course of business for the purpose of directly mitigating risks associated with fluctuations in interest rates, foreign exchange rates, or commodity prices and not for speculative purposes, (s) Indebtedness arising from judgments not constituting an Event of Default, (t) Indebtedness with respect to and resulting from customer deposits and advance payments received by them in the ordinary course of business, (u) indemnity obligations under customer contracts that are entered into in the ordinary course of business, (v) unsecured Indebtedness assumed pursuant to any Permitted Acquisition so long as (A) Holdings and its Subsidiaries are in compliance with the financial covenants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on Pro Forma Basis immediately after giving effect thereto, (B) such Indebtedness was not incurred in connection with or in anticipation of such Permitted Acquisition and (C) the aggregate amount outstanding shall not exceed $2,500,000 at any time, (w) any other unsecured Indebtedness in an aggregate amount not to exceed $1,000,000 outstanding at any time, and (y) any refinancing of the foregoing so long as the principal amount thereof is not increased (except by the amount of any accrued interest, expenses fees and original issue discount payable in connection therewith). and to the extent secured by a Permitted Lien on assets of a Credit Party such Lien is not spread to cover any additional assets of any Credit Party.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Incur, maintain or otherwise suffer to exist any Lien upon or with respect to any of its property, whether now owned or hereafter acquired, or assign any right to receive income or profits, except for Permitted Liens.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Investments; Fundamental Changes</w:t>
      </w:r>
      <w:r>
        <w:rPr>
          <w:rFonts w:ascii="Times New Roman" w:cs="Times New Roman" w:eastAsia="Times New Roman" w:hAnsi="Times New Roman"/>
          <w:sz w:val="18"/>
          <w:szCs w:val="18"/>
          <w:color w:val="auto"/>
        </w:rPr>
        <w:t xml:space="preserve">. Except as permitted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below, merge with, consolidate with, acquire all or substantially all of the assets or Stock of, or otherwise combine with or make any investment in or make any loan or advance to, any Person (any of the foregoing, an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except for the following (any of the following, a “</w:t>
      </w:r>
      <w:r>
        <w:rPr>
          <w:rFonts w:ascii="Times New Roman" w:cs="Times New Roman" w:eastAsia="Times New Roman" w:hAnsi="Times New Roman"/>
          <w:sz w:val="18"/>
          <w:szCs w:val="18"/>
          <w:b w:val="1"/>
          <w:bCs w:val="1"/>
          <w:color w:val="auto"/>
        </w:rPr>
        <w:t>Permitted Investment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 Credit Party in another Credit Party (other than Holdings);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Credit Party may form or acquire any direct or indirect Subsidiary after the Closing Date so long such Credit Party complies with the requirements of </w:t>
      </w:r>
      <w:r>
        <w:rPr>
          <w:rFonts w:ascii="Times New Roman" w:cs="Times New Roman" w:eastAsia="Times New Roman" w:hAnsi="Times New Roman"/>
          <w:sz w:val="18"/>
          <w:szCs w:val="18"/>
          <w:u w:val="single" w:color="auto"/>
          <w:color w:val="auto"/>
        </w:rPr>
        <w:t>Sections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3.27</w:t>
      </w:r>
      <w:r>
        <w:rPr>
          <w:rFonts w:ascii="Times New Roman" w:cs="Times New Roman" w:eastAsia="Times New Roman" w:hAnsi="Times New Roman"/>
          <w:sz w:val="18"/>
          <w:szCs w:val="18"/>
          <w:color w:val="auto"/>
        </w:rPr>
        <w:t>;</w:t>
      </w:r>
    </w:p>
    <w:p>
      <w:pPr>
        <w:spacing w:after="0" w:line="37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Credit Party (other than Holdings) may merge with or into or liquidate into any other Credit Party (other than Holdings), provided that, if Borrower is involved in any such merger or liquidation, Borrower shall be the surviving entity thereof and (ii) any Subsidiary of a Credit Party that is not itself a Credit Party may merge with or into or liquidate into any Credit Party, provided that such Credit Party shall be the surviving entity thereof;</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under interest rate protection agreements and other Hedging Agreements entered into in the ordinary course of business for the purpose of minimizing risk and not for speculative purposes;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loans to officers, directors and employees which are simultaneously utilized by such Persons to purchase direct or indirect Stock of Holdings;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deposits in the ordinary course of business;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securities or other obligations of account debtors received pursuant to any plan of reorganization or similar arrangement upon the bankruptcy or insolvency of such account debtors or in settlement of delinquent obligations of, and other disputes with, customers or suppliers in the ordinary course of business;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listed on </w:t>
      </w:r>
      <w:r>
        <w:rPr>
          <w:rFonts w:ascii="Times New Roman" w:cs="Times New Roman" w:eastAsia="Times New Roman" w:hAnsi="Times New Roman"/>
          <w:sz w:val="18"/>
          <w:szCs w:val="18"/>
          <w:u w:val="single" w:color="auto"/>
          <w:color w:val="auto"/>
        </w:rPr>
        <w:t>Schedule 5.3</w:t>
      </w:r>
      <w:r>
        <w:rPr>
          <w:rFonts w:ascii="Times New Roman" w:cs="Times New Roman" w:eastAsia="Times New Roman" w:hAnsi="Times New Roman"/>
          <w:sz w:val="18"/>
          <w:szCs w:val="18"/>
          <w:color w:val="auto"/>
        </w:rPr>
        <w:t xml:space="preserve"> as of the Closing Date;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by the Credit Parties to their officers and employees in the ordinary course of business in an aggregate outstanding amount not to exceed $500,000 at any time (determined without regard to any write-downs or write-offs of such loans and advances);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Credit Party may make a loan to another Credit party that could otherwise be made as a distribution or dividend to such Credit Party permitted under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 Credit Party in a Subsidiary that is not a Credit Party in an amount not to exceed $250,000 per Fiscal Year;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Investments, guarantees permitted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of stock of Holdings permitted under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notes receivable of, or prepaid royalties and other credit extensions to, customers and suppliers who are not Affiliates in the ordinary course of business;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advances made in connection with purchases of goods or services in the ordinary course of business;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accepted in connection with dispositions permitted under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6" w:name="page117"/>
    <w:bookmarkEnd w:id="116"/>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deposits permitted by clause (vii) or (xi) of the definition of Permitted Liens;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Person at the time such Person becomes a Subsidiary so long as Investment was not made in connection with or in anticipation of such Person becoming a Subsidiary ;</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earnest money deposits in connection with Permitted Acquisitions, potential Permitted Acquisitions and Investments acquired as a result of a Permitted Acquisition to the extent that such Investments were not made in contemplation of or in connection with such Permitted Acquisition and were in existence prior to the date of such Permitted Acquisition;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with the proceeds of Equity Issuances after the Closing Date or any Investment made solely in exchange for the substantially contemporaneous issuance of Equity Interests of Holdings;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with the proceeds of grants from any Governmental Authority; provided such proceeds are used for the purpose to which they are earmarked pursuant to such grants;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or Event of Default then exists or would be caused thereby, in addition to Investments permitted by the foregoing clauses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the Credit Parties may make additional Investments to or in a Person in an aggregate amount for all such other Investments not to exceed $500,000 per Fiscal Year; and</w:t>
      </w:r>
    </w:p>
    <w:p>
      <w:pPr>
        <w:spacing w:after="0" w:line="176" w:lineRule="exact"/>
        <w:rPr>
          <w:sz w:val="20"/>
          <w:szCs w:val="20"/>
          <w:color w:val="auto"/>
        </w:rPr>
      </w:pPr>
    </w:p>
    <w:p>
      <w:pPr>
        <w:ind w:left="1300" w:hanging="644"/>
        <w:spacing w:after="0" w:line="282" w:lineRule="auto"/>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 other Contingent Obligations of the Borrower and its Subsidiaries of leases (other than Capital Lease Obligations) or of other obligations not constituting Indebtedness, in each case, entered into in the ordinary course of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compliance with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the amount of any Investment shall be the amount actually invested (measured at the time made), without adjustment for subsequent increases or decreases in the value of such Investment but giving effect to any returns or distributions of capital or repayment of principal actually received in cash by such other Person with respect thereto (but only to the extent that the aggregate amount of all such returns, distributions and repayments with respect to such Investment does not exceed the original amount of such Investment).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xml:space="preserve">. Sell, transfer, convey, assign, issue or otherwise dispose any of its assets or properties (including its accounts or any shares of its Stock) or engage in any sale-leaseback, synthetic lease or similar transaction, including without limitation the Collateral or Loan proceeds; provided, however, that any Grantor may (a) transfer any of its Collateral to any other Grantor provided such Collateral remains subject to the Liens of Agent under this Agreement to secure the Obligations; (b) sell inventory to its customers in the ordinary course of business; (c) sell, transfer or otherwise dispose of equipment and machinery which is obsolete, damaged, worn-out, surplus, or no longer used or useful in the business of the Credit Parties and trade-ins and exchanges of equipment in the ordinary course of business; (d) dispose of cash and Cash Equivalents in the ordinary course of business; (e) lease and sublease, license and sublicense real or personal property in the ordinary course of business; (f) </w:t>
      </w:r>
      <w:r>
        <w:rPr>
          <w:rFonts w:ascii="Times New Roman" w:cs="Times New Roman" w:eastAsia="Times New Roman" w:hAnsi="Times New Roman"/>
          <w:sz w:val="18"/>
          <w:szCs w:val="18"/>
          <w:color w:val="FF0000"/>
          <w:strike w:val="1"/>
        </w:rPr>
        <w:t>abandon</w:t>
      </w:r>
      <w:r>
        <w:rPr>
          <w:rFonts w:ascii="Times New Roman" w:cs="Times New Roman" w:eastAsia="Times New Roman" w:hAnsi="Times New Roman"/>
          <w:sz w:val="18"/>
          <w:szCs w:val="18"/>
          <w:u w:val="single" w:color="auto"/>
          <w:color w:val="0000FF"/>
        </w:rPr>
        <w:t>(i) abandon Intellectual Property rights in the Trademarks that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subject of the Trademark Transfer Agreement and/or Trademark License Agreement; or (ii) abandon other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Intellectual Property rights in the ordinary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course of business which, in the reasonable good faith determination of the Credit Parties, are no longer used or useful to the business; (g) sell, transfer or otherwise dispose delinquent account receivables in the ordinary course of business in connection with the collection thereof; (h) make Restricted Payments permitted under </w:t>
      </w:r>
      <w:r>
        <w:rPr>
          <w:rFonts w:ascii="Times New Roman" w:cs="Times New Roman" w:eastAsia="Times New Roman" w:hAnsi="Times New Roman"/>
          <w:sz w:val="18"/>
          <w:szCs w:val="18"/>
          <w:u w:val="single" w:color="auto"/>
          <w:color w:val="000000"/>
        </w:rPr>
        <w:t>Section 5.5</w:t>
      </w:r>
      <w:r>
        <w:rPr>
          <w:rFonts w:ascii="Times New Roman" w:cs="Times New Roman" w:eastAsia="Times New Roman" w:hAnsi="Times New Roman"/>
          <w:sz w:val="18"/>
          <w:szCs w:val="18"/>
          <w:color w:val="000000"/>
        </w:rPr>
        <w:t>; (i) sell or issue Capital Stock which does not lead to a Change of Control (unless the Termination Date occurs concurrently with the consummation thereof); (j) allow for the involuntary condemnation of property or other involuntary dispositions covered by insurance (or not covered by insurance in an amount not to exceed $500,000 in the aggregate from the Closing Date to the Termination Date, and in any event not taking into consideration any deductible applicable thereto); (k) grant Permitted Liens; (l) transfer assets pursuant to a Permitted Investment; (m) sell equipment or real property for fair market value to the extent that (i) such property is exchanged for credit against the purchase price of similar replacement property so long as: (A) the value of the replacement property is equal to or greater than the property being disposed of and (B) such replacement property is purchased contemporaneously with the disposition or (ii) the proceeds of such disposition are promptly applied to the purchase price of such replacement property so long as: (A) the value of the replacement property is equal to or greater than the property being disposed of and (B) such replacement property is purchased contemporaneously with the disposition; provided, that, to the extent the property being transferred constitutes Collateral, such replacement property shall constitute Collateral; provided, further, that, in each case the disposition contemplated under this clause (m) must occur in the ordinary course of business;</w:t>
      </w:r>
    </w:p>
    <w:p>
      <w:pPr>
        <w:spacing w:after="0" w:line="9" w:lineRule="exact"/>
        <w:rPr>
          <w:sz w:val="20"/>
          <w:szCs w:val="20"/>
          <w:color w:val="auto"/>
        </w:rPr>
      </w:pPr>
    </w:p>
    <w:p>
      <w:pPr>
        <w:jc w:val="both"/>
        <w:ind w:firstLine="8"/>
        <w:spacing w:after="0" w:line="253" w:lineRule="auto"/>
        <w:tabs>
          <w:tab w:leader="none" w:pos="2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unwinding of any Hedging Agreement permitted hereunder; and (o) dispose of property or assets of any Credit Party not otherwise permitted hereunder, so long as (x) such property or assets are sold at fair market value, (y) the fair market value of the property or assets sold or otherwise disposed of does not exceed $1,500,000 for all such asset dispositions during any Fiscal Year, and (z) no Event of Default then exists or would result from any such asset disposition. The Net Cash Proceeds of Asset Sales remain subject to prepayment in accordance with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Make or permit any Restricted Payment other than (a) the Credit Parties may pay board of managers’ fees, board of directors’ fees, and reimbursement of actual out-of-pocket expenses of managers, directors, for the members of the boards of directors or managers of the Credit Parties incurred in connection with organizing or attending Credit Party board of manager and board of director meetings in an aggregate amount per Fiscal Year not to exceed $350,000 (any such amounts, “</w:t>
      </w:r>
      <w:r>
        <w:rPr>
          <w:rFonts w:ascii="Times New Roman" w:cs="Times New Roman" w:eastAsia="Times New Roman" w:hAnsi="Times New Roman"/>
          <w:sz w:val="18"/>
          <w:szCs w:val="18"/>
          <w:b w:val="1"/>
          <w:bCs w:val="1"/>
          <w:color w:val="auto"/>
        </w:rPr>
        <w:t>Permitted Board Fees</w:t>
      </w:r>
      <w:r>
        <w:rPr>
          <w:rFonts w:ascii="Times New Roman" w:cs="Times New Roman" w:eastAsia="Times New Roman" w:hAnsi="Times New Roman"/>
          <w:sz w:val="18"/>
          <w:szCs w:val="18"/>
          <w:color w:val="auto"/>
        </w:rPr>
        <w:t>”); (b) the Credit Parties may indemnify, and enter into other employment arrangements with, directors, officers, and employees of any Credit Party in the ordinary course of business; (c) Restricted Payments may be declared and paid by direct or indirect wholly-owned Subsidiaries of a Credit Party to another Credit Party (other than Holdings); (d) so long as no Event of Default has occurred and is continuing or would result therefrom, repurchases of shares of direct or indirect Equity Interests of Holdings, provided that the aggregate amount of such repurchases and payments of cash dividends shall not exceed $250,000 during any Fiscal Year, and the Credit Parties may make Restricted Payments to its direct parent to facilitate the foregoing repurchase by Holdings; (e) the Credit Parties may make Restricted Payments to Holdings for the payment by Holdings of (i) reasonable audit fees and expenses for audits involving the Credit Parties or any of their Subsidiaries; (ii) any Tax liability of Holdings or its Subsidiaries based on the operations and revenues of the Borrower and its Subsidiaries and any reasonable Tax preparation fees and expenses for preparing consolidated Tax returns involving the Credit Parties or any of their Subsidiaries; (iii) premiums and expenses for insurance covering Credit Parties or any of their Subsidiaries; and (iv) corporate, administrative and operating expenses in the ordinary course of business incurred by Holdings; (f) any Credit Party may declare and pay dividends with respect to its Equity Interests payable solely in additional shares of its common stock so long as no Change of Control would result therefrom; (g) any Credit Party may make exchanges, redemptions or conversions in whole or in part, not resulting in a Change of Control, of any of its Equity Interests for or into another class of its Equity Interests; (h) Holdings may make cashless repurchases of Equity Interests deemed to occur upon exercises of options and warrants or the settlement or vesting of other equity awards if such Equity Interests represent a portion of the exercise price of such options or warrants or similar equity incentive awards; (i) the Credit Parties may make cash payments to redeem, purchase, repurchase or retire obligations under options, warrants and other convertible securities issued by it in the nature of customary cash payments in lieu of fractional shares in accordance with the terms thereof; and (j) the Credit Parties may acquire (or withhold) its Equity Interests pursuant to any employee stock option or similar plan to pay withholding taxes for which the Borrower is liable in respect of a current or former officer, director, employee, member of management or consultant upon such grant or award (or upon vesting or exercise thereof) and such Credit Party may make deemed repurchases in connection with the cashless exercise of stock options.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Changes in Nature of Business</w:t>
      </w:r>
      <w:r>
        <w:rPr>
          <w:rFonts w:ascii="Times New Roman" w:cs="Times New Roman" w:eastAsia="Times New Roman" w:hAnsi="Times New Roman"/>
          <w:sz w:val="18"/>
          <w:szCs w:val="18"/>
          <w:color w:val="auto"/>
        </w:rPr>
        <w:t>. Make any changes in any of its business objectives, purposes, or operations that could reasonably be expected to adversely affect repayment of the Obligations or could reasonably be expected to have a Material Adverse Effect, or engage in any business other than that presently engaged in and other businesses reasonably related or ancillary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9" w:name="page120"/>
    <w:bookmarkEnd w:id="119"/>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Enter into any lending, borrowing or other commercial transaction with any of its employees, officers, directors, Affiliates or any other Credit Party (including upstreaming and downstreaming of cash and intercompany advances and payments by a Credit Party on behalf of another Credit Party) other than (a) loans or advances to employees in the ordinary course of business in an aggregate outstanding amount not exceeding $500,000, (b) those transactions set forth on </w:t>
      </w:r>
      <w:r>
        <w:rPr>
          <w:rFonts w:ascii="Times New Roman" w:cs="Times New Roman" w:eastAsia="Times New Roman" w:hAnsi="Times New Roman"/>
          <w:sz w:val="18"/>
          <w:szCs w:val="18"/>
          <w:u w:val="single" w:color="auto"/>
          <w:color w:val="auto"/>
        </w:rPr>
        <w:t>Disclosure Schedule (3.34)</w:t>
      </w:r>
      <w:r>
        <w:rPr>
          <w:rFonts w:ascii="Times New Roman" w:cs="Times New Roman" w:eastAsia="Times New Roman" w:hAnsi="Times New Roman"/>
          <w:sz w:val="18"/>
          <w:szCs w:val="18"/>
          <w:color w:val="auto"/>
        </w:rPr>
        <w:t xml:space="preserve">, (c) transactions which are on arms-length terms as would be obtained in a transaction between parties that are not Affiliates of, or otherwise related to, each other, (d) intercompany loans permitted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(e) Permitted Investments of the type set forth in Sections 5.3(a), (b), (c), (f), (k), and (aa), (f) any customary directors’ or officers’ liability insurance coverage provided in the ordinary course of business or any customary indemnity provided in the ordinary course of business provided for the benefit of directors or officers (or comparable managers) of Holdings or one of its Subsidiaries so long as it has been approved by such Person’s board of directors (or comparable governing body) in accordance with applicable law, (g) the payment of compensation, severance, acceleration of vesting, employee benefit arrangements, issuances of securities or other payments, awards, or grants in cash, securities or the funding of employment agreements, any waiver of restrictions on transfers of equity or any waivers or assignments of any rights of first refusal or similar rights that belongs to Holdings, stock options, restricted stock units and stock ownership to employees, to officers, and directors of Holdings or one of its Subsidiaries (in each case, to the extent not otherwise prohibited hereunder and not resulting in a Change of Control) in the ordinary course of business so long as it has been approved by Holdings’ or such Subsidiary’s board of directors (or comparable governing body) in accordance with Requirements of Law, (h) Restricted Payments permitted under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above, and (i) the Combination and the Acquisition Documents and the consummation of the transactions contemplated therein.</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Third-Party Restrictions on Indebtedness, Liens, Investments or Restricted Payments</w:t>
      </w:r>
      <w:r>
        <w:rPr>
          <w:rFonts w:ascii="Times New Roman" w:cs="Times New Roman" w:eastAsia="Times New Roman" w:hAnsi="Times New Roman"/>
          <w:sz w:val="18"/>
          <w:szCs w:val="18"/>
          <w:color w:val="auto"/>
        </w:rPr>
        <w:t xml:space="preserve">. Incur or otherwise suffer to exist or become effective or remain liable on or responsible for any Contractual Obligation limiting or restricting the ability of (a) any Credit Party to make Restricted Payments to, or investments in, or repay the Obligations of, or otherwise sell property to, any Credit Party or (b) any Credit Party to incur or suffer to exist any Lien upon any property of any Credit Party, whether now owned or hereafter acquired, securing any of its Obligations (including any such limitation or restriction in the form of any “equal and ratable” clause and any similar Contractual Obligation requiring, when a Lien is granted on any property, another Lien to be granted on such property or any other property), except, for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 pursuant to the Loan Documents, (ii) limitations on Liens (other than those securing any Obligation) on any property whose acquisition, repair, improvement or construction is financed by Purchase Money Indebtedness in reliance upon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set forth in the Contractual Obligations governing such Indebtedness with respect thereto, (iii) restrictions and conditions imposed by Requirements of Law, (iv) restrictions in agreements listed on </w:t>
      </w:r>
      <w:r>
        <w:rPr>
          <w:rFonts w:ascii="Times New Roman" w:cs="Times New Roman" w:eastAsia="Times New Roman" w:hAnsi="Times New Roman"/>
          <w:sz w:val="18"/>
          <w:szCs w:val="18"/>
          <w:u w:val="single" w:color="auto"/>
          <w:color w:val="auto"/>
        </w:rPr>
        <w:t>Disclosure Schedule 5.8</w:t>
      </w:r>
      <w:r>
        <w:rPr>
          <w:rFonts w:ascii="Times New Roman" w:cs="Times New Roman" w:eastAsia="Times New Roman" w:hAnsi="Times New Roman"/>
          <w:sz w:val="18"/>
          <w:szCs w:val="18"/>
          <w:color w:val="auto"/>
        </w:rPr>
        <w:t>, (v) [reserved], (vi) customary provisions in leases, subleases, licenses and other Contractual Obligations restricting the assignment thereof or restricting the assignment, pledge, transfer or sublease or sublicense of the property leased, licensed or otherwise the subject thereof, (vii) any restrictions or conditions set forth in any agreement in effect at any time any Person becomes a Subsidiary (but not any modification or amendment expanding the scope of any such restriction or condition), provided that such agreement was not entered into in connection with or contemplation of such Person becoming a Subsidiary and such restricted does not restrict the ability of Agent to have a duly perfected first priority security interest in all assets of the Subsidiary, (viii) [reserved], (ix) [reserved], and (x) customary provisions in contracts for the disposition of any assets, provided that the restrictions in any such contract shall apply only to the assets or Subsidiary that is to be disposed of and such disposition is permitted hereunder.</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Modification of Certain Documents</w:t>
      </w:r>
      <w:r>
        <w:rPr>
          <w:rFonts w:ascii="Times New Roman" w:cs="Times New Roman" w:eastAsia="Times New Roman" w:hAnsi="Times New Roman"/>
          <w:sz w:val="18"/>
          <w:szCs w:val="18"/>
          <w:color w:val="auto"/>
        </w:rPr>
        <w:t>.Amend, waive, or otherwise modify its charter or by-laws or other Organizational Documents in a manner adverse to the Agent or Lenders; provided that Borrower may amend its Organizational Documents to effectuate the Permitted Redomicile.</w:t>
      </w:r>
    </w:p>
    <w:p>
      <w:pPr>
        <w:spacing w:after="0" w:line="162" w:lineRule="exact"/>
        <w:rPr>
          <w:sz w:val="20"/>
          <w:szCs w:val="20"/>
          <w:color w:val="auto"/>
        </w:rPr>
      </w:pPr>
    </w:p>
    <w:p>
      <w:pPr>
        <w:ind w:left="660" w:hanging="4"/>
        <w:spacing w:after="0" w:line="282" w:lineRule="auto"/>
        <w:tabs>
          <w:tab w:leader="none" w:pos="91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modify the Employee Confidentiality and Assignment of Inventions Agreements made by Denis Phares and Sean Nichols in favor of the Borrower, dated May 15, 2022, delivered to Agent on such date, in a manner materially adverse to the Agent or Lenders.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0" w:name="page121"/>
    <w:bookmarkEnd w:id="120"/>
    <w:p>
      <w:pPr>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Accounting Changes; Fiscal Year</w:t>
      </w:r>
      <w:r>
        <w:rPr>
          <w:rFonts w:ascii="Times New Roman" w:cs="Times New Roman" w:eastAsia="Times New Roman" w:hAnsi="Times New Roman"/>
          <w:sz w:val="18"/>
          <w:szCs w:val="18"/>
          <w:color w:val="auto"/>
        </w:rPr>
        <w:t>. Change its (a) accounting treatment or reporting practices, except as required by GAAP or any Requirement of Law or (b) its Fiscal Year or its method for determining Fiscal Quarters.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Changes to Name, Locations, Etc</w:t>
      </w:r>
      <w:r>
        <w:rPr>
          <w:rFonts w:ascii="Times New Roman" w:cs="Times New Roman" w:eastAsia="Times New Roman" w:hAnsi="Times New Roman"/>
          <w:sz w:val="18"/>
          <w:szCs w:val="18"/>
          <w:color w:val="auto"/>
        </w:rPr>
        <w:t xml:space="preserve">. (a) Change (i) its name, Chief Executive Office, corporate offices from those set forth on </w:t>
      </w:r>
      <w:r>
        <w:rPr>
          <w:rFonts w:ascii="Times New Roman" w:cs="Times New Roman" w:eastAsia="Times New Roman" w:hAnsi="Times New Roman"/>
          <w:sz w:val="18"/>
          <w:szCs w:val="18"/>
          <w:u w:val="single" w:color="auto"/>
          <w:color w:val="auto"/>
        </w:rPr>
        <w:t>Disclosure Schedule (3.2)</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8"/>
        <w:spacing w:after="0" w:line="251" w:lineRule="auto"/>
        <w:tabs>
          <w:tab w:leader="none" w:pos="29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warehouses or other locations with Collateral having a value in excess of $500,000 located on-site (other than temporary locations for repair, maintenance or transit and equipment maintained with employees) or location of its records concerning the Collateral from those locations set forth on </w:t>
      </w:r>
      <w:r>
        <w:rPr>
          <w:rFonts w:ascii="Times New Roman" w:cs="Times New Roman" w:eastAsia="Times New Roman" w:hAnsi="Times New Roman"/>
          <w:sz w:val="18"/>
          <w:szCs w:val="18"/>
          <w:u w:val="single" w:color="auto"/>
          <w:color w:val="auto"/>
        </w:rPr>
        <w:t>Disclosure Schedule (3.2)</w:t>
      </w:r>
      <w:r>
        <w:rPr>
          <w:rFonts w:ascii="Times New Roman" w:cs="Times New Roman" w:eastAsia="Times New Roman" w:hAnsi="Times New Roman"/>
          <w:sz w:val="18"/>
          <w:szCs w:val="18"/>
          <w:color w:val="auto"/>
        </w:rPr>
        <w:t xml:space="preserve">, provided that Borrower shall comply with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in connection with movement of the Collateral, (iii) the type of legal entity that it is, (iv) its organization identification number, if any, issued by its state of incorporation or organization or (v) its state of incorporation or organization from that set forth on </w:t>
      </w:r>
      <w:r>
        <w:rPr>
          <w:rFonts w:ascii="Times New Roman" w:cs="Times New Roman" w:eastAsia="Times New Roman" w:hAnsi="Times New Roman"/>
          <w:sz w:val="18"/>
          <w:szCs w:val="18"/>
          <w:u w:val="single" w:color="auto"/>
          <w:color w:val="auto"/>
        </w:rPr>
        <w:t>Disclosure Schedule (3.2)</w:t>
      </w:r>
      <w:r>
        <w:rPr>
          <w:rFonts w:ascii="Times New Roman" w:cs="Times New Roman" w:eastAsia="Times New Roman" w:hAnsi="Times New Roman"/>
          <w:sz w:val="18"/>
          <w:szCs w:val="18"/>
          <w:color w:val="auto"/>
        </w:rPr>
        <w:t xml:space="preserve"> or (b) acquire, lease or use any real estate after the Closing Date without such Person, in each instance, giving thirty (30) days’ prior written notice thereof to Agent (or such shorter period as Agent may agree in its sole discretion) and taking all actions reasonably requested by Agent (at the direction of the Required Lenders) to continuously protect and perfect Agent’s Liens upon the Collateral; provided that Borrower may consummate the Permitted Redomicile upon three (3) Business Days’ prior written notice to Agent.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xml:space="preserve">. (a) Establish any depository or other bank account of any kind (other than Excluded Accounts) with any financial institution (other than the accounts set forth on </w:t>
      </w:r>
      <w:r>
        <w:rPr>
          <w:rFonts w:ascii="Times New Roman" w:cs="Times New Roman" w:eastAsia="Times New Roman" w:hAnsi="Times New Roman"/>
          <w:sz w:val="18"/>
          <w:szCs w:val="18"/>
          <w:u w:val="single" w:color="auto"/>
          <w:color w:val="auto"/>
        </w:rPr>
        <w:t>Disclosure Schedule (3.25)</w:t>
      </w:r>
      <w:r>
        <w:rPr>
          <w:rFonts w:ascii="Times New Roman" w:cs="Times New Roman" w:eastAsia="Times New Roman" w:hAnsi="Times New Roman"/>
          <w:sz w:val="18"/>
          <w:szCs w:val="18"/>
          <w:color w:val="auto"/>
        </w:rPr>
        <w:t xml:space="preserve">) except in compliance with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or (b) close or permit to be closed any of the accounts listed on </w:t>
      </w:r>
      <w:r>
        <w:rPr>
          <w:rFonts w:ascii="Times New Roman" w:cs="Times New Roman" w:eastAsia="Times New Roman" w:hAnsi="Times New Roman"/>
          <w:sz w:val="18"/>
          <w:szCs w:val="18"/>
          <w:u w:val="single" w:color="auto"/>
          <w:color w:val="auto"/>
        </w:rPr>
        <w:t>Disclosure Schedule (3.25)</w:t>
      </w:r>
      <w:r>
        <w:rPr>
          <w:rFonts w:ascii="Times New Roman" w:cs="Times New Roman" w:eastAsia="Times New Roman" w:hAnsi="Times New Roman"/>
          <w:sz w:val="18"/>
          <w:szCs w:val="18"/>
          <w:color w:val="auto"/>
        </w:rPr>
        <w:t xml:space="preserve"> (other than Excluded Accounts) in each case, without Agent’s prior written consent.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Use all or any portion of the proceeds of any credit extended hereunder to purchase or carry Margin Stock in contravention of Regulation U of the Federal Reserve Board.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No ERISA Affiliate shall cause or suffer to exist (a) any event that could result in the imposition of a Lien with respect to any Title IV Plan or Multiemployer Plan or (b) any other ERISA Event, that would, in the aggregate, reasonably be expected to result in liabilities in excess of $500,000. No Credit Party shall cause or suffer to exist any event that could result in the imposition of a Lien with respect to any Plan.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Cause or suffer to exist any Release of any Hazardous Material at, to or from any Real Property owned, leased, subleased or otherwise operated or occupied by any Credit Party that would violate any Environmental Law, form the basis for any Environmental Liabilities or otherwise adversely affect the value or marketability of any real property (whether or not owned by any Credit Party), other than such violations, Environmental Liabilities and effects that would not, in the aggregate, have a Material Adverse Effect.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Modifications to Subordinated Debt</w:t>
      </w:r>
      <w:r>
        <w:rPr>
          <w:rFonts w:ascii="Times New Roman" w:cs="Times New Roman" w:eastAsia="Times New Roman" w:hAnsi="Times New Roman"/>
          <w:sz w:val="18"/>
          <w:szCs w:val="18"/>
          <w:color w:val="auto"/>
        </w:rPr>
        <w:t>. Without the prior written consent of the Agent, permit any changes, amendments or modifications to</w:t>
      </w:r>
      <w:r>
        <w:rPr>
          <w:rFonts w:ascii="Times New Roman" w:cs="Times New Roman" w:eastAsia="Times New Roman" w:hAnsi="Times New Roman"/>
          <w:sz w:val="18"/>
          <w:szCs w:val="18"/>
          <w:u w:val="single" w:color="auto"/>
          <w:color w:val="0000FF"/>
        </w:rPr>
        <w:t>, or waivers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any provision under,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Subordinated Debt that are prohibited by any Subordination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Compliance with Anti-Terrorism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61" w:lineRule="auto"/>
        <w:tabs>
          <w:tab w:leader="none" w:pos="91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in connection with the Loans, knowingly (i) conduct any business or engage in making or receiving any contribution of funds, goods or services to or for the benefit of any Embargoed Person, (ii) deal in, or otherwise engage in any transaction relating to, any property or interests in property blocked pursuant to any Anti-Terrorism Law or (iii) engage in or conspire to engage in any transaction that evades or avoids, or has the purpose of evading or avoiding, or attempts to violate, any of the prohibitions set forth in any Anti-Terrorism Law.</w:t>
      </w:r>
    </w:p>
    <w:p>
      <w:pPr>
        <w:spacing w:after="0" w:line="179" w:lineRule="exact"/>
        <w:rPr>
          <w:rFonts w:ascii="Times New Roman" w:cs="Times New Roman" w:eastAsia="Times New Roman" w:hAnsi="Times New Roman"/>
          <w:sz w:val="18"/>
          <w:szCs w:val="18"/>
          <w:color w:val="auto"/>
        </w:rPr>
      </w:pPr>
    </w:p>
    <w:p>
      <w:pPr>
        <w:ind w:left="660" w:hanging="4"/>
        <w:spacing w:after="0" w:line="282" w:lineRule="auto"/>
        <w:tabs>
          <w:tab w:leader="none" w:pos="91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in connection with the Loans, knowingly cause or permit any of the funds of such Credit Party that are used to repay the Loans to be derived from any unlawful activity with the result that the making of the Loans would be in violation of any Anti-Terrorism Law.</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0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cause or permit (i) an Embargoed Person to have any direct or indirect interest in or benefit of any nature whatsoever in the Credit Parties or (ii) any of the funds or properties of the Credit Parties that are used to repay the Loans to constitute property of, or be beneficially owned directly or indirectly by, an Embargoed Person.</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2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the Lenders any certification or other evidence requested from time to time by any Lender in its reasonable discretion, confirming the Credit Parties’ compliance with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Sale-Leasebacks</w:t>
      </w:r>
      <w:r>
        <w:rPr>
          <w:rFonts w:ascii="Times New Roman" w:cs="Times New Roman" w:eastAsia="Times New Roman" w:hAnsi="Times New Roman"/>
          <w:sz w:val="18"/>
          <w:szCs w:val="18"/>
          <w:color w:val="auto"/>
        </w:rPr>
        <w:t>. Permit any of its Subsidiaries to, engage in a sale leaseback, synthetic lease or similar transaction involving any of its assets without the prior written consent of Required Lenders.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000FF"/>
        </w:rPr>
        <w:t xml:space="preserve">5.20 </w:t>
      </w:r>
      <w:r>
        <w:rPr>
          <w:rFonts w:ascii="Times New Roman" w:cs="Times New Roman" w:eastAsia="Times New Roman" w:hAnsi="Times New Roman"/>
          <w:sz w:val="18"/>
          <w:szCs w:val="18"/>
          <w:u w:val="single" w:color="auto"/>
          <w:color w:val="0000FF"/>
        </w:rPr>
        <w:t>Modifications to Trademark Agreements. Without the prior written consent of Agent and Required Lenders, either (a) terminate the Trademark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License Agreement, or (b) make or permit any changes, amendments or modifications to, or waivers of any provision under, the Trademark Transfer Agreement or the Trademark License Agreement, in each case, as such agreements are in effect on the Second Amendment Effective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SECURITY INTEREST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8" w:lineRule="auto"/>
        <w:tabs>
          <w:tab w:leader="none" w:pos="89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collateral security for the prompt and complete payment and performance of the Obligations, each of Borrower and each other Credit Party executing this Agreement hereby grants to Agent for its benefit and for the benefit of the Lenders a security interest in and Lien upon all of its property and assets, whether real or personal, tangible or intangible, and whether now owned or hereafter acquired, or in which it now has or at any time in the future may acquire any right, title, or interest, including all of the following property in which it now has or at any time in the future may acquire any right, title or interest: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all Accounts;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2" w:name="page123"/>
    <w:bookmarkEnd w:id="122"/>
    <w:p>
      <w:pPr>
        <w:ind w:left="440" w:hanging="256"/>
        <w:spacing w:after="0"/>
        <w:tabs>
          <w:tab w:leader="none" w:pos="4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 accounts;</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bank accounts and all funds on deposit therein; all money, cash and Cash Equivalents;</w:t>
      </w:r>
    </w:p>
    <w:p>
      <w:pPr>
        <w:spacing w:after="0" w:line="225"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 property;</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and all Distributions in respect thereof;</w:t>
      </w:r>
    </w:p>
    <w:p>
      <w:pPr>
        <w:spacing w:after="0" w:line="225"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goods (including, without limitation, inventory, equipment, and fixtures);</w:t>
      </w:r>
    </w:p>
    <w:p>
      <w:pPr>
        <w:spacing w:after="0" w:line="225" w:lineRule="exact"/>
        <w:rPr>
          <w:rFonts w:ascii="Times New Roman" w:cs="Times New Roman" w:eastAsia="Times New Roman" w:hAnsi="Times New Roman"/>
          <w:sz w:val="18"/>
          <w:szCs w:val="18"/>
          <w:color w:val="auto"/>
        </w:rPr>
      </w:pPr>
    </w:p>
    <w:p>
      <w:pPr>
        <w:ind w:left="540" w:hanging="356"/>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chattel paper, documents and instruments;</w:t>
      </w:r>
    </w:p>
    <w:p>
      <w:pPr>
        <w:spacing w:after="0" w:line="225"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and Records;</w:t>
      </w:r>
    </w:p>
    <w:p>
      <w:pPr>
        <w:spacing w:after="0" w:line="225" w:lineRule="exact"/>
        <w:rPr>
          <w:rFonts w:ascii="Times New Roman" w:cs="Times New Roman" w:eastAsia="Times New Roman" w:hAnsi="Times New Roman"/>
          <w:sz w:val="18"/>
          <w:szCs w:val="18"/>
          <w:color w:val="auto"/>
        </w:rPr>
      </w:pPr>
    </w:p>
    <w:p>
      <w:pPr>
        <w:jc w:val="both"/>
        <w:ind w:left="180" w:right="20" w:firstLine="4"/>
        <w:spacing w:after="0" w:line="266" w:lineRule="auto"/>
        <w:tabs>
          <w:tab w:leader="none" w:pos="48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 (including, without limitation, all Intellectual Property, Intellectual Property applications, IP Licenses, contract rights, choses in action, payment intangibles, licenses, Permits, and software, and all rights and interests under any key man life insurance policies);</w:t>
      </w:r>
    </w:p>
    <w:p>
      <w:pPr>
        <w:spacing w:after="0" w:line="17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letter-of-credit rights;</w:t>
      </w:r>
    </w:p>
    <w:p>
      <w:pPr>
        <w:spacing w:after="0" w:line="225"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commercial tort claims;</w:t>
      </w:r>
    </w:p>
    <w:p>
      <w:pPr>
        <w:spacing w:after="0" w:line="225" w:lineRule="exact"/>
        <w:rPr>
          <w:rFonts w:ascii="Times New Roman" w:cs="Times New Roman" w:eastAsia="Times New Roman" w:hAnsi="Times New Roman"/>
          <w:sz w:val="18"/>
          <w:szCs w:val="18"/>
          <w:color w:val="auto"/>
        </w:rPr>
      </w:pPr>
    </w:p>
    <w:p>
      <w:pPr>
        <w:jc w:val="both"/>
        <w:ind w:left="180" w:firstLine="4"/>
        <w:spacing w:after="0" w:line="266" w:lineRule="auto"/>
        <w:tabs>
          <w:tab w:leader="none" w:pos="53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property, including all property of every description, in custody or in transit for any purpose, including safekeeping, collection or pledge, for the account of Borrower or any Credit Party or to which Borrower or any Credit Party may have any right or power, including but not limited to cash;</w:t>
      </w:r>
    </w:p>
    <w:p>
      <w:pPr>
        <w:spacing w:after="0" w:line="175"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goods (including but not limited to fixtures) and personal property, whether tangible or intangible and wherever located;</w:t>
      </w:r>
    </w:p>
    <w:p>
      <w:pPr>
        <w:spacing w:after="0" w:line="225" w:lineRule="exact"/>
        <w:rPr>
          <w:rFonts w:ascii="Times New Roman" w:cs="Times New Roman" w:eastAsia="Times New Roman" w:hAnsi="Times New Roman"/>
          <w:sz w:val="18"/>
          <w:szCs w:val="18"/>
          <w:color w:val="auto"/>
        </w:rPr>
      </w:pPr>
    </w:p>
    <w:p>
      <w:pPr>
        <w:ind w:left="180" w:firstLine="4"/>
        <w:spacing w:after="0" w:line="282" w:lineRule="auto"/>
        <w:tabs>
          <w:tab w:leader="none" w:pos="60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supporting obligations and consents and agreements of any kind or nature that are material to the operation, management, maintenance and conduct of any Credit Party;</w:t>
      </w:r>
    </w:p>
    <w:p>
      <w:pPr>
        <w:spacing w:after="0" w:line="161" w:lineRule="exact"/>
        <w:rPr>
          <w:rFonts w:ascii="Times New Roman" w:cs="Times New Roman" w:eastAsia="Times New Roman" w:hAnsi="Times New Roman"/>
          <w:sz w:val="18"/>
          <w:szCs w:val="18"/>
          <w:color w:val="auto"/>
        </w:rPr>
      </w:pPr>
    </w:p>
    <w:p>
      <w:pPr>
        <w:ind w:left="520" w:hanging="336"/>
        <w:spacing w:after="0"/>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of every kind and nature, including leases; and</w:t>
      </w:r>
    </w:p>
    <w:p>
      <w:pPr>
        <w:spacing w:after="0" w:line="225" w:lineRule="exact"/>
        <w:rPr>
          <w:rFonts w:ascii="Times New Roman" w:cs="Times New Roman" w:eastAsia="Times New Roman" w:hAnsi="Times New Roman"/>
          <w:sz w:val="18"/>
          <w:szCs w:val="18"/>
          <w:color w:val="auto"/>
        </w:rPr>
      </w:pPr>
    </w:p>
    <w:p>
      <w:pPr>
        <w:jc w:val="both"/>
        <w:ind w:left="180" w:right="20" w:firstLine="4"/>
        <w:spacing w:after="0" w:line="266" w:lineRule="auto"/>
        <w:tabs>
          <w:tab w:leader="none" w:pos="58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all Proceeds, tort claims, insurance claims and other rights to payment not otherwise included in the foregoing and products of all and any of the foregoing and all accessions to, substitutions and replacements for, and rents and profits of, each of the foregoing (all of the foregoing, collectively, the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23" w:name="page124"/>
    <w:bookmarkEnd w:id="123"/>
    <w:p>
      <w:pPr>
        <w:ind w:left="4"/>
        <w:spacing w:after="0"/>
        <w:rPr>
          <w:sz w:val="20"/>
          <w:szCs w:val="20"/>
          <w:color w:val="auto"/>
        </w:rPr>
      </w:pPr>
      <w:r>
        <w:rPr>
          <w:rFonts w:ascii="Times New Roman" w:cs="Times New Roman" w:eastAsia="Times New Roman" w:hAnsi="Times New Roman"/>
          <w:sz w:val="18"/>
          <w:szCs w:val="18"/>
          <w:color w:val="auto"/>
        </w:rPr>
        <w:t>Notwithstanding the foregoing, in no event shall the Collateral subject to this Agreement include or the security interest granted herein attach to:</w:t>
      </w:r>
    </w:p>
    <w:p>
      <w:pPr>
        <w:spacing w:after="0" w:line="225" w:lineRule="exact"/>
        <w:rPr>
          <w:sz w:val="20"/>
          <w:szCs w:val="20"/>
          <w:color w:val="auto"/>
        </w:rPr>
      </w:pPr>
    </w:p>
    <w:p>
      <w:pPr>
        <w:jc w:val="both"/>
        <w:ind w:left="644" w:hanging="644"/>
        <w:spacing w:after="0" w:line="266" w:lineRule="auto"/>
        <w:tabs>
          <w:tab w:leader="none" w:pos="6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 owned real property with a fair market value less than $750,000, and any real property leasehold rights and interests (provided, that the classification of leasehold interests in real property as Excluded Assets shall not affect the Credit Parties’ obligations with respect to the provision of landlord waivers or similar collateral access agreements);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motor vehicles, aircraft and other assets subject to certificates of title with a value of less than $500,000 in the aggregate (except to the extent perfection of a security interest therein may be accomplished by filing of a Code financing statement) and (B) commercial tort claims with a value of less than $500,000 in the aggregate;</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rights (other than to the extent consisting of supporting obligations that can be perfected solely by the filing of a Code financing statement) with a value of less than $500,000 in the aggregate;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licenses or state or local franchises, charters and authorizations, to the extent a security interest in any such license, franchise, charter or authorization is prohibited or restricted by the terms thereof (excluding any prohibition or restriction that is ineffective under the Code or any other applicable law), but only to the extent, and for as long as, such prohibition or restriction is in effect;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security interests prohibited or restricted by applicable law, rule or regulation (including any requirement to obtain the consent of any governmental authority, regulatory authority or third party (excluding, for the avoidance of doubt, any Credit Party) unless such consent has been obtained (it being understood that the applicable Credit Parties shall use commercially reasonable efforts to obtain such consent)) except to the extent that such restrictions are either (x) rendered ineffective under the Code or any other applicable law, or</w:t>
      </w:r>
    </w:p>
    <w:p>
      <w:pPr>
        <w:spacing w:after="0" w:line="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no longer in effect;</w:t>
      </w:r>
    </w:p>
    <w:p>
      <w:pPr>
        <w:spacing w:after="0" w:line="206"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in non-wholly owned subsidiaries which cannot be pledged without the consent of third parties (other than Credit Parties) pursuant to prohibitions or restrictions by contract or under the organizational documents of the equity issuer of such non-wholly owned subsidiary and which such prohibition or restriction was not included in contemplation of the financing contemplated hereby (unless such consent has been obtained (it being understood that the applicable Credit Party shall use commercially reasonable efforts obtain such consent for all non-wholly owned subsidiaries)), except to the extent that such restrictions or prohibitions are rendered ineffective under applicable anti-assignment provisions of the Code of any applicable jurisdiction or other applicable law;</w:t>
      </w:r>
    </w:p>
    <w:p>
      <w:pPr>
        <w:spacing w:after="0" w:line="18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24" w:name="page125"/>
    <w:bookmarkEnd w:id="124"/>
    <w:p>
      <w:pPr>
        <w:jc w:val="both"/>
        <w:ind w:left="644" w:hanging="644"/>
        <w:spacing w:after="0" w:line="256" w:lineRule="auto"/>
        <w:tabs>
          <w:tab w:leader="none" w:pos="6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license or agreement, or any property subject to a purchase money security interest, capital lease obligation or similar arrangement, in each case, permitted to be incurred by the Loan Documents to the extent that a grant of a security interest therein to secure the obligations under the Loan Documents would violate or invalidate such lease, license or agreement or purchase money security interest or similar arrangement or create a right of termination in favor of any other party thereto (other than any Credit Party) after giving effect to the applicable anti-assignment provisions of the Code or any other applicable law, other than proceeds and receivables thereof, the assignment of which is expressly deemed effective under the Code notwithstanding such prohibition;</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to the extent a Requirement of Law would create an adverse tax consequence to the Credit Parties as reasonably determined by the Borrower, the Agent and the Required Lenders, (x) more than 65% of the voting Equity Interests in a first-tier Foreign Subsidiary or Foreign Subsidiary Holdco, and (y) any Equity Interest in any Domestic Subsidiary of a Foreign Subsidiary;</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to the extent a security interest in such assets would result in material adverse tax consequences to the Credit Parties as reasonably determined by the Borrower, the Agent and the Required Lenders;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intent-to-use Trademark application prior to the filing, and acceptance by the U.S. Patent and Trademark Office, of a “Statement of Use” or “Amendment to Allege Use” with respect thereto, to the extent, if any, that, and solely during the period, if any, in which, the grant of a security interest therein would impair the validity or enforceability of such intent-to-use Trademark application (or any resulting registration) under applicable law;</w:t>
      </w:r>
    </w:p>
    <w:p>
      <w:pPr>
        <w:spacing w:after="0" w:line="179"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where the cost of obtaining a security interest therein is excessive in relation to the practical benefit to the lenders afforded thereby as reasonably determined by the Borrower, the Agent and the Required Lenders;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items in clauses (i) through (xi) of this paragraph shall be referred to herein collectively as, the “</w:t>
      </w:r>
      <w:r>
        <w:rPr>
          <w:rFonts w:ascii="Times New Roman" w:cs="Times New Roman" w:eastAsia="Times New Roman" w:hAnsi="Times New Roman"/>
          <w:sz w:val="18"/>
          <w:szCs w:val="18"/>
          <w:b w:val="1"/>
          <w:bCs w:val="1"/>
          <w:color w:val="auto"/>
        </w:rPr>
        <w:t>Excluded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hanging="4"/>
        <w:spacing w:after="0" w:line="252" w:lineRule="auto"/>
        <w:tabs>
          <w:tab w:leader="none" w:pos="26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Agent, each Lender and each other Grantor agrees that this Agreement creates, and is intended to create, valid and continuing Liens upon the Collateral in favor of Agent for its benefit and the benefit of the Lenders. Each Grantor represents, warrants and promises to Agent and each Lender that: (i) such Grantor has rights in and the power to transfer each item of the Collateral upon which it purports to grant a Lien pursuant to this Agreement, free and clear of any and all Liens or claims of others, other than Permitted Liens; (ii) the security interests granted pursuant to this Agreement, upon completion of the filings and other actions listed on </w:t>
      </w:r>
      <w:r>
        <w:rPr>
          <w:rFonts w:ascii="Times New Roman" w:cs="Times New Roman" w:eastAsia="Times New Roman" w:hAnsi="Times New Roman"/>
          <w:sz w:val="18"/>
          <w:szCs w:val="18"/>
          <w:u w:val="single" w:color="auto"/>
          <w:color w:val="auto"/>
        </w:rPr>
        <w:t>Disclosure Schedule (6.1)</w:t>
      </w:r>
      <w:r>
        <w:rPr>
          <w:rFonts w:ascii="Times New Roman" w:cs="Times New Roman" w:eastAsia="Times New Roman" w:hAnsi="Times New Roman"/>
          <w:sz w:val="18"/>
          <w:szCs w:val="18"/>
          <w:color w:val="auto"/>
        </w:rPr>
        <w:t xml:space="preserve"> (which, in the case of all filings and other documents referred to in said Schedule, have been delivered to the Agent in duly executed form) and the filing of UCC-1 financing statements with respect to the Collateral, will constitute valid perfected security interests in all of the Collateral (other than Collateral subject to Excluded Perfection Actions) in favor of Agent for its benefit and the benefit of the Lenders as security for the prompt and complete payment and performance of the Obligations, enforceable in accordance with the terms hereof against any and all creditors of and purchasers from any Grantor and such security interests are prior to all other Liens on the Collateral in existence on the date hereof except for Permitted Liens that have priority by operation of law; and (iii) no effective security agreement, mortgage, deed of trust, financing statement, equivalent security or Lien instrument or continuation statement covering all or any part of the Collateral is or will be on file or of record in any public office, except those relating to Permitted Liens. Each Grantor promises to take such actions as Agent (at the direction of the Required Lenders) reasonably requests to defend the right, title and interest of Agent in and to the Collateral against the claims and demands of all Persons, subject to Permitted Liens.</w:t>
      </w:r>
    </w:p>
    <w:p>
      <w:pPr>
        <w:spacing w:after="0" w:line="1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25" w:name="page126"/>
    <w:bookmarkEnd w:id="125"/>
    <w:p>
      <w:pPr>
        <w:jc w:val="both"/>
        <w:ind w:left="660" w:hanging="4"/>
        <w:spacing w:after="0" w:line="258" w:lineRule="auto"/>
        <w:tabs>
          <w:tab w:leader="none" w:pos="9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confirms that value has been given by the Agent and the Lenders to each such Credit Party, that each Credit Party has rights in the Collateral (other than after-acquired property) and that each Credit Party and the Agent have not agreed to postpone the time for attachment of the security interests created by this Agreement to any of the Collateral. The security interests created by this Agreement are intended to attach to: (i) existing Collateral when each Credit Party executes this Agreement, and (ii) Collateral subsequently acquired by each Credit Party immediately upon each such Credit Party acquiring any rights in such Collateral.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Agent’s Rights</w:t>
      </w:r>
      <w:r>
        <w:rPr>
          <w:rFonts w:ascii="Times New Roman" w:cs="Times New Roman" w:eastAsia="Times New Roman" w:hAnsi="Times New Roman"/>
          <w:sz w:val="18"/>
          <w:szCs w:val="18"/>
          <w:color w:val="auto"/>
        </w:rPr>
        <w:t>. Each Grantor, with respect to each property where any Collateral is located that is owned, leased or controlled by any Grantor, during normal business hours and upon reasonable advance notice (unless an Event of Default shall have occurred and be continuing, in which event no notice shall be required and Agent shall have access at any and all times): (i) provide access to such property to Agent (or its designee so long as such designee is bound by a confidentiality agreement) and any of its officers, employees and agents, as frequently as Agent reasonably determines to be appropriate, (ii) permit Agent (or its designee so long as such designee is bound by a confidentiality agreement) to inspect, review, evaluate and make physical verifications and appraisals of the Collateral in any manner and through any medium that Agent or the Required Lenders considers advisable, and each Grantor agrees to render to Agent, at such Grantor’s cost and expense, such clerical and other assistance as may be reasonably requested with regard thereto, and (iii) permit Agent (or its designee so long as such designee is bound by a confidentiality agreement) to inspect, audit and make extracts and copies (or take originals if reasonably necessary) from all of such Grantor’s Books and Records; provided, however, that no Credit Party shall be obligated to reimburse Agent for any fees or expenses incurred in connection with more than one such inspection or audit per Fiscal Year absent an Event of Default that has occurred and is continuing.</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Agent’s Appointment as Attorney-in-fact</w:t>
      </w:r>
      <w:r>
        <w:rPr>
          <w:rFonts w:ascii="Times New Roman" w:cs="Times New Roman" w:eastAsia="Times New Roman" w:hAnsi="Times New Roman"/>
          <w:sz w:val="18"/>
          <w:szCs w:val="18"/>
          <w:color w:val="auto"/>
        </w:rPr>
        <w:t xml:space="preserve">. On the Closing Date, each Grantor shall execute and deliver a Power of Attorney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The power of attorney granted pursuant to the Power of Attorney and all powers granted under any Loan Document are powers coupled with an interest and shall be irrevocable until the Termination Date, at which time such Power of Attorney shall automatically terminate. The powers conferred on Agent under each Power of Attorney are solely to protect Agent’s interests in the Collateral and shall not impose any duty upon it to exercise any such powers. Agent agrees not to exercise any power or authority granted under the Power of Attorney unless an Event of Default has occurred and is continuing. Each Grantor also hereby (i) authorizes Agent (or its designee so long as such designee is bound by a confidentiality agreement) to file any financing statements, continuation statements or amendments thereto that (x) cover the Collateral, and (y) contain any other information required by Part 5 of Article 9 of the Code for the sufficiency or filing office acceptance of any financing statement, continuation statement or amendment and (ii) ratifies its authorization for Agent (or its designee so long as such designee is bound by a confidentiality agreement) to have filed any such financing statements, if filed prior to the date hereof. Each Grantor acknowledges that, until the Obligations (other than inchoate obligations for indemnification or reimbursement for which no claim has been made) have been repaid in full, it is not authorized to file any financing statement or amendment or termination statement with respect to any such financing statement without the prior written consent of Agent and agrees that, until such time, it will not do so without the prior written consent of Agent, subject to such Grantor’s rights under Section 9-509(d)(2) of the Code.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6" w:name="page127"/>
    <w:bookmarkEnd w:id="12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Grant of License to Use Intellectual Property Collateral</w:t>
      </w:r>
      <w:r>
        <w:rPr>
          <w:rFonts w:ascii="Times New Roman" w:cs="Times New Roman" w:eastAsia="Times New Roman" w:hAnsi="Times New Roman"/>
          <w:sz w:val="18"/>
          <w:szCs w:val="18"/>
          <w:color w:val="auto"/>
        </w:rPr>
        <w:t xml:space="preserve">. Solely for the purpose of enabling Agent to exercise rights and remedies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hereof for the benefit of the Lenders (including, without limiting the terms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hereof, in order to take possession of, hold, preserve, process, assemble, prepare for sale, market for sale, sell or otherwise dispose of Collateral) upon the occurrence and during the continuation of an Event of Default, each Grantor hereby grants to Agent an irrevocable, non-exclusive, worldwide license (exercisable upon the occurrence and during the continuance of an Event of Default and without payment of royalty or other compensation to such Grantor) to use, practice, transfer, license or sublicense any Intellectual Property that constitutes or relates to any of the Collateral and that is licensed to, owned by or hereafter acquired by such Grantor, and wherever the same may be located, and including in such license access to all media in which any of the licensed items may be recorded or stored and to all computer software and programs used for the compilation or printout thereof, and represents, promises and agrees that any such license or sublicense is not and will not be in conflict with the contractual or commercial rights of any third Person; provided, that such license will terminate on the Termination Date and; provided, further, that such license with respect to Trademarks shall be subject to, with respect to the goods and/or services on which such Trademarks are used, maintenance of quality standards that are sufficient to preserve the validity of such Trademarks and are consistent with past practices in all material respects.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Commercial Tort Claims</w:t>
      </w:r>
      <w:r>
        <w:rPr>
          <w:rFonts w:ascii="Times New Roman" w:cs="Times New Roman" w:eastAsia="Times New Roman" w:hAnsi="Times New Roman"/>
          <w:sz w:val="18"/>
          <w:szCs w:val="18"/>
          <w:color w:val="auto"/>
        </w:rPr>
        <w:t xml:space="preserve">. As of the Closing Date, each Credit Party hereby represents and warrants that it holds no commercial tort claims other than those listed in </w:t>
      </w:r>
      <w:r>
        <w:rPr>
          <w:rFonts w:ascii="Times New Roman" w:cs="Times New Roman" w:eastAsia="Times New Roman" w:hAnsi="Times New Roman"/>
          <w:sz w:val="18"/>
          <w:szCs w:val="18"/>
          <w:u w:val="single" w:color="auto"/>
          <w:color w:val="auto"/>
        </w:rPr>
        <w:t>Schedule 13</w:t>
      </w:r>
      <w:r>
        <w:rPr>
          <w:rFonts w:ascii="Times New Roman" w:cs="Times New Roman" w:eastAsia="Times New Roman" w:hAnsi="Times New Roman"/>
          <w:sz w:val="18"/>
          <w:szCs w:val="18"/>
          <w:color w:val="auto"/>
        </w:rPr>
        <w:t xml:space="preserve"> to the Perfection Certificate. If any Credit Party shall at any time hold or acquire a commercial tort claim, such Credit Party shall promptly after obtaining knowledge thereof notify Agent in writing signed by such Credit Party of the brief details thereof and take such actions as Agent (at the direction of the Required Lenders) may reasonably request to grant to Agent in such writing a security interest therein and in the Proceeds thereof, all upon the terms of this Agreement, with such writing to be in form and substance reasonably satisfactory to Agent and the Required Lenders. The requirement in the preceding sentence shall not apply to the extent that the amount of such commercial tort claim, together with the amount of all other commercial tort claims held by any Credit Party in which Agent does not have a security interest, does not exceed $500,000 in the aggregate for all Credit Parties.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7" w:name="page128"/>
    <w:bookmarkEnd w:id="12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Duties of Agent</w:t>
      </w:r>
      <w:r>
        <w:rPr>
          <w:rFonts w:ascii="Times New Roman" w:cs="Times New Roman" w:eastAsia="Times New Roman" w:hAnsi="Times New Roman"/>
          <w:sz w:val="18"/>
          <w:szCs w:val="18"/>
          <w:color w:val="auto"/>
        </w:rPr>
        <w:t>. Agent’s sole duty with respect to the custody, safekeeping and physical preservation of the Collateral in its possession shall be to deal with it in the same manner as Agent deals with similar property for its own account. The powers conferred on Agent hereunder are solely to protect Agent’s interest in the Collateral and shall not impose any duty upon Agent to exercise any such powers. Agent shall be accountable only for amounts that it receives as a result of the exercise of such powers, and neither it nor any of its Related Persons shall be responsible to any Grantor for any act or failure to act hereunder, except for their own gross negligence or willful misconduct as determined by a final non-appealable judgment by a court of competent jurisdiction. In addition, Agent shall not be liable or responsible for any loss or damage to any Collateral, or for any diminution in the value thereof, by reason of the act or omission of any warehousemen, carrier, forwarding agency, consignee or other bailee except to the extent that a court of competent jurisdiction determines in a final and non-appealable judgment that the Administrative Agent acted with gross negligence, bad faith or willful misconduct in the selection of such Person.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Release;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Upon any sale, lease, transfer or other disposition by any Grantor of any Collateral that is permitted under this Agreement to any Person that is not another Grantor, the security interest in such Collateral shall be automatically released, and the Agent shall promptly execute and deliver to and authorize the filing by each Grantor such documents and instruments reasonably requested by such Grantor as shall be necessary to evidence the termination of the security interests in such Collateral.</w:t>
      </w:r>
    </w:p>
    <w:p>
      <w:pPr>
        <w:spacing w:after="0" w:line="180" w:lineRule="exact"/>
        <w:rPr>
          <w:sz w:val="20"/>
          <w:szCs w:val="20"/>
          <w:color w:val="auto"/>
        </w:rPr>
      </w:pPr>
    </w:p>
    <w:p>
      <w:pPr>
        <w:jc w:val="both"/>
        <w:ind w:left="660" w:hanging="4"/>
        <w:spacing w:after="0" w:line="261" w:lineRule="auto"/>
        <w:tabs>
          <w:tab w:leader="none" w:pos="9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interests created by this Agreement shall automatically terminate on the Termination Date and the Agent shall promptly execute and deliver to and authorize the filing by each Grantor such documents and instruments reasonably requested by such Grantor as shall be necessary to evidence the termination of all security interests given by such Grantor to the Agent hereunder and deliver to the Borrower, at the expense of the Borrower, any portion of the Collateral that is in possession of the Agent.</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0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execution and delivery of such documents pursuant to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be without recourse to or representation or warranty by the Agent or any Lender. The Borrower shall reimburse the Agent upon demand for all reasonable and documented costs and out of pocket expenses, including the reasonable fees, charges and expenses of counsel, incurred by it in connection with any action contemplated by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 RIGHTS AND REMEDIES</w:t>
      </w:r>
    </w:p>
    <w:p>
      <w:pPr>
        <w:spacing w:after="0" w:line="2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The occurrence of any one or more of the following events (regardless of the reason therefor)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hereunder which shall be deemed to be continuing until waived in writing by Agent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(at the direction of the Required Lenders) in accordance with </w:t>
      </w:r>
      <w:r>
        <w:rPr>
          <w:rFonts w:ascii="Times New Roman" w:cs="Times New Roman" w:eastAsia="Times New Roman" w:hAnsi="Times New Roman"/>
          <w:sz w:val="18"/>
          <w:szCs w:val="18"/>
          <w:u w:val="single" w:color="auto"/>
          <w:color w:val="auto"/>
        </w:rPr>
        <w:t>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xml:space="preserve"> or cured in accordance with the terms and conditions of this Agreement:</w:t>
      </w:r>
    </w:p>
    <w:p>
      <w:pPr>
        <w:spacing w:after="0" w:line="207" w:lineRule="exact"/>
        <w:rPr>
          <w:sz w:val="20"/>
          <w:szCs w:val="20"/>
          <w:color w:val="auto"/>
        </w:rPr>
      </w:pPr>
    </w:p>
    <w:p>
      <w:pPr>
        <w:jc w:val="both"/>
        <w:ind w:left="660" w:hanging="4"/>
        <w:spacing w:after="0" w:line="266" w:lineRule="auto"/>
        <w:tabs>
          <w:tab w:leader="none" w:pos="90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fail to pay the principal in respect of the Loan when due and payable or declared due and payable in accordance with the terms hereof; or the Borrower shall fail to pay interest or any other Obligations within three (3) days after any such other Obligation becomes due and payable in accordance with the terms hereof or any other Loan Document;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8" w:name="page129"/>
    <w:bookmarkEnd w:id="128"/>
    <w:p>
      <w:pPr>
        <w:jc w:val="both"/>
        <w:ind w:left="4" w:hanging="4"/>
        <w:spacing w:after="0" w:line="261" w:lineRule="auto"/>
        <w:tabs>
          <w:tab w:leader="none" w:pos="25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in this Agreement or any other Loan Document, or in any written statement pursuant hereto or thereto, or in any report, financial statement or certificate made or delivered to Agent by Borrower or any other Credit Party shall be untrue or incorrect in any material respect as of the date when made or deemed made, regardless of whether such breach involves a representation or warranty with respect to a Credit Party that has not signed this Agreement; or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8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or any other Credit Party shall fail or neglect to perform, keep or observe: (A) any of the covenants, promises, agreements, requirements, or other terms or provisions contained in </w:t>
      </w:r>
      <w:r>
        <w:rPr>
          <w:rFonts w:ascii="Times New Roman" w:cs="Times New Roman" w:eastAsia="Times New Roman" w:hAnsi="Times New Roman"/>
          <w:sz w:val="18"/>
          <w:szCs w:val="18"/>
          <w:u w:val="single" w:color="auto"/>
          <w:color w:val="auto"/>
        </w:rPr>
        <w:t>Section 3.1(a)(i)(A)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each subsection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of this Agreement or (B) any provision of the SBA Side Letter; or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6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or any other Credit Party shall fail or neglect to perform, keep or observe any of the covenants, promises, agreements, requirements, or other terms or provisions contained in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xml:space="preserve"> of this Agreement, and such failure or neglect shall continue unremedied for a period of five</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or</w:t>
      </w:r>
    </w:p>
    <w:p>
      <w:pPr>
        <w:spacing w:after="0" w:line="206"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5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other Credit Party shall fail or neglect to perform, keep or observe any of the covenants, promises, agreements, requirements, or other terms or provisions contained in this Agreement or any of the other Loan Documents (other than as specified in paragraphs (a) through (d) above), and such failure or neglect shall continue unremedied for a period of thirty (30) days; or</w:t>
      </w:r>
    </w:p>
    <w:p>
      <w:pPr>
        <w:spacing w:after="0" w:line="175" w:lineRule="exact"/>
        <w:rPr>
          <w:rFonts w:ascii="Times New Roman" w:cs="Times New Roman" w:eastAsia="Times New Roman" w:hAnsi="Times New Roman"/>
          <w:sz w:val="18"/>
          <w:szCs w:val="18"/>
          <w:color w:val="auto"/>
        </w:rPr>
      </w:pPr>
    </w:p>
    <w:p>
      <w:pPr>
        <w:jc w:val="both"/>
        <w:ind w:left="4" w:hanging="4"/>
        <w:spacing w:after="0" w:line="254" w:lineRule="auto"/>
        <w:tabs>
          <w:tab w:leader="none" w:pos="23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shall occur under any Indebtedness of the Borrower or any other Credit Party (other than this Agreement and the other Loan Documents), and such event of default (i) involves the failure to make any payment (whether or not such payment is blocked pursuant to the terms of an intercreditor agreement or otherwise), whether of principal, interest or otherwise, and whether due by scheduled maturity, required prepayment, acceleration, demand or otherwise and such failure continues after the applicable grace or notice period, if any, specified in the document relating thereto, in respect of any Indebtedness (other than the Obligations) of such Person in an aggregate original principal amount exceeding $750,000, or (ii) causes (or permits any holder of such Indebtedness or a trustee to cause) such Indebtedness, or a portion thereof, in an aggregate original principal amount exceeding $7500,000 to become due prior to its stated maturity or prior to its regularly scheduled date of payment; or</w:t>
      </w:r>
    </w:p>
    <w:p>
      <w:pPr>
        <w:spacing w:after="0" w:line="1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29" w:name="page130"/>
    <w:bookmarkEnd w:id="129"/>
    <w:p>
      <w:pPr>
        <w:jc w:val="both"/>
        <w:ind w:left="4" w:hanging="4"/>
        <w:spacing w:after="0" w:line="256" w:lineRule="auto"/>
        <w:tabs>
          <w:tab w:leader="none" w:pos="2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commenced against the Borrower or any other Credit Party any Litigation seeking issuance of a warrant of attachment, execution, distraint or similar process against all or any substantial part of its assets that results in the entry of an order for any such relief that remains unstayed, undismissed or unbonded for sixty (60) consecutive days; or Borrower or any other Credit Party shall have concealed, removed or permitted to be concealed or removed, any part of its property with intent to hinder, delay or defraud any of its creditors or made or suffered a transfer of any of its property or the incurring of an obligation that may be fraudulent under any bankruptcy, fraudulent transfer or other similar law; or</w:t>
      </w:r>
    </w:p>
    <w:p>
      <w:pPr>
        <w:spacing w:after="0" w:line="187" w:lineRule="exact"/>
        <w:rPr>
          <w:rFonts w:ascii="Times New Roman" w:cs="Times New Roman" w:eastAsia="Times New Roman" w:hAnsi="Times New Roman"/>
          <w:sz w:val="18"/>
          <w:szCs w:val="18"/>
          <w:color w:val="auto"/>
        </w:rPr>
      </w:pPr>
    </w:p>
    <w:p>
      <w:pPr>
        <w:ind w:left="4" w:hanging="4"/>
        <w:spacing w:after="0" w:line="282" w:lineRule="auto"/>
        <w:tabs>
          <w:tab w:leader="none" w:pos="28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case or proceeding shall have been commenced involuntarily against Borrower or any other Credit Party in a court having competent jurisdiction seeking a decree or order:</w:t>
      </w:r>
    </w:p>
    <w:p>
      <w:pPr>
        <w:spacing w:after="0" w:line="16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United States Bankruptcy Code or any other applicable Federal, state or foreign bankruptcy or other similar law, and seeking either</w:t>
      </w:r>
    </w:p>
    <w:p>
      <w:pPr>
        <w:spacing w:after="0" w:line="27"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6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custodian, receiver, liquidator, assignee, trustee or sequestrator (or similar official) for such Person or of any substantial part of its properties, or (y) the reorganization or winding up or liquidation of the affairs of any such Person, and such case or proceeding shall remain undismissed, unstayed or unbonded for sixty (60) consecutive days or such court shall enter a decree or order granting the relief sought in such case or proceeding; or (ii) invalidating or denying any Person’s right, power, or competence to enter into or perform any of its obligations under any Loan Document or invalidating or denying the validity or enforceability of this Agreement or any other Loan Document or any action taken hereunder or thereunder; or</w:t>
      </w:r>
    </w:p>
    <w:p>
      <w:pPr>
        <w:spacing w:after="0" w:line="190" w:lineRule="exact"/>
        <w:rPr>
          <w:sz w:val="20"/>
          <w:szCs w:val="20"/>
          <w:color w:val="auto"/>
        </w:rPr>
      </w:pPr>
    </w:p>
    <w:p>
      <w:pPr>
        <w:jc w:val="both"/>
        <w:ind w:left="4" w:hanging="4"/>
        <w:spacing w:after="0" w:line="256" w:lineRule="auto"/>
        <w:tabs>
          <w:tab w:leader="none" w:pos="21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or any other Credit Party shall (i) commence any case, proceeding or other action under any existing or future law of any jurisdiction, domestic or foreign, relating to bankruptcy, insolvency, reorganization, conservatorship or relief of debtors, seeking to have an order for relief entered with respect to it or seeking appointment of a custodian, receiver, liquidator, assignee, trustee or sequestrator (or similar official) for it or any substantial part of its properties, (ii) make a general assignment for the benefit of creditors, (iii) consent to or take any action in furtherance of, or, indicating its consent to, approval of, or acquiescence in, any of the acts set forth in paragraph (h)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paragraph (i), or (iv) shall admit in writing its inability to, or shall be generally unable to, pay its debts as such debts become due; or</w:t>
      </w:r>
    </w:p>
    <w:p>
      <w:pPr>
        <w:spacing w:after="0" w:line="187" w:lineRule="exact"/>
        <w:rPr>
          <w:rFonts w:ascii="Times New Roman" w:cs="Times New Roman" w:eastAsia="Times New Roman" w:hAnsi="Times New Roman"/>
          <w:sz w:val="18"/>
          <w:szCs w:val="18"/>
          <w:color w:val="auto"/>
        </w:rPr>
      </w:pPr>
    </w:p>
    <w:p>
      <w:pPr>
        <w:jc w:val="both"/>
        <w:ind w:left="4" w:right="20" w:hanging="4"/>
        <w:spacing w:after="0" w:line="266" w:lineRule="auto"/>
        <w:tabs>
          <w:tab w:leader="none" w:pos="23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in excess of $500,000 in the aggregate (in excess of the amount thereof covered by insurance) shall be rendered against Borrower or any other Credit Party, to the extent not vacated, stayed, bonded, paid or discharged for a period of thirty (30) consecutive days after the date of entry such judgment; or</w:t>
      </w:r>
    </w:p>
    <w:p>
      <w:pPr>
        <w:spacing w:after="0" w:line="175" w:lineRule="exact"/>
        <w:rPr>
          <w:rFonts w:ascii="Times New Roman" w:cs="Times New Roman" w:eastAsia="Times New Roman" w:hAnsi="Times New Roman"/>
          <w:sz w:val="18"/>
          <w:szCs w:val="18"/>
          <w:color w:val="auto"/>
        </w:rPr>
      </w:pPr>
    </w:p>
    <w:p>
      <w:pPr>
        <w:jc w:val="both"/>
        <w:ind w:left="4" w:hanging="4"/>
        <w:spacing w:after="0" w:line="258" w:lineRule="auto"/>
        <w:tabs>
          <w:tab w:leader="none" w:pos="28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any Loan Document shall for any reason cease to be valid, binding and enforceable in accordance with its terms in any material respect, or any Lien granted, or intended by the Loan Documents to be granted, to Agent for its benefit and the benefit of the Lenders shall cease to be a valid and perfected Lien having the first priority (or a lesser priority if expressly permitted in the Loan Documents and subject to the Excluded Perfection Actions) in any of the Collateral having a value in excess of $500,000 (or any Credit Party shall so assert any of the foregoing); or</w:t>
      </w:r>
    </w:p>
    <w:p>
      <w:pPr>
        <w:spacing w:after="0" w:line="18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30" w:name="page131"/>
    <w:bookmarkEnd w:id="130"/>
    <w:p>
      <w:pPr>
        <w:ind w:left="660" w:hanging="4"/>
        <w:spacing w:after="0" w:line="282" w:lineRule="auto"/>
        <w:tabs>
          <w:tab w:leader="none" w:pos="87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have occurred with respect to any Credit Party unless the Termination Date occurs substantially concurrently with the consummation of such Change of Control; or</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96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ERISA Events that have occurred and are then continuing, could reasonably be expected to have Material Adverse Effect; or</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9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obligation of any Guarantor under its Guarantee or under any of the Loan Documents is limited or terminated by operation of law or by such Guarantor (other than in accordance with the terms of this Agreement)</w:t>
      </w:r>
      <w:r>
        <w:rPr>
          <w:rFonts w:ascii="Times New Roman" w:cs="Times New Roman" w:eastAsia="Times New Roman" w:hAnsi="Times New Roman"/>
          <w:sz w:val="18"/>
          <w:szCs w:val="18"/>
          <w:u w:val="single" w:color="auto"/>
          <w:color w:val="0000FF"/>
        </w:rPr>
        <w:t>; or</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915" w:val="left"/>
        </w:tabs>
        <w:numPr>
          <w:ilvl w:val="0"/>
          <w:numId w:val="132"/>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(i) any material breach by any Credit Party party to the Trademark License Agreement shall have occurred and (if such breach is curable) the applicable Credit Party shall have failed to cure such breach within any cure period applicable under the Trademark License Agreement (unless the Credit Party shall have notified the licensee under the Trademark License Agreement that it will not cure such breach, in which case, the Event of Default shall occur upon such notification (and the Credit Party agrees to promptly provide such notification to the Agent and Lenders), (ii) any event or condition occurs that results in, or would reasonably be expected to result in, a termination of the Trademark License Agreement, or (iii) any material breach of the Rights Acknowledgement and Agreement by any Credit Party party thereto</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4" w:lineRule="auto"/>
        <w:tabs>
          <w:tab w:leader="none" w:pos="91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shall have occurred and be continuing, then each Lender may suspend its commitment hereunder to make the Term Loan. In addition, if any Event of Default shall have occurred and be continuing, Agent may and, at the direction of the Required Lenders, shall, take any one or more of the following actions: (i) by notice to Borrower declare all or any portion of the Obligations to be forthwith due and payable, whereupon such Obligations shall become and be due and payable; or (ii) exercise any rights and remedies provided to Agent for its benefit and the benefit of the Lenders under the Loan Documents or at law or equity, including all remedies provided under the Code; provided, that upon the occurrence of any Event of Default specified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either </w:t>
      </w:r>
      <w:r>
        <w:rPr>
          <w:rFonts w:ascii="Times New Roman" w:cs="Times New Roman" w:eastAsia="Times New Roman" w:hAnsi="Times New Roman"/>
          <w:sz w:val="18"/>
          <w:szCs w:val="18"/>
          <w:u w:val="single" w:color="auto"/>
          <w:color w:val="auto"/>
        </w:rPr>
        <w:t>Sections 7.1(h)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Obligations shall become immediately due and payable (and any obligation of the Lenders to make the Loan, if not previously terminated, shall immediately be terminated) without declaration, notice or demand by Agent.</w:t>
      </w:r>
    </w:p>
    <w:p>
      <w:pPr>
        <w:spacing w:after="0" w:line="191" w:lineRule="exact"/>
        <w:rPr>
          <w:rFonts w:ascii="Times New Roman" w:cs="Times New Roman" w:eastAsia="Times New Roman" w:hAnsi="Times New Roman"/>
          <w:sz w:val="18"/>
          <w:szCs w:val="18"/>
          <w:color w:val="auto"/>
        </w:rPr>
      </w:pPr>
    </w:p>
    <w:p>
      <w:pPr>
        <w:jc w:val="both"/>
        <w:ind w:left="660" w:hanging="4"/>
        <w:spacing w:after="0" w:line="254" w:lineRule="auto"/>
        <w:tabs>
          <w:tab w:leader="none" w:pos="92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Grantor expressly agrees that upon the occurrence and during the continuance of any Event of Default, Agent may collect, receive, assemble, appropriate and realize upon the Collateral, or any part thereof, and may forthwith sell, lease, assign, give an option or options to purchase or otherwise dispose of and deliver said Collateral (or contract to do so), or any part thereof, in one or more parcels at public or private sale or sales, at any exchange at such prices as it may deem best, for cash or on credit or for future delivery without assumption of any credit risk. Agent shall have the right upon any such public sale, to the extent permitted by law, to purchase for the benefit of the Lenders the whole or any part of said Collateral so sold, free of any right of equity of redemption, which right each Grantor hereby releases. Such sales may be adjourned, or continued from time to time with or without notice. Agent shall have the right to conduct such sales on any Grantor’s premises or elsewhere and shall have the right to use any Grantor’s premises without rent or other charge for such sales or other action with respect to the Collateral for such time as Agent deems necessary or advisable.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1" w:name="page132"/>
    <w:bookmarkEnd w:id="131"/>
    <w:p>
      <w:pPr>
        <w:jc w:val="both"/>
        <w:ind w:left="660" w:hanging="4"/>
        <w:spacing w:after="0" w:line="252" w:lineRule="auto"/>
        <w:tabs>
          <w:tab w:leader="none" w:pos="92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and at Agent’s request, Borrower and each other Grantor further agrees, to assemble the Collateral and make it available to Agent at places that Agent shall reasonably select, whether at its premises or elsewhere. During the continuance of an Event of Default, until Agent is able to effect a sale, lease, or other disposition of the Collateral, Agent shall have the right to complete, assemble, use or operate the Collateral or any part thereof, to the extent that Agent deems appropriate, for the purpose of preserving such Collateral or its value or for any other purpose. Agent shall have no obligation to any Grantor to maintain or preserve the rights of any Grantor as against third parties with respect to any Collateral while such Collateral is in the possession of Agent. During the continuance of an Event of Default, Agent may, if it so elects, seek the appointment of a receiver or keeper to take possession of any Collateral and to enforce any of Agent’s or the Lenders’ remedies with respect thereto without prior notice or hearing. To the maximum extent permitted by applicable law, Borrower and each other Grantor waives all claims, damages, and demands against Agent, each Lender, their Affiliates, agents, and the officers and employees of any of them arising out of the repossession, retention or sale of any Collateral except such as are determined in a final judgment by a court of competent jurisdiction to have arisen solely out of the gross negligence or willful misconduct of such Person. Borrower and each other Grantor agrees that ten (10) days’ prior notice by Agent to such Grantor of the time and place of any public sale or of the time after which a private sale may take place is reasonable notification of such matters. Borrower and each other Grantor shall remain liable for any deficiency if the proceeds of any sale or disposition of the Collateral are insufficient to pay all amounts to which Agent and each Lender are entitled.</w:t>
      </w:r>
    </w:p>
    <w:p>
      <w:pPr>
        <w:spacing w:after="0" w:line="197"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1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and each Lender’s rights and remedies under this Agreement shall be cumulative and nonexclusive of any other rights and remedies that Agent and each Lender may have under any Loan Document or at law or in equity. Recourse to the Collateral shall not be required. All provisions of this Agreement are intended to be subject to all applicable mandatory provisions of law that may be controlling and to be limited, to the extent necessary, so that they do not render this Agreement invalid or unenforceable, in whole or in part.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Waivers by Credit Parties</w:t>
      </w:r>
      <w:r>
        <w:rPr>
          <w:rFonts w:ascii="Times New Roman" w:cs="Times New Roman" w:eastAsia="Times New Roman" w:hAnsi="Times New Roman"/>
          <w:sz w:val="18"/>
          <w:szCs w:val="18"/>
          <w:color w:val="auto"/>
        </w:rPr>
        <w:t>. Except as otherwise provided for in this Agreement and to the fullest extent permitted by applicable law, Borrower and each other Credit Party executing this Agreement waives: (a) presentment, demand and protest, and notice of presentment, dishonor, intent to accelerate, protest, default, nonpayment, maturity, release, compromise, settlement, extension or renewal of any or all Loan Documents; (b) all rights to notice and a hearing prior to Agent’s taking possession or control of, or to Agent’s replevy, attachment or levy upon, any Collateral or any bond or security that might be required by any court prior to allowing Agent or any Lender to exercise any of their remedies; and (c) the benefit of all valuation, appraisal and exemption laws. Borrower and each other Credit Party executing this Agreement acknowledges that it has been advised by counsel of its choices and decisions with respect to this Agreement, the other Loan Documents and the transactions evidenced hereby and thereby.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xml:space="preserve">. The Proceeds of any sale, disposition or other realization upon any Collateral during the continuance of an Event of Default shall be applied by Agent in the following order of priority: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and disbursements and other charges of counsel and amounts payable under the Agent Fee Letter) payable to Agent in its capacity as such; </w:t>
      </w:r>
      <w:r>
        <w:rPr>
          <w:rFonts w:ascii="Times New Roman" w:cs="Times New Roman" w:eastAsia="Times New Roman" w:hAnsi="Times New Roman"/>
          <w:sz w:val="18"/>
          <w:szCs w:val="18"/>
          <w:i w:val="1"/>
          <w:iCs w:val="1"/>
          <w:color w:val="auto"/>
        </w:rPr>
        <w:t xml:space="preserve">second </w:t>
      </w:r>
      <w:r>
        <w:rPr>
          <w:rFonts w:ascii="Times New Roman" w:cs="Times New Roman" w:eastAsia="Times New Roman" w:hAnsi="Times New Roman"/>
          <w:sz w:val="18"/>
          <w:szCs w:val="18"/>
          <w:color w:val="auto"/>
        </w:rPr>
        <w:t>against the next 4 scheduled installments of the Term Loan in direct order of maturity until such scheduled installments have been paid in full;</w:t>
      </w:r>
      <w:r>
        <w:rPr>
          <w:rFonts w:ascii="Times New Roman" w:cs="Times New Roman" w:eastAsia="Times New Roman" w:hAnsi="Times New Roman"/>
          <w:sz w:val="18"/>
          <w:szCs w:val="18"/>
          <w:i w:val="1"/>
          <w:iCs w:val="1"/>
          <w:color w:val="auto"/>
        </w:rPr>
        <w:t xml:space="preserve"> third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against all other remaining principal installments of the Term Loan (including the final installment on the Maturity Date) in inverse order of maturity until the principal on the Term Loans is paid in full;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payment of all accrued unpaid cash interest on the Obligations;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payment of any other amounts owing constituting Obligations; and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after the payment by Agent of any other amount required by any provision of law, including Sections 9-608(a)(1) and 9-615(a)(3) of the Code (but only after Agent has received what Agent considers reasonable proof of a subordinate party’s security interest), the surplus, if any, shall be paid to the applicable Grantor or its representatives or to whomsoever may be lawfully entitled to receive the same, or as a court of competent jurisdiction may direct. In the event that any such Proceeds are insufficient to pay the Obligations in full, the Credit Parties shall remain liable, jointly and severally, for any deficiency.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2" w:name="page133"/>
    <w:bookmarkEnd w:id="132"/>
    <w:p>
      <w:pPr>
        <w:ind w:left="180" w:hanging="172"/>
        <w:spacing w:after="0"/>
        <w:tabs>
          <w:tab w:leader="none" w:pos="1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 AND ASSIGNS; TAX DOCUMENTATION</w:t>
      </w:r>
    </w:p>
    <w:p>
      <w:pPr>
        <w:spacing w:after="0" w:line="229" w:lineRule="exact"/>
        <w:rPr>
          <w:rFonts w:ascii="Times New Roman" w:cs="Times New Roman" w:eastAsia="Times New Roman" w:hAnsi="Times New Roman"/>
          <w:sz w:val="18"/>
          <w:szCs w:val="18"/>
          <w:b w:val="1"/>
          <w:bCs w:val="1"/>
          <w:color w:val="auto"/>
        </w:rPr>
      </w:pPr>
    </w:p>
    <w:p>
      <w:pPr>
        <w:jc w:val="both"/>
        <w:ind w:left="660" w:hanging="4"/>
        <w:spacing w:after="0" w:line="267" w:lineRule="auto"/>
        <w:tabs>
          <w:tab w:leader="none" w:pos="938"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Loan Document shall be binding on and shall inure to the benefit of Borrower and each other Credit Party executing such Loan Document, Agent, each Lender, and their respective successors and assigns, except as otherwise provided herein or therein. If more than one party signs this instrument as Borrower, then the term “Borrower” as used herein shall mean all of such parties, jointly and severally. Neither Borrower nor any other Credit Party may assign, transfer, hypothecate, delegate or otherwise convey its rights, benefits, obligations or duties under any Loan Document without the prior express written consent of Agent. Any such purported conveyance by Borrower or such Credit Party without the prior express written consent of Agent shall be void. There shall be no third party beneficiaries of any of the terms and provisions of any of the Loan Documents. Each Lender reserves the right at any time to create and sell participations in the Loan and the Loan Documents to any other Person (a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and to sell, transfer or assign any or all of its rights in the Loan and under the Loan Documents to any Eligible Assignee (an “</w:t>
      </w:r>
      <w:r>
        <w:rPr>
          <w:rFonts w:ascii="Times New Roman" w:cs="Times New Roman" w:eastAsia="Times New Roman" w:hAnsi="Times New Roman"/>
          <w:sz w:val="17"/>
          <w:szCs w:val="17"/>
          <w:b w:val="1"/>
          <w:bCs w:val="1"/>
          <w:color w:val="auto"/>
        </w:rPr>
        <w:t>Assignee</w:t>
      </w:r>
      <w:r>
        <w:rPr>
          <w:rFonts w:ascii="Times New Roman" w:cs="Times New Roman" w:eastAsia="Times New Roman" w:hAnsi="Times New Roman"/>
          <w:sz w:val="17"/>
          <w:szCs w:val="17"/>
          <w:color w:val="auto"/>
        </w:rPr>
        <w:t xml:space="preserve">”) acknowledged by Agent; provided, however, that so long as no Event of Default has occurred and is continuing, an assignment to a Disqualified Lender shall require Borrower’s prior written consent. Any such sale, transfer or assignment shall be effected by a written assignment agreement substantially in the form of </w:t>
      </w:r>
      <w:r>
        <w:rPr>
          <w:rFonts w:ascii="Times New Roman" w:cs="Times New Roman" w:eastAsia="Times New Roman" w:hAnsi="Times New Roman"/>
          <w:sz w:val="17"/>
          <w:szCs w:val="17"/>
          <w:u w:val="single" w:color="auto"/>
          <w:color w:val="auto"/>
        </w:rPr>
        <w:t>Exhibit J</w:t>
      </w:r>
      <w:r>
        <w:rPr>
          <w:rFonts w:ascii="Times New Roman" w:cs="Times New Roman" w:eastAsia="Times New Roman" w:hAnsi="Times New Roman"/>
          <w:sz w:val="17"/>
          <w:szCs w:val="17"/>
          <w:color w:val="auto"/>
        </w:rPr>
        <w:t xml:space="preserve"> attached hereto or any other form approved by Agent (an “</w:t>
      </w:r>
      <w:r>
        <w:rPr>
          <w:rFonts w:ascii="Times New Roman" w:cs="Times New Roman" w:eastAsia="Times New Roman" w:hAnsi="Times New Roman"/>
          <w:sz w:val="17"/>
          <w:szCs w:val="17"/>
          <w:b w:val="1"/>
          <w:bCs w:val="1"/>
          <w:color w:val="auto"/>
        </w:rPr>
        <w:t>Assignment Agreement</w:t>
      </w:r>
      <w:r>
        <w:rPr>
          <w:rFonts w:ascii="Times New Roman" w:cs="Times New Roman" w:eastAsia="Times New Roman" w:hAnsi="Times New Roman"/>
          <w:sz w:val="17"/>
          <w:szCs w:val="17"/>
          <w:color w:val="auto"/>
        </w:rPr>
        <w:t>”) delivered by such Assignee and Agent, and such Assignee shall pay to Agent an assignment fee in the amount of $3,500, which shall be paid to the Agent on the effective date of each such Assignment Agreement, and, if such assignee is not currently a Lender, such assignee shall have delivered to Agent an administrative questionnaire (in a form provided by Agent), a properly completed and duly executed IRS Form W-9 (or other applicable tax form) and all other documentation and other information about such assignee as required under applicable “know your customer” and anti-money laundering rules and regulations, including, without limitation, the USA PATRIOT Act Subject to acceptance and recording thereof by the Administrative Agent, from and after the effective date specified in such Assignment Agreement, the assignee thereunder shall be party to this Agreement and, to the extent of the interest assigned by such Assignment Agreement, have the rights and obligations of a Lender under this Agreement. For the avoidance of doubt and not withstanding any language to the contrary in any Loan Document, the Borrower and each Lender hereby acknowledge and agree that (a) Agent shall not be responsible or have any liability for, or have any duty to ascertain, inquire into, monitor or enforce, compliance with the provisions hereof relating to an Eligible Assignee (including, without limitation, with respect to CCM Lender) and</w:t>
      </w:r>
    </w:p>
    <w:p>
      <w:pPr>
        <w:spacing w:after="0" w:line="204" w:lineRule="exact"/>
        <w:rPr>
          <w:rFonts w:ascii="Times New Roman" w:cs="Times New Roman" w:eastAsia="Times New Roman" w:hAnsi="Times New Roman"/>
          <w:sz w:val="17"/>
          <w:szCs w:val="17"/>
          <w:color w:val="auto"/>
        </w:rPr>
      </w:pPr>
    </w:p>
    <w:p>
      <w:pPr>
        <w:jc w:val="both"/>
        <w:ind w:left="660" w:hanging="4"/>
        <w:spacing w:after="0" w:line="250" w:lineRule="auto"/>
        <w:tabs>
          <w:tab w:leader="none" w:pos="93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no responsibility or obligation to determine whether any Lender or potential Lender is an Eligible Assignee and that the Agent shall have no liability with respect to any assignment or participation made to any Person which is not an Eligible Assignee (including, without limitation, with respect to CCM Lender). Agent shall, acting solely for this purpose as a non-fiduciary agent of Borrower, maintain at one of its offices a copy of each Assignment Agreement delivered to it and a register for the recordation of the names and addresses of each Lender and the principal amount of (and stated interest on) the Term Loan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The entries in the Register shall be conclusive absent manifest error, and Borrower, Agent and the Lenders shall treat each Person whose name is recorded in the Register pursuant to the terms hereof as a Lender hereunder for all purposes of this Agreement. In the event of a conflict between the Register and the records of Borrower or any Lender, the Register shall control absent manifest error. Any assignment of the Term Loan, whether or not evidenced by a Note, shall be effective only upon appropriate entries with respect thereto being made in the Register. Any assignment or transfer of all or part of the Term Loan evidenced by a Note shall be registered on the Register only upon surrender for registration of assignment or transfer of such Note evidencing the Loan, accompanied by a duly executed Assignment Agreement or transfer; thereupon a new Note in the same aggregate principal amount shall be issued to the designated Assignee, and the old Note shall be returned to Borrower marked “canceled.” The Register shall be available for inspection by Borrower and Lenders at any reasonable time and from time to time upon reasonable prior written notice. The Borrower agrees that each Participant shall be entitled to the benefits of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provided that such Participant shall not be entitled to receive any greater payment under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with respect to any participation than its participating Lender would have been entitled to receive, except to the extent such entitlement to receive a greater payment results from a change in applicable law that occurs after the Participant acquired the applicable participation. Each Lender that sells a participation shall, acting solely for this purpose as a non-fiduciary agent of Borrower, maintain a register on which it enters the name and address of each Participant and the principal amounts of (and stated interest on) of each Participant’s interest in the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3" w:name="page134"/>
    <w:bookmarkEnd w:id="133"/>
    <w:p>
      <w:pPr>
        <w:jc w:val="both"/>
        <w:ind w:left="4" w:hanging="4"/>
        <w:spacing w:after="0" w:line="253" w:lineRule="auto"/>
        <w:tabs>
          <w:tab w:leader="none" w:pos="25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(i), (ii) and (iv) of this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shall not be required if in the Lender’s reasonable judgment such completion, execution or submission would subject such Lender to any material unreimbursed cost or expense or would materially prejudice the legal or commercial position of such Lender. Without limiting the generality of the foregoing, in the event that Borrower is a U.S. Borrower:</w:t>
      </w:r>
    </w:p>
    <w:p>
      <w:pPr>
        <w:spacing w:after="0" w:line="194" w:lineRule="exact"/>
        <w:rPr>
          <w:rFonts w:ascii="Times New Roman" w:cs="Times New Roman" w:eastAsia="Times New Roman" w:hAnsi="Times New Roman"/>
          <w:sz w:val="18"/>
          <w:szCs w:val="18"/>
          <w:color w:val="auto"/>
        </w:rPr>
      </w:pPr>
    </w:p>
    <w:p>
      <w:pPr>
        <w:jc w:val="both"/>
        <w:ind w:left="644" w:firstLine="4"/>
        <w:spacing w:after="0" w:line="266" w:lineRule="auto"/>
        <w:tabs>
          <w:tab w:leader="none" w:pos="86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Borrower and Agent prior to the date on which such Lender becomes a Lender under this Agreement (and from time to time thereafter upon the reasonable request of Borrower or Agent), executed copies of IRS Form W-9 certifying that such Lender is exempt from U.S. federal backup withholding tax;</w:t>
      </w:r>
    </w:p>
    <w:p>
      <w:pPr>
        <w:spacing w:after="0" w:line="171" w:lineRule="exact"/>
        <w:rPr>
          <w:rFonts w:ascii="Times New Roman" w:cs="Times New Roman" w:eastAsia="Times New Roman" w:hAnsi="Times New Roman"/>
          <w:sz w:val="18"/>
          <w:szCs w:val="18"/>
          <w:color w:val="auto"/>
        </w:rPr>
      </w:pPr>
    </w:p>
    <w:p>
      <w:pPr>
        <w:jc w:val="both"/>
        <w:ind w:left="644" w:firstLine="4"/>
        <w:spacing w:after="0" w:line="262" w:lineRule="auto"/>
        <w:tabs>
          <w:tab w:leader="none" w:pos="91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not a U.S. Person (a “</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shall, to the extent it is legally entitled to do so, deliver to the Borrower and the Agent (in such number of copies as shall be requested by the recipient) prior to the date on which such Foreign Lender becomes a Lender under this Agreement (and from time to time thereafter upon the reasonable request of the Borrower or the Agent), whichever of the following is applicable:</w:t>
      </w:r>
    </w:p>
    <w:p>
      <w:pPr>
        <w:spacing w:after="0" w:line="180" w:lineRule="exact"/>
        <w:rPr>
          <w:rFonts w:ascii="Times New Roman" w:cs="Times New Roman" w:eastAsia="Times New Roman" w:hAnsi="Times New Roman"/>
          <w:sz w:val="18"/>
          <w:szCs w:val="18"/>
          <w:color w:val="auto"/>
        </w:rPr>
      </w:pPr>
    </w:p>
    <w:p>
      <w:pPr>
        <w:jc w:val="both"/>
        <w:ind w:left="1944" w:hanging="648"/>
        <w:spacing w:after="0" w:line="256" w:lineRule="auto"/>
        <w:tabs>
          <w:tab w:leader="none" w:pos="1944"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7"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5" w:lineRule="exact"/>
        <w:rPr>
          <w:rFonts w:ascii="Times New Roman" w:cs="Times New Roman" w:eastAsia="Times New Roman" w:hAnsi="Times New Roman"/>
          <w:sz w:val="18"/>
          <w:szCs w:val="18"/>
          <w:color w:val="auto"/>
        </w:rPr>
      </w:pPr>
    </w:p>
    <w:p>
      <w:pPr>
        <w:jc w:val="both"/>
        <w:ind w:left="1944" w:hanging="648"/>
        <w:spacing w:after="0" w:line="258" w:lineRule="auto"/>
        <w:tabs>
          <w:tab w:leader="none" w:pos="1944"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IRC, (x) a certificate to the effect that such Foreign Lender is not a “bank” within the meaning of Section 881(c)(3)(A) of the IRC, a “10 percent shareholder” of Borrower within the meaning of Section 871(h)(3)(B) of the IRC, or a “controlled foreign corporation” related to Borrower as described in Section 881(c)(3)(C) of the IRC (a “</w:t>
      </w:r>
      <w:r>
        <w:rPr>
          <w:rFonts w:ascii="Times New Roman" w:cs="Times New Roman" w:eastAsia="Times New Roman" w:hAnsi="Times New Roman"/>
          <w:sz w:val="18"/>
          <w:szCs w:val="18"/>
          <w:b w:val="1"/>
          <w:bCs w:val="1"/>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and (y) executed copies of IRS Form W-8BEN or IRS Form W 8BEN-E; or</w:t>
      </w:r>
    </w:p>
    <w:p>
      <w:pPr>
        <w:spacing w:after="0" w:line="183" w:lineRule="exact"/>
        <w:rPr>
          <w:rFonts w:ascii="Times New Roman" w:cs="Times New Roman" w:eastAsia="Times New Roman" w:hAnsi="Times New Roman"/>
          <w:sz w:val="18"/>
          <w:szCs w:val="18"/>
          <w:color w:val="auto"/>
        </w:rPr>
      </w:pPr>
    </w:p>
    <w:p>
      <w:pPr>
        <w:jc w:val="both"/>
        <w:ind w:left="1944" w:hanging="648"/>
        <w:spacing w:after="0" w:line="256" w:lineRule="auto"/>
        <w:tabs>
          <w:tab w:leader="none" w:pos="1944"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Foreign Lender is not the beneficial owner, executed copies of IRS Form W-8IMY, accompanied by IRS Form W-8ECI, IRS Form W-8BEN, IRS Form W 8BEN-E, a U.S. Tax Compliance Certificate,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187" w:lineRule="exact"/>
        <w:rPr>
          <w:rFonts w:ascii="Times New Roman" w:cs="Times New Roman" w:eastAsia="Times New Roman" w:hAnsi="Times New Roman"/>
          <w:sz w:val="18"/>
          <w:szCs w:val="18"/>
          <w:color w:val="auto"/>
        </w:rPr>
      </w:pPr>
    </w:p>
    <w:p>
      <w:pPr>
        <w:jc w:val="both"/>
        <w:ind w:left="644" w:firstLine="4"/>
        <w:spacing w:after="0" w:line="256" w:lineRule="auto"/>
        <w:tabs>
          <w:tab w:leader="none" w:pos="95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Borrower and Agent (in such number of copies as shall be requested by the recipient) on or about the date on which such Foreign Lender becomes a Lender under this Agreement (and from time to time thereafter upon the reasonable request of Borrower or Agent), executed copies of any other form prescribed by applicable law as a basis for claiming exemption from or a reduction in U.S. federal withholding Tax, duly completed, together with such supplementary documentation as may be prescribed by applicable law to permit Borrower or Agent to determine the withholding or deduction required to be made; and</w:t>
      </w:r>
    </w:p>
    <w:p>
      <w:pPr>
        <w:spacing w:after="0" w:line="18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34" w:name="page135"/>
    <w:bookmarkEnd w:id="134"/>
    <w:p>
      <w:pPr>
        <w:jc w:val="both"/>
        <w:ind w:left="1300" w:firstLine="4"/>
        <w:spacing w:after="0" w:line="254" w:lineRule="auto"/>
        <w:tabs>
          <w:tab w:leader="none" w:pos="16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and Agent at the time or times prescribed by law and at such time or times reasonably requested by Borrower or Agent such documentation prescribed by applicable law (including as prescribed by Section 1471(b)(3)(C)(i) of the IRC)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Borrower and Agent in writing of its legal inability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61" w:lineRule="auto"/>
        <w:tabs>
          <w:tab w:leader="none" w:pos="90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Agent</w:t>
      </w:r>
      <w:r>
        <w:rPr>
          <w:rFonts w:ascii="Times New Roman" w:cs="Times New Roman" w:eastAsia="Times New Roman" w:hAnsi="Times New Roman"/>
          <w:sz w:val="18"/>
          <w:szCs w:val="18"/>
          <w:color w:val="auto"/>
        </w:rPr>
        <w:t xml:space="preserve">. Each Lender hereby appoints ALTER DOMUS (US) LLC (together with any successor Agent pursuant to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to act on its behalf as Agent hereunder and under the other Loan Documents and authorizes Agent to (i) take such action on its behalf and to exercise all rights, powers and remedies and perform the duties as are expressly delegated to Agent under such Loan Documents and (ii) exercise such powers as are reasonably incidental thereto.</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as Collateral and Disbursing Agent</w:t>
      </w:r>
      <w:r>
        <w:rPr>
          <w:rFonts w:ascii="Times New Roman" w:cs="Times New Roman" w:eastAsia="Times New Roman" w:hAnsi="Times New Roman"/>
          <w:sz w:val="18"/>
          <w:szCs w:val="18"/>
          <w:color w:val="auto"/>
        </w:rPr>
        <w:t xml:space="preserve">. Without limiting the generality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in each case subject to Section 9.5 and any other exculpatory provisions herein or in any other Loan Documents,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proceeding described in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any other bankruptcy, insolvency or similar proceeding), and each Person making any payment in connection with any Loan Document to any Lender is hereby authorized to make such payment to Agent, (ii) at the direction of the Required Lenders, file and prove claims and file other documents necessary or desirable to allow the claims of the Lenders with respect to any Obligation in any proceeding described in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any other bankruptcy, insolvency or similar proceeding (but not to vote, consent or otherwise act on behalf of such Lender), (iii) act as “collateral agent” for each Lender for purposes of the perfection of all Liens created by such agreements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Agent and the other Lenders with respect to the Collateral, whether under the Loan Documents, applicable Requirements of Law or otherwise and (vii) execute any amendment, consent or waiver under the Loan Documents on behalf of any Lender that has consented in writing to such amendment, consent or waiver; provided, however, that Agent hereby appoints, authorizes and directs each Lender to act as collateral sub-agent for Agent and the Lenders for purposes of the perfection of all Liens with respect to the Collateral, including any deposit account maintained by a Credit Party with, and cash and cash equivalents held by, such Lender, and may further authorize and direct the Lenders to take further actions as collateral sub-agents for purposes of enforcing such Liens or otherwise to transfer the Collateral subject thereto to Agent, and each Lender hereby agrees to take such further actions to the extent, and only to the extent, so authorized and directed.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5" w:name="page136"/>
    <w:bookmarkEnd w:id="135"/>
    <w:p>
      <w:pPr>
        <w:jc w:val="both"/>
        <w:ind w:left="660" w:hanging="4"/>
        <w:spacing w:after="0" w:line="256" w:lineRule="auto"/>
        <w:tabs>
          <w:tab w:leader="none" w:pos="90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Duties</w:t>
      </w:r>
      <w:r>
        <w:rPr>
          <w:rFonts w:ascii="Times New Roman" w:cs="Times New Roman" w:eastAsia="Times New Roman" w:hAnsi="Times New Roman"/>
          <w:sz w:val="18"/>
          <w:szCs w:val="18"/>
          <w:color w:val="auto"/>
        </w:rPr>
        <w:t xml:space="preserve">. Under the Loan Documents, Agent (i) is acting solely on behalf of the Lenders, with duties that are entirely administrative in nature, notwithstanding the use of the defined term “Agent”, the terms “agent”, “administrative agent” and “collateral agent” and similar terms in any Loan Document to refer to Agent, which terms are used for title purposes only, (ii) is not assuming any obligation under any Loan Document other than as expressly set forth therein or any role as agent, fiduciary or trustee of or for any Lender and (iii) shall have no implied functions, responsibilities, duties, obligations or other liabilities under any Loan Document, and each Lender hereby waives and agrees not to assert any claim against Agent based on the roles, duties and legal relationships expressly disclaimed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Each Lender agrees that (i) any action taken by Agent or the Required Lenders (or, if expressly required hereby, a greater proportion of the Lenders) in accordance with the provisions of the Loan Documents, (ii) any action taken by Agent in reliance upon the instructions of Required Lenders (or, where so required, such greater proportion) and (iii) the exercise by Agent or the Required Lenders (or, where so required, such greater proportion) of the powers set forth herein or therein, together with such other powers as are reasonably incidental thereto, shall be authorized and binding upon all of the Lenders.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Use of Discretion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66" w:lineRule="auto"/>
        <w:tabs>
          <w:tab w:leader="none" w:pos="9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Action without Instructions</w:t>
      </w:r>
      <w:r>
        <w:rPr>
          <w:rFonts w:ascii="Times New Roman" w:cs="Times New Roman" w:eastAsia="Times New Roman" w:hAnsi="Times New Roman"/>
          <w:sz w:val="18"/>
          <w:szCs w:val="18"/>
          <w:color w:val="auto"/>
        </w:rPr>
        <w:t>. Agent shall not be required to exercise any discretion or take, or to omit to take, any action, including with respect to enforcement or collection, except any action it is required to take or omit to take (i) under any Loan Document or (ii) pursuant to instructions from the Required Lenders (or, where expressly required by the terms of this Agreement, a greater proportion of the Lenders).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Not to Follow Certain Instructions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Agent shall not be required to take, or to omit to take, any action</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upon demand, Agent receives an indemnification satisfactory to it from the Lenders against all costs, expenses, claims, actions or liabilities that, by reason of such action or omission, may be imposed on, incurred by or asserted against Agent or any Related Person thereof or</w:t>
      </w:r>
    </w:p>
    <w:p>
      <w:pPr>
        <w:ind w:left="920" w:hanging="264"/>
        <w:spacing w:after="0"/>
        <w:tabs>
          <w:tab w:leader="none" w:pos="9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in the opinion of Agent or its counsel, contrary to any Loan Document or applicable Requirement of Law.</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6" w:name="page137"/>
    <w:bookmarkEnd w:id="136"/>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Delegation of Rights and Duties</w:t>
      </w:r>
      <w:r>
        <w:rPr>
          <w:rFonts w:ascii="Times New Roman" w:cs="Times New Roman" w:eastAsia="Times New Roman" w:hAnsi="Times New Roman"/>
          <w:sz w:val="18"/>
          <w:szCs w:val="18"/>
          <w:color w:val="auto"/>
        </w:rPr>
        <w:t>.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The exculpatory provisions of this Article shall apply to any such Person and to the Related Persons of the Agent and any Person. The Agent shall not be responsible for the negligence or misconduct of any agent or attorney-in-fact that it selects with reasonable care. Should any instrument in writing from any Credit Party be required by any Person so appointed by Agent for more fully and certainly vesting in and confirming to him, her or it such rights, powers, privileges and duties, such Credit Party shall execute, acknowledge and deliver any and all such instruments promptly upon request by Agent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Reliance and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3" w:lineRule="auto"/>
        <w:tabs>
          <w:tab w:leader="none" w:pos="92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Agent may, without incurring any liability hereunder, (i) treat the payee of any Note as its holder until such Note has been assigned in accordance with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(ii) rely on the Register to the extent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(iii) consult with any of its Related Persons and, whether or not selected by it, any other advisors, accountants and other experts (including advisors to, and accountants and experts engaged by, any Credit Party) and (iv) rely and act upon any document, notice, request, certificate, consent, statement, instrument, document, other writing or other and information (including those transmitted by electronic transmission) and any telephone message or conversation, in each case believed by it to be genuine and transmitted, signed or otherwise authenticated by the appropriate parties. In determining compliance with any condition hereunder to the making of a Loan, that by its terms must be fulfilled to the satisfaction of a Lender, the Agent may presume that such condition is satisfactory to such Lender unless the Agent shall have received written notice to the contrary from such Lender prior to the making of such Loan.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7" w:name="page138"/>
    <w:bookmarkEnd w:id="137"/>
    <w:p>
      <w:pPr>
        <w:jc w:val="both"/>
        <w:ind w:left="4" w:hanging="4"/>
        <w:spacing w:after="0" w:line="253" w:lineRule="auto"/>
        <w:tabs>
          <w:tab w:leader="none" w:pos="26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Agent and its Related Persons shall be liable for any action taken or omitted to be taken by any of them under or in connection with any Loan Document (x) with the consent or at the request of the Required Lenders (or such other number or percentage of the Lenders as shall be necessary, or as Agent shall believe in good faith shall be necessary, under the circumstances) or (y) in the absence of its own gross negligence or willful misconduct as determined by a final non-appealable judgement by a court of competent jurisdiction; provided, that, no action taken or not taken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shall be considered gross negligence or willful misconduct of the Agent. Each Lender, Borrower and each other Credit Party to this Agreement hereby waive and shall not assert any right, claim or cause of action based thereon, except to the extent of liabilities resulting from the gross negligence or willful misconduct of Agent or, as the case may be, such Related Person (each as determined in a final, non-appealable judgment by a court of competent jurisdiction) in connection with the duties expressly set forth herein. Without limiting the foregoing, Agent:</w:t>
      </w:r>
    </w:p>
    <w:p>
      <w:pPr>
        <w:spacing w:after="0" w:line="194" w:lineRule="exact"/>
        <w:rPr>
          <w:rFonts w:ascii="Times New Roman" w:cs="Times New Roman" w:eastAsia="Times New Roman" w:hAnsi="Times New Roman"/>
          <w:sz w:val="18"/>
          <w:szCs w:val="18"/>
          <w:color w:val="auto"/>
        </w:rPr>
      </w:pPr>
    </w:p>
    <w:p>
      <w:pPr>
        <w:jc w:val="both"/>
        <w:ind w:left="644" w:firstLine="4"/>
        <w:spacing w:after="0" w:line="261" w:lineRule="auto"/>
        <w:tabs>
          <w:tab w:leader="none" w:pos="86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responsible or otherwise incur liability for any action or omission taken in reliance upon the instructions of the Required Lenders or for the actions or omissions of any of its Related Persons except to the extent a court of competent jurisdiction determines in a final and non-appealable judgment that the Agent acted with gross negligence or willful misconduct in the selection of such Related Person;</w:t>
      </w:r>
    </w:p>
    <w:p>
      <w:pPr>
        <w:spacing w:after="0" w:line="179" w:lineRule="exact"/>
        <w:rPr>
          <w:rFonts w:ascii="Times New Roman" w:cs="Times New Roman" w:eastAsia="Times New Roman" w:hAnsi="Times New Roman"/>
          <w:sz w:val="18"/>
          <w:szCs w:val="18"/>
          <w:color w:val="auto"/>
        </w:rPr>
      </w:pPr>
    </w:p>
    <w:p>
      <w:pPr>
        <w:jc w:val="both"/>
        <w:ind w:left="644" w:firstLine="4"/>
        <w:spacing w:after="0" w:line="266" w:lineRule="auto"/>
        <w:tabs>
          <w:tab w:leader="none" w:pos="915"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any duty to disclose, and shall not be liable for the failure to disclose, any information relating to the Borrower or any of its Affiliates that is communicated to or obtained by the Agent or any of its Affiliates in any capacity other than in its capacity as Agent under the Loan Documents or other than in connection with Agent’s duties under this Agreement and the other Loan Documents</w:t>
      </w:r>
    </w:p>
    <w:p>
      <w:pPr>
        <w:spacing w:after="0" w:line="175" w:lineRule="exact"/>
        <w:rPr>
          <w:rFonts w:ascii="Times New Roman" w:cs="Times New Roman" w:eastAsia="Times New Roman" w:hAnsi="Times New Roman"/>
          <w:sz w:val="18"/>
          <w:szCs w:val="18"/>
          <w:color w:val="auto"/>
        </w:rPr>
      </w:pPr>
    </w:p>
    <w:p>
      <w:pPr>
        <w:jc w:val="both"/>
        <w:ind w:left="644" w:firstLine="4"/>
        <w:spacing w:after="0" w:line="261" w:lineRule="auto"/>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responsible for or have any duty to ascertain or inquire into (A) the contents of any certificate, report or other document delivered hereunder or thereunder or in connection herewith or therewith, (B) the performance or observance of any of the covenants, agreements or other terms or conditions set forth herein or therein or the occurrence of any Default or Event of Default, or (C) the value or the sufficiency of any Collateral.</w:t>
      </w:r>
    </w:p>
    <w:p>
      <w:pPr>
        <w:spacing w:after="0" w:line="179" w:lineRule="exact"/>
        <w:rPr>
          <w:rFonts w:ascii="Times New Roman" w:cs="Times New Roman" w:eastAsia="Times New Roman" w:hAnsi="Times New Roman"/>
          <w:sz w:val="18"/>
          <w:szCs w:val="18"/>
          <w:color w:val="auto"/>
        </w:rPr>
      </w:pPr>
    </w:p>
    <w:p>
      <w:pPr>
        <w:jc w:val="both"/>
        <w:ind w:left="644" w:firstLine="4"/>
        <w:spacing w:after="0" w:line="266" w:lineRule="auto"/>
        <w:tabs>
          <w:tab w:leader="none" w:pos="955"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responsible to any Lender for the due execution, legality, validity, enforceability, effectiveness, genuineness, sufficiency or value of, or the creation, attachment, perfection or priority of any Lien created or purported to be created under or in connection with, any Loan Document;</w:t>
      </w:r>
    </w:p>
    <w:p>
      <w:pPr>
        <w:spacing w:after="0" w:line="175" w:lineRule="exact"/>
        <w:rPr>
          <w:rFonts w:ascii="Times New Roman" w:cs="Times New Roman" w:eastAsia="Times New Roman" w:hAnsi="Times New Roman"/>
          <w:sz w:val="18"/>
          <w:szCs w:val="18"/>
          <w:color w:val="auto"/>
        </w:rPr>
      </w:pPr>
    </w:p>
    <w:p>
      <w:pPr>
        <w:jc w:val="both"/>
        <w:ind w:left="644" w:firstLine="4"/>
        <w:spacing w:after="0" w:line="256" w:lineRule="auto"/>
        <w:tabs>
          <w:tab w:leader="none" w:pos="94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no warranty or representation, and shall not be responsible, to any Lender for any statement, document, information, representation or warranty made or furnished by or on behalf of any Related Person or any Credit Party in connection with any Loan Document or any transaction contemplated therein or any other document or information with respect to any Credit Party, whether or not transmitted or (except for documents expressly required under any Loan Document to be transmitted to the Lenders) omitted to be transmitted by Agent, including as to completeness, accuracy, scope or adequacy thereof, or for the scope, nature or results of any due diligence performed by Agent in connection with the Loan Documents; and</w:t>
      </w:r>
    </w:p>
    <w:p>
      <w:pPr>
        <w:spacing w:after="0" w:line="18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38" w:name="page139"/>
    <w:bookmarkEnd w:id="138"/>
    <w:p>
      <w:pPr>
        <w:jc w:val="both"/>
        <w:ind w:left="1300" w:firstLine="4"/>
        <w:spacing w:after="0" w:line="256" w:lineRule="auto"/>
        <w:tabs>
          <w:tab w:leader="none" w:pos="162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any duty to ascertain or to inquire as to the performance or observance of any provision of any Loan Document, whether any condition set forth in any Loan Document is satisfied or waived, as to the financial condition of any Credit Party or as to the existence or continuation or possible occurrence or continuation of any Default or Event of Default and shall not be deemed to have notice or knowledge of such occurrence or continuation unless it has received a notice from Borrower or any Lender describing such Default or Event of Default clearly labeled “notice of default” (in which case Agent shall promptly give notice of such receipt to all Lenders);</w:t>
      </w:r>
    </w:p>
    <w:p>
      <w:pPr>
        <w:spacing w:after="0" w:line="18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 xml:space="preserve">and, for each of the items set forth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above, each Lender and Borrower and each other Credit Party to this Agreement hereby waives and agrees not to assert any right, claim or cause of action it might have against Agent based thereon.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Agent Individually</w:t>
      </w:r>
      <w:r>
        <w:rPr>
          <w:rFonts w:ascii="Times New Roman" w:cs="Times New Roman" w:eastAsia="Times New Roman" w:hAnsi="Times New Roman"/>
          <w:sz w:val="18"/>
          <w:szCs w:val="18"/>
          <w:color w:val="auto"/>
        </w:rPr>
        <w:t>. Agent and its Affiliates may make loans and other extensions of credit to, acquire Stock of, engage in any kind of business with, any Credit Party or Affiliate thereof as though it were not acting as Agent and may receive separate fees and other payments therefor. To the extent Agent or any of its Affiliates makes any Loan or otherwise becomes a Lender hereunder, it shall have and may exercise the same rights and powers hereunder and shall be subject to the same obligations and liabilities as any other Lender and the terms “Lender”, “Required Lender” and any similar terms shall, except where otherwise expressly provided in any Loan Document, include, without limitation, Agent or such Affiliate, as the case may be, in its individual capacity as Lender or as one of the Required Lenders.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 [Intentionally Omitted]</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Expenses; Indemnities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6" w:lineRule="auto"/>
        <w:tabs>
          <w:tab w:leader="none" w:pos="90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Section 9.8(b) below, each Lender severally agrees to reimburse Agent and each of its Related Persons (to the extent not timely reimbursed by any Credit Party) promptly upon demand for such Lender’s pro rata share with respect to the Loan of any costs and expenses (including fees, charges and disbursements of financial, legal and other advisors and taxes paid in the name of, or on behalf of, any Credit Party) that may be incurred by Agent or any of its Related Persons in connection with the preparation, syndication, execution, delivery, administration, modification, consent, waiver or enforcement (whether through negotiations, through any work-out, bankruptcy, restructuring or other legal or other proceeding or otherwise) of, or legal advice in respect of its rights or responsibilities under, any Loan Document.</w:t>
      </w:r>
    </w:p>
    <w:p>
      <w:pPr>
        <w:spacing w:after="0" w:line="187" w:lineRule="exact"/>
        <w:rPr>
          <w:rFonts w:ascii="Times New Roman" w:cs="Times New Roman" w:eastAsia="Times New Roman" w:hAnsi="Times New Roman"/>
          <w:sz w:val="18"/>
          <w:szCs w:val="18"/>
          <w:color w:val="auto"/>
        </w:rPr>
      </w:pPr>
    </w:p>
    <w:p>
      <w:pPr>
        <w:jc w:val="both"/>
        <w:ind w:left="660" w:hanging="4"/>
        <w:spacing w:after="0" w:line="254" w:lineRule="auto"/>
        <w:tabs>
          <w:tab w:leader="none" w:pos="9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severally further agrees to indemnify Agent and each of its Related Persons (to the extent not timely indemnified by any Credit Party), based on and to the extent of such Lender’s aggregate pro rata share with respect to the Loan from and against any and all losses, damages, costs, expenses, (including, without limitation, fees and expenses of counsel to the Agent), claims and liabilities of any kind or nature whatsoever which may at any time be imposed on, incurred by or asserted against Agent or any of its Related Persons in any matter relating to or arising out of, in connection with or as a result of any Loan Document, or any other act, event or transaction related, contemplated in or attendant to any such document, or, in each case, any action taken or omitted to be taken by Agent or any of its Related Persons under or with respect to any of the foregoing; provided, however, that no Lender shall be liable to Agent or any of its Related Persons to the extent such liability has resulted primarily from the gross negligence or willful misconduct of Agent or, as the case may be, such Related Person, as determined by a court of competent jurisdiction in a final non-appealable judgment or order.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9" w:name="page140"/>
    <w:bookmarkEnd w:id="139"/>
    <w:p>
      <w:pPr>
        <w:jc w:val="both"/>
        <w:ind w:left="660" w:hanging="4"/>
        <w:spacing w:after="0" w:line="261" w:lineRule="auto"/>
        <w:tabs>
          <w:tab w:leader="none" w:pos="9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9.8, a Lender’s “pro rata share” shall be determined based upon its share of the outstanding Loans and unused Term Loan Commitments at such time (or if such reimbursement payment is sought after the date on which the Loans have been paid in full and the Term Loan Commitments are terminated in accordance with such Lender’s pro rata share immediately prior to the date on which the Loans are paid in full and the Term Loan Commitments are terminated).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Resignation of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5" w:lineRule="auto"/>
        <w:tabs>
          <w:tab w:leader="none" w:pos="9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may resign at any time by delivering notice of such resignation to the Lenders and Borrower, effective on the earlier of: (i) forty-five (45) days after delivery of such notice or (ii) the date of the appointment or a successor Agent selected by the Required Lenders (the “</w:t>
      </w:r>
      <w:r>
        <w:rPr>
          <w:rFonts w:ascii="Times New Roman" w:cs="Times New Roman" w:eastAsia="Times New Roman" w:hAnsi="Times New Roman"/>
          <w:sz w:val="18"/>
          <w:szCs w:val="18"/>
          <w:b w:val="1"/>
          <w:bCs w:val="1"/>
          <w:color w:val="auto"/>
        </w:rPr>
        <w:t>Resignation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If Agent delivers any such notice, the Required Lenders shall have the right to appoint a successor Agent. If, within thirty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after the retiring Agent having given notice of resignation, no successor Agent has been appointed by the Required Lenders that has accepted such appointment, then the retiring Agent may (but shall be under no obligation to), on behalf of the Lenders, appoint a successor Agent from among the Lenders. Each appointment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subject to the prior consent of Borrower, which may not be unreasonably withheld but shall not be required during the continuance of a Default.</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3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effect from the Resignation Effective Date, (i) the retiring Agent shall be discharged from its duties and obligations under the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(ii) the Lenders shall assume and perform all of the duties of Agent until a successor Agent shall have accepted a valid appointment hereunder, (iii) the retiring Agent and its Related Persons shall no longer have the benefit of any provision of any Loan Document other than with respect to any actions taken or omitted to be taken while such retiring Agent was, or because such Agent had been, validly acting as Agent under the Loan Documents and (iv) subject to its rights under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the retiring Agent shall take such action as may be reasonably necessary to assign to the successor Agent its rights as Agent under the Loan Documents. Effective immediately upon its acceptance of a valid appointment as Agent, a successor Agent shall succeed to, and become vested with, all the rights, powers, privileges and duties of the retiring Agent under the Loan Documents. After the retiring Agent’s resignation hereunder and under the other Loan Documents, the provisions of this Article, Section 1.7, Section 1.10 and Section 10.2 shall continue in effect for the benefit of such retiring or removed Administrative Agent, its designees and their respective Related Parties in respect of any actions taken or omitted to be taken by any of them while the retiring or removed Administrative Agent was acting as Administrative Agent</w:t>
      </w:r>
      <w:r>
        <w:rPr>
          <w:rFonts w:ascii="Times New Roman" w:cs="Times New Roman" w:eastAsia="Times New Roman" w:hAnsi="Times New Roman"/>
          <w:sz w:val="18"/>
          <w:szCs w:val="18"/>
          <w:u w:val="single" w:color="auto"/>
          <w:color w:val="0000FF"/>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0" w:name="page141"/>
    <w:bookmarkEnd w:id="140"/>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Release of Collateral</w:t>
      </w:r>
      <w:r>
        <w:rPr>
          <w:rFonts w:ascii="Times New Roman" w:cs="Times New Roman" w:eastAsia="Times New Roman" w:hAnsi="Times New Roman"/>
          <w:sz w:val="18"/>
          <w:szCs w:val="18"/>
          <w:color w:val="auto"/>
        </w:rPr>
        <w:t xml:space="preserve">. Each Lender hereby consents to the release and hereby directs Agent to release (or,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release or subordinate) any Lien held by Agent for the benefit of the Lenders against (i) any Collateral that is sold by a Credit Party in an Asset Sale permitted by the Loan Documents (including pursuant to a valid waiver or consent), (ii) any property subject to a Lien permitted hereunder to secure Purchase Money Obligations, and (iii) all of the Collateral and all Credit Parties, upon the Termination Date. Each Lender hereby directs Agent, and Agent hereby agrees, upon receipt of reasonable advance notice from Borrower, to execute and deliver or file such documents and to perform other actions reasonably necessary to release the Liens when and as directed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Upon request by Agent at any time, the Required Lenders will confirm in writing Agent’s authority to release or subordinate its interest in particular types or items of property, or to release any Credit Party from its obligations under any Loan Document, and Agent shall be entitled to refrain from taking any such action until it receives such written confirmation from the Required Lenders.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MISCELLANEOUS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Complete Agreement; Modification of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61" w:lineRule="auto"/>
        <w:tabs>
          <w:tab w:leader="none" w:pos="90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constitute the complete agreement between the parties with respect to the subject matter hereof and thereof, supersede all prior agreements, commitments, understandings or inducements (oral or written, expressed or implied). Borrower and each other Credit Party executing this Agreement or any other Loan Document shall have all duties and obligations under this Agreement and such other Loan Documents from the date of its execution and delivery, regardless of whether the Loan has been funded at that time.</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54" w:lineRule="auto"/>
        <w:tabs>
          <w:tab w:leader="none" w:pos="93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or waiver of any provision of any Loan Document and no consent to any departure by any Credit Party therefrom shall be effective unless the same shall be in writing and signed (1) in the case of an amendment, consent or waiver to cure any ambiguity, omission, defect or inconsistency or granting a new Lien for the benefit of the Lenders or extending an existing Lien over additional property, by Agent and Borrower and any other Credit Party which is a party to such agreement, (2) in the case of any other waiver or consent, by Agent and the Required Lenders (or by Agent with the consent of the Required Lenders) and (3) in the case of any other amendment, by Agent and the Required Lenders (or by Agent with the consent of the Required Lenders) and Borrower and any other Credit Party which is a party to such agreement; provided, however, that no amendment, consent or waiver described in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above shall, unless in writing and signed by each Lender directly affected thereby (or by Agent with the consent of such Lender), in addition to any other Person the signature of which is otherwise required pursuant to any Loan Document, do any of the following:</w:t>
      </w:r>
    </w:p>
    <w:p>
      <w:pPr>
        <w:spacing w:after="0" w:line="18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any condition specified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except any condition referring to any other provision of any Loan Document;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1" w:name="page142"/>
    <w:bookmarkEnd w:id="141"/>
    <w:p>
      <w:pPr>
        <w:ind w:left="904" w:hanging="256"/>
        <w:spacing w:after="0"/>
        <w:tabs>
          <w:tab w:leader="none" w:pos="90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Term Loan Commitment of such Lender or subject such Lender to any additional material obligation;</w:t>
      </w:r>
    </w:p>
    <w:p>
      <w:pPr>
        <w:spacing w:after="0" w:line="225" w:lineRule="exact"/>
        <w:rPr>
          <w:rFonts w:ascii="Times New Roman" w:cs="Times New Roman" w:eastAsia="Times New Roman" w:hAnsi="Times New Roman"/>
          <w:sz w:val="18"/>
          <w:szCs w:val="18"/>
          <w:color w:val="auto"/>
        </w:rPr>
      </w:pPr>
    </w:p>
    <w:p>
      <w:pPr>
        <w:jc w:val="both"/>
        <w:ind w:left="644" w:firstLine="4"/>
        <w:spacing w:after="0" w:line="261" w:lineRule="auto"/>
        <w:tabs>
          <w:tab w:leader="none" w:pos="97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(including through release, forgiveness, assignment or otherwise) (A) the principal amount of, the interest rate on, or any obligation of Borrower to repay (whether or not on a fixed date), any outstanding Loan owing to such Lender, or (B) any Fee or accrued interest payable to such Lender; provided, however, that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does not apply to any change to any provision increasing any interest rate or Fee during the continuance of a Default or to any payment of any such increase;</w:t>
      </w:r>
    </w:p>
    <w:p>
      <w:pPr>
        <w:spacing w:after="0" w:line="179" w:lineRule="exact"/>
        <w:rPr>
          <w:rFonts w:ascii="Times New Roman" w:cs="Times New Roman" w:eastAsia="Times New Roman" w:hAnsi="Times New Roman"/>
          <w:sz w:val="18"/>
          <w:szCs w:val="18"/>
          <w:color w:val="auto"/>
        </w:rPr>
      </w:pPr>
    </w:p>
    <w:p>
      <w:pPr>
        <w:jc w:val="both"/>
        <w:ind w:left="644" w:firstLine="4"/>
        <w:spacing w:after="0" w:line="261" w:lineRule="auto"/>
        <w:tabs>
          <w:tab w:leader="none" w:pos="95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or postpone any scheduled maturity date or other scheduled date fixed for the payment, in whole or in part, of principal of or interest on any Term Loan or Fee owing to such Lender or for the reduction of such Lender’s Term Loan Commitment; provided, however, that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does not apply to any change to Mandatory Prepayments, including those required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to the application of any payment, including as set forth in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44" w:right="20" w:firstLine="4"/>
        <w:spacing w:after="0" w:line="282" w:lineRule="auto"/>
        <w:tabs>
          <w:tab w:leader="none" w:pos="92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release all or substantially all of the Collateral or any Guarantor from its guarantee of any Obligation of Borrower except in accordance with the provisions hereof;</w:t>
      </w:r>
    </w:p>
    <w:p>
      <w:pPr>
        <w:spacing w:after="0" w:line="161" w:lineRule="exact"/>
        <w:rPr>
          <w:rFonts w:ascii="Times New Roman" w:cs="Times New Roman" w:eastAsia="Times New Roman" w:hAnsi="Times New Roman"/>
          <w:sz w:val="18"/>
          <w:szCs w:val="18"/>
          <w:color w:val="auto"/>
        </w:rPr>
      </w:pPr>
    </w:p>
    <w:p>
      <w:pPr>
        <w:ind w:left="644" w:firstLine="4"/>
        <w:spacing w:after="0" w:line="282" w:lineRule="auto"/>
        <w:tabs>
          <w:tab w:leader="none" w:pos="9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increase the proportion of Lenders required for the Lenders (or any subset thereof) to take any action hereunder or change the definition of the term “Required Lenders”; or</w:t>
      </w:r>
    </w:p>
    <w:p>
      <w:pPr>
        <w:spacing w:after="0" w:line="161" w:lineRule="exact"/>
        <w:rPr>
          <w:rFonts w:ascii="Times New Roman" w:cs="Times New Roman" w:eastAsia="Times New Roman" w:hAnsi="Times New Roman"/>
          <w:sz w:val="18"/>
          <w:szCs w:val="18"/>
          <w:color w:val="auto"/>
        </w:rPr>
      </w:pPr>
    </w:p>
    <w:p>
      <w:pPr>
        <w:ind w:left="1004" w:hanging="356"/>
        <w:spacing w:after="0"/>
        <w:tabs>
          <w:tab w:leader="none" w:pos="100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 xml:space="preserve">and provided, further, that (x)(A) any waiver of any payment applied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to, and any modification of the application of any such payment to the Term Loan shall require the consent of the Required Lenders, and (B) any change to the definition of the term “Required Lenders” shall require the consent of the Required Lenders, (y) no amendment, waiver or consent shall affect the rights or duties under any Loan Document of, or any payment to, Agent (or otherwise modify any provision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or the application thereof) unless in writing and signed by Agent in addition to any signature otherwise required and (z) the consent of Borrower shall not be required to change any order of priority set forth in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4" w:hanging="4"/>
        <w:spacing w:after="0" w:line="261" w:lineRule="auto"/>
        <w:tabs>
          <w:tab w:leader="none" w:pos="25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waiver or consent under any Loan Document shall be effective only in the specific instance and for the specific purpose for which it was given. No notice to or demand on any Credit Party shall entitle any Credit Party to any notice or demand in the same, similar or other circumstances. No failure on the part of any Lender to exercise, and no delay in exercising, any right hereunder shall operate as a waiver thereof, nor shall any single or partial exercise of any such right preclude any other or further exercise thereof or the exercise of any other right.</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42" w:name="page143"/>
    <w:bookmarkEnd w:id="14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Borrower agrees to pay or reimburse Agent and each Initial Commitment Party (but not any Assignee or Participants) for all reasonable and documented out-of-pocket costs and expenses (including the fees and expenses of all counsel retained in connection therewith, limited to one firm of outside counsel to Agent; one firm of counsel for each of the Initial Commitment Parties; one specialty intellectual property counsel to the Initial Commitment Parties; and Agent;; if necessary, a single local counsel in each appropriate jurisdiction (which may include a single special counsel acting in multiple jurisdictions; solely in the case of an actual or perceived conflict of interest, one additional counsel to each relevant jurisdiction for all such affected Persons taken as a whole), incurred in connection with: (a) the preparation, negotiation, execution, delivery, performance, administration and enforcement of the Loan Documents and the preservation of any rights thereunder; (b) collection, including deficiency collections; (c) any amendment, waiver or other modification with respect to any Loan Document or advice in connection with the administration of the Loan or the rights thereunder; and</w:t>
      </w:r>
    </w:p>
    <w:p>
      <w:pPr>
        <w:spacing w:after="0" w:line="1" w:lineRule="exact"/>
        <w:rPr>
          <w:sz w:val="20"/>
          <w:szCs w:val="20"/>
          <w:color w:val="auto"/>
        </w:rPr>
      </w:pPr>
    </w:p>
    <w:p>
      <w:pPr>
        <w:jc w:val="both"/>
        <w:ind w:firstLine="8"/>
        <w:spacing w:after="0" w:line="253" w:lineRule="auto"/>
        <w:tabs>
          <w:tab w:leader="none" w:pos="27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dispute, suit, proceeding or action (whether instituted by or between any combination of Agent, any Lender, Borrower or any other Person), and an appeal or review thereof, in any way relating to the Collateral, any Loan Document, or any action taken or any other agreements to be executed or delivered in connection therewith, whether as a party, witness or otherwise. The Borrower’s obligations under this Section shall survive the resignation or replacement of the Agent or any assignment of rights by, or the replacement of, a Lender, and the repayment, satisfaction or discharge of all obligations under any Loan Document.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Neither Agent’s failure, at any time, to require strict performance by Borrower or any other Credit Party of any provision of any Loan Document, nor Agent’s or any Lender’s failure to exercise, nor any delay in exercising, any right, power or privilege hereunder, shall operate as a waiver thereof or waive, affect or diminish any right of Agent or any Lender thereafter to demand strict compliance and performance therewith. No single or partial exercise of any right, power or privilege hereunder shall preclude any other or future exercise thereof or the exercise of any other right, power or privilege. Any suspension or waiver of a Default or other provision under the Loan Documents shall not suspend, waive or affect any other Default or other provision under any Loan Document, and shall not be construed as a bar to any right or remedy that Agent or any Lender would otherwise have had on any future occasion. None of the undertakings, indemnities, agreements, warranties, covenants and representations of Borrower or any other Credit Party to Agent or any Lender contained in any Loan Document and no Default by Borrower or any other Credit Party under any Loan Document shall be deemed to have been suspended or waived by Agent or any Lender, unless such waiver or suspension is by an instrument in writing signed by an officer or other authorized employee of Agent or the Lenders, as applicable, and directed to Borrower, specifying such suspension or waiver (and then such waiver shall be effective only to the extent therein expressly set forth), and neither Agent nor any Lender shall, by any act (other than execution of a formal written waiver), delay, omission or otherwise, be deemed to have waived any of its rights or remedies hereunder.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3" w:name="page144"/>
    <w:bookmarkEnd w:id="143"/>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Severability; Section Titles</w:t>
      </w:r>
      <w:r>
        <w:rPr>
          <w:rFonts w:ascii="Times New Roman" w:cs="Times New Roman" w:eastAsia="Times New Roman" w:hAnsi="Times New Roman"/>
          <w:sz w:val="18"/>
          <w:szCs w:val="18"/>
          <w:color w:val="auto"/>
        </w:rPr>
        <w:t>. Wherever possible, each provision of the Loan Documents shall be interpreted in such manner as to be effective and valid under applicable law, but if any provision of any Loan Document shall be prohibited by or invalid under applicable law, such provision shall be ineffective to the extent of such prohibition or invalidity, without invalidating the remainder of such provision or the remaining provisions of such Loan Document. Except as otherwise expressly provided for in the Loan Documents, no termination or cancellation (regardless of cause or procedure) of any financing arrangement under the Loan Documents shall in any way affect or impair the Obligations, duties, covenants, representations and warranties, indemnities, and liabilities of Borrower or any other Credit Party or the rights of Agent or any Lender relating to any unpaid Obligation, (due or not due, liquidated, contingent or unliquidated), or any transaction or event occurring prior to such termination, or any transaction or event, the performance of which is not required until after the Maturity Date, all of which shall not terminate or expire, but rather shall survive such termination or cancellation and shall continue in full force and effect until the Termination Date; provided, that (i) the obligations to provide ESG Data, including under Sections 4.1(n) and 3.41 with respect to ESG Data shall survive until all obligations thereunder have been satisfied to Agent’s and Required Lenders’ satisfaction (including with respect to each Fiscal Year in which any Obligations were outstanding) and (ii) all indemnity obligations of the Credit Parties under the Loan Documents shall survive the Termination Date. The Section titles contained in any Loan Document are and shall be without substantive meaning or content of any kind whatsoever and are not a part of the agreement between parties hereto.</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Authorized Signature</w:t>
      </w:r>
      <w:r>
        <w:rPr>
          <w:rFonts w:ascii="Times New Roman" w:cs="Times New Roman" w:eastAsia="Times New Roman" w:hAnsi="Times New Roman"/>
          <w:sz w:val="18"/>
          <w:szCs w:val="18"/>
          <w:color w:val="auto"/>
        </w:rPr>
        <w:t>. Until Agent shall be notified in writing by Borrower or any other Credit Party to the contrary, the signature upon any document or instrument delivered pursuant hereto and believed by Agent or any of Agent’s officers, agents, or employees to be that of an officer of Borrower or such other Credit Party shall bind Borrower and such other Credit Party and be deemed to be the act of Borrower or such other Credit Party affixed pursuant to and in accordance with resolutions duly adopted by Borrower’s or such other Credit Party’s Board of Directors, and Agent shall be entitled to assume the authority of each signature and authority of the Person whose signature it is or appears to be unless the Person acting in reliance thereon shall have actual knowledge to the contrary.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Except as otherwise provided herein, whenever any notice, demand, request or other communication shall or may be given to or served upon any party by any other party, or whenever any party desires to give or serve upon any other party any communication with respect to this Agreement or any other Loan Document, each communication shall be in writing and shall be deemed to have been validly served, given or delivered (a) upon the earlier of actual receipt and three (3) Business Days after deposit in the United States Mail, registered or certified mail, return receipt requested, with proper postage prepaid, (b) upon transmission, when sent by electronic mail transmission (with confirmation of transmission), (c) one (1) Business Day after deposit with a reputable overnight courier with all charges prepaid or (d) when hand-delivered, all of which shall be addressed to the party to be notified and sent to the address or e-mail address indicated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or to such other address (or e-mail address) as may be substituted by notice given as herein provided. Failure or delay in delivering copies of any such communication to any Person (other than Borrower, any other Credit Party, Agent or any Lender) designated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to receive copies shall in no way adversely affect the effectiveness of such communication.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Any Loan Document may be authenticated in any number of separate counterparts by any one or more of the parties thereto, and all of said counterparts taken together shall constitute one and the same instrument. Any Loan Document may be authenticated by manual signature, facsimile or, if approved in writing by Agent and the Required Lenders, electronic means, all of which shall be equally valid.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Time is of the essence for performance of the Obligations under the Loan Documents.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THE LOAN DOCUMENTS AND THE OBLIGATIONS ARISING UNDER THE LOAN DOCUMENTS SHALL BE GOVERNED BY, AND CONSTRUED AND ENFORCED IN ACCORDANCE WITH, THE LAWS OF THE STATE OF NEW YORK APPLICABLE TO CONTRACTS MADE AND PERFORMED IN SUCH STATE, WITHOUT REGARD TO THE PRINCIPLES THEREOF REGARDING CONFLICTS OF LAWS OTHER THAN SECTION </w:t>
      </w:r>
      <w:r>
        <w:rPr>
          <w:rFonts w:ascii="Times New Roman" w:cs="Times New Roman" w:eastAsia="Times New Roman" w:hAnsi="Times New Roman"/>
          <w:sz w:val="18"/>
          <w:szCs w:val="18"/>
          <w:color w:val="FF0000"/>
          <w:strike w:val="1"/>
        </w:rPr>
        <w:t>5-1401</w:t>
      </w:r>
      <w:r>
        <w:rPr>
          <w:rFonts w:ascii="Times New Roman" w:cs="Times New Roman" w:eastAsia="Times New Roman" w:hAnsi="Times New Roman"/>
          <w:sz w:val="18"/>
          <w:szCs w:val="18"/>
          <w:u w:val="single" w:color="auto"/>
          <w:color w:val="0000FF"/>
        </w:rPr>
        <w:t>5-1401</w:t>
      </w:r>
      <w:r>
        <w:rPr>
          <w:rFonts w:ascii="Times New Roman" w:cs="Times New Roman" w:eastAsia="Times New Roman" w:hAnsi="Times New Roman"/>
          <w:sz w:val="18"/>
          <w:szCs w:val="18"/>
          <w:color w:val="auto"/>
        </w:rPr>
        <w:t xml:space="preserve"> OF THE GENERAL OBLIGATION LAWS OF NEW YORK.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SUBMISSION TO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2" w:lineRule="auto"/>
        <w:tabs>
          <w:tab w:leader="none" w:pos="91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EACH OTHER CREDIT PARTY EXECUTING THIS AGREEMENT HEREBY CONSENT AND AGREE THAT THE STATE OR FEDERAL COURTS LOCATED IN NEW YORK COUNTY, NEW YORK, SHALL HAVE EXCLUSIVE JURISDICTION TO HEAR AND DETERMINE ANY CLAIMS OR DISPUTES BETWEEN BORROWER AND SUCH CREDIT PARTY AND ANY LENDER PERTAINING TO THIS AGREEMENT OR ANY OF THE OTHER LOAN DOCUMENTS OR TO ANY MATTER ARISING OUT OF OR RELATED TO THIS AGREEMENT OR ANY OF THE OTHER LOAN DOCUMENTS; PROVIDED, THAT THE LENDERS, BORROWER AND EACH CREDIT PARTY ACKNOWLEDGE THAT ANY APPEALS FROM THOSE COURTS MAY HAVE TO BE HEARD BY A COURT LOCATED OUTSIDE OF NEW YORK COUNTY, NEW YORK; AND FURTHER PROVIDED, THAT NOTHING IN THIS AGREEMENT SHALL BE DEEMED OR OPERATE TO PRECLUDE ANY LENDER FROM BRINGING SUIT OR TAKING OTHER LEGAL ACTION IN ANY OTHER JURISDICTION TO COLLECT THE OBLIGATIONS, TO REALIZE ON THE COLLATERAL OR ANY OTHER SECURITY FOR THE OBLIGATIONS, OR TO ENFORCE A JUDGMENT OR OTHER COURT ORDER IN FAVOR OF SUCH LENDER. BORROWER AND EACH OTHER CREDIT PARTY EXECUTING THIS AGREEMENT EXPRESSLY SUBMIT AND CONSENT IN ADVANCE TO SUCH NEW YORK JURISDICTION IN ANY ACTION OR SUIT COMMENCED IN ANY SUCH NEW YORK COURT, AND BORROWER AND SUCH CREDIT PARTY HEREBY WAIVE ANY OBJECTION THAT IT MAY HAVE BASED UPON LACK OF PERSONAL JURISDICTION, IMPROPER VENUE OR FORUM NON CONVENIENS IN ANY ACTION OR SUIT COMMENCED IN ANY SUCH NEW YORK COURTS. BORROWER AND EACH OTHER CREDIT PARTY EXECUTING THIS AGREEMENT HEREBY WAIVE PERSONAL SERVICE OF THE SUMMONS, COMPLAINT AND OTHER PROCESS ISSUED IN ANY SUCH ACTION OR SUIT AND AGREE THAT SERVICE OF SUCH SUMMONS, COMPLAINT AND OTHER PROCESS MAY BE MADE BY REGISTERED OR CERTIFIED MAIL ADDRESSED TO BORROWER OR SUCH CREDIT PARTY AT THE ADDRESS SET FORTH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OF THIS AGREEMENT AND THAT SERVICE SO MADE SHALL BE DEEMED COMPLETED UPON THE EARLIER OF BORROWER’S OR SUCH CREDIT PARTY’S ACTUAL RECEIPT THEREOF OR THREE (3) DAYS AFTER DEPOSIT IN THE UNITED STATES MAIL, PROPER POSTAGE PREPAID.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5" w:name="page146"/>
    <w:bookmarkEnd w:id="145"/>
    <w:p>
      <w:pPr>
        <w:jc w:val="both"/>
        <w:ind w:left="660" w:hanging="4"/>
        <w:spacing w:after="0" w:line="281" w:lineRule="auto"/>
        <w:tabs>
          <w:tab w:leader="none" w:pos="942"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WAIVE ALL RIGHTS TO TRIAL BY JURY IN ANY ACTION, SUIT, OR PROCEEDING BROUGHT TO RESOLVE ANY DISPUTE, WHETHER ARISING IN CONTRACT, TORT, OR OTHERWISE BETWEEN ANY LENDER, BORROWER AND ANY CREDIT PARTY ARISING OUT OF, CONNECTED WITH, RELATED OR INCIDENTAL TO THE RELATIONSHIP ESTABLISHED BETWEEN THEM IN CONNECTION WITH THE LOAN DOCUMENTS OR THE TRANSACTIONS RELATED THERETO.</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Neither any Credit Party nor any of its Affiliates will in the future issue any press release or other public disclosure using the name of Energy Impact Credit Fund I LP or its Affiliates or referring to this Agreement or the other Loan Documents without at least two (2) Business Days’ prior notice to the Required Lenders (or such shorter period as he Required Lenders may agree in their sole discretion) and without the prior written consent of the Required Lenders (such consent not to be unreasonably withheld, delayed or conditioned) unless (and only to the extent that) such Credit Party or Affiliate is required to do so under law and then, in any event, such Credit Party or Affiliate will, to the extent practicable and permitted by law, consult with the Required Lenders before issuing such press release or other public disclosure. Notwithstanding anything to the contrary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10.11</w:t>
      </w:r>
      <w:r>
        <w:rPr>
          <w:rFonts w:ascii="Times New Roman" w:cs="Times New Roman" w:eastAsia="Times New Roman" w:hAnsi="Times New Roman"/>
          <w:sz w:val="18"/>
          <w:szCs w:val="18"/>
          <w:color w:val="auto"/>
        </w:rPr>
        <w:t>, any Credit Party may make such public disclosures with respect to the transactions contemplated by the Loan Documents in connection with all regular and periodic reports (including without limitation any Form 8-Ks) and all registration statements and prospectuses, if any, filed by any Credit Party with any securities exchange or with the Securities and Exchange Commission or any governmental or private regulatory authority. The Borrower and each other Credit Party hereby authorizes Agent and its Affiliates (i) to make mention of Agent’s participation in this transaction in its marketing, sales materials, printed media, tombstones or web-based material with the prior consent of the Borrower (not to be unreasonably withheld, conditioned or delayed) and to publish ESG Data provided hereunder in an annual ESG impact report and (ii) in connection with such marketing and reporting, to use each such Credit Party’s name, trademark, trade device, service mark and/or symbol.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Agreement shall continue to be effective, or be reinstated, as the case may be, if at any time payment of all or any part of the Obligations is rescinded or must otherwise be returned or restored by Agent or the Lenders upon the insolvency, bankruptcy, dissolution, liquidation or reorganization of Borrower or any other Credit Party, or otherwise, all as though such payments had not been made.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USA PATRIOT Act Notice and Customer Verification</w:t>
      </w:r>
      <w:r>
        <w:rPr>
          <w:rFonts w:ascii="Times New Roman" w:cs="Times New Roman" w:eastAsia="Times New Roman" w:hAnsi="Times New Roman"/>
          <w:sz w:val="18"/>
          <w:szCs w:val="18"/>
          <w:color w:val="auto"/>
        </w:rPr>
        <w:t>. Each Lender that is subject to the USA PATRIOT Act and the Agent (for itself and not on behalf of such Lender) hereby notify Borrower that pursuant to the “know your customer” regulations and the requirements of the USA PATRIOT Act, they are required to obtain, verify and record information that identifies each Credit Party, which information includes the name, address and tax identification number (and other identifying information in the event this information is insufficient to complete verification) that will allow such Lender or Agent, as applicable, to verify the identity of each Credit Party. This information must be delivered to such Lender and Agent no later than five days prior to the Closing Date and thereafter promptly upon request. This notice is given in accordance with the requirements of the USA PATRIOT Act and is effective as to the Lenders and the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6" w:name="page147"/>
    <w:bookmarkEnd w:id="14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Sharing of Payments, Etc</w:t>
      </w:r>
      <w:r>
        <w:rPr>
          <w:rFonts w:ascii="Times New Roman" w:cs="Times New Roman" w:eastAsia="Times New Roman" w:hAnsi="Times New Roman"/>
          <w:sz w:val="18"/>
          <w:szCs w:val="18"/>
          <w:color w:val="auto"/>
        </w:rPr>
        <w:t>. If any Lender, directly or through an Affiliate or branch office thereof, obtains any payment of any Obligation of any Credit Party (whether voluntary, involuntary or through the exercise of any right of setoff or the receipt of any Collateral or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xml:space="preserve">” (as defined under the Code) of Collateral) other than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such payment exceeds the amount such Lender would have been entitled to receive if all payments had gone to, and been distributed by, Agent in accordance with the provisions of the Loan Documents, such Lender shall purchase for cash from other Lenders such participations in their Obligations as necessary for such Lender to share such excess payment with such Lenders to ensure such payment is applied as though it had been received by Agent and applied in accordance with this Agreement (or, if such application would then be at the discretion of Borrower, applied to repay the Obligations in accordance herewith); provided, however, that (a) if such payment is rescinded or otherwise recovered from such Lender in whole or in part, such purchase shall be rescinded and the purchase price therefor shall be returned to such Lender without interest and (b) such Lender shall, to the fullest extent permitted by applicable Requirements of Law, be able to exercise all its rights of payment (including the right of setoff) with respect to such participation as fully as if such Lender were the direct creditor of Borrower in the amount of such participation.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Agent and the Lenders agree to maintain the confidentiality of the Information (as defined below), except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may be disclosed:</w:t>
      </w:r>
    </w:p>
    <w:p>
      <w:pPr>
        <w:spacing w:after="0" w:line="207" w:lineRule="exact"/>
        <w:rPr>
          <w:sz w:val="20"/>
          <w:szCs w:val="20"/>
          <w:color w:val="auto"/>
        </w:rPr>
      </w:pPr>
    </w:p>
    <w:p>
      <w:pPr>
        <w:ind w:left="660" w:hanging="4"/>
        <w:spacing w:after="0" w:line="282" w:lineRule="auto"/>
        <w:tabs>
          <w:tab w:leader="none" w:pos="90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000000"/>
        </w:rPr>
        <w:t>to its branches and Affiliates and to its other Related Parties (it being understood that the Persons to whom such disclosure is made will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informed of the confidential nature of such Information and instructed to keep such Information confidential);</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1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or requested by any regulatory or self-regulatory authority purporting to have jurisdiction over such Person or its Related Parties (including any self</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regulatory authority, such as the National Association of Insurance Commissioners);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or required by applicable law or by any subpoena or similar legal process;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other party hereto;</w:t>
      </w:r>
    </w:p>
    <w:p>
      <w:pPr>
        <w:spacing w:after="0" w:line="225" w:lineRule="exact"/>
        <w:rPr>
          <w:rFonts w:ascii="Times New Roman" w:cs="Times New Roman" w:eastAsia="Times New Roman" w:hAnsi="Times New Roman"/>
          <w:sz w:val="18"/>
          <w:szCs w:val="18"/>
          <w:color w:val="auto"/>
        </w:rPr>
      </w:pPr>
    </w:p>
    <w:p>
      <w:pPr>
        <w:ind w:left="660" w:right="20" w:hanging="4"/>
        <w:spacing w:after="0" w:line="282" w:lineRule="auto"/>
        <w:tabs>
          <w:tab w:leader="none" w:pos="9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remedies hereunder or under any other Loan Document or any action or proceeding relating to this Agreement or any other Loan Document or the enforcement of rights hereunder or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7" w:name="page148"/>
    <w:bookmarkEnd w:id="147"/>
    <w:p>
      <w:pPr>
        <w:jc w:val="both"/>
        <w:ind w:left="660" w:hanging="4"/>
        <w:spacing w:after="0" w:line="261" w:lineRule="auto"/>
        <w:tabs>
          <w:tab w:leader="none" w:pos="91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 agreement containing confidentiality provisions,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w:t>
      </w:r>
    </w:p>
    <w:p>
      <w:pPr>
        <w:spacing w:after="0" w:line="179" w:lineRule="exact"/>
        <w:rPr>
          <w:rFonts w:ascii="Times New Roman" w:cs="Times New Roman" w:eastAsia="Times New Roman" w:hAnsi="Times New Roman"/>
          <w:sz w:val="18"/>
          <w:szCs w:val="18"/>
          <w:color w:val="auto"/>
        </w:rPr>
      </w:pPr>
    </w:p>
    <w:p>
      <w:pPr>
        <w:ind w:left="660" w:hanging="4"/>
        <w:spacing w:after="0" w:line="282" w:lineRule="auto"/>
        <w:tabs>
          <w:tab w:leader="none" w:pos="92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confidential basis to (i) any rating agency in connection with rating the Borrower or its Subsidiaries or the Term Loans or (ii) the CUSIP Service Bureau or any similar agency in connection with the issuance and monitoring of CUSIP numbers with respect to the Term Loans; or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Borrower.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000000"/>
        </w:rPr>
        <w:t>In addition, the Agent and the Lenders may disclose the existence of this Agreement and information about this Agreement to market data collectors,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similar service providers to the lending industry and service providers to the Agents or any Lender in connection with the administration of this Agreement, the other Loan Documents, and the Term Loans.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by the Agent or the Lenders from the Borrower or any of its Subsidiaries relating to the Borrower or any of its Subsidiaries or any of their respective businesses, pursuant to this Agreement or any of the Loan Documents. “Information” does not include information that is (i) available to the Agent, any Lender or any of their Related Persons on a nonconfidential basis prior to disclosure by the Borrower or any of its Subsidiaries, (ii) public or available to the Lenders’ or Agent’s industry other than as the result of a breach of this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(iii) becomes available to the Agent, any Lender or any of their respective Related Parties on a nonconfidential basis from a source other than the Borrower who did not, to the knowledge of the Agent or such Lender acquire such information as a result of a breach of this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or (iv) is developed by the Agent, any Lender or any of their respective Related Parties independently or and without reference to the Information. Any Person required to maintain the confidentiality of Information as provided in this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branches, partners, members, directors, officers, employees, agents, directors, trustees, administrators, managers, attorneys, advisors and representatives of such Person and of such Person’s Affiliates.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Effect of Benchmark Transition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6" w:lineRule="auto"/>
        <w:tabs>
          <w:tab w:leader="none" w:pos="94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8" w:name="page149"/>
    <w:bookmarkEnd w:id="148"/>
    <w:p>
      <w:pPr>
        <w:jc w:val="both"/>
        <w:ind w:left="4" w:hanging="4"/>
        <w:spacing w:after="0" w:line="261" w:lineRule="auto"/>
        <w:tabs>
          <w:tab w:leader="none" w:pos="28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jc w:val="both"/>
        <w:ind w:left="4" w:hanging="4"/>
        <w:spacing w:after="0" w:line="254" w:lineRule="auto"/>
        <w:tabs>
          <w:tab w:leader="none" w:pos="24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Agent will promptly notify the Borrower and the Lenders of (i) the implementation of any Benchmark Replacement and (ii) the effectiveness of any Conforming Changes in connection with the use, administration, adoption or implementation of a Benchmark Replacement. The Agent shall notify the Borrower of (x) if any tenor of a Benchmark is not being used pursuant to </w:t>
      </w:r>
      <w:r>
        <w:rPr>
          <w:rFonts w:ascii="Times New Roman" w:cs="Times New Roman" w:eastAsia="Times New Roman" w:hAnsi="Times New Roman"/>
          <w:sz w:val="18"/>
          <w:szCs w:val="18"/>
          <w:u w:val="single" w:color="auto"/>
          <w:color w:val="auto"/>
        </w:rPr>
        <w:t>Section 10.17(d)</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Agent or Lenders pursuant to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hereto or any other Loan Document, except, in each case, as expressly required pursuant to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5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not or will not be representative, then the Agent may elect to use another interest period for such Benchmark that is being published and is representative for any Benchmark settings at or after such time and to not use the unavailable or non-representative tenor or interest period and (ii) if a tenor that was not used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again use such tenor or interest period for all Benchmark settings at or after such time to reinstate such previously removed tenor.</w:t>
      </w:r>
    </w:p>
    <w:p>
      <w:pPr>
        <w:spacing w:after="0" w:line="191" w:lineRule="exact"/>
        <w:rPr>
          <w:rFonts w:ascii="Times New Roman" w:cs="Times New Roman" w:eastAsia="Times New Roman" w:hAnsi="Times New Roman"/>
          <w:sz w:val="18"/>
          <w:szCs w:val="18"/>
          <w:color w:val="auto"/>
        </w:rPr>
      </w:pPr>
    </w:p>
    <w:p>
      <w:pPr>
        <w:ind w:left="4" w:hanging="4"/>
        <w:spacing w:after="0" w:line="282" w:lineRule="auto"/>
        <w:tabs>
          <w:tab w:leader="none" w:pos="26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Loans under this Agreement will be deemed to have converted into Base Rate Loans during the Benchmark Unavailability Period.</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49" w:name="page150"/>
    <w:bookmarkEnd w:id="149"/>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Voting Rights of CCM Lender</w:t>
      </w:r>
      <w:r>
        <w:rPr>
          <w:rFonts w:ascii="Times New Roman" w:cs="Times New Roman" w:eastAsia="Times New Roman" w:hAnsi="Times New Roman"/>
          <w:sz w:val="18"/>
          <w:szCs w:val="18"/>
          <w:color w:val="auto"/>
        </w:rPr>
        <w:t xml:space="preserve">. Notwithstanding anything herein to the contrary, except for the Term Loan Commitment held by it on the Closing Date and the Term Loans made by it on the Closing Date, CCM Lender shall not hold any Term Loans or Term Loan Commitments and shall not be an Eligible Assignee, and any purported assignment or participation in any Term Loan Commitments or Term Loans to CCM Lender shall be null and void. Notwithstanding anything to the contrary in this Agreement, CCM Lender shall not have any right to (i) attend (including by telephone) any meeting or discussions (or portion thereof) among Agent or any Lender (or any one or more of them) to which representatives of Credit Parties are not invited, or (ii) receive any information or material prepared by Agent or any Lender (or any one or more of them) or any communication by or among Agent and/or one or more Lenders, except to the extent such information or materials have been made available to any Credit Party or its representatives. Furthermore, notwithstanding anything to the contrary in this Agreement, (x) under no circumstances shall CCM Lender be permitted to (A) exercise any voting rights or other privileges with respect to any Term Loan Commitments or Term Loans, owned by, or maintained for the benefit of, CCM Lender, or (B) have voting rights or other privileges under the Loan Documents (and all voting percentages shall be recalculated to give effect to such voting nullification), except, in each case, for voting rights pertaining to those matters that require the consent of each Lender or each directly affected Lender and, in each case, for those matters that would adversely affect CCM Lender in any disproportionate and material respect as compared to other Lenders and (y) no amendment, modification, waiver, consent or other action with respect to any Loan Document shall deprive CCM Lender of any payments to which CCM Lender is entitled under the Loan Documents without CCM Lender providing its written consent. In furtherance of the foregoing, CCM Lender agrees to execute and deliver to Agent any instrument reasonably requested by Agent (at the direction of the Required Lenders) to evidence the voting of its interest as a Lender in accordance with the provisions of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provided, further, that if CCM Lender fails to promptly execute such instrument such failure shall in no way prejudice any of Agent’s or any Lender’s rights under this paragraph. Notwithstanding anything herein to the contrary, for purposes of determining whether Required Lenders or all directly affected Lenders or all Lenders have (1) consented (or not consented) to any amendment, modification, waiver, consent or other action with respect to any of the terms of any Loan Document or any departure by any Credit Party therefrom, (2) otherwise acted on any matter related to any Loan Document, or (3) directed or required Agent or any Lender to undertake any action (or refrain from taking any action) with respect to or under any Loan Document, CCM Lender shall be deemed to have voted its interest as a Lender without discretion in the same proportion as the allocation of voting with respect to such matter by Lenders other than CCM Lender. For the avoidance of doubt,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10.18</w:t>
      </w:r>
      <w:r>
        <w:rPr>
          <w:rFonts w:ascii="Times New Roman" w:cs="Times New Roman" w:eastAsia="Times New Roman" w:hAnsi="Times New Roman"/>
          <w:sz w:val="18"/>
          <w:szCs w:val="18"/>
          <w:color w:val="auto"/>
        </w:rPr>
        <w:t xml:space="preserve"> will not apply to any Assignee of CCM Lender permitted under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4"/>
        <w:spacing w:after="0" w:line="253" w:lineRule="auto"/>
        <w:tabs>
          <w:tab w:leader="none" w:pos="90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(i) if the Agent notifies such Lender that Agent has determined in its sole discretion that any funds received by such Lender from Agent or any of its Affiliates were erroneously or mistakenly transmitted to, or otherwise erroneously or mistakenly received by, such Lender (whether or not known to such Lender) (whether as a payment, prepayment or repayment of principal, interest, fees or otherwise; individually and collectively, an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and demands in writing the return of such Erroneous Payment (or a portion thereof), such Lender shall promptly, but in no event later than two (2) Business Days thereafter, return to the Agent the amount of any such Erroneous Payment (or portion thereof) as to which such a demand was made, in same day funds (in the currency so received), together with interest thereon (except to the extent waived in writing by the Agent) in respect of each day from and including the date such Erroneous Payment (or portion thereof) was received by such Lender to the date such amount is repaid to the Agent in same day funds at the Federal Funds Rate; and (ii) to the extent permitted by applicable law, such Lender shall not assert any right or claim to the Erroneous Payment, and hereby waives any claim, counterclaim, defense or right of set-off or recoupment with respect to any demand, claim or counterclaim by the Agent for the return of any Erroneous Payments received, including, without limitation, waiver of any defense based on “discharge for value” or any similar theory or doctrine. A notice of the Agent to any Lender under this clause (a) shall be conclusive, absent manifest error.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0" w:name="page151"/>
    <w:bookmarkEnd w:id="150"/>
    <w:p>
      <w:pPr>
        <w:jc w:val="both"/>
        <w:ind w:left="4" w:hanging="4"/>
        <w:spacing w:after="0" w:line="253" w:lineRule="auto"/>
        <w:tabs>
          <w:tab w:leader="none" w:pos="2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hereby further agrees that if it receives a payment from the Agent (or any of its Affiliates) (x) that is in a different amount than, or on a different date from, that specified in a notice of payment sent by the Agent, (y) that was not preceded or accompanied by notice of payment, or (z) that such Lender otherwise becomes aware was transmitted, or received, in error or by mistake (in whole or in part), then in each case, if an error has been made each such Lender, to the extent permitted by applicable law, agrees not to assert any right or claim to the Erroneous Payment, and hereby waives, any claim, counterclaim, defense or right of set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off or recoupment with respect to any demand, claim or counterclaim by the Agent for the return of any Erroneous Payments received, including without limitation waiver of any defense based on “discharge for value” or any similar theory or doctrine. Each Lender agrees that, in each such case, it shall promptly (and, in all events, within one Business Day of its knowledge of such error) notify the Agent of such occurrence and, upon demand from the Agent, it shall promptly, but in all events no later than two (2)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Agent in same day funds at the Federal Funds Rate.</w:t>
      </w:r>
    </w:p>
    <w:p>
      <w:pPr>
        <w:spacing w:after="0" w:line="189"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5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each other Credit Party hereby agrees that (x) in the event an Erroneous Payment (or portion thereof) is not recovered from any Lender that has received such Erroneous Payment (or portion thereof) for any reason (and without limiting the Agent’s rights and remedies under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the Agent shall be subrogated to all the rights of such Lender with respect to such amount and (y) an Erroneous Payment shall not pay, prepay, repay, discharge or otherwise satisfy any Obligations owed by the Borrower or any other Credit Party.</w:t>
      </w:r>
    </w:p>
    <w:p>
      <w:pPr>
        <w:spacing w:after="0" w:line="179" w:lineRule="exact"/>
        <w:rPr>
          <w:rFonts w:ascii="Times New Roman" w:cs="Times New Roman" w:eastAsia="Times New Roman" w:hAnsi="Times New Roman"/>
          <w:sz w:val="18"/>
          <w:szCs w:val="18"/>
          <w:color w:val="auto"/>
        </w:rPr>
      </w:pPr>
    </w:p>
    <w:p>
      <w:pPr>
        <w:jc w:val="both"/>
        <w:ind w:left="4" w:hanging="4"/>
        <w:spacing w:after="0" w:line="254" w:lineRule="auto"/>
        <w:tabs>
          <w:tab w:leader="none" w:pos="26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rights and remedies of the Agent provided by law, Agent shall have the right, without prior notice to any Lender, any such notice being expressly waived by such Lender to the extent permitted by applicable law, with respect to any Erroneous Payment for which a demand has been made in accordance with this Section 10.19 and which has not been returned to the Agent, to set off and appropriate and apply against such amount any and all deposits (general or special, time or demand, provisional or final but excluding trust accounts), in any currency, and any other credits, indebtedness or claims, in any currency, in each case whether direct or indirect, absolute or contingent, matured or unmatured, at any time held or owing by Agent or any of its Affiliate, branch or agency thereof to or for the credit or the account of such Lender. Agent agrees promptly to notify the Lender after any such setoff and application made by Agent; provided, that the failure to give such notice shall not affect the validity of such setoff and application.</w:t>
      </w:r>
    </w:p>
    <w:p>
      <w:pPr>
        <w:spacing w:after="0" w:line="1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51" w:name="page152"/>
    <w:bookmarkEnd w:id="151"/>
    <w:p>
      <w:pPr>
        <w:ind w:left="660" w:hanging="4"/>
        <w:spacing w:after="0" w:line="282" w:lineRule="auto"/>
        <w:tabs>
          <w:tab w:leader="none" w:pos="91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shall survive the resignation or replacement of the Agent, the termination of the Term Loan Commitment or the repayment, satisfaction or discharge of all Obligations (or any portion thereof) under any Loan Document.</w:t>
      </w:r>
    </w:p>
    <w:p>
      <w:pPr>
        <w:spacing w:after="0" w:line="15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The Guarantee</w:t>
      </w:r>
      <w:r>
        <w:rPr>
          <w:rFonts w:ascii="Times New Roman" w:cs="Times New Roman" w:eastAsia="Times New Roman" w:hAnsi="Times New Roman"/>
          <w:sz w:val="18"/>
          <w:szCs w:val="18"/>
          <w:color w:val="auto"/>
        </w:rPr>
        <w:t>. The Guarantors hereby jointly and severally guarantee, as a primary obligor and not as a surety to Agent and the Lenders and their respective successors and assigns, the prompt payment in full when due (whether at stated maturity, by required prepayment, declaration, demand, by acceleration or otherwise) of the principal of and interest on (including any interest, fees, costs or charges that would accrue but for the provisions of the Title 11 of the United States Code after any bankruptcy or insolvency petition under Title 11 of the United States Code whether or not any such interest, fees, costs or charges are allowed in any proceeding thereunder) the Loan made by the Lenders to, and the Notes held by each Lender of, Borrower, and all other Obligations from time to time owing to Agent and the Lenders by any Credit Party under any Loan Document (such obligations being herein collectively called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The Guarantors hereby jointly and severally agree that if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Obligations Unconditional</w:t>
      </w:r>
      <w:r>
        <w:rPr>
          <w:rFonts w:ascii="Times New Roman" w:cs="Times New Roman" w:eastAsia="Times New Roman" w:hAnsi="Times New Roman"/>
          <w:sz w:val="18"/>
          <w:szCs w:val="18"/>
          <w:color w:val="auto"/>
        </w:rPr>
        <w:t xml:space="preserve">. The obligations of the Guarantors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constitute a guarantee of payment and to the fullest extent permitted by applicable Requirements of Law, are absolute, irrevocable and unconditional, joint and several, irrespective of the value, genuineness, validity, regularity or enforceability of the Guaranteed Obligations of Borrower under this Agreement, the 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192" w:lineRule="exact"/>
        <w:rPr>
          <w:sz w:val="20"/>
          <w:szCs w:val="20"/>
          <w:color w:val="auto"/>
        </w:rPr>
      </w:pPr>
    </w:p>
    <w:p>
      <w:pPr>
        <w:ind w:left="660" w:right="20" w:hanging="4"/>
        <w:spacing w:after="0" w:line="282" w:lineRule="auto"/>
        <w:tabs>
          <w:tab w:leader="none" w:pos="91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or from time to time, without notice to the Guarantors, the time for any performance of or compliance with any of the Guaranteed Obligations shall be extended, or such performance or compliance shall be waived;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2" w:name="page153"/>
    <w:bookmarkEnd w:id="152"/>
    <w:p>
      <w:pPr>
        <w:ind w:left="660" w:hanging="4"/>
        <w:spacing w:after="0" w:line="282" w:lineRule="auto"/>
        <w:tabs>
          <w:tab w:leader="none" w:pos="93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acts mentioned in any of the provisions of this Agreement or the Notes, if any, or any other agreement or instrument referred to herein or therein shall be done or omitted;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1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79" w:lineRule="exact"/>
        <w:rPr>
          <w:rFonts w:ascii="Times New Roman" w:cs="Times New Roman" w:eastAsia="Times New Roman" w:hAnsi="Times New Roman"/>
          <w:sz w:val="18"/>
          <w:szCs w:val="18"/>
          <w:color w:val="auto"/>
        </w:rPr>
      </w:pPr>
    </w:p>
    <w:p>
      <w:pPr>
        <w:ind w:left="660" w:hanging="4"/>
        <w:spacing w:after="0" w:line="282" w:lineRule="auto"/>
        <w:tabs>
          <w:tab w:leader="none" w:pos="9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or security interest granted to, or in favor of any Lender or Agent as security for any of the Guaranteed Obligations shall fail to be perfected; or</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release of any other Guarantor pursuant to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Except for notices expressly provided for hereunder or under any other Loan Document, the Guarantors hereby expressly waive diligence, presentment, demand of payment, protest and all notices whatsoever, and any requirement that Agent or any Lender exhaust any right, power or remedy or proceed against Borrower under this Agreement or the Notes, if any, or any other agreement or instrument referred to herein or therein, or against any other person under any other guarantee of, or security for, any of the Guaranteed Obligations. Subject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the Guarantors waive any and all notice of the creation, renewal, extension, waiver, termination or accrual of any of the Guaranteed Obligations and notice of or proof of reliance by Agent or any Lender upon this Guarantee or acceptance of this Guarantee, and the Guaranteed Obligations, and any of them, shall conclusively be deemed to have been created, contracted or incurred in reliance upon this Guarantee, and all dealings between Borrower and Agent or any Lender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Agent or any Lender, and the obligations and liabilities of the Guarantors hereunder shall not be conditioned or contingent upon the pursuit by Agent or any Lender or any other person at any time of any right or remedy against Borrower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Guarantors and the successors and assigns thereof, and shall inure to the benefit of Agent and the Lenders, and their respective successors and assigns.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xml:space="preserve">. The obligations of the Guarantors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be automatically reinstated if and to the extent that for any reason any payment by or on behalf of Borrower or other Credit Party in respect of the Guaranteed Obligations is rescinded or must be otherwise restored by any holder of any of the Guaranteed Obligations, whether as a result of any proceedings in bankruptcy or reorganization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3" w:name="page154"/>
    <w:bookmarkEnd w:id="15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Subrogation; Subordination</w:t>
      </w:r>
      <w:r>
        <w:rPr>
          <w:rFonts w:ascii="Times New Roman" w:cs="Times New Roman" w:eastAsia="Times New Roman" w:hAnsi="Times New Roman"/>
          <w:sz w:val="18"/>
          <w:szCs w:val="18"/>
          <w:color w:val="auto"/>
        </w:rPr>
        <w:t xml:space="preserve">. Each Guarantor hereby agrees that until the unconditional payment and satisfaction in full in cash of all Guaranteed Obligations (other than inchoate obligations for indemnification or reimbursement for which no claim has been asserted) it shall not exercise any right or remedy, direct or indirect, arising against any Credit Party by reason of any performance by it of its guarantee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whether by subrogation or otherwise, against Borrower or any Guarantor of any of the Guaranteed Obligations or any security for any of the Guaranteed Obligations. Any Indebtedness of any Credit Party to another Credit Party or a Subsidiary of a Credit Party permitted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be subordinated to such Credit Party’s Obligations on terms reasonably acceptable to Agent and the Required Lenders.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The Guarantors jointly and severally agree that, as between the Guarantors and the Lenders, the obligations of Borrower under this Agreement and the Notes, if any, may be declared to be forthwith due and payable as provided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shall be deemed to have become automatically due and payable in the circumstances provided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notwithstanding any stay, injunction or other prohibition preventing such declaration (or such obligations from becoming automatically due and payable) as against Borrower and that, in the event of such declaration (or such obligations being deemed to have become automatically due and payable), such obligations (whether or not due and payable by Borrower) shall forthwith become due and payable by the Guarantors for purposes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Instrument for the Payment of Money</w:t>
      </w:r>
      <w:r>
        <w:rPr>
          <w:rFonts w:ascii="Times New Roman" w:cs="Times New Roman" w:eastAsia="Times New Roman" w:hAnsi="Times New Roman"/>
          <w:sz w:val="18"/>
          <w:szCs w:val="18"/>
          <w:color w:val="auto"/>
        </w:rPr>
        <w:t xml:space="preserve">. Each Guarantor hereby acknowledges that the guarantee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Continuing Guarantee</w:t>
      </w:r>
      <w:r>
        <w:rPr>
          <w:rFonts w:ascii="Times New Roman" w:cs="Times New Roman" w:eastAsia="Times New Roman" w:hAnsi="Times New Roman"/>
          <w:sz w:val="18"/>
          <w:szCs w:val="18"/>
          <w:color w:val="auto"/>
        </w:rPr>
        <w:t xml:space="preserve">. The guarantee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is a continuing guarantee of payment, and shall apply to all Guaranteed Obligations whenever arising. The guarantee in this Article XI shall terminate upon payment in full of all Guaranteed Obligations (other than inchoate obligations for indemnification or reimbursement for which no claim has been asserted) and the termination of the Term Loan Commitments, and Agent shall take such actions as are reasonably necessary to effect such termination.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General Limitation on Guarantee Obligations</w:t>
      </w:r>
      <w:r>
        <w:rPr>
          <w:rFonts w:ascii="Times New Roman" w:cs="Times New Roman" w:eastAsia="Times New Roman" w:hAnsi="Times New Roman"/>
          <w:sz w:val="18"/>
          <w:szCs w:val="18"/>
          <w:color w:val="auto"/>
        </w:rPr>
        <w:t xml:space="preserve">. In any action or proceeding involving any state corporate limited partnership or limited liability company law, or any applicable state, federal or foreign bankruptcy, insolvency, reorganization or other law affecting the rights of creditors generally, if the obligations of any Guarantor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would otherwise be held or determined to be void, voidable, invalid or unenforceable, or subordinated to the claims of any other creditors, on account of the amount of its liability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then, notwithstanding any other provision to the contrary, the amount of such liability shall, without any further action by such Guarantor, any Credit Party or any other person, be automatically limited and reduced to the highest amount (after giving effect to the right of contribution established in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that is valid and enforceable and not subordinated to the claims of other creditors as determined in such action or proceeding.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Release of Guarantors</w:t>
      </w:r>
      <w:r>
        <w:rPr>
          <w:rFonts w:ascii="Times New Roman" w:cs="Times New Roman" w:eastAsia="Times New Roman" w:hAnsi="Times New Roman"/>
          <w:sz w:val="18"/>
          <w:szCs w:val="18"/>
          <w:color w:val="auto"/>
        </w:rPr>
        <w:t>. If, in compliance with the terms and provisions of the Loan Documents, all or substantially all of the Equity Interests of any Guarantor are sold or otherwise transferred (a “</w:t>
      </w:r>
      <w:r>
        <w:rPr>
          <w:rFonts w:ascii="Times New Roman" w:cs="Times New Roman" w:eastAsia="Times New Roman" w:hAnsi="Times New Roman"/>
          <w:sz w:val="18"/>
          <w:szCs w:val="18"/>
          <w:b w:val="1"/>
          <w:bCs w:val="1"/>
          <w:color w:val="auto"/>
        </w:rPr>
        <w:t>Transferred Guarantor</w:t>
      </w:r>
      <w:r>
        <w:rPr>
          <w:rFonts w:ascii="Times New Roman" w:cs="Times New Roman" w:eastAsia="Times New Roman" w:hAnsi="Times New Roman"/>
          <w:sz w:val="18"/>
          <w:szCs w:val="18"/>
          <w:color w:val="auto"/>
        </w:rPr>
        <w:t xml:space="preserve">”) to a person or persons, none of which is Borrower or a Subsidiary, such Transferred Guarantor shall, upon the consummation of such sale or transfer, be automatically released from its obligations under this Agreement (including under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hereof) and its obligations to pledge and grant any Collateral owned by it pursuant to any Loan Document and the pledge of such Equity Interests to Agent pursuant to the Loan Documents shall be automatically released, and, so long as Borrower shall have provided Agent such certifications or documents as Agent shall reasonably request, Agent shall take such actions as are necessary to effect each release described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11.9</w:t>
      </w:r>
      <w:r>
        <w:rPr>
          <w:rFonts w:ascii="Times New Roman" w:cs="Times New Roman" w:eastAsia="Times New Roman" w:hAnsi="Times New Roman"/>
          <w:sz w:val="18"/>
          <w:szCs w:val="18"/>
          <w:color w:val="auto"/>
        </w:rPr>
        <w:t xml:space="preserve"> in accordance with the relevant provisions of the Loan Documents.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 xml:space="preserve">. Each Subsidiary Guarantor hereby agrees that to the extent that a Subsidiary Guarantor shall have paid more than its proportionate share of any payment made hereunder, such Subsidiary Guarantor shall be entitled to seek and receive contribution from and against any other Subsidiary Guarantor hereunder which has not paid its proportionate share of such payment. Each Subsidiary Guarantor’s right of contribution shall be subject to the terms and conditions of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shall in no respect limit the obligations and liabilities of any Subsidiary Guarantor to Agent and the Lenders, and each Subsidiary Guarantor shall remain liable to Agent and the Lenders for the full amount guaranteed by such Subsidiary Guarantor hereunder.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 Next Page is Signature 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IN WITNESS WHEREOF, this Term Loan, Guarantee and Security Agreement has been duly executed as of the date first written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Dragonfly Energy Corp.</w:t>
      </w:r>
      <w:r>
        <w:rPr>
          <w:rFonts w:ascii="Times New Roman" w:cs="Times New Roman" w:eastAsia="Times New Roman" w:hAnsi="Times New Roman"/>
          <w:sz w:val="18"/>
          <w:szCs w:val="18"/>
          <w:color w:val="auto"/>
        </w:rPr>
        <w:t>, as Borrower and Grantor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4980"/>
        <w:spacing w:after="0" w:line="286" w:lineRule="auto"/>
        <w:rPr>
          <w:sz w:val="20"/>
          <w:szCs w:val="20"/>
          <w:color w:val="auto"/>
        </w:rPr>
      </w:pPr>
      <w:r>
        <w:rPr>
          <w:rFonts w:ascii="Times New Roman" w:cs="Times New Roman" w:eastAsia="Times New Roman" w:hAnsi="Times New Roman"/>
          <w:sz w:val="18"/>
          <w:szCs w:val="18"/>
          <w:b w:val="1"/>
          <w:bCs w:val="1"/>
          <w:color w:val="auto"/>
        </w:rPr>
        <w:t>Dragonfly Energy Holdings Corp. (f/k/a Chardan NexTech Acquisition 2 Corp.)</w:t>
      </w:r>
      <w:r>
        <w:rPr>
          <w:rFonts w:ascii="Times New Roman" w:cs="Times New Roman" w:eastAsia="Times New Roman" w:hAnsi="Times New Roman"/>
          <w:sz w:val="18"/>
          <w:szCs w:val="18"/>
          <w:color w:val="auto"/>
        </w:rPr>
        <w:t>, as a Guarantor and Grantor</w:t>
      </w:r>
    </w:p>
    <w:p>
      <w:pPr>
        <w:spacing w:after="0" w:line="1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TERM LOAN, GUARANTEE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661" w:right="379" w:bottom="1440" w:gutter="0" w:footer="0" w:header="0"/>
        </w:sectPr>
      </w:pPr>
    </w:p>
    <w:bookmarkStart w:id="155" w:name="page156"/>
    <w:bookmarkEnd w:id="155"/>
    <w:p>
      <w:pPr>
        <w:ind w:left="4520"/>
        <w:spacing w:after="0"/>
        <w:rPr>
          <w:sz w:val="20"/>
          <w:szCs w:val="20"/>
          <w:color w:val="auto"/>
        </w:rPr>
      </w:pPr>
      <w:r>
        <w:rPr>
          <w:rFonts w:ascii="Times New Roman" w:cs="Times New Roman" w:eastAsia="Times New Roman" w:hAnsi="Times New Roman"/>
          <w:sz w:val="17"/>
          <w:szCs w:val="17"/>
          <w:b w:val="1"/>
          <w:bCs w:val="1"/>
          <w:color w:val="auto"/>
        </w:rPr>
        <w:t>ALTER DOMUS (US) LLC</w:t>
      </w:r>
      <w:r>
        <w:rPr>
          <w:rFonts w:ascii="Times New Roman" w:cs="Times New Roman" w:eastAsia="Times New Roman" w:hAnsi="Times New Roman"/>
          <w:sz w:val="17"/>
          <w:szCs w:val="17"/>
          <w:color w:val="auto"/>
        </w:rPr>
        <w:t>, as Agent for the Lenders</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TERM LOAN, GUARANTEE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56" w:name="page157"/>
    <w:bookmarkEnd w:id="156"/>
    <w:p>
      <w:pPr>
        <w:ind w:left="4520"/>
        <w:spacing w:after="0"/>
        <w:rPr>
          <w:sz w:val="20"/>
          <w:szCs w:val="20"/>
          <w:color w:val="auto"/>
        </w:rPr>
      </w:pPr>
      <w:r>
        <w:rPr>
          <w:rFonts w:ascii="Times New Roman" w:cs="Times New Roman" w:eastAsia="Times New Roman" w:hAnsi="Times New Roman"/>
          <w:sz w:val="18"/>
          <w:szCs w:val="18"/>
          <w:b w:val="1"/>
          <w:bCs w:val="1"/>
          <w:color w:val="auto"/>
        </w:rPr>
        <w:t>ENERGY IMPACT CREDIT FUND I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Energy Impact Credit Fund I GP LLC, its general partner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TERM LOAN, GUARANTEE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57" w:name="page158"/>
    <w:bookmarkEnd w:id="157"/>
    <w:p>
      <w:pPr>
        <w:ind w:left="4520"/>
        <w:spacing w:after="0"/>
        <w:rPr>
          <w:sz w:val="20"/>
          <w:szCs w:val="20"/>
          <w:color w:val="auto"/>
        </w:rPr>
      </w:pPr>
      <w:r>
        <w:rPr>
          <w:rFonts w:ascii="Times New Roman" w:cs="Times New Roman" w:eastAsia="Times New Roman" w:hAnsi="Times New Roman"/>
          <w:sz w:val="18"/>
          <w:szCs w:val="18"/>
          <w:b w:val="1"/>
          <w:bCs w:val="1"/>
          <w:color w:val="auto"/>
        </w:rPr>
        <w:t>ENERGY IMPACT CREDIT FUND II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Energy Impact Credit Fund II GP LLC, its general partner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TERM LOAN, GUARANTEE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58" w:name="page159"/>
    <w:bookmarkEnd w:id="158"/>
    <w:p>
      <w:pPr>
        <w:ind w:left="4520"/>
        <w:spacing w:after="0"/>
        <w:rPr>
          <w:sz w:val="20"/>
          <w:szCs w:val="20"/>
          <w:color w:val="auto"/>
        </w:rPr>
      </w:pPr>
      <w:r>
        <w:rPr>
          <w:rFonts w:ascii="Times New Roman" w:cs="Times New Roman" w:eastAsia="Times New Roman" w:hAnsi="Times New Roman"/>
          <w:sz w:val="18"/>
          <w:szCs w:val="18"/>
          <w:b w:val="1"/>
          <w:bCs w:val="1"/>
          <w:color w:val="auto"/>
        </w:rPr>
        <w:t>CCM Investments 5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TERM LOAN, GUARANTEE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in this Agreement and the other Loan Documents shall have (unless otherwise provided elsewhere in this Agreement or in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 the following respective meanings: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Consideration</w:t>
      </w:r>
      <w:r>
        <w:rPr>
          <w:rFonts w:ascii="Times New Roman" w:cs="Times New Roman" w:eastAsia="Times New Roman" w:hAnsi="Times New Roman"/>
          <w:sz w:val="18"/>
          <w:szCs w:val="18"/>
          <w:color w:val="auto"/>
        </w:rPr>
        <w:t>” shall mean the purchase consideration for any Permitted Acquisition and all other payments by any Credit Party in exchange for, or as part of, or in connection with, any Permitted Acquisition, whether paid in cash or by exchange of Equity Interests or of properties or otherwise and whether payable at or prior to the consummation of such Permitted Acquisition or deferred for payment at any future time, whether or not any such future payment is subject to the occurrence of any contingency,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provided that any such future payment that is subject to a contingency shall be considered Acquisition Consideration only to the extent of the reserve, if any, required under GAAP at the time of such sale to be established in respect thereof by any Credit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Documents</w:t>
      </w:r>
      <w:r>
        <w:rPr>
          <w:rFonts w:ascii="Times New Roman" w:cs="Times New Roman" w:eastAsia="Times New Roman" w:hAnsi="Times New Roman"/>
          <w:sz w:val="18"/>
          <w:szCs w:val="18"/>
          <w:color w:val="auto"/>
        </w:rPr>
        <w:t>” means the Merger Agreement and all agreements, documents and instruments executed or delivered in connection therewith.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Small Business Investment Act of 1958 and the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Activation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Term SOFR</w:t>
      </w:r>
      <w:r>
        <w:rPr>
          <w:rFonts w:ascii="Times New Roman" w:cs="Times New Roman" w:eastAsia="Times New Roman" w:hAnsi="Times New Roman"/>
          <w:sz w:val="18"/>
          <w:szCs w:val="18"/>
          <w:color w:val="auto"/>
        </w:rPr>
        <w:t>” shall mean, for purposes of any calculation, the rate per annum equal to (a) Term SOFR for such calculation plus (b) the Term SOFR Adjustment; provided that if Adjusted Term SOFR as so determined shall ever be less than 1.0%, then Adjusted Term SOFR shall be deemed to be 1.0%.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(i) each other Person that, directly or indirectly, owns or controls, whether beneficially, or as a trustee, guardian or other fiduciary, ten percent (10%) or more of the Stock having ordinary voting power for the election of directors of such Person or (ii) each other Person that controls, is controlled by or is under common control with such Person or any Affiliate of such Person. For the purpose of this definition, “control” of a Person shall mean the possession, directly or indirectly, of the power to direct or cause the direction of its management or policies, whether through the ownership of voting securities, by contract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the Person identified as such in the preamble of this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S</w:t>
      </w:r>
      <w:r>
        <w:rPr>
          <w:rFonts w:ascii="Times New Roman" w:cs="Times New Roman" w:eastAsia="Times New Roman" w:hAnsi="Times New Roman"/>
          <w:sz w:val="12"/>
          <w:szCs w:val="12"/>
          <w:color w:val="FF0000"/>
          <w:strike w:val="1"/>
        </w:rPr>
        <w:t>chedule</w:t>
      </w:r>
      <w:r>
        <w:rPr>
          <w:rFonts w:ascii="Times New Roman" w:cs="Times New Roman" w:eastAsia="Times New Roman" w:hAnsi="Times New Roman"/>
          <w:sz w:val="18"/>
          <w:szCs w:val="18"/>
          <w:color w:val="FF0000"/>
          <w:strike w:val="1"/>
        </w:rPr>
        <w:t xml:space="preserve">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Fee Letter</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Indemnified Person</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Agreement including all appendices, exhibits or schedules attached or otherwise identified thereto, and any appendices, exhibits or schedules to any of the foregoing, each as effect at the time such reference becomes operative; provided, that except as specifically set forth in this Agreement, any reference to the Disclosure Schedules to this Agreement shall be deemed a reference to the Disclosure Schedules as in effect on the Closing Date or in a written amendment thereto delivered by Borrower to Agent.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Measures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for any of the Term Loans means:</w:t>
      </w:r>
    </w:p>
    <w:p>
      <w:pPr>
        <w:spacing w:after="0" w:line="229"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period from the Closing Date until but excluding April 1, 2023, a per annum rate equal to 13.5%, of which 6.50% shall be paid-in-kind.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on a quarterly basis, effective as of the first Business Day of the Fiscal Quarter following receipt by Agent of the Compliance Certificate and Credit Parties’ quarterly financial statements required to be delivered under this Agreement for the previous Fiscal Quarter (each day of such delivery, a “</w:t>
      </w:r>
      <w:r>
        <w:rPr>
          <w:rFonts w:ascii="Times New Roman" w:cs="Times New Roman" w:eastAsia="Times New Roman" w:hAnsi="Times New Roman"/>
          <w:sz w:val="18"/>
          <w:szCs w:val="18"/>
          <w:u w:val="single" w:color="auto"/>
          <w:color w:val="auto"/>
        </w:rPr>
        <w:t>Delivery Date</w:t>
      </w:r>
      <w:r>
        <w:rPr>
          <w:rFonts w:ascii="Times New Roman" w:cs="Times New Roman" w:eastAsia="Times New Roman" w:hAnsi="Times New Roman"/>
          <w:sz w:val="18"/>
          <w:szCs w:val="18"/>
          <w:color w:val="auto"/>
        </w:rPr>
        <w:t>”) commencing with the Fiscal Quarter ending December 31, 2022, the Applicable Margin (and PIK Rate in the case of any Payment Date occurring on or prior to October 1, 2024) for the Term Loans shall be adjusted, if necessary, to the applicable percent per annum set forth in the pricing table set forth below corresponding to the Senior Leverage Ratio for the trailing twelve (12) Fiscal Month period ending on the last day of the most recently completed Fiscal Quarter prior to the applicable Delivery Date (each such period, a “</w:t>
      </w:r>
      <w:r>
        <w:rPr>
          <w:rFonts w:ascii="Times New Roman" w:cs="Times New Roman" w:eastAsia="Times New Roman" w:hAnsi="Times New Roman"/>
          <w:sz w:val="18"/>
          <w:szCs w:val="18"/>
          <w:u w:val="single" w:color="auto"/>
          <w:color w:val="auto"/>
        </w:rPr>
        <w:t>Calculation Period</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LEVERAGE</w:t>
            </w:r>
          </w:p>
        </w:tc>
        <w:tc>
          <w:tcPr>
            <w:tcW w:w="14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99"/>
              </w:rPr>
              <w:t>APPLICABLE</w:t>
            </w: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Applicable PIK</w:t>
            </w:r>
          </w:p>
        </w:tc>
      </w:tr>
      <w:tr>
        <w:trPr>
          <w:trHeight w:val="24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w:t>
            </w:r>
          </w:p>
        </w:tc>
        <w:tc>
          <w:tcPr>
            <w:tcW w:w="14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MARGIN</w:t>
            </w:r>
          </w:p>
        </w:tc>
        <w:tc>
          <w:tcPr>
            <w:tcW w:w="13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Rate</w:t>
            </w:r>
          </w:p>
        </w:tc>
      </w:tr>
      <w:tr>
        <w:trPr>
          <w:trHeight w:val="243"/>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or equal to 5.00:1</w:t>
            </w:r>
          </w:p>
        </w:tc>
        <w:tc>
          <w:tcPr>
            <w:tcW w:w="16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4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5.00:1 and greater than or equal to 4.00:1</w:t>
            </w: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4.00:1</w:t>
            </w:r>
          </w:p>
        </w:tc>
        <w:tc>
          <w:tcPr>
            <w:tcW w:w="1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1" w:name="page162"/>
    <w:bookmarkEnd w:id="161"/>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Credit Parties shall fail to timely deliver the Compliance Certificate, financial statements, certificates and/or other information required under this Agreement, the Applicable Margin shall be conclusively presumed to equal the highest Applicable Margin specified in the pricing table set forth above for the period commencing on the required delivery date of such financial statements, certificates and/or other information until the delivery thereof. In the event that (a) any financial statement delivered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Compliance Certificate delivered pursuant to this Agreement is shown to be inaccurate and (b) such inaccuracy if corrected, would have led to the application of a higher Applicable Margin for any period (an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xml:space="preserve">”) than the Applicable Margin applied for such Applicable Period, then (i) Borrower shall promptly (but in any event within two (2) Business Days after such inaccuracy has been shown) deliver to Agent a corrected Compliance Certificate for such Applicable Period, (ii) the Applicable Margin for such Applicable Period shall be the Applicable Margin corresponding to the information disclosed on the corrected Compliance Certificate, and (iii) Borrower shall immediately pay to Agent the accrued additional interest owing as a result of the application of such increased Applicable Margin for such Applicable Period, which payment shall be promptly applied by Agent. In the event that (x) any financial statement delivered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Compliance Certificate delivered pursuant to this Agreement is shown to be inaccurate and (x) such inaccuracy if corrected, would have led to the application of a lower Applicable Margin for any Applicable Period than the Applicable Margin applied for such Applicable Period, then (I) Borrower shall promptly (but in any event within two (2) Business Days after such inaccuracy has been shown) deliver to Agent a corrected Compliance Certificate for such Applicable Period,</w:t>
      </w:r>
    </w:p>
    <w:p>
      <w:pPr>
        <w:spacing w:after="0" w:line="1" w:lineRule="exact"/>
        <w:rPr>
          <w:sz w:val="20"/>
          <w:szCs w:val="20"/>
          <w:color w:val="auto"/>
        </w:rPr>
      </w:pPr>
    </w:p>
    <w:p>
      <w:pPr>
        <w:jc w:val="both"/>
        <w:ind w:firstLine="8"/>
        <w:spacing w:after="0" w:line="253" w:lineRule="auto"/>
        <w:tabs>
          <w:tab w:leader="none" w:pos="32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Margin for such Applicable Period shall be the Applicable Margin corresponding to the information disclosed on the corrected Compliance Certificate, and (III) Borrower shall receive a credit toward any future interest payments in an amount equal to the excess interest paid by Borrower as a result of the application of such lower Applicable Margin, provided that the corrected Compliance Certificate is delivered to Agent within thirty (30) days of the date originally due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after such thirty (30) day period, no credit shall be given. The rights of Agent set forth above shall survive the Termination Date and are in addition to rights of Agent and Lenders under this Agreement or any other Loan Document.</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xml:space="preserve">” shall mean (a) any conveyance, sale, lease, sublease, assignment, transfer or other disposition (including by way of merger, amalgamation or consolidation and including any sale and leaseback transaction) of any property excluding sales of inventory and dispositions of cash and cash equivalents, in each case, in the ordinary course of business, by any Credit Party and (b) any issuance or sale of any Equity Interests of any Credit Party, in each case, to any Person other than (i) Borrower, (ii) any Subsidiary Guarantor or (iii) other than for purposes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any other Subsidiary.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PIK Rate</w:t>
      </w:r>
      <w:r>
        <w:rPr>
          <w:rFonts w:ascii="Times New Roman" w:cs="Times New Roman" w:eastAsia="Times New Roman" w:hAnsi="Times New Roman"/>
          <w:sz w:val="18"/>
          <w:szCs w:val="18"/>
          <w:color w:val="auto"/>
        </w:rPr>
        <w:t>” means, as of any date of determination with respect to each Payment Date occurring on or before October 1, 2024, the (a) Applicable Margin, minus (b) 7.0% per annum, as set forth in the table in the definition of Applicable Margin.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2" w:name="page163"/>
    <w:bookmarkEnd w:id="162"/>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Attributable Indebtedness</w:t>
      </w:r>
      <w:r>
        <w:rPr>
          <w:rFonts w:ascii="Times New Roman" w:cs="Times New Roman" w:eastAsia="Times New Roman" w:hAnsi="Times New Roman"/>
          <w:sz w:val="18"/>
          <w:szCs w:val="18"/>
          <w:color w:val="auto"/>
        </w:rPr>
        <w:t>” shall mean, when used with respect to any sale and leaseback transaction, as at the time of determination, the present value (discounted at a rate equivalent to the applicable Borrower’s then-current weighted average cost of funds for borrowed money as at the time of determination, compounded on a semi-annual basis) of the total obligations of the lessee for rental payments during the remaining term of the lease included in any such sale and leaseback transaction.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xml:space="preserve">” 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or interest period for such Benchmark that is not being used pursuant to Section 10.17(D). As of the date of this Agreement, the only Available Tenors are (a) for SOFR Loans, Adjusted Term SOFR based on Term SOFR with an interest period of 3 months, and (b) for Base Rate Loans under clause (d) of the definition of Base Rate, Adjusted Term SOFR for based on Term SOFR with an interest period of 1 month; provided, that Agent may select to use additional interest periods in accordance with the terms of </w:t>
      </w:r>
      <w:r>
        <w:rPr>
          <w:rFonts w:ascii="Times New Roman" w:cs="Times New Roman" w:eastAsia="Times New Roman" w:hAnsi="Times New Roman"/>
          <w:sz w:val="18"/>
          <w:szCs w:val="18"/>
          <w:u w:val="single" w:color="auto"/>
          <w:color w:val="auto"/>
        </w:rPr>
        <w:t>Section 10.17(D)</w:t>
      </w:r>
      <w:r>
        <w:rPr>
          <w:rFonts w:ascii="Times New Roman" w:cs="Times New Roman" w:eastAsia="Times New Roman" w:hAnsi="Times New Roman"/>
          <w:sz w:val="18"/>
          <w:szCs w:val="18"/>
          <w:color w:val="auto"/>
        </w:rPr>
        <w:t xml:space="preserve"> and such interest periods shall become Available Tenors upon such selection.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xml:space="preserve">” means, as of any date of determination, a variable rate of interest per annum equal to the highest of (a) two percent (2%), (b) the “Prime Rate” as published by the Wall Street Journal as of such date of determination (or, if such rate ceases to be so published, as quoted from such other generally available and recognizable source as Agent may reasonably select), (c) the </w:t>
      </w:r>
      <w:r>
        <w:rPr>
          <w:rFonts w:ascii="Times New Roman" w:cs="Times New Roman" w:eastAsia="Times New Roman" w:hAnsi="Times New Roman"/>
          <w:sz w:val="18"/>
          <w:szCs w:val="18"/>
          <w:i w:val="1"/>
          <w:iCs w:val="1"/>
          <w:color w:val="auto"/>
        </w:rPr>
        <w:t>sum</w:t>
      </w:r>
      <w:r>
        <w:rPr>
          <w:rFonts w:ascii="Times New Roman" w:cs="Times New Roman" w:eastAsia="Times New Roman" w:hAnsi="Times New Roman"/>
          <w:sz w:val="18"/>
          <w:szCs w:val="18"/>
          <w:color w:val="auto"/>
        </w:rPr>
        <w:t xml:space="preserve"> of (i) the Federal Funds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one-half of one percent (0.50%), and (d) Adjusted Term SOFR for a one-month tenor in effect on such day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1.00 %.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 Loans</w:t>
      </w:r>
      <w:r>
        <w:rPr>
          <w:rFonts w:ascii="Times New Roman" w:cs="Times New Roman" w:eastAsia="Times New Roman" w:hAnsi="Times New Roman"/>
          <w:sz w:val="18"/>
          <w:szCs w:val="18"/>
          <w:color w:val="auto"/>
        </w:rPr>
        <w:t>” means Loans bearing interest at rates determined by reference to the Base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Battle Born</w:t>
      </w:r>
      <w:r>
        <w:rPr>
          <w:rFonts w:ascii="Times New Roman" w:cs="Times New Roman" w:eastAsia="Times New Roman" w:hAnsi="Times New Roman"/>
          <w:sz w:val="18"/>
          <w:szCs w:val="18"/>
          <w:u w:val="single" w:color="auto"/>
          <w:color w:val="0000FF"/>
        </w:rPr>
        <w:t>” means Battle Born Battery Products,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Beach Point</w:t>
      </w:r>
      <w:r>
        <w:rPr>
          <w:rFonts w:ascii="Times New Roman" w:cs="Times New Roman" w:eastAsia="Times New Roman" w:hAnsi="Times New Roman"/>
          <w:sz w:val="18"/>
          <w:szCs w:val="18"/>
          <w:color w:val="auto"/>
        </w:rPr>
        <w:t>” means BP Holdings XVII LP, in its capacity as a Lender, or any other of its Affiliates that may be a Lender from time to time.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10.17.</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with respect to any Benchmark Transition Event, the sum of: (x) the alternate benchmark rate that has been selected by the Agent and the Borrower giving due consideration to (1) any selection or recommendation of a replacement benchmark rate or the mechanism for determining such a rate by the Relevant Governmental Body or (2) any evolving or then-prevailing market convention for determining a benchmark rate as a replacement to the then-current Benchmark for U.S. dollar-denominated syndicated credit facilities and (y) the related Benchmark Replacement Adjustment; provided that, if such Benchmark Replacement as so determined would be less than 1.00% per annum, the Benchmark Replacement will be deemed to be 1.00% per annum for the purposes of this Agreement and the other Loan Documents.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3" w:name="page164"/>
    <w:bookmarkEnd w:id="163"/>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(x) the spread adjustment, or method for calculating or determining such spread adjustment, (which may be a positive or negative value or zero) that has been selected by the Agent and the Borrower giving due consideration to any selection or recommendation of a spread adjustment, or method for calculating or determining such spread adjustment, for the replacement of such Benchmark with the applicable Unadjusted Benchmark Replacement by the Relevant Governmental Body or (y)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9" w:lineRule="exact"/>
        <w:rPr>
          <w:sz w:val="20"/>
          <w:szCs w:val="20"/>
          <w:color w:val="auto"/>
        </w:rPr>
      </w:pPr>
    </w:p>
    <w:p>
      <w:pPr>
        <w:jc w:val="both"/>
        <w:ind w:left="660" w:hanging="328"/>
        <w:spacing w:after="0" w:line="261"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4" w:name="page165"/>
    <w:bookmarkEnd w:id="164"/>
    <w:p>
      <w:pPr>
        <w:jc w:val="both"/>
        <w:ind w:left="660" w:hanging="328"/>
        <w:spacing w:after="0" w:line="266" w:lineRule="auto"/>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Start Date</w:t>
      </w:r>
      <w:r>
        <w:rPr>
          <w:rFonts w:ascii="Times New Roman" w:cs="Times New Roman" w:eastAsia="Times New Roman" w:hAnsi="Times New Roman"/>
          <w:sz w:val="18"/>
          <w:szCs w:val="18"/>
          <w:color w:val="auto"/>
        </w:rPr>
        <w:t>” means in the case of a Benchmark Transition Event, the earlier of (1) the applicable Benchmark Replacement Date and (2)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the period, if any, (x) beginning at the time that such Benchmark Replacement Date has occurred if, at such time, no Benchmark Replacement has replaced the then-current Benchmark for all purposes hereunder and under any Loan Document in accordance with Section 10.17 and (y) ending at the time that a Benchmark Replacement has replaced the then-current Benchmark for all purposes hereunder and under any Loan Document pursuant to Section 10.17.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Blocked Accounts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with respect to any Person, (i) in the case of any corporation or unlimited liability corporation, the board of directors of such Person, (ii) in the case of any limited liability company, the board of managers of such Person, (iii) in the case of any partnership, the board of directors or the board of managers, as applicable, of the general partner of such Person and (iv) in any other case, the functional equivalent of the foregoing.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means all books, records, board minutes, contracts, licenses, insurance policies, environmental audits, business plans, files, computer files, computer discs and other data and software storage and media devices, accounting books and records, financial statements (actual and pro forma), filings with Governmental Authorities and any and all records and instruments relating to the Collateral or each Grantor’s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means the Persons identified as such in the preamble of this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BSA</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a Sunday or a day on which banks are required or permitted to be closed in the State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 Table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3.39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Assets</w:t>
      </w:r>
      <w:r>
        <w:rPr>
          <w:rFonts w:ascii="Times New Roman" w:cs="Times New Roman" w:eastAsia="Times New Roman" w:hAnsi="Times New Roman"/>
          <w:sz w:val="18"/>
          <w:szCs w:val="18"/>
          <w:color w:val="auto"/>
        </w:rPr>
        <w:t>” means, with respect to any Person, all equipment, fixed assets and Real Property or improvements of such Person, or replacements or substitutions therefor or additions thereto, that, in accordance with GAAP, have been or should be reflected as additions to property, plant or equipment on the balance sheet of such Person.</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means, with respect to any Person, all expenditures made directly or indirectly by the Credit Parties during such period for Capital Assets (whether paid in cash or other consideration, financed by the incurrence of Indebtedness or accrued as a liability).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means, with respect to any Person, any lease of any property (whether real, personal or mixed) by such Person as lessee that, in accordance with GAAP, either would be required to be classified and accounted for as a capital lease on a balance sheet of such Person or otherwise would be disclosed as such in a note to such balance sheet, other than, in the case of Borrower, any such lease under which Borrower is the lessor.</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w:t>
      </w:r>
      <w:r>
        <w:rPr>
          <w:rFonts w:ascii="Times New Roman" w:cs="Times New Roman" w:eastAsia="Times New Roman" w:hAnsi="Times New Roman"/>
          <w:sz w:val="18"/>
          <w:szCs w:val="18"/>
          <w:color w:val="auto"/>
        </w:rPr>
        <w:t>” means, of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 any readily-marketable securities (i) issued by, or directly, unconditionally and fully guaranteed or insured by the United States federal government or (ii) issued by any agency of the United States federal government the obligations of which are fully backed by the full faith and credit of the United States federal government, (b) any readily-marketable direct obligations issued by any other agency of the United States federal government, any state of the United States or any political subdivision of any such state or any public instrumentality thereof, in each case having a rating of at least “</w:t>
      </w:r>
      <w:r>
        <w:rPr>
          <w:rFonts w:ascii="Times New Roman" w:cs="Times New Roman" w:eastAsia="Times New Roman" w:hAnsi="Times New Roman"/>
          <w:sz w:val="18"/>
          <w:szCs w:val="18"/>
          <w:u w:val="single" w:color="auto"/>
          <w:color w:val="auto"/>
        </w:rPr>
        <w:t>A-1</w:t>
      </w:r>
      <w:r>
        <w:rPr>
          <w:rFonts w:ascii="Times New Roman" w:cs="Times New Roman" w:eastAsia="Times New Roman" w:hAnsi="Times New Roman"/>
          <w:sz w:val="18"/>
          <w:szCs w:val="18"/>
          <w:color w:val="auto"/>
        </w:rPr>
        <w:t>” from S&amp;P or at least “</w:t>
      </w:r>
      <w:r>
        <w:rPr>
          <w:rFonts w:ascii="Times New Roman" w:cs="Times New Roman" w:eastAsia="Times New Roman" w:hAnsi="Times New Roman"/>
          <w:sz w:val="18"/>
          <w:szCs w:val="18"/>
          <w:u w:val="single" w:color="auto"/>
          <w:color w:val="auto"/>
        </w:rPr>
        <w:t>P-1</w:t>
      </w:r>
      <w:r>
        <w:rPr>
          <w:rFonts w:ascii="Times New Roman" w:cs="Times New Roman" w:eastAsia="Times New Roman" w:hAnsi="Times New Roman"/>
          <w:sz w:val="18"/>
          <w:szCs w:val="18"/>
          <w:color w:val="auto"/>
        </w:rPr>
        <w:t>” from Moody’s, (c) any commercial paper rated at least “</w:t>
      </w:r>
      <w:r>
        <w:rPr>
          <w:rFonts w:ascii="Times New Roman" w:cs="Times New Roman" w:eastAsia="Times New Roman" w:hAnsi="Times New Roman"/>
          <w:sz w:val="18"/>
          <w:szCs w:val="18"/>
          <w:u w:val="single" w:color="auto"/>
          <w:color w:val="auto"/>
        </w:rPr>
        <w:t>A-1</w:t>
      </w:r>
      <w:r>
        <w:rPr>
          <w:rFonts w:ascii="Times New Roman" w:cs="Times New Roman" w:eastAsia="Times New Roman" w:hAnsi="Times New Roman"/>
          <w:sz w:val="18"/>
          <w:szCs w:val="18"/>
          <w:color w:val="auto"/>
        </w:rPr>
        <w:t>” by S&amp;P or “</w:t>
      </w:r>
      <w:r>
        <w:rPr>
          <w:rFonts w:ascii="Times New Roman" w:cs="Times New Roman" w:eastAsia="Times New Roman" w:hAnsi="Times New Roman"/>
          <w:sz w:val="18"/>
          <w:szCs w:val="18"/>
          <w:u w:val="single" w:color="auto"/>
          <w:color w:val="auto"/>
        </w:rPr>
        <w:t>P-1</w:t>
      </w:r>
      <w:r>
        <w:rPr>
          <w:rFonts w:ascii="Times New Roman" w:cs="Times New Roman" w:eastAsia="Times New Roman" w:hAnsi="Times New Roman"/>
          <w:sz w:val="18"/>
          <w:szCs w:val="18"/>
          <w:color w:val="auto"/>
        </w:rPr>
        <w:t xml:space="preserve">” by Moody’s and issued by any Person organized under the laws of any state of the United States, (d) any Dollar-denominated time deposit, insured certificate of deposit, overnight bank deposit or bankers’ acceptance issued or accepted by (i) any Lender or (ii) any commercial bank that is (A) organized under the laws of the United States, any state thereof or the District of Columbia, (B) “adequately capitalized” (as defined in the regulations of its primary federal banking regulators) and (C) has Tier 1 capital (as defined in such regulations) in excess of $250,000,000 and (e) shares of any United States money market fund that (i) has substantially all of its assets invested continuously in the types of investments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with maturities as set forth in the proviso below, (ii) has net assets in excess of $500,000,000 and (iii) has obtained from either S&amp;P or Moody’s the highest rating obtainable for money market funds in the United States; provided, however, that the maturities of all obligations specified in any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shall not exceed 365 days.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System</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3.25(a)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shall mean any involuntary loss of title or ownership, any involuntary loss of, damage to or any destruction of, or any condemnation or other taking (including by any Governmental Authority) of, any property of a Credit Party. “Casualty Event” shall include but not be limited to any taking of all or any part of any Real Property of any Person or any part thereof, in or by condemnation or other eminent domain proceedings pursuant to any Requirement of Law, or by reason of the temporary requisition of the use or occupancy of all or any part of any Real Property of any Person or any part thereof by any Governmental Authority, civil or military, or any settlement in lieu thereof.</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CCM Lender</w:t>
      </w:r>
      <w:r>
        <w:rPr>
          <w:rFonts w:ascii="Times New Roman" w:cs="Times New Roman" w:eastAsia="Times New Roman" w:hAnsi="Times New Roman"/>
          <w:sz w:val="18"/>
          <w:szCs w:val="18"/>
          <w:color w:val="auto"/>
        </w:rPr>
        <w:t>” means CCM Investments 5 LLC, a Delaware limited liability company, in its capacity as a Lender, or any other of its Affiliates that may be a Lender from time to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means the Comprehensive Environmental Response, Compensation and Liability Act of 1980.</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Certain Funds Provisions</w:t>
      </w:r>
      <w:r>
        <w:rPr>
          <w:rFonts w:ascii="Times New Roman" w:cs="Times New Roman" w:eastAsia="Times New Roman" w:hAnsi="Times New Roman"/>
          <w:sz w:val="18"/>
          <w:szCs w:val="18"/>
          <w:color w:val="auto"/>
        </w:rPr>
        <w:t>” has the meaning assigned thereto in Section 2.1.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event, transaction or occurrence as a result of which:</w:t>
      </w:r>
    </w:p>
    <w:p>
      <w:pPr>
        <w:spacing w:after="0" w:line="159" w:lineRule="exact"/>
        <w:rPr>
          <w:sz w:val="20"/>
          <w:szCs w:val="20"/>
          <w:color w:val="auto"/>
        </w:rPr>
      </w:pPr>
    </w:p>
    <w:p>
      <w:pPr>
        <w:jc w:val="both"/>
        <w:ind w:firstLine="656"/>
        <w:spacing w:after="0" w:line="266" w:lineRule="auto"/>
        <w:tabs>
          <w:tab w:leader="none" w:pos="89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(within the meaning of Rules 13d-3 and 13d-5 under the Exchange Act) (i) shall have acquired beneficial ownership of 35% or more on a fully diluted basis of the voting and/or economic interest in the Equity Interests of Holdings or (ii) shall have obtained the power (whether or not exercised) to elect a majority of the members of the board of directors (or similar governing body) of Holdings; or</w:t>
      </w:r>
    </w:p>
    <w:p>
      <w:pPr>
        <w:spacing w:after="0" w:line="17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ceases to own and control all of the economic and voting rights associated with all of the outstanding Ownership Interests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Combination shall not constitute a Change of Control.</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Charges</w:t>
      </w:r>
      <w:r>
        <w:rPr>
          <w:rFonts w:ascii="Times New Roman" w:cs="Times New Roman" w:eastAsia="Times New Roman" w:hAnsi="Times New Roman"/>
          <w:sz w:val="18"/>
          <w:szCs w:val="18"/>
          <w:color w:val="auto"/>
        </w:rPr>
        <w:t>” means all Federal, state, county, city, municipal, local, foreign or other governmental taxes (including taxes owed to PBGC at the time due and payable), levies, customs or other duties, assessments, charges, liens, interest, penalties, expenses, claims or encumbrances upon or relating to (x)the Collateral, (ii) the Obligations, (iii) the employees, payroll, income or gross receipts of any Credit Party, (iv) the ownership or use of any assets by any Credit Party, or (v) any other aspect of any Credit Party’s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Chief Executive Office</w:t>
      </w:r>
      <w:r>
        <w:rPr>
          <w:rFonts w:ascii="Times New Roman" w:cs="Times New Roman" w:eastAsia="Times New Roman" w:hAnsi="Times New Roman"/>
          <w:sz w:val="18"/>
          <w:szCs w:val="18"/>
          <w:color w:val="auto"/>
        </w:rPr>
        <w:t xml:space="preserve">” means the chief executive office of any Credit Party as set forth on </w:t>
      </w:r>
      <w:r>
        <w:rPr>
          <w:rFonts w:ascii="Times New Roman" w:cs="Times New Roman" w:eastAsia="Times New Roman" w:hAnsi="Times New Roman"/>
          <w:sz w:val="18"/>
          <w:szCs w:val="18"/>
          <w:u w:val="single" w:color="auto"/>
          <w:color w:val="auto"/>
        </w:rPr>
        <w:t>Disclosure Schedule 3.2</w:t>
      </w:r>
      <w:r>
        <w:rPr>
          <w:rFonts w:ascii="Times New Roman" w:cs="Times New Roman" w:eastAsia="Times New Roman" w:hAnsi="Times New Roman"/>
          <w:sz w:val="18"/>
          <w:szCs w:val="18"/>
          <w:color w:val="auto"/>
        </w:rPr>
        <w:t xml:space="preserve"> hereto or as may be updated in accordance with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7" w:name="page168"/>
    <w:bookmarkEnd w:id="167"/>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Certificate</w:t>
      </w:r>
      <w:r>
        <w:rPr>
          <w:rFonts w:ascii="Times New Roman" w:cs="Times New Roman" w:eastAsia="Times New Roman" w:hAnsi="Times New Roman"/>
          <w:sz w:val="18"/>
          <w:szCs w:val="18"/>
          <w:color w:val="auto"/>
        </w:rPr>
        <w:t xml:space="preserve">” means that certain closing certificate of Borrower delivered to Agent and the Required Lenders as of the Closing Date in substantially the form of </w:t>
      </w:r>
      <w:r>
        <w:rPr>
          <w:rFonts w:ascii="Times New Roman" w:cs="Times New Roman" w:eastAsia="Times New Roman" w:hAnsi="Times New Roman"/>
          <w:sz w:val="18"/>
          <w:szCs w:val="18"/>
          <w:u w:val="single" w:color="auto"/>
          <w:color w:val="auto"/>
        </w:rPr>
        <w:t>Exhibit F.</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means the Business Day on which the conditions precedent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have been satisfied or specifically waived in writing by Agent and the Lenders and the Term Loan has been made.</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 Per Share) Warrants</w:t>
      </w:r>
      <w:r>
        <w:rPr>
          <w:rFonts w:ascii="Times New Roman" w:cs="Times New Roman" w:eastAsia="Times New Roman" w:hAnsi="Times New Roman"/>
          <w:sz w:val="18"/>
          <w:szCs w:val="18"/>
          <w:color w:val="auto"/>
        </w:rPr>
        <w:t>” means warrants exercisable to purchase 1,600,000 shares of the common stock of Holdings at an exercise price of $10.00 per share. The Closing Date ($10 Per Share) Warrants will have an exercise period of 5 years from the date of issuance and will have customary cashless exercise provisions. The Closing Date ($10 Per Share) Warrants will have weighted average anti-dilution protection against subsequent equity sales or distributions at less than the Warrant exercise price,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The shares issuable upon exercise of the Closing Date ($10 Per Share) Warrants shall have customary registration rights requiring Holdings to file and keep effective a resale registration statement registering the resale of the shares of common stock underlying the Closing Date ($10 Per Share)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Penny Warrants</w:t>
      </w:r>
      <w:r>
        <w:rPr>
          <w:rFonts w:ascii="Times New Roman" w:cs="Times New Roman" w:eastAsia="Times New Roman" w:hAnsi="Times New Roman"/>
          <w:sz w:val="18"/>
          <w:szCs w:val="18"/>
          <w:color w:val="auto"/>
        </w:rPr>
        <w:t>” means penny warrants (i.e., with an exercise price of</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$0.01/share) issued by Holdings exercisable to purchase 3.6% of Holdings’ common stock on a fully-diluted basis, calculated as of the Closing Date. For purposes hereof, calculation of ownership of common stock “on a fully diluted basis” includes (i) all outstanding common stock, (y) shares of common stock issuable upon conversion of outstanding convertible bonds, preferred stock and other securities convertible to common stock on an as-converted to common stock basis, and (iii) all shares of common stock subject to outstanding options. The Closing Date Penny Warrants will have an exercise period of 10 years from the date of issuance. The shares issuable upon exercise of the Closing Date Penny Warrants shall have customary registration rights requiring Holdings to file and keep effective a resale registration statement registering the resale of the shares of common stock underlying the Closing Date Penny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Warrants</w:t>
      </w:r>
      <w:r>
        <w:rPr>
          <w:rFonts w:ascii="Times New Roman" w:cs="Times New Roman" w:eastAsia="Times New Roman" w:hAnsi="Times New Roman"/>
          <w:sz w:val="18"/>
          <w:szCs w:val="18"/>
          <w:color w:val="auto"/>
        </w:rPr>
        <w:t>” means the Closing Date Penny Warrants and Closing Date ($10 Per Share) Warrants.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Uniform Commercial Code as the same may, from time to time, be in effect in the State of New York; provided, that in the event that, by reason of mandatory provisions of law, any or all of the attachment, perfection or priority of, or remedies with respect to, Agent’s Lien on any Collateral is governed by the Uniform Commercial Code as in effect in a jurisdiction other than the State of New York, the term “Code” shall mean the Uniform Commercial Code as in effect in such other jurisdiction for purposes of the provisions of this Agreement relating to such attachment, perfection, priority or remedies and for purposes of definitions related to such provisions; provided further, that to the extent that the Code is used to define any term herein or in any Loan Document and such term is defined differently in different Articles or Divisions of the Code, the definition of such term contained in Article or Division 9 shall govern.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 means a business combination transaction pursuant to which Borrower shall merge with and into Bronco Merger Sub, Inc., a wholly owned subsidiary of Holdings, and thereby become a wholly-owned subsidiary of Holdings.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means that certain commitment letter, dated May 15, 2022 (as amended in accordance with its terms), made by EICF Agent LLC and CCM Investments 5 LLC and accepted by Dragonfly Energy Corp. and Chardan NexTech Acquisition 2 Corp.</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a compliance certificate in the form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executed by a Responsible Officer of the Borrower relating to the financial performance of the Credit Parties.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“Business Day,” the definition of “Base Rate” and the definition of “U.S. Government Securities Business Day”, the addition of a concept of “interest period”, timing and frequency of determining rates and making payments of interest and other technical, administrative or operational matters) that Agent decides in consultation with Borrower may be appropriate to reflect the adoption and implementation of any such rate and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 administration as Agent decides is reasonably necessary in connection with the administration of this Agreement and the other Loan Document).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Amortization Expense</w:t>
      </w:r>
      <w:r>
        <w:rPr>
          <w:rFonts w:ascii="Times New Roman" w:cs="Times New Roman" w:eastAsia="Times New Roman" w:hAnsi="Times New Roman"/>
          <w:sz w:val="18"/>
          <w:szCs w:val="18"/>
          <w:color w:val="auto"/>
        </w:rPr>
        <w:t>” shall mean, for any period, the amortization expense of the Credit Parties for such period, determined on a consolidated basis in accordance with GAAP.</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Depreciation Expense</w:t>
      </w:r>
      <w:r>
        <w:rPr>
          <w:rFonts w:ascii="Times New Roman" w:cs="Times New Roman" w:eastAsia="Times New Roman" w:hAnsi="Times New Roman"/>
          <w:sz w:val="18"/>
          <w:szCs w:val="18"/>
          <w:color w:val="auto"/>
        </w:rPr>
        <w:t>” shall mean, for any period, the depreciation expense of the Credit Parties for such period, determined on a consolidated basis in accordance with GAAP.</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EBITDA</w:t>
      </w:r>
      <w:r>
        <w:rPr>
          <w:rFonts w:ascii="Times New Roman" w:cs="Times New Roman" w:eastAsia="Times New Roman" w:hAnsi="Times New Roman"/>
          <w:sz w:val="18"/>
          <w:szCs w:val="18"/>
          <w:color w:val="auto"/>
        </w:rPr>
        <w:t>” shall mean, for any period, Consolidated Net Income for such period, adjusted by (x) adding thereto, in each case, other than with respect to clause (n) below, only to the extent (and in the same proportion) deducted in determining such Consolidated Net Income and without duplication:</w:t>
      </w:r>
    </w:p>
    <w:p>
      <w:pPr>
        <w:spacing w:after="0" w:line="175" w:lineRule="exact"/>
        <w:rPr>
          <w:sz w:val="20"/>
          <w:szCs w:val="20"/>
          <w:color w:val="auto"/>
        </w:rPr>
      </w:pPr>
    </w:p>
    <w:p>
      <w:pPr>
        <w:ind w:left="980" w:hanging="324"/>
        <w:spacing w:after="0"/>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for such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Amortization Expense for such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9" w:name="page170"/>
    <w:bookmarkEnd w:id="169"/>
    <w:p>
      <w:pPr>
        <w:ind w:left="324" w:hanging="324"/>
        <w:spacing w:after="0"/>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Depreciation Expense for such period,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Tax Expense for such period,</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non-recurring, customary and documented costs and expenses incurred in connection with the negotiation, execution and delivery of (i) the Loan Documents and the transactions contemplated thereby (including without limitation the Acquisition) incurred on or before the Closing Date, or within one hundred eighty (180) days after the Closing Date, in an aggregate amount not to exceed $35,000,000 or such greater amount as agreed to by Required Lenders in their reasonable discretion, and (ii) any amendments, restatements or other modifications to the Loan Documents in an aggregate amount not to exceed $500,000 for such period,</w:t>
      </w:r>
    </w:p>
    <w:p>
      <w:pPr>
        <w:spacing w:after="0" w:line="183" w:lineRule="exact"/>
        <w:rPr>
          <w:rFonts w:ascii="Times New Roman" w:cs="Times New Roman" w:eastAsia="Times New Roman" w:hAnsi="Times New Roman"/>
          <w:sz w:val="18"/>
          <w:szCs w:val="18"/>
          <w:color w:val="auto"/>
        </w:rPr>
      </w:pPr>
    </w:p>
    <w:p>
      <w:pPr>
        <w:jc w:val="both"/>
        <w:ind w:left="324" w:right="20" w:hanging="324"/>
        <w:spacing w:after="0" w:line="261" w:lineRule="auto"/>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other non-cash charges, expenses or losses reducing Consolidated Net Income (including for certainty all unrealized foreign exchange losses but excluding any non-cash charge, expense or loss that results in an accrual of a reserve for cash charges in any future period and any non-cash charge, expense or loss relating to write-offs, write-downs or reserves with respect to accounts or inventory) for such period,</w:t>
      </w:r>
    </w:p>
    <w:p>
      <w:pPr>
        <w:spacing w:after="0" w:line="17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Board Fees paid or accrued for such period,</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paid in connection with Permitted Acquisitions (whether or not consummated) in an aggregate amount not to exceed $1,000,000 in any twelve-month period (or such higher amount as approved by Required Lenders in their reasonable discretion),</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growth related costs and expenses or (ii) non-recurring costs, charges and expenses including in connection with (A) severance, (B) restructuring or integration (including reduction in force), (C) senior executive recruiting (including recruiting fees, signing costs, retention or completion bonuses and transition costs) and (D) office closures, relocation costs, facilities start-up costs, etc., in an aggregate amount for sub-clauses (i) and (ii) of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not to exceed $1,000,000 for any twelve-month period,</w:t>
      </w:r>
    </w:p>
    <w:p>
      <w:pPr>
        <w:spacing w:after="0" w:line="17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earnout obligations paid or accrued with respect to Permitted Acquisitions,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under the Loan Documents paid to Agent and Lenders,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costs or non-cash expenses incurred pursuant to any management equity plan, stock option plan or any other management or employee benefit plan, agreement or any stock subscription or shareholder agreement,</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charges or losses to the extent covered by insurance that are, directly or indirectly, reimbursed or (or reasonably expected to be reimbursed) by a third party, and any expenses, charges or losses that are covered by indemnification or other reimbursement provisions to the extent that such amount is in fact reimbursed within 180 days of the date of such determination; provided, that (x) if any amount reasonably expected to be reimbursed and added back in a period is not received within such 180 day period, such charges, expenses or losses shall be subtracted in the subsequent calculation period, and (y) in the case of any amount reasonably expected to be reimbursed and added back prior to receipt thereof, if actually reimbursed or received in a subsequent period, such amount shall not be added back in calculating Consolidated EBITDA in such subsequent period (and, to the extent included in Consolidated Net Income, shall be subtracted),</w:t>
      </w:r>
    </w:p>
    <w:p>
      <w:pPr>
        <w:spacing w:after="0" w:line="189" w:lineRule="exact"/>
        <w:rPr>
          <w:sz w:val="20"/>
          <w:szCs w:val="20"/>
          <w:color w:val="auto"/>
        </w:rPr>
      </w:pPr>
    </w:p>
    <w:p>
      <w:pPr>
        <w:ind w:left="4244"/>
        <w:spacing w:after="0"/>
        <w:rPr>
          <w:sz w:val="20"/>
          <w:szCs w:val="20"/>
          <w:color w:val="auto"/>
        </w:rPr>
      </w:pPr>
      <w:r>
        <w:rPr>
          <w:rFonts w:ascii="Times New Roman" w:cs="Times New Roman" w:eastAsia="Times New Roman" w:hAnsi="Times New Roman"/>
          <w:sz w:val="18"/>
          <w:szCs w:val="18"/>
          <w:color w:val="auto"/>
        </w:rPr>
        <w:t>SCHEDULE 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70" w:name="page171"/>
    <w:bookmarkEnd w:id="170"/>
    <w:p>
      <w:pPr>
        <w:ind w:left="980" w:hanging="324"/>
        <w:spacing w:after="0"/>
        <w:tabs>
          <w:tab w:leader="none" w:pos="98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for goodwill write offs and write downs,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312" w:lineRule="auto"/>
        <w:tabs>
          <w:tab w:leader="none" w:pos="98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extraordinary, unusual or non-recurring cash charges or expenses incurred outside the ordinary course of business, provided that the aggregate amount added shall not exceed 10% of Consolidated EBITDA (determined prior to giving effect to such add-backs) for such period,</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addbacks, if any, mutually agreed to by Required Lenders and Borrower in writing,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subtracting therefrom the aggregate amount of all non-cash items increasing Consolidated Net Income (including for certainty all unrealized foreign exchange gains but excluding the accrual of revenue or recording of receivables in the ordinary course of business) for such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EBITDA shall be calculated on a Pro Forma Basis to give effect to any Asset Sales (other than any dispositions in the ordinary course of business) or Permitted Acquisitions consummated at any time on or after the first day of the measuring period and prior to the date of determination as if each such Asset Sale or Permitted Acquisition had been consummated on the day prior to the first day of such period.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the foregoing, for each of the calendar months set forth below, EBITDA shall be deemed to be the amount set forth below for such calendar month:</w:t>
      </w:r>
    </w:p>
    <w:p>
      <w:pPr>
        <w:spacing w:after="0" w:line="148"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30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Month Adjusted</w:t>
            </w:r>
          </w:p>
        </w:tc>
        <w:tc>
          <w:tcPr>
            <w:tcW w:w="840" w:type="dxa"/>
            <w:vAlign w:val="bottom"/>
          </w:tcPr>
          <w:p>
            <w:pPr>
              <w:spacing w:after="0"/>
              <w:rPr>
                <w:sz w:val="17"/>
                <w:szCs w:val="17"/>
                <w:color w:val="auto"/>
              </w:rPr>
            </w:pPr>
          </w:p>
        </w:tc>
      </w:tr>
      <w:tr>
        <w:trPr>
          <w:trHeight w:val="196"/>
        </w:trPr>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Ended EBITDA</w:t>
            </w: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7"/>
        </w:trPr>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2022</w:t>
            </w:r>
          </w:p>
        </w:tc>
        <w:tc>
          <w:tcPr>
            <w:tcW w:w="3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(287,000)</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2022</w:t>
            </w:r>
          </w:p>
        </w:tc>
        <w:tc>
          <w:tcPr>
            <w:tcW w:w="3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(271,000)</w:t>
            </w: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3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(159,000)</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April 30, 2022</w:t>
            </w:r>
          </w:p>
        </w:tc>
        <w:tc>
          <w:tcPr>
            <w:tcW w:w="3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(214,000)</w:t>
            </w: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2022</w:t>
            </w:r>
          </w:p>
        </w:tc>
        <w:tc>
          <w:tcPr>
            <w:tcW w:w="3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3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577,000</w:t>
            </w: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2022</w:t>
            </w:r>
          </w:p>
        </w:tc>
        <w:tc>
          <w:tcPr>
            <w:tcW w:w="3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1" w:name="page172"/>
    <w:bookmarkEnd w:id="171"/>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Fixed Charges</w:t>
      </w:r>
      <w:r>
        <w:rPr>
          <w:rFonts w:ascii="Times New Roman" w:cs="Times New Roman" w:eastAsia="Times New Roman" w:hAnsi="Times New Roman"/>
          <w:sz w:val="18"/>
          <w:szCs w:val="18"/>
          <w:color w:val="auto"/>
        </w:rPr>
        <w:t xml:space="preserve">” means, for any period, the sum, without duplication, of (a) Consolidated Interest Expense, (b) Permitted Board Fees to the extent paid in cash, (c) United States, state, local and foreign income taxes, in each case, paid in cash and (d) the aggregate amount of scheduled principal payments in respect of Indebtedness, including that portion of rental payments with respect to Capital Leases which is or should be applied as a reduction to the principal of such Capital Leases, determined on a consolidated basis for the Credit Parties and their respective Subsidiaries in conformity with GAAP. Notwithstanding the foregoing, for all testing periods ending on or before the one (1) year anniversary of the Closing Date, the amounts set forth in clauses (a), (b) and (d) of this definition shall be calculated by multiplying the actual amounts of such Consolidated Interest Expense, Permitted Board Fees and principal payments since the Closing Date by (x) 360,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(y) the number of days elapsed from the Closing Date until applicable the date of determination.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Indebtedness</w:t>
      </w:r>
      <w:r>
        <w:rPr>
          <w:rFonts w:ascii="Times New Roman" w:cs="Times New Roman" w:eastAsia="Times New Roman" w:hAnsi="Times New Roman"/>
          <w:sz w:val="18"/>
          <w:szCs w:val="18"/>
          <w:color w:val="auto"/>
        </w:rPr>
        <w:t>” shall mean, as at any date of determination, the aggregate amount of all Indebtedness of the Credit Parties described in clauses (a), (b), (g), (i), (j) (to the extent such reimbursement obligations are actually due and payable), (l) and (m) of the definition of Indebtedness, determined on a consolidated basis in accordance with GAAP, in each case, except to the extent constituting Subordinated Debt; provided, however, that any earnout payments pursuant to a Permitted Acquisition shall only constitute Consolidated Indebtedness to the extent the conditions to payment of such earnout have been satisfied.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xml:space="preserve">” shall mean, for any period, the total consolidated interest expense of the Credit Parties for such period determined on a consolidated basis in accordance with GAAP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without duplication:</w:t>
      </w:r>
    </w:p>
    <w:p>
      <w:pPr>
        <w:spacing w:after="0" w:line="159" w:lineRule="exact"/>
        <w:rPr>
          <w:sz w:val="20"/>
          <w:szCs w:val="20"/>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imputed interest on Capital Lease Obligations and Attributable Indebtedness of the Credit Parties for such period;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discounts and other fees and charges owed by any Credit Party with respect to letters of credit securing financial obligations, bankers’ acceptance financing and receivables financings for such period;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issuance costs, debt discount or premium and other financing fees and expenses incurred by any Credit Party for such period;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contributions to any employee stock ownership plan or similar trust made by any Credit Party to the extent such contributions are used by such plan or trust to pay interest or fees to any Person (other than interest paid to Holdings or a wholly-owned Subsidiary of Holdings) in connection with Indebtedness incurred by such plan or trust for such period;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paid or payable with respect to discontinued operations of any Credit Party for such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portion of any deferred payment obligations of any Credit Party for such period;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on any Indebtedness of the Credit Parties of the type described in clause (f) or (k) of the definition of “Indebtedness” for such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Consolidated Interest Expense shall be calculated on a Pro Forma Basis to give effect to 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Indebtedness (other than Indebtedness incurred for ordinary course working capital needs under ordinary course revolving credit facilities) incurred, assumed or permanently repaid or extinguished at any time on or after the first day of the measuring period and prior to the date of determination in connection with any Permitted Acquisitions and Asset Sales (other than any dispositions in the ordinary course of business) as if such incurrence, assumption, repayment or extinguishing had been effected on the first day of such period.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shall mean, for any period, the consolidated net income (or loss) of the Credit Parties determined on a consolidated basis in accordance with GAAP; provided that there shall be excluded from such net income (to the extent otherwise included therein), without duplication:</w:t>
      </w:r>
    </w:p>
    <w:p>
      <w:pPr>
        <w:spacing w:after="0" w:line="159" w:lineRule="exact"/>
        <w:rPr>
          <w:sz w:val="20"/>
          <w:szCs w:val="20"/>
          <w:color w:val="auto"/>
        </w:rPr>
      </w:pPr>
    </w:p>
    <w:p>
      <w:pPr>
        <w:jc w:val="both"/>
        <w:ind w:left="980" w:hanging="324"/>
        <w:spacing w:after="0" w:line="266" w:lineRule="auto"/>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(or loss) of any Person (other than a Subsidiary of Holdings) in which any Person other than Holdings and its Subsidiaries has an ownership interest, except to the extent that cash in an amount equal to any such income has actually been received by the Credit Parties or (subject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any of their Subsidiaries during such period;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Subsidiary of Holdings (other than a Credit Party) during such period to the extent that the declaration or payment of dividends or similar distributions by such Subsidiary of that income is not permitted by operation of the terms of its Organizational Documents or any agreement, instrument or Requirement of Law applicable to that Subsidiary during such period, except that any Credit Party’s equity in net loss of any such Subsidiary for such period shall be included in determining Consolidated Net Income except to the extent that cash in an amount equal to any such income has actually been received by the Credit Parties during such period; and</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due solely to fluctuations in currency values and the related tax effects determined in accordance with GAAP for such period.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Tax Expense</w:t>
      </w:r>
      <w:r>
        <w:rPr>
          <w:rFonts w:ascii="Times New Roman" w:cs="Times New Roman" w:eastAsia="Times New Roman" w:hAnsi="Times New Roman"/>
          <w:sz w:val="18"/>
          <w:szCs w:val="18"/>
          <w:color w:val="auto"/>
        </w:rPr>
        <w:t>” shall mean, for any period, the tax expense of the Credit Parties, for such period, determined on a consolidated basis in accordance with GAAP.</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Working Capital</w:t>
      </w:r>
      <w:r>
        <w:rPr>
          <w:rFonts w:ascii="Times New Roman" w:cs="Times New Roman" w:eastAsia="Times New Roman" w:hAnsi="Times New Roman"/>
          <w:sz w:val="18"/>
          <w:szCs w:val="18"/>
          <w:color w:val="auto"/>
        </w:rPr>
        <w:t>” means, as of any date of determination, the excess of consolidated current assets over consolidated current liabilities (other than the current portion of the Term Loan).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3" w:name="page174"/>
    <w:bookmarkEnd w:id="173"/>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shall mean, as to any person, any obligation, agreement, understanding or arrangement of such person guaranteeing or intended to guarantee any Indebtedness, leases, dividends or other obligations (“primary obligations”) of any other person (the “primary obligor”)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w:t>
      </w:r>
    </w:p>
    <w:p>
      <w:pPr>
        <w:spacing w:after="0" w:line="3" w:lineRule="exact"/>
        <w:rPr>
          <w:sz w:val="20"/>
          <w:szCs w:val="20"/>
          <w:color w:val="auto"/>
        </w:rPr>
      </w:pPr>
    </w:p>
    <w:p>
      <w:pPr>
        <w:jc w:val="both"/>
        <w:ind w:firstLine="8"/>
        <w:spacing w:after="0" w:line="251" w:lineRule="auto"/>
        <w:tabs>
          <w:tab w:leader="none" w:pos="27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(d) with respect to bankers’ acceptances, letters of credit and similar credit arrangements, until a reimbursement obligation arises (which reimbursement obligation shall constitute Indebtedness); or (e) otherwise to assure or hold harmless the holder of such primary obligation against loss in respect thereof; provided, however, that the term “Contingent Obligation” shall not include endorsements of instruments for deposit or collection in the ordinary course of business or any product warranties.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whether singly or jointly, pursuant to the terms of the instrument evidencing such Contingent Obligation) or, if not stated or determinable, the maximum reasonably anticipated liability in respect thereof (assuming such person is required to perform thereunder) as determined by such person in good faith.</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means a deposit account control agreement and/or lock box agreement among Agent, any financial institution at which a Blocked Account is maintained, and the applicable Credit Party, which shall provide, among other things, that such financial institution executing such agreement has no rights of setoff or recoupment or any other claim against such Blocked Account other than for payment of its service fees and other charges directly related to the administration of such account, and shall give the Agent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of such Blocked Account as such term is defined in Section 9-104 of the Code.</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shall mean all of the following now owned or hereafter adopted or acquired by any Person: (i) all copyrights in any original work of authorship fixed in any tangible medium of expression, now known or later developed, all registrations and applications for registration of any such copyrights in the United States or any other country, including registrations, recordings and applications, and supplemental registrations, recordings, and applications in the United States Copyright Office; and (ii) all Proceeds of the foregoing, including license royalties and proceeds of infringement suits, the right to sue for past, present and future infringements, all rights corresponding thereto throughout the world and all renewals and extensions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Parties</w:t>
      </w:r>
      <w:r>
        <w:rPr>
          <w:rFonts w:ascii="Times New Roman" w:cs="Times New Roman" w:eastAsia="Times New Roman" w:hAnsi="Times New Roman"/>
          <w:sz w:val="18"/>
          <w:szCs w:val="18"/>
          <w:color w:val="auto"/>
        </w:rPr>
        <w:t>” means the Borrower and the Guarantors.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Issuance</w:t>
      </w:r>
      <w:r>
        <w:rPr>
          <w:rFonts w:ascii="Times New Roman" w:cs="Times New Roman" w:eastAsia="Times New Roman" w:hAnsi="Times New Roman"/>
          <w:sz w:val="18"/>
          <w:szCs w:val="18"/>
          <w:color w:val="auto"/>
        </w:rPr>
        <w:t xml:space="preserve">” shall mean the incurrence by any Credit Party of any Indebtedness after the Closing Date (other than as permitted by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of Default or any event that, with the passage of time or notice or both, would, unless cured or waived, become an Event of Default.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Person</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3.22(a)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4" w:name="page175"/>
    <w:bookmarkEnd w:id="174"/>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Capital Stock</w:t>
      </w:r>
      <w:r>
        <w:rPr>
          <w:rFonts w:ascii="Times New Roman" w:cs="Times New Roman" w:eastAsia="Times New Roman" w:hAnsi="Times New Roman"/>
          <w:sz w:val="18"/>
          <w:szCs w:val="18"/>
          <w:color w:val="auto"/>
        </w:rPr>
        <w:t>” shall mean any Equity Interest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prior to one hundred eighty (180) days after the Maturity Date, (b) is convertible into or exchangeable (unless at the sole option of the issuer thereof) for (i) debt securities or (ii) any Equity Interests referred to in (a) above, in each case at any time prior to one hundred eighty (180) days after the Maturity Date, or (c) contains any repurchase obligation which may come into effect prior to payment in full of all Obligations; provided, however, that any Equity Interests that would not constitute Disqualified Capital Stock but for provisions thereof giving holders thereof (or the holders of any security into or for which such Equity Interests is convertible, exchangeable or exercisable) the right to require the issuer thereof to redeem such Equity Interests upon the occurrence of a change in control or an asset sale occurring shall not constitute Disqualified Capital Stock.</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Lender</w:t>
      </w:r>
      <w:r>
        <w:rPr>
          <w:rFonts w:ascii="Times New Roman" w:cs="Times New Roman" w:eastAsia="Times New Roman" w:hAnsi="Times New Roman"/>
          <w:sz w:val="18"/>
          <w:szCs w:val="18"/>
          <w:color w:val="auto"/>
        </w:rPr>
        <w:t>” means each Person identified on Disclosure Schedule (8(a)) and its Affiliates reasonably identifiable by name, as reasonably updated by the Borrower in consultation with Agent and the Required Lender from time to time.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shall mean, collectively, with respect to each Credit Party, all dividends, cash, options, warrants, rights, instruments, distributions, returns of capital or principal, income, interest, profits and other property, interests (debt or equity), or proceeds, including as a result of a split, revision, reclassification or other like change of the Pledged Securities, from time to time received, receivable or otherwise distributed to such Credit Party in respect of or in exchange for any or all of the Pledged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lawful currency of the United States of America. “</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any Subsidiary that is not a Foreign Subsidiary.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shall mean (a) a commercial bank organized under the laws of the United States, or any state thereof, and having a combined capital and surplus of at least $100,000,000; (b) a commercial bank organized under the laws of any other country which is a member of the Organization for Economic Cooperation and Development (the “</w:t>
      </w:r>
      <w:r>
        <w:rPr>
          <w:rFonts w:ascii="Times New Roman" w:cs="Times New Roman" w:eastAsia="Times New Roman" w:hAnsi="Times New Roman"/>
          <w:sz w:val="18"/>
          <w:szCs w:val="18"/>
          <w:u w:val="single" w:color="auto"/>
          <w:color w:val="auto"/>
        </w:rPr>
        <w:t>OECD</w:t>
      </w:r>
      <w:r>
        <w:rPr>
          <w:rFonts w:ascii="Times New Roman" w:cs="Times New Roman" w:eastAsia="Times New Roman" w:hAnsi="Times New Roman"/>
          <w:sz w:val="18"/>
          <w:szCs w:val="18"/>
          <w:color w:val="auto"/>
        </w:rPr>
        <w:t>”), or a political subdivision of any such country, and having a combined capital and surplus of at least $100,000,000, provided that such bank is acting through a branch or agency located in the country in which it is organized or another country which is also a member of the OECD; (c) any nationally recognized financial institution or any other entity which is an “accredited investor” (as defined in Regulation D under the U.S. Securities Act of 1933) which extends credit or buys loans as one of its businesses, including but not limited to commercial finance companies, insurance companies, mutual funds and lease financing companies; (d) a Lender or Related Fund; and (e) a Person that is primarily engaged in the business of lending that is (i) a Subsidiary of a Lender, (ii) a Subsidiary of a Person of which a Lender is a Subsidiary or (iii) a Person of which a Lender is a Subsidiary; provided, however, that notwithstanding the foregoing, none of the following shall be Eligible Assignees: (i) Holdings, Borrower or any of their respective Affiliates or Subsidiaries; or (ii) any holder of Subordinated Debt.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5" w:name="page176"/>
    <w:bookmarkEnd w:id="175"/>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Embargoed Person</w:t>
      </w:r>
      <w:r>
        <w:rPr>
          <w:rFonts w:ascii="Times New Roman" w:cs="Times New Roman" w:eastAsia="Times New Roman" w:hAnsi="Times New Roman"/>
          <w:sz w:val="18"/>
          <w:szCs w:val="18"/>
          <w:color w:val="auto"/>
        </w:rPr>
        <w:t>” means any party that (i) is publicly identified on the most current list of “Specially Designated Nationals and Blocked Persons” published by the OFAC or resides, is organized or chartered in a country or territory subject to OFAC sanctions or embargo programs or (x) is publicly identified as prohibited from doing business with the United States under the International Emergency Economic Powers Act, the Trading With the Enemy Act, or any other Requirement of Law.</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Federal, state and local laws, statutes, ordinances and regulations, now or hereafter in effect, and any applicable judicial or administrative interpretation thereof relating to the regulation and protection of human health, safety, the environment and natural resources (including ambient air, surface water, groundwater, wetlands, land surface or subsurface strata, wildlife, aquatic species and vegetation).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Liabilities</w:t>
      </w:r>
      <w:r>
        <w:rPr>
          <w:rFonts w:ascii="Times New Roman" w:cs="Times New Roman" w:eastAsia="Times New Roman" w:hAnsi="Times New Roman"/>
          <w:sz w:val="18"/>
          <w:szCs w:val="18"/>
          <w:color w:val="auto"/>
        </w:rPr>
        <w:t>” means all liabilities, obligations, responsibilities, remedial actions, removal costs, losses, damages of whatever nature, costs and expenses (including all reasonable fees, disbursements and expenses of counsel, experts and consultants and costs of investigation and feasibility studies), fines, penalties, sanctions and interest incurred as a result of any claim, suit, action or demand of whatever nature by any Person and which relate to any health, safety or other condition regulated under any Environmental Law, environmental permits, Permit from or law or regulation of, any Governmental Authority setting standards concerning social, governance, labor, health and safety or security risks or in connection with any Release, threatened Release, or the presence of a Hazardous Material.</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shall mean,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whether outstanding on the date hereof or issued after the Closing Date, but excluding debt securities convertible or exchangeable into such equity.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w:t>
      </w:r>
      <w:r>
        <w:rPr>
          <w:rFonts w:ascii="Times New Roman" w:cs="Times New Roman" w:eastAsia="Times New Roman" w:hAnsi="Times New Roman"/>
          <w:sz w:val="18"/>
          <w:szCs w:val="18"/>
          <w:color w:val="auto"/>
        </w:rPr>
        <w:t>” shall mean, without duplication, (i) any issuance or sale by Holdings after the Closing Date of any Equity Interests in Holdings (including any Equity Interests issued upon exercise of any warrant or option) or any warrants or options to purchase Equity Interests or (ii) any contribution to the capital of Holdings.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means the Employee Retirement Income Security Act of 1974 (or any successor legislation thereto), and any regulations promulgated thereunder.</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any trade or business (whether or not incorporated) that, together with any Credit Party, is treated as a single employer under Section 414(b), (c), (m) or (o) of the IRC, or, solely for the purposes of Section 302 of ERISA and Section 412 of the IRC, is treated as a single employer under Section 414 of the IRC.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6" w:name="page177"/>
    <w:bookmarkEnd w:id="176"/>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shall mean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IRC or Section 302 of ERISA), whether or not waived; (c) the filing pursuant to Section 412(b) of the IRC or Section 303(d) of ERISA of an application for a waiver of the minimum funding standard with respect to any Plan; (d) the incurrence by any Credit Party or any ERISA Affiliate of any liability under Title IV of ERISA with respect to the termination of any Plan; (e) the receipt by any Credit Party or any ERISA Affiliate from the PBGC or a plan administrator of any notice relating to an intention to terminate any Plan or to appoint a trustee to administer any Plan; (f) the incurrence by any Credit Party or any ERISA Affiliate of any liability with respect to any withdrawal or partial withdrawal from any Plan or Multiemployer Plan; or (g) the receipt by any Credit Party or any ERISA Affiliate of any notice, or the receipt by any Multiemployer Plan from any Credit Party or any ERISA Affiliate of any notice, concerning the imposition of Withdrawal Liability or a determination that a Multiemployer Plan is, or is expected to be, insolvent or in reorganization, within the meaning of Title IV of ERISA.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is an acronym that means environmental, social and governance.</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 Data</w:t>
      </w:r>
      <w:r>
        <w:rPr>
          <w:rFonts w:ascii="Times New Roman" w:cs="Times New Roman" w:eastAsia="Times New Roman" w:hAnsi="Times New Roman"/>
          <w:sz w:val="18"/>
          <w:szCs w:val="18"/>
          <w:color w:val="auto"/>
        </w:rPr>
        <w:t>” means, with respect to any Person, data (which may include qualitative and quantitative data) relating to ESG performance metrics, environmental, impacts and other ESG attributes of such Person, their assets and/or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“Excess Cash Flow” </w:t>
      </w:r>
      <w:r>
        <w:rPr>
          <w:rFonts w:ascii="Times New Roman" w:cs="Times New Roman" w:eastAsia="Times New Roman" w:hAnsi="Times New Roman"/>
          <w:sz w:val="18"/>
          <w:szCs w:val="18"/>
          <w:color w:val="auto"/>
        </w:rPr>
        <w:t>means, with respect to any period,</w:t>
      </w:r>
    </w:p>
    <w:p>
      <w:pPr>
        <w:spacing w:after="0" w:line="229" w:lineRule="exact"/>
        <w:rPr>
          <w:sz w:val="20"/>
          <w:szCs w:val="20"/>
          <w:color w:val="auto"/>
        </w:rPr>
      </w:pPr>
    </w:p>
    <w:p>
      <w:pPr>
        <w:ind w:left="980" w:hanging="324"/>
        <w:spacing w:after="0"/>
        <w:tabs>
          <w:tab w:leader="none" w:pos="9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(without duplication)</w:t>
      </w:r>
    </w:p>
    <w:p>
      <w:pPr>
        <w:spacing w:after="0" w:line="22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during such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Expense for such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Amortization Expense for such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Depreciation Expense for such period, </w:t>
      </w:r>
      <w:r>
        <w:rPr>
          <w:rFonts w:ascii="Times New Roman" w:cs="Times New Roman" w:eastAsia="Times New Roman" w:hAnsi="Times New Roman"/>
          <w:sz w:val="18"/>
          <w:szCs w:val="18"/>
          <w:i w:val="1"/>
          <w:iCs w:val="1"/>
          <w:color w:val="auto"/>
        </w:rPr>
        <w:t>plus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Tax Expense for such period to the extent not paid for in cash,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other non-cash charges, expenses or losses reducing Consolidated Net Income (including for certainty all unrealized foreign exchange losses but excluding any non-cash charge, expense or loss that results in an accrual of a reserve for cash charges in any future period and any non-cash charge, expense or loss relating to write-offs, write-downs or reserves with respect to accounts or inventory) for such period, </w:t>
      </w:r>
      <w:r>
        <w:rPr>
          <w:rFonts w:ascii="Times New Roman" w:cs="Times New Roman" w:eastAsia="Times New Roman" w:hAnsi="Times New Roman"/>
          <w:sz w:val="18"/>
          <w:szCs w:val="18"/>
          <w:i w:val="1"/>
          <w:iCs w:val="1"/>
          <w:color w:val="auto"/>
        </w:rPr>
        <w:t>plus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7" w:name="page178"/>
    <w:bookmarkEnd w:id="177"/>
    <w:p>
      <w:pPr>
        <w:ind w:left="1300" w:hanging="323"/>
        <w:spacing w:after="0" w:line="282" w:lineRule="auto"/>
        <w:rPr>
          <w:sz w:val="20"/>
          <w:szCs w:val="20"/>
          <w:color w:val="auto"/>
        </w:rPr>
      </w:pPr>
      <w:r>
        <w:rPr>
          <w:rFonts w:ascii="Times New Roman" w:cs="Times New Roman" w:eastAsia="Times New Roman" w:hAnsi="Times New Roman"/>
          <w:sz w:val="18"/>
          <w:szCs w:val="18"/>
          <w:color w:val="auto"/>
        </w:rPr>
        <w:t xml:space="preserve">(vii)decreases in Consolidated Working Capital during such period (exclusive of current liabilities related to the Term Loans during such period solely to the extent captured in clause (b)(ii) of this definition), </w:t>
      </w:r>
      <w:r>
        <w:rPr>
          <w:rFonts w:ascii="Times New Roman" w:cs="Times New Roman" w:eastAsia="Times New Roman" w:hAnsi="Times New Roman"/>
          <w:sz w:val="18"/>
          <w:szCs w:val="18"/>
          <w:i w:val="1"/>
          <w:iCs w:val="1"/>
          <w:color w:val="auto"/>
        </w:rPr>
        <w:t>less</w:t>
      </w:r>
    </w:p>
    <w:p>
      <w:pPr>
        <w:spacing w:after="0" w:line="162" w:lineRule="exact"/>
        <w:rPr>
          <w:sz w:val="20"/>
          <w:szCs w:val="20"/>
          <w:color w:val="auto"/>
        </w:rPr>
      </w:pPr>
    </w:p>
    <w:p>
      <w:pPr>
        <w:ind w:left="980" w:hanging="324"/>
        <w:spacing w:after="0"/>
        <w:tabs>
          <w:tab w:leader="none" w:pos="9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(without duplication),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Expenditures (excluding any Capital Expenditures financed by the incurrence of Indebtedness permitted under this Agreement and excluding any Capital Expenditures in any Fiscal Year to the extent in excess of the amount permitted to be made in such Fiscal Year pursuant to the Loan Documents), </w:t>
      </w:r>
      <w:r>
        <w:rPr>
          <w:rFonts w:ascii="Times New Roman" w:cs="Times New Roman" w:eastAsia="Times New Roman" w:hAnsi="Times New Roman"/>
          <w:sz w:val="18"/>
          <w:szCs w:val="18"/>
          <w:i w:val="1"/>
          <w:iCs w:val="1"/>
          <w:color w:val="auto"/>
        </w:rPr>
        <w:t>plus</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7"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expense paid or accrued (excluding any original issue discount, interest paid in kind or amortized debt discount, to the extent included in determining interest expense) and scheduled principal payments paid or payable in respect of funded debt, </w:t>
      </w:r>
      <w:r>
        <w:rPr>
          <w:rFonts w:ascii="Times New Roman" w:cs="Times New Roman" w:eastAsia="Times New Roman" w:hAnsi="Times New Roman"/>
          <w:sz w:val="18"/>
          <w:szCs w:val="18"/>
          <w:i w:val="1"/>
          <w:iCs w:val="1"/>
          <w:color w:val="auto"/>
        </w:rPr>
        <w:t>plus</w:t>
      </w:r>
    </w:p>
    <w:p>
      <w:pPr>
        <w:spacing w:after="0" w:line="15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income and franchise taxes of Credit Parties that were paid in cash,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ind w:left="660" w:firstLine="644"/>
        <w:spacing w:after="0" w:line="282" w:lineRule="auto"/>
        <w:tabs>
          <w:tab w:leader="none" w:pos="1617"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increases in Consolidated Working Capital (exclusive of current liabilities related to the Term Loans during such period solely to the extent captured in clause (b)(ii) of this definition) during such period,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included in the calculation of Consolidated Net Income, the proceeds of grants from any Governmental Authority (less any costs and expenses incurred by the Credit Parties associated with carrying out the project for which such grant was made); provided such proceeds are used for the purpose to which they are earmarked pursuant to such grants, </w:t>
      </w:r>
      <w:r>
        <w:rPr>
          <w:rFonts w:ascii="Times New Roman" w:cs="Times New Roman" w:eastAsia="Times New Roman" w:hAnsi="Times New Roman"/>
          <w:sz w:val="18"/>
          <w:szCs w:val="18"/>
          <w:i w:val="1"/>
          <w:iCs w:val="1"/>
          <w:color w:val="auto"/>
        </w:rPr>
        <w:t>plus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2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other non-cash gains increasing Consolidated Net Income (including for certainty all unrealized foreign exchange gains) for such period.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minus </w:t>
      </w:r>
      <w:r>
        <w:rPr>
          <w:rFonts w:ascii="Times New Roman" w:cs="Times New Roman" w:eastAsia="Times New Roman" w:hAnsi="Times New Roman"/>
          <w:sz w:val="18"/>
          <w:szCs w:val="18"/>
          <w:color w:val="auto"/>
        </w:rPr>
        <w:t>(as the case may be),</w:t>
      </w:r>
    </w:p>
    <w:p>
      <w:pPr>
        <w:spacing w:after="0" w:line="227" w:lineRule="exact"/>
        <w:rPr>
          <w:sz w:val="20"/>
          <w:szCs w:val="20"/>
          <w:color w:val="auto"/>
        </w:rPr>
      </w:pPr>
    </w:p>
    <w:p>
      <w:pPr>
        <w:ind w:left="980" w:hanging="324"/>
        <w:spacing w:after="0" w:line="282" w:lineRule="auto"/>
        <w:tabs>
          <w:tab w:leader="none" w:pos="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any adjustment under clause (a) or (b) above, any extraordinary gains (or extraordinary loss) for such period which are cash items not included in the calculation of Consolidated Net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 Certificate</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means, collectively, (a) payroll and other employee wage and benefit accounts, (b) tax accounts, including sales tax accounts, (c) petty cash accounts funded in the ordinary course of business to the extent the average balance on deposit among all such accounts does not exceed $250,000 in the aggregate, (d) escrow, fiduciary or trust accounts, (e) cash collateral accounts holding solely deposits subject to permitted liens, (f) zero balance disbursement accounts to the extent amounts therein are automatically transferred on a daily basis to accounts that are not Excluded Accounts, and</w:t>
      </w:r>
    </w:p>
    <w:p>
      <w:pPr>
        <w:spacing w:after="0" w:line="3" w:lineRule="exact"/>
        <w:rPr>
          <w:sz w:val="20"/>
          <w:szCs w:val="20"/>
          <w:color w:val="auto"/>
        </w:rPr>
      </w:pPr>
    </w:p>
    <w:p>
      <w:pPr>
        <w:ind w:left="4900" w:right="1160" w:hanging="4892"/>
        <w:spacing w:after="0" w:line="511" w:lineRule="auto"/>
        <w:tabs>
          <w:tab w:leader="none" w:pos="26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bank accounts to the extent the balance on deposit therein among all such accounts does not exceed $100,000 in the aggregate. SCHEDULE A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8" w:name="page179"/>
    <w:bookmarkEnd w:id="178"/>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Perfection Actions</w:t>
      </w:r>
      <w:r>
        <w:rPr>
          <w:rFonts w:ascii="Times New Roman" w:cs="Times New Roman" w:eastAsia="Times New Roman" w:hAnsi="Times New Roman"/>
          <w:sz w:val="18"/>
          <w:szCs w:val="18"/>
          <w:color w:val="auto"/>
        </w:rPr>
        <w:t>” means, collectively, (a) any filings or other actions in any jurisdiction outside of the United States or required by the Requirements of Law of any jurisdiction outside of the United States (including any execution or delivery of any security or pledge agreement governed by the laws of any jurisdiction outside of the United States) to create or perfect any security interest in assets, including any Intellectual Property registered in any jurisdiction outside of the United States, (b) the execution and delivery of Control Agreements with respect to Excluded Accounts, (c) any requirement to obtain landlord waivers, estoppels or collateral access letters for any location where any Grantor maintains Collateral having a value of less than $500,000, (d) perfection obtained through notation on a certificate of title with respect to any motor vehicle having a value of less than $500,000, (e) any action to perfect letter of credit rights, commercial tort claims, or instruments having a value of less than $500,000 except to the extent perfection can be obtained through the filing of Uniform Commercial Code financing statements, and (f) any other perfection action as to which the Agent and the Borrower reasonably determine that the costs of such perfection action with respect to such assets are excessive in relation to the value of the security or other benefit afforded thereby.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Property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 (a) any Foreign Subsidiary and (b) any Foreign Subsidiary Holdco.</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pursuant to a law in effect on the date on which (i) such Lender acquires such interest in the Loan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and (d) any withholding Taxes imposed under FATCA.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Orders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IRC, as of the date of this Agreement, any current or future regulations or official interpretations thereof, any agreements entered into pursuant to Section 1471(b)(1) of the IRC and any fiscal or regulatory legislation, rules or practices adopted pursuant to any intergovernmental agreement, treaty or convention among Governmental Authorities and implementing such Sections of the IRC.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3.22(e)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9" w:name="page180"/>
    <w:bookmarkEnd w:id="179"/>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means, for any day, the greater of (a) means, for any day, the rate per annum equal to the weighted average of the rates on overnight Federal funds transactions with members of the Federal Reserve System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quoted to the Agent by three major banks of recognized standing (as selected by the Agent) on such day on such transactions as determined by the Administrative Agent and (b) 0%.</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Bank of New York’s Website</w:t>
      </w:r>
      <w:r>
        <w:rPr>
          <w:rFonts w:ascii="Times New Roman" w:cs="Times New Roman" w:eastAsia="Times New Roman" w:hAnsi="Times New Roman"/>
          <w:sz w:val="18"/>
          <w:szCs w:val="18"/>
          <w:color w:val="auto"/>
        </w:rPr>
        <w:t>” means the website of the Federal Reserve Bank of New York at http://www.newyorkfed.org, or any successor source.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xml:space="preserve">” means any and all fees due to Agent as set forth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means, with respect to any Person, the income statement, balance sheet and statement of cash flows of such Person, prepared for the time period specified and prepared in accordance with GAAP setting forth in each case in comparative form the figures for such time period the previous year, certified by a Financial Officer as being fairly stated in all material respects.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Month</w:t>
      </w:r>
      <w:r>
        <w:rPr>
          <w:rFonts w:ascii="Times New Roman" w:cs="Times New Roman" w:eastAsia="Times New Roman" w:hAnsi="Times New Roman"/>
          <w:sz w:val="18"/>
          <w:szCs w:val="18"/>
          <w:color w:val="auto"/>
        </w:rPr>
        <w:t>” means any of the monthly accounting periods of Borrower. “</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any of the quarterly accounting periods of Borrower.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twelve (12) month period of Borrower ending December 31 of each year. Subsequent changes of the fiscal year of Borrower shall not change the term “Fiscal Year” unless Agent shall consent in writing to such change.</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 Coverage Ratio</w:t>
      </w:r>
      <w:r>
        <w:rPr>
          <w:rFonts w:ascii="Times New Roman" w:cs="Times New Roman" w:eastAsia="Times New Roman" w:hAnsi="Times New Roman"/>
          <w:sz w:val="18"/>
          <w:szCs w:val="18"/>
          <w:color w:val="auto"/>
        </w:rPr>
        <w:t xml:space="preserve">” means, with respect to any Person for any measuring period of four (4) Fiscal Quarters, the ratio of (a) (x) Consolidated EBITDA for such measuring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Capital Expenditures for such measuring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(z) Restricted Payments made during such measuring period (without duplication of any Restricted Payments that are scheduled principal payments made on account of Subordinated Debt which are included as “Consolidated Fixed Charges” pursuant to the definition thereof), to (b) Consolidated Fixed Charges for such measuring period. Notwithstanding the foregoing, for all testing periods ending on or before the one (1) year anniversary of the Closing Date, the amounts set forth in clause (a)(z) of this definition shall be calculated by multiplying (xx) the actual amounts of such Restricted Payments since the Closing Date by (yy) 360,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(zz) the number of days elapsed from the Closing Date until applicable the date of determination.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8(b)(ii)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 Subsidiary that is organized under the laws of a jurisdiction other than the United States or any state thereof or the District of Columbia or Canada or any province or territory thereof.</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 Holdco</w:t>
      </w:r>
      <w:r>
        <w:rPr>
          <w:rFonts w:ascii="Times New Roman" w:cs="Times New Roman" w:eastAsia="Times New Roman" w:hAnsi="Times New Roman"/>
          <w:sz w:val="18"/>
          <w:szCs w:val="18"/>
          <w:color w:val="auto"/>
        </w:rPr>
        <w:t>” means any direct or indirect Domestic Subsidiary if all of its assets (directly or through one or more disregarded entities) consist of Equity Interests in, and/or debt issued by, one or more (x) Foreign Subsidiaries and/or (y) other Foreign Subsidiary Holdcos.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consistently applied.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and any agency, department or other entity exercising executive, legislative, judicial, regulatory or administrative functions of or pertaining to government.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means Borrower, each Subsidiary Guarantor, and Holdings.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Indebtedness</w:t>
      </w:r>
      <w:r>
        <w:rPr>
          <w:rFonts w:ascii="Times New Roman" w:cs="Times New Roman" w:eastAsia="Times New Roman" w:hAnsi="Times New Roman"/>
          <w:sz w:val="18"/>
          <w:szCs w:val="18"/>
          <w:color w:val="auto"/>
        </w:rPr>
        <w:t>” means, as to any Person, any obligation of such Person guaranteeing any indebtedness, lease, dividend, or other obligation (“primary obligations”) of any other Person (the “primary obligor”) in any manner, including any obligation or arrangement of such guaranteeing Person (whether or not contingent): (i) to purchase or repurchase any such primary obligation; (ii) to advance or supply funds (a) for the purchase or payment of any such primary obligation or (b) to maintain working capital or equity capital of the primary obligor or otherwise to maintain the net worth or solvency or any balance sheet condition of the primary obligor; (iii) to purchase property, securities or services primarily for the purpose of assuring the owner of any such primary obligation of the ability of the primary obligor to make payment of such primary obligation; or (iv) to indemnify the owner of such primary obligation against loss in respect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xml:space="preserve">” shall mean the guarantees issued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by Holdings and the Subsidiary Guarantors.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means Holdings and the Subsidiary Guarantors.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means any substance, material or waste that is regulated by or forms the basis of liability now or hereafter under, any Environmental Law, including any material or substance that is (a) defined as a “solid waste,” “hazardous waste,” “hazardous material,” “hazardous substance,” “extremely hazardous waste,” “restricted hazardous waste,” “pollutant,” “contaminant,” “hazardous constituent,” “special waste,” “toxic substance” or other similar term or phrase under any Environmental Law, (b) petroleum or any fraction or by-product thereof, asbestos, polychlorinated biphenyls (PCBs), or any radioactive substance.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1" w:name="page182"/>
    <w:bookmarkEnd w:id="181"/>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Agreement</w:t>
      </w:r>
      <w:r>
        <w:rPr>
          <w:rFonts w:ascii="Times New Roman" w:cs="Times New Roman" w:eastAsia="Times New Roman" w:hAnsi="Times New Roman"/>
          <w:sz w:val="18"/>
          <w:szCs w:val="18"/>
          <w:color w:val="auto"/>
        </w:rPr>
        <w:t>” shall mean any swap, cap, collar, forward purchase or similar agreements or arrangements dealing with interest rates, currency exchange rates or commodity prices, either generally or under specific contingencies.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Obligations</w:t>
      </w:r>
      <w:r>
        <w:rPr>
          <w:rFonts w:ascii="Times New Roman" w:cs="Times New Roman" w:eastAsia="Times New Roman" w:hAnsi="Times New Roman"/>
          <w:sz w:val="18"/>
          <w:szCs w:val="18"/>
          <w:color w:val="auto"/>
        </w:rPr>
        <w:t>” shall mean obligations under or with respect to Hedging Agreements.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means the Persons identified as such in the preamble of this Agreement.</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shall mean, without duplication, (a) all obligations of such Person for borrowed money or advances; (b) all obligations of such Person evidenced by bonds, debentures, notes or similar instruments; (c) all obligations of such Person upon which interest charges are customarily paid or accrued (excluding interest penalties for late payments under commercial contracts entered into in the ordinary course of business and, for the avoidance of doubt, which commercial contracts do not relate to obligations for borrowed money or purchase money indebtedness); (d) all obligations of such Person under conditional sale or other title retention agreements relating to property purchased by such Person; (e) all obligations of such Person issued or assumed as the deferred purchase price of property or services (excluding trade accounts payable incurred in the ordinary course of business, on normal trade terms and not overdue by more than 120 days, deferred compensation and accrued obligations incurred in the ordinary course of business and royalty payments payable in the ordinary course of business in respect of licenses); (f) all Indebtedness of others secured by any Lien on property owned or acquired by such Person, whether or not the obligations secured thereby have been assumed, but limited to the fair market value of such property; (g) all Capital Lease Obligations and Purchase Money Obligations of such Person; (h) all Hedging Obligations to the extent required to be reflected on a balance sheet of such Person; (i) all Attributable Indebtedness of such Person; (j) all obligations of such Person for the reimbursement of any obligor in respect of letters of credit, letters of guarantee, bankers’ acceptances and similar credit transactions; (k) the principal balance outstanding under any synthetic lease, off-balance sheet loan or similar off-balance sheet financing product; (l) all non-contingent obligations to purchase, redeem, retire, defease or otherwise acquire for value any of its own Equity Interests (or any Equity Interests of a direct or indirect parent entity thereof) prior to the date that is 91 days after the Stated Maturity Date valued at, in the case of redeemable preferred Stock, the greater of the voluntary liquidation preference and the involuntary liquidation preference of such Stock plus accrued and unpaid dividends (excluding the obligation to redeem or repurchase such Stock upon the occurrence of a change in control if such Stock provides that the issuer thereof will not redeem or repurchase any such Stock pursuant to such provisions prior to the payment in full of all Obligations (other than any inchoate indemnification and expense reimbursement obligations for which no claim has been made); (m) earn-outs and similar payment obligations; and (n) all Contingent Obligations of such Person in respect of Indebtedness or obligations of others of the kinds referred to in clauses (a) through (m) above.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(other than in the case of general partner liability) to the extent that terms of such Indebtedness expressly provide that such Person is not liable therefor.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have the respective meanings assigned to them in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2" w:name="page183"/>
    <w:bookmarkEnd w:id="182"/>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Borrower under any Loan Document and (b) to the extent not otherwise described in (a), Other Taxes.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Commitment Parties</w:t>
      </w:r>
      <w:r>
        <w:rPr>
          <w:rFonts w:ascii="Times New Roman" w:cs="Times New Roman" w:eastAsia="Times New Roman" w:hAnsi="Times New Roman"/>
          <w:sz w:val="18"/>
          <w:szCs w:val="18"/>
          <w:color w:val="auto"/>
        </w:rPr>
        <w:t>” means EICF Agent LLC (together with any of its affiliates that may make the Term Loans on the Closing Date) and CCM Investments 5 LLC in their capacities as the “Initial Commitment Parties” (as defined under the Commitment Letter). Upon effectiveness of the assignment by the CCM Lender to BP Holdings XVII LP, Beach Point shall be deemed an “Initial Commitment Party” for all purposes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Transactions</w:t>
      </w:r>
      <w:r>
        <w:rPr>
          <w:rFonts w:ascii="Times New Roman" w:cs="Times New Roman" w:eastAsia="Times New Roman" w:hAnsi="Times New Roman"/>
          <w:sz w:val="18"/>
          <w:szCs w:val="18"/>
          <w:color w:val="auto"/>
        </w:rPr>
        <w:t>” has the meaning assigned to “Transactions” as defined in Exhibit A to the Commitment Letter.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Insurance Requirements</w:t>
      </w:r>
      <w:r>
        <w:rPr>
          <w:rFonts w:ascii="Times New Roman" w:cs="Times New Roman" w:eastAsia="Times New Roman" w:hAnsi="Times New Roman"/>
          <w:sz w:val="18"/>
          <w:szCs w:val="18"/>
          <w:color w:val="auto"/>
        </w:rPr>
        <w:t>” means, collectively, all provisions of the insurance policies, all requirements of the issuer of any of the insurance policies and all orders, rules, regulations and any other requirements of the National Board of Fire Underwriters (or any other body exercising similar functions) binding upon each Credit Party which is an owner of Mortgaged Property and applicable to the Mortgaged Property or any use or condition thereof.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any and all Licenses, Patents, Copyrights, Trademarks, and Trade Secrets.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 respectively, the Internal Revenue Code of 1986 and the Internal Revenue Service, and any successors thereto.</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 xml:space="preserve">” means each Joinder Agreement of a new Subsidiary (other than a Foreign Subsidiary) delivered to the Agent after the Closing Date in substantially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Sections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3.27(b)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 Arranger</w:t>
      </w:r>
      <w:r>
        <w:rPr>
          <w:rFonts w:ascii="Times New Roman" w:cs="Times New Roman" w:eastAsia="Times New Roman" w:hAnsi="Times New Roman"/>
          <w:sz w:val="18"/>
          <w:szCs w:val="18"/>
          <w:color w:val="auto"/>
        </w:rPr>
        <w:t>” means EICF Agent LLC in its capacity as the “Lead Arranger” (as defined under the Commitment Letter).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xml:space="preserve">” means each of those certain financial institutions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 and if at any time any Lender shall decide to assign all or any of the Obligations, such term shall include such assignee permitted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Fee Letter</w:t>
      </w:r>
      <w:r>
        <w:rPr>
          <w:rFonts w:ascii="Times New Roman" w:cs="Times New Roman" w:eastAsia="Times New Roman" w:hAnsi="Times New Roman"/>
          <w:sz w:val="18"/>
          <w:szCs w:val="18"/>
          <w:color w:val="auto"/>
        </w:rPr>
        <w:t>” has the meaning assigned to it in Section 1.6(a). “</w:t>
      </w:r>
      <w:r>
        <w:rPr>
          <w:rFonts w:ascii="Times New Roman" w:cs="Times New Roman" w:eastAsia="Times New Roman" w:hAnsi="Times New Roman"/>
          <w:sz w:val="18"/>
          <w:szCs w:val="18"/>
          <w:b w:val="1"/>
          <w:bCs w:val="1"/>
          <w:color w:val="auto"/>
        </w:rPr>
        <w:t>Lender Indemnified Person</w:t>
      </w:r>
      <w:r>
        <w:rPr>
          <w:rFonts w:ascii="Times New Roman" w:cs="Times New Roman" w:eastAsia="Times New Roman" w:hAnsi="Times New Roman"/>
          <w:sz w:val="18"/>
          <w:szCs w:val="18"/>
          <w:color w:val="auto"/>
        </w:rPr>
        <w:t>” has the meaning assigned to it in Section 1.10.</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all claims, actions, suits, judgments, damages, losses, liability,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3" w:name="page184"/>
    <w:bookmarkEnd w:id="183"/>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shall mean, with respect to each Grantor, all license and distribution agreements with, and covenants not to sue, any other party with respect to any Patent, Trademark, Trade Secret or Copyright, whether such Grantor is a licensor or licensee, distributor or distributee under any such license or distribution agreement, together with any and all (i) renewals, extensions, supplements, divisions, and continuations thereof, (ii) income, fees, royalties, damages, claims and payments now and hereafter due and/or payable thereunder and with respect thereto including damages and payments for past, present or future infringements or violations thereof, (iii) rights to sue for past, present and future infringements or violations thereof and (iv) other rights to use, exploit or practice any or all of the Patents, Trademarks, Trade Secrets or Copyrights.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security deed or deed of trust, pledge, hypothecation, collateral assignment, deposit arrangement, lien, charge, security interest, security title, easement or encumbrance, or preference, priority or other security agreement or preferential arrangement of any kind or nature whatsoever having the practical effect of creating a security interest (including any lease or title retention agreement, any financing lease having substantially the same economic effect as any of the foregoing, and the filing of, or agreement to give, any financing statement perfecting a security interest under the Code or comparable law of any jurisdiction).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means, as of any date of determination, the balance of unrestricted cash and Cash Equivalents of Credit Parties’ as of the last day of the Fiscal Month most recently ended, held in a deposit account that is subject to a Control Agreement in favor of Agent.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(Average)</w:t>
      </w:r>
      <w:r>
        <w:rPr>
          <w:rFonts w:ascii="Times New Roman" w:cs="Times New Roman" w:eastAsia="Times New Roman" w:hAnsi="Times New Roman"/>
          <w:sz w:val="18"/>
          <w:szCs w:val="18"/>
          <w:color w:val="auto"/>
        </w:rPr>
        <w:t>” means, as of any date of determination, the daily average balance of unrestricted cash and Cash Equivalents of Credit Parties’ for the last Fiscal Month of the most recently ended Fiscal Quarter, held in a deposit account that is subject to a Control Agreement in favor of Agent.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means any claim, lawsuit, litigation, investigation or proceeding of or before any arbitrator or Governmental Authority.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xml:space="preserve">” means this Agreement, Lender Fee Letter, the Agent Fee Letter, each Note, the Guarantees, each Mortgage, the Pledge Agreement, the Control Agreements, each Power of Attorney, </w:t>
      </w:r>
      <w:r>
        <w:rPr>
          <w:rFonts w:ascii="Times New Roman" w:cs="Times New Roman" w:eastAsia="Times New Roman" w:hAnsi="Times New Roman"/>
          <w:sz w:val="18"/>
          <w:szCs w:val="18"/>
          <w:u w:val="single" w:color="auto"/>
          <w:color w:val="0000FF"/>
        </w:rPr>
        <w:t>the Rights Acknowledgment and Agreement,</w:t>
      </w:r>
      <w:r>
        <w:rPr>
          <w:rFonts w:ascii="Times New Roman" w:cs="Times New Roman" w:eastAsia="Times New Roman" w:hAnsi="Times New Roman"/>
          <w:sz w:val="18"/>
          <w:szCs w:val="18"/>
          <w:color w:val="auto"/>
        </w:rPr>
        <w:t xml:space="preserve"> any waiver or consent of a landlord or mortgagee executed in favor of Agent for the benefit of the Lenders, and all other agreements, instruments, documents and certificates executed and delivered to, and in favor of, Agent in connection with this Agreement, and delivered to, and in favor of, Agent in connection with the Agreement or the transactions contemplated thereby. Any reference in the Agreement or any other Loan Document to a Loan Document shall include all appendices, exhibits or schedules thereto, and shall refer to the Agreement or such Loan Document as the same may be in effect at any and all times such reference becomes operative. The Loan Documents shall not include the Closing Date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Prepayments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(a) the business, assets, operations, or financial or other condition of the Credit Parties taken as a whole, (b) the validity and enforceability of the Loan Documents in any material respect, (c) Borrower’s or any other Credit Party’s ability to pay or perform the Obligations under the Loan Documents to which such Credit Party is a party in accordance with the terms thereof, (d) the Collateral or Agent’s Liens on a material portion of the Collateral or the priority of any such Lien, or (e) Agent’s or any Lender’s rights and remedies under this Agreement and the other Loan Documents.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xml:space="preserve">” means, with respect to the Term Loan, the earliest to occur of (i) the date of the termination of the acceleration of the maturity of any Obligations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(ii) the Stated Maturity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Lawful Rate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means that certain Agreement and Plan of Merger, dated as of May 15, 2022, by and among Holdings, Bronco Merger Sub, Inc., a wholly owned subsidiary of Holdings created to effectuate the Combination, and Borrower.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xml:space="preserve">” means any mortgage or deed of trust from the relevant Credit Party in favor of Agent for its benefit and the benefit of the Lenders relating to such Credit Party’s real property owned as of the Closing Date and any other mortgage or deed of trust delivered to the Agent pursuant to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Property</w:t>
      </w:r>
      <w:r>
        <w:rPr>
          <w:rFonts w:ascii="Times New Roman" w:cs="Times New Roman" w:eastAsia="Times New Roman" w:hAnsi="Times New Roman"/>
          <w:sz w:val="18"/>
          <w:szCs w:val="18"/>
          <w:color w:val="auto"/>
        </w:rPr>
        <w:t>” shall have the meaning assigned to such term in the Mortgages.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shall mean a multiemployer plan within the meaning of Section 4001(a)(3) or Section 3(37) of ERISA (a) to which any Grantor or any ERISA Affiliate is then making or accruing an obligation to make contributions; (b) to which any Grantor or any ERISA Affiliate has within the preceding five plan years made contributions; or (c) with respect to which any Grantor could incur liability.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left="980" w:right="20" w:hanging="324"/>
        <w:spacing w:after="0" w:line="261" w:lineRule="auto"/>
        <w:tabs>
          <w:tab w:leader="none" w:pos="9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Asset Sale (other than any issuance or sale of Equity Interests), the cash proceeds received by any Credit Party (including cash proceeds subsequently received (as and when received by any Credit Party) in respect of non-cash consideration initially received) net of</w:t>
      </w:r>
    </w:p>
    <w:p>
      <w:pPr>
        <w:jc w:val="both"/>
        <w:ind w:left="980"/>
        <w:spacing w:after="0" w:line="250" w:lineRule="auto"/>
        <w:tabs>
          <w:tab w:leader="none" w:pos="1203"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(including reasonable brokers’ or investment bankers’ fees or commissions, legal, accounting and other professional and transactional fees, survey costs, title insurance premiums, search and recording charges, transfer and similar taxes and Credit Party’s good faith estimate of income taxes actually paid or payable in connection with such sale); (ii) amounts provided as a reserve, in accordance with GAAP, against (x) any reserves for adjustment of the purchase price of such Asset Sale, (y) any liabilities under any indemnification obligations associated with such Asset Sale or (z) any other liabilities retained by any Credit Party associated with the properties sold in such Asset Sale (provided that, to the extent and at the time any such amounts are released from such reserve, such amounts shall constitute Net Cash Proceeds); (iii) Credit Party’s good faith estimate of payments required to be made with respect to unassumed liabilities relating to the properties sold within ninety (90) days of such Asset Sale (provided that, to the extent such cash proceeds are not used to make payments in respect of such unassumed liabilities within ninety (90) days of such Asset Sale, such cash proceeds shall constitute Net Cash Proceeds); and</w:t>
      </w:r>
    </w:p>
    <w:p>
      <w:pPr>
        <w:spacing w:after="0" w:line="3" w:lineRule="exact"/>
        <w:rPr>
          <w:rFonts w:ascii="Times New Roman" w:cs="Times New Roman" w:eastAsia="Times New Roman" w:hAnsi="Times New Roman"/>
          <w:sz w:val="18"/>
          <w:szCs w:val="18"/>
          <w:color w:val="auto"/>
        </w:rPr>
      </w:pPr>
    </w:p>
    <w:p>
      <w:pPr>
        <w:jc w:val="both"/>
        <w:ind w:left="980"/>
        <w:spacing w:after="0" w:line="255" w:lineRule="auto"/>
        <w:tabs>
          <w:tab w:leader="none" w:pos="130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premium or penalty, if any, interest and other amounts on any Indebtedness which is secured by a Lien on the properties sold in such Asset Sale (so long as such Lien was permitted to encumber such properties under the Loan Documents at the time of such sale) and which is repaid with such proceeds (other than any such Indebtedness assumed by the purchaser of such properties);</w:t>
      </w:r>
    </w:p>
    <w:p>
      <w:pPr>
        <w:spacing w:after="0" w:line="18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Debt Issuance, any Equity Issuance or any other issuance or sale of Equity Interests by any Credit Party, the cash proceeds thereof, net of customary underwriting discounts, fees, commissions, costs and other expenses incurred in connection therewith;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Casualty Event, the cash insurance proceeds, condemnation awards and other compensation received in respect thereof net of (i) all reasonable costs and expenses incurred in connection with the collection of such proceeds, awards or other compensation in respect of such Casualty Event, (ii) Credit Party’s good faith estimate of income taxes actually paid or payable in connection therewith, (iii) the principal amount, premium or penalty, if any, interest and other amounts on any Indebtedness which is secured by a Lien on the properties subject to such Casualty Event (so long as such Lien is a Permitted Lien) and which is repaid with such proceeds, (iv) reasonable reserves established for liabilities estimated to be payable in respect of such Casualty Event.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Non-Funding Lender</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means any Term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loans, advances, debts, expense reimbursement, fees, liabilities, and obligations for the performance of covenants, tasks or duties or for payment of monetary amounts (whether or not such performance is then required or contingent, or amounts are liquidated or determinable) owing by Borrower and any other Credit Party to Agent or to the Lenders arising under any of the Loan Documents, of any kind or nature, present or future, whether or not evidenced by any note, agreement or other instrument, and all covenants and duties regarding such amounts. This term includes all principal, interest, Fees, Charges, expenses, attorneys’ fees and any other sum chargeable to Borrower under any of the Loan Documents (including interest accruing at the then applicable rate provided in this Agreement after the maturity of the Loan, and Fees, Charges, costs, expenses and interest accruing at the then applicable rate provided in this Agreement after the filing of any petition in bankruptcy, or the commencement of any insolvency, reorganization or like proceeding, whether or not a claim for post-filing or post-petition interest or a claim for such Fees, Charges, costs and expense is allowed in such proceeding), and all principal and interest due in respect of the Loan and all obligations and liabilities of any Guarantor under any Guarantee. The Obligations shall not include any obligations or liabilities under the Closing Date Warrants.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 Laws and Regulations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executed by the chairman of the Board of Directors (if an officer), the Chief Executive Officer, the president or one of the other Responsible Officers, each in such Person’s official (and not individual) capacity.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 Chart</w:t>
      </w:r>
      <w:r>
        <w:rPr>
          <w:rFonts w:ascii="Times New Roman" w:cs="Times New Roman" w:eastAsia="Times New Roman" w:hAnsi="Times New Roman"/>
          <w:sz w:val="18"/>
          <w:szCs w:val="18"/>
          <w:color w:val="auto"/>
        </w:rPr>
        <w:t>” means an accurate and complete organization chart reflecting all of the direct and indirect Subsidiaries of Holdings (including the applicable ownership percentages) as of the date of delivery to Agent.</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shall mean, with respect to any Person, (i) in the case of any corporation or unlimited liability corporation, the certificate or articles of incorporation, as applicable, and by-laws (or similar documents) of such Person, (ii) in the case of any limited liability company, the certificate of formation and operating agreement (or similar documents) of such Person, (iii) in the case of any limited partnership, the certificate of formation and limited partnership agreement (or similar documents) of such Person, (iv) in the case of any general partnership, the partnership agreement (or similar document) of such Person and (v) in any other case, the functional equivalent of the foregoing.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Lists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Ownership Interests</w:t>
      </w:r>
      <w:r>
        <w:rPr>
          <w:rFonts w:ascii="Times New Roman" w:cs="Times New Roman" w:eastAsia="Times New Roman" w:hAnsi="Times New Roman"/>
          <w:sz w:val="18"/>
          <w:szCs w:val="18"/>
          <w:color w:val="auto"/>
        </w:rPr>
        <w:t>” means, as applied to any Person, corporate stock and any and all securities, shares, partnership interests (whether general, limited, special or other), limited liability company interests, membership interests, equity interests, participations, rights or other equivalents (however designated and of any character) of corporate stock of such Person or any of the foregoing issued by such Person (whether a corporation, a partnership, a limited liability company or another entity) and shall include securities convertible into Ownership Interests and rights, warrants or options to acquire Ownership Interests.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of the following in which any Person now holds or hereafter acquires any interest: (i) all letters patent of the United States or any other country, all registrations and recordings thereof, and all applications for letters patent of the United States or any other country, including registrations, recordings and applications in the United States Patent and Trademark Office or in any similar office or agency of the United States, any State or Territory thereof, or any other country; and</w:t>
      </w:r>
    </w:p>
    <w:p>
      <w:pPr>
        <w:spacing w:after="0" w:line="176" w:lineRule="exact"/>
        <w:rPr>
          <w:sz w:val="20"/>
          <w:szCs w:val="20"/>
          <w:color w:val="auto"/>
        </w:rPr>
      </w:pPr>
    </w:p>
    <w:p>
      <w:pPr>
        <w:ind w:right="80" w:firstLine="8"/>
        <w:spacing w:after="0" w:line="500" w:lineRule="auto"/>
        <w:tabs>
          <w:tab w:leader="none" w:pos="26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reissues, continuations, divisionals, continuations-in-part or extensions thereof. “</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xml:space="preserve">” means a certificate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Agreement or any other form approved by the Agent and the Required Lenders, as the same shall be supplemented from time to time by a Perfection Certificate Supplement or otherwise.</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 Supplement</w:t>
      </w:r>
      <w:r>
        <w:rPr>
          <w:rFonts w:ascii="Times New Roman" w:cs="Times New Roman" w:eastAsia="Times New Roman" w:hAnsi="Times New Roman"/>
          <w:sz w:val="18"/>
          <w:szCs w:val="18"/>
          <w:color w:val="auto"/>
        </w:rPr>
        <w:t xml:space="preserve">” means a certificate supplement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attached to this Agreement or any other form approved by the Agent.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means, with respect to any Person, any permit, approval, authorization, license, registration, certificate, concession, grant, franchise, variance or permission from, and any other Contractual Obligations with, any Governmental Authority, in each case whether or not having the force of law and applicable to or binding upon such Person or any of its property or to which such Person or any of its property is subject.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shall mean any transaction for the (a) acquisition of all or substantially all of the assets or property of any Person, or of any business or division of any Person; or (b) acquisition (including by merger or consolidation) of the Equity Interests of any Person that becomes a Subsidiary after giving effect such transaction; provided that each of the following conditions shall be met:</w:t>
      </w:r>
    </w:p>
    <w:p>
      <w:pPr>
        <w:spacing w:after="0" w:line="17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(i)</w:t>
        <w:tab/>
        <w:t>no Default then exists or would result therefrom;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8" w:name="page189"/>
    <w:bookmarkEnd w:id="188"/>
    <w:p>
      <w:pPr>
        <w:jc w:val="both"/>
        <w:ind w:left="324" w:hanging="324"/>
        <w:spacing w:after="0" w:line="253" w:lineRule="auto"/>
        <w:tabs>
          <w:tab w:leader="none" w:pos="3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consummation of any such Permitted Acquisition, the Borrower shall have delivered to the Agent (A) a certificate of the chief executive officer or other Responsible Officer of Borrower demonstrating, in reasonable detail, compliance with the financial covenants referred to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(based on the financial covenant levels for the testing period then most recently ended or, in the case of any proposed acquisition to be consummated prior to December 31, 2022, for the period ending December 31, 2022) before and after giving effect to such Permitted Acquisition,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ratios being determined as if (x) such Permitted Acquisition had been completed at the beginning of the most recent testing period for which financial information for the Credit Parties and the business or Person to be acquired, is available, and (y) any such Indebtedness, or other Indebtedness incurred to finance such Permitted Acquisition, had been outstanding for such entire testing period, and (B) historical financial statements relating to the business or Person to be acquired evidencing positive EBITDA (determined in accordance with GAAP only as earnings before interest, taxes, depreciation and amortization, and not any other adjustments without the prior written approval of Agent (at the direction of the Required Lenders)) for the most recent trailing-twelve month period for which financial statements are available as determined by Agent (at the direction of the Required Lenders) and such other information as the Agent or the Required Lenders may reasonably request;</w:t>
      </w:r>
    </w:p>
    <w:p>
      <w:pPr>
        <w:spacing w:after="0" w:line="189"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Credit Party shall, in connection with any such transaction, assume or remain liable with respect to any Indebtedness except to the extent permitted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or business to be acquired shall be, or shall be engaged in, a business of the type that the Credit Parties are permitted to be engaged in under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the Credit Parties shall comply with </w:t>
      </w:r>
      <w:r>
        <w:rPr>
          <w:rFonts w:ascii="Times New Roman" w:cs="Times New Roman" w:eastAsia="Times New Roman" w:hAnsi="Times New Roman"/>
          <w:sz w:val="18"/>
          <w:szCs w:val="18"/>
          <w:u w:val="single" w:color="auto"/>
          <w:color w:val="auto"/>
        </w:rPr>
        <w:t>Sections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3.27</w:t>
      </w:r>
      <w:r>
        <w:rPr>
          <w:rFonts w:ascii="Times New Roman" w:cs="Times New Roman" w:eastAsia="Times New Roman" w:hAnsi="Times New Roman"/>
          <w:sz w:val="18"/>
          <w:szCs w:val="18"/>
          <w:color w:val="auto"/>
        </w:rPr>
        <w:t xml:space="preserve"> with respect to the assets or Person acquired, and shall be free and clear of any Liens, other than Permitted Liens;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Person to be acquired shall not have indicated publicly its opposition to the consummation of such acquisition (which opposition has not been publicly withdrawn);</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connection therewith shall be consummated in accordance with all applicable Requirements of Law in all material respects;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(vii)with respect to any transaction involving Acquisition Consideration of more than</w:t>
      </w:r>
    </w:p>
    <w:p>
      <w:pPr>
        <w:spacing w:after="0" w:line="2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$1,750,000, unless the Agent (at the direction of the Required Lenders) shall otherwise agree, Borrower shall have provided the Agent with</w:t>
      </w:r>
    </w:p>
    <w:p>
      <w:pPr>
        <w:spacing w:after="0" w:line="9" w:lineRule="exact"/>
        <w:rPr>
          <w:sz w:val="20"/>
          <w:szCs w:val="20"/>
          <w:color w:val="auto"/>
        </w:rPr>
      </w:pPr>
    </w:p>
    <w:p>
      <w:pPr>
        <w:jc w:val="both"/>
        <w:ind w:left="324"/>
        <w:spacing w:after="0" w:line="252" w:lineRule="auto"/>
        <w:tabs>
          <w:tab w:leader="none" w:pos="61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available, historical Financial Statements for the last three Fiscal Years (or, if less, the number of years since formation) of the Person or business to be acquired (audited if available without additional cost or delay) and unaudited Financial Statements thereof for the most recent interim period which are available, (B) reasonably detailed pro forma projections for the succeeding three years for Borrower (and to the extent available projections of the target), after giving effect to such transaction, (C) a reasonably detailed description of all material information relating thereto and copies of all available material documentation pertaining to such transaction, (D) a quality of earnings report and (E) all such other information and data relating to such transaction or the Person or business to be acquired as may be reasonably requested by the Agent or the Required Lenders;</w:t>
      </w:r>
    </w:p>
    <w:p>
      <w:pPr>
        <w:spacing w:after="0" w:line="188" w:lineRule="exact"/>
        <w:rPr>
          <w:sz w:val="20"/>
          <w:szCs w:val="20"/>
          <w:color w:val="auto"/>
        </w:rPr>
      </w:pPr>
    </w:p>
    <w:p>
      <w:pPr>
        <w:ind w:left="4244"/>
        <w:spacing w:after="0"/>
        <w:rPr>
          <w:sz w:val="20"/>
          <w:szCs w:val="20"/>
          <w:color w:val="auto"/>
        </w:rPr>
      </w:pPr>
      <w:r>
        <w:rPr>
          <w:rFonts w:ascii="Times New Roman" w:cs="Times New Roman" w:eastAsia="Times New Roman" w:hAnsi="Times New Roman"/>
          <w:sz w:val="18"/>
          <w:szCs w:val="18"/>
          <w:color w:val="auto"/>
        </w:rPr>
        <w:t>SCHEDULE A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89" w:name="page190"/>
    <w:bookmarkEnd w:id="189"/>
    <w:p>
      <w:pPr>
        <w:jc w:val="both"/>
        <w:ind w:left="1020" w:hanging="363"/>
        <w:spacing w:after="0" w:line="261" w:lineRule="auto"/>
        <w:rPr>
          <w:sz w:val="20"/>
          <w:szCs w:val="20"/>
          <w:color w:val="auto"/>
        </w:rPr>
      </w:pPr>
      <w:r>
        <w:rPr>
          <w:rFonts w:ascii="Times New Roman" w:cs="Times New Roman" w:eastAsia="Times New Roman" w:hAnsi="Times New Roman"/>
          <w:sz w:val="18"/>
          <w:szCs w:val="18"/>
          <w:color w:val="auto"/>
        </w:rPr>
        <w:t>(viii)at least seven (7) Business Days prior to the proposed date of consummation of the transaction, Borrower shall have delivered to the Agent an Officer’s Certificate certifying that (A) such transaction complies with this definition (which shall have attached thereto reasonably detailed backup data and calculations showing such compliance), and (B) such transaction could not reasonably be expected to result in a Material Adverse Effect;</w:t>
      </w:r>
    </w:p>
    <w:p>
      <w:pPr>
        <w:spacing w:after="0" w:line="180" w:lineRule="exact"/>
        <w:rPr>
          <w:sz w:val="20"/>
          <w:szCs w:val="20"/>
          <w:color w:val="auto"/>
        </w:rPr>
      </w:pPr>
    </w:p>
    <w:p>
      <w:pPr>
        <w:jc w:val="both"/>
        <w:ind w:left="1020" w:hanging="364"/>
        <w:spacing w:after="0" w:line="258" w:lineRule="auto"/>
        <w:tabs>
          <w:tab w:leader="none" w:pos="10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Consideration (exclusive of any amounts financed by Equity Issuances and subordinated vendor take-back debt) for such acquisition shall be less than $5,000,000, and the aggregate amount of the Acquisition Consideration (exclusive of any amounts financed by Equity Issuances and subordinated vendor take-back debt) for all Permitted Acquisitions since the Closing Date shall not exceed $10,000,000; provided that any Equity Interests constituting all or a portion of such Acquisition Consideration shall not have a cash dividend requirement on or prior to the date that is one hundred eighty (180) days prior to the Maturity Date; and</w:t>
      </w:r>
    </w:p>
    <w:p>
      <w:pPr>
        <w:spacing w:after="0" w:line="183" w:lineRule="exact"/>
        <w:rPr>
          <w:rFonts w:ascii="Times New Roman" w:cs="Times New Roman" w:eastAsia="Times New Roman" w:hAnsi="Times New Roman"/>
          <w:sz w:val="18"/>
          <w:szCs w:val="18"/>
          <w:color w:val="auto"/>
        </w:rPr>
      </w:pPr>
    </w:p>
    <w:p>
      <w:pPr>
        <w:ind w:left="1020" w:right="20" w:hanging="364"/>
        <w:spacing w:after="0" w:line="282" w:lineRule="auto"/>
        <w:tabs>
          <w:tab w:leader="none" w:pos="10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acquired is organized under the laws of a State within the United States, the District of Columbia or a province within Canada, and any assets, business or division acquired shall be located in the United States or a province within Canada.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Board Fees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xml:space="preserve">” means the following encumbrances: (i) Liens for Taxes or Charges not yet due or that are being contested in good faith and by appropriate proceedings diligently conducted, if adequate reserves with respect thereto are maintained on the books of the applicable Person in accordance with GAAP, or for Taxes in an amount not to exceed $25,000 that are discharged promptly upon a Responsible Officer obtaining knowledge thereof; (ii) carriers’, warehousemen’s, suppliers’, mechanics’, materialmen’s, repairmen’s or other similar liens arising in the ordinary course of business; (iii) attachment, judgment or other similar Liens arising in connection with court or arbitration proceedings which do not give rise to an Event of Default under </w:t>
      </w:r>
      <w:r>
        <w:rPr>
          <w:rFonts w:ascii="Times New Roman" w:cs="Times New Roman" w:eastAsia="Times New Roman" w:hAnsi="Times New Roman"/>
          <w:sz w:val="18"/>
          <w:szCs w:val="18"/>
          <w:u w:val="single" w:color="auto"/>
          <w:color w:val="auto"/>
        </w:rPr>
        <w:t>Section 7.1(j)</w:t>
      </w:r>
      <w:r>
        <w:rPr>
          <w:rFonts w:ascii="Times New Roman" w:cs="Times New Roman" w:eastAsia="Times New Roman" w:hAnsi="Times New Roman"/>
          <w:sz w:val="18"/>
          <w:szCs w:val="18"/>
          <w:color w:val="auto"/>
        </w:rPr>
        <w:t xml:space="preserve">; (iv) zoning restrictions, easements, licenses, servitudes, rights of way, or other restrictions on the use of real property or other minor irregularities in title thereto, so long as the same do not materially impair the use, value, or marketability of such real estate; (v) Purchase Money Liens securing Purchase Money Obligations (or rent) to the extent permitted under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(vi) Liens in favor of Agent for its benefit and the benefit of the Lenders securing the Obligations; (vii) Liens arising in the ordinary course of business in connection with worker’s compensation, unemployment compensation and other types of social security (excluding Liens arising under ERISA), including to secure any letters of credit in respect of any of the foregoing; (viii) statutory environmental Liens in the ordinary course of business for sums not yet due; (ix) leases or subleases granted to others in each case not interfering with the ordinary conduct of the business of any Loan Party or any of its Subsidiaries; (x) Liens in existence on the Closing Date that are listed, and the property subject thereto described, in </w:t>
      </w:r>
      <w:r>
        <w:rPr>
          <w:rFonts w:ascii="Times New Roman" w:cs="Times New Roman" w:eastAsia="Times New Roman" w:hAnsi="Times New Roman"/>
          <w:sz w:val="18"/>
          <w:szCs w:val="18"/>
          <w:u w:val="single" w:color="auto"/>
          <w:color w:val="auto"/>
        </w:rPr>
        <w:t>Disclosure Schedule 3.20(a)</w:t>
      </w:r>
      <w:r>
        <w:rPr>
          <w:rFonts w:ascii="Times New Roman" w:cs="Times New Roman" w:eastAsia="Times New Roman" w:hAnsi="Times New Roman"/>
          <w:sz w:val="18"/>
          <w:szCs w:val="18"/>
          <w:color w:val="auto"/>
        </w:rPr>
        <w:t xml:space="preserve">, plus renewals, replacements and extensions of such Liens, provided that (A) the aggregate principal amount of the Indebtedness, if any, secured by such Liens does not increase from that amount outstanding at the time of any such renewal, replacement or extension plus any accrued interest, fees, premiums or expenses payable in connection with such renewal, replacement, or extension, and (B) any such renewal, replacement or extension does not encumber any additional assets or properties of the Credit Parties or any of their Subsidiaries; (xi) deposits securing the performance of appeal, surety, stay, customs and appeal bonds, bids, leases and other contracts in the ordinary course of business (but not to include any contracts in respect of the payment for borrowed money), including to secure any letters of credit in respect of any of the foregoing; (xii) bankers’ Liens, rights of setoff and other similar Liens existing solely with respect to cash and cash equivalents on deposit in one or more accounts maintained by any Credit Party, in each case granted in the ordinary course of business in favor of the bank or banks with which such accounts are maintained, securing amounts owing to such bank or banks with respect to cash management and operating account arrangements; (xiii) Liens on insurance proceeds to the extent securing the financing of insurance premiums in the ordinary course of business; (xiv) Liens arising from precautionary UCC financing statement filings regarding operating leases of personal property and consignment arrangements entered into in the ordinary course of business; (xv) (i) Liens in favor of customs and revenue authorities arising as a matter of law to secure payment of customs duties in connection with the importation of goods and incurred in the ordinary course of business and (ii) Liens on specific items of inventory or other goods and proceeds thereof of any Person securing such Person’s obligations in respect of bankers’ acceptances or letters of credit permitted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issued or created for the account of such Person to facilitate the purchase, shipment or storage of such inventory or other goods in the ordinary course of business; (xvi) non-exclusive licenses or sublicenses of personal property granted in the ordinary course of business); (xvii) [reserved]; (xviii) [reserved]; (xix) any Lien arising under conditional sale, title retention (including extended retention of title), consignment or similar arrangements for the sale of goods in the ordinary course of business; provided that such Lien attaches only to the goods subject to such sale, title retention, consignment or similar arrangement; and (xx) additional Liens of any Loan Party or any Subsidiary not otherwise permitted by this definition that (A) were not incurred in connection with borrowed money, (B) do not materially impair the use of assets subject to such Liens and (C) do not secure obligations in excess of $250,000 in the aggregate for all such Liens at any time.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0" w:name="page191"/>
    <w:bookmarkEnd w:id="190"/>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Redomicile</w:t>
      </w:r>
      <w:r>
        <w:rPr>
          <w:rFonts w:ascii="Times New Roman" w:cs="Times New Roman" w:eastAsia="Times New Roman" w:hAnsi="Times New Roman"/>
          <w:sz w:val="18"/>
          <w:szCs w:val="18"/>
          <w:color w:val="auto"/>
        </w:rPr>
        <w:t>” means the change, after the Closing Date, of Holdings’ jurisdiction of incorporation from Delaware to Nevada, including amendments to the Holdings’ Organizational Documents to effectuate the same and any change in name of Holdings necessitated in connection therewith.</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partnership, joint venture, trust, unincorporated organization, association, corporation, limited liability company, institution, public benefit corporation, entity or government (whether Federal, state, county, city, municipal or otherwise, including any instrumentality, division, agency, body or department thereof), and shall include such Person’s successors and assigns.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PIK Rate</w:t>
      </w:r>
      <w:r>
        <w:rPr>
          <w:rFonts w:ascii="Times New Roman" w:cs="Times New Roman" w:eastAsia="Times New Roman" w:hAnsi="Times New Roman"/>
          <w:sz w:val="18"/>
          <w:szCs w:val="18"/>
          <w:color w:val="auto"/>
        </w:rPr>
        <w:t>” means, as of any date of determination, the (a) Applicable Margin, minus (b) 7.0% per annum.</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IRC or Section 302 of ERISA, and in respect of which any Credit Party or any ERISA Affiliate is (or, if such plan were terminated, would under Section 4069 of ERISA be deemed to be) an “employer” as defined in Section 3(5) of ERISA.</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means that certain Pledge Agreement, dated as of the Closing Date, by and among the Credit Parties and the Agent pledging as Collateral for the Obligations any Ownership Interests of Subsidiaries owned by each Credit Party (other than Excluded Property).</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Securities</w:t>
      </w:r>
      <w:r>
        <w:rPr>
          <w:rFonts w:ascii="Times New Roman" w:cs="Times New Roman" w:eastAsia="Times New Roman" w:hAnsi="Times New Roman"/>
          <w:sz w:val="18"/>
          <w:szCs w:val="18"/>
          <w:color w:val="auto"/>
        </w:rPr>
        <w:t xml:space="preserve">” shall mean, collectively, with respect to each Credit Party, (i) all issued and outstanding Equity Interests of each issuer set forth on </w:t>
      </w:r>
      <w:r>
        <w:rPr>
          <w:rFonts w:ascii="Times New Roman" w:cs="Times New Roman" w:eastAsia="Times New Roman" w:hAnsi="Times New Roman"/>
          <w:sz w:val="18"/>
          <w:szCs w:val="18"/>
          <w:u w:val="single" w:color="auto"/>
          <w:color w:val="auto"/>
        </w:rPr>
        <w:t>Schedule 10(a)</w:t>
      </w:r>
      <w:r>
        <w:rPr>
          <w:rFonts w:ascii="Times New Roman" w:cs="Times New Roman" w:eastAsia="Times New Roman" w:hAnsi="Times New Roman"/>
          <w:sz w:val="18"/>
          <w:szCs w:val="18"/>
          <w:color w:val="auto"/>
        </w:rPr>
        <w:t xml:space="preserve"> to the Perfection Certificate as being owned by such Credit Party and all options, warrants, rights, agreements and additional Equity Interests of whatever class of any such issuer acquired by such Credit Party (including by issuance), together with all rights, privileges, authority and powers of such Credit Party relating to such Equity Interests in each such issuer or under any Organizational Document of each such issuer, and the certificates, instruments and agreements representing such Equity Interests and any and all interest of such Credit Party in the entries on the books of any financial intermediary pertaining to such Equity Interests, (ii) all Equity Interests of any Subsidiary, which Equity Interests are hereafter acquired by such Credit Party (including by issuance) and all options, warrants, rights, agreements and additional Equity Interests of whatever class of any such Subsidiary acquired by such Credit Party (including by issuance), together with all rights, privileges, authority and powers of such Credit Party relating to such Equity Interests or under any Organizational Document of any such Subsidiary, and the certificates, instruments and agreements representing such Equity Interests and any and all interest of such Credit Party in the entries on the books of any financial intermediary pertaining to such Equity Interests, from time to time acquired by such Credit Party in any manner, and (iii) all Equity Interests issued in respect of the Equity Interests referred to in clause (i) or (ii) upon any consolidation or merger of any issuer of such Equity Interests; provided, however, that Pledged Securities shall not include any Equity Interests which are not required to be pledged pursuant to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xml:space="preserve">” means each Power of Attorney of the Credit Parties delivered to Agent as of the Closing Date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any Power of Attorney delivered to the Agent after the Closing Date pursuant to Section 1.12.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w:t>
      </w:r>
      <w:r>
        <w:rPr>
          <w:rFonts w:ascii="Times New Roman" w:cs="Times New Roman" w:eastAsia="Times New Roman" w:hAnsi="Times New Roman"/>
          <w:sz w:val="18"/>
          <w:szCs w:val="18"/>
          <w:color w:val="auto"/>
        </w:rPr>
        <w:t>” has the meaning given to such term in Section 1.2(b).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shall mean on a basis in accordance with GAAP.</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means “proceeds,” as such term is defined in the Code and, in any event, shall include: (i) any and all proceeds of any insurance, indemnity, warranty or guarantee payable to any Grantor from time to time with respect to any Collateral; (ii) any and all payments (in any form whatsoever) made or due and payable to any Grantor from time to time in connection with any requisition, confiscation, condemnation, seizure or forfeiture of any Collateral by any governmental body, authority, bureau or agency (or any Person acting under color of governmental authority); (iii) any recoveries by any Grantor against third parties with respect to any litigation or dispute concerning any Collateral, including claims arising out of the loss or nonconformity of, interference with the use of, defects in, or infringement of rights in, or damage to, Collateral; and (iv) any and all other amounts, rights to payment or other property acquired upon the sale, lease, license, exchange or other disposition of Collateral (excluding amounts and rights to payment arising from the rental of any of the Collateral to customers of the Borrower or any of its Subsidiaries or distributors) and all rights arising out of Collateral.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any interest in any kind of property or asset, whether real, personal or mixed, and whether tangible or intangible.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Money Lien</w:t>
      </w:r>
      <w:r>
        <w:rPr>
          <w:rFonts w:ascii="Times New Roman" w:cs="Times New Roman" w:eastAsia="Times New Roman" w:hAnsi="Times New Roman"/>
          <w:sz w:val="18"/>
          <w:szCs w:val="18"/>
          <w:color w:val="auto"/>
        </w:rPr>
        <w:t>” means any Lien upon any fixed assets that secure the Purchase Money Obligations related thereto but only if such Lien shall at all times be confined solely to the asset the purchase price of which was financed or refinanced through the incurrence of the Purchase Money Obligations secured by such Lien (and the proceeds thereof) and only if such Lien secures only such Purchase Money Obligations.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Money Obligations</w:t>
      </w:r>
      <w:r>
        <w:rPr>
          <w:rFonts w:ascii="Times New Roman" w:cs="Times New Roman" w:eastAsia="Times New Roman" w:hAnsi="Times New Roman"/>
          <w:sz w:val="18"/>
          <w:szCs w:val="18"/>
          <w:color w:val="auto"/>
        </w:rPr>
        <w:t>” means for any Person the obligations of such Person in respect of Indebtedness (including Capital Lease Obligations) incurred for the purpose of financing all or any part of the purchase price of any property (including Equity Interests of any Person) or the cost of installation, construction or improvement of any property and any refinancing thereof; provided, however, that (i) such Indebtedness is incurred within one year after such acquisition, installation, construction or improvement of such property by such Person and (ii) the amount of such Indebtedness does not exceed 100% of the cost of such acquisition, installation, construction or improvement, as the case may be.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shall mean, collectively, all right, title and interest (including any leasehold, mineral or other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Agent and any Lender.</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means both (a) the repayment by the Borrower on the Closing Date of all outstanding indebtedness and other obligations incurred and outstanding in connection with the issuance and disbursement of proceeds of Borrower’s Fixed Rate Senior Notes, Series 2021-6 issued pursuant to that Trust Indenture, dated as of November 24, 2021, between Borrower and UMB Bank, National Association, and with respect to which proceeds thereof were disbursed pursuant to the Proceeds Disbursing and Security Agreement, dated as of November 24, 2021, among Borrower, as issuer, UMB Bank, National Association, as disbursing agent, and Newlight Capital LLC, as servicer, and (b) the termination and release of all related security interests, liens and guarantees in respect of the foregoing.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Agreements</w:t>
      </w:r>
      <w:r>
        <w:rPr>
          <w:rFonts w:ascii="Times New Roman" w:cs="Times New Roman" w:eastAsia="Times New Roman" w:hAnsi="Times New Roman"/>
          <w:sz w:val="18"/>
          <w:szCs w:val="18"/>
          <w:color w:val="auto"/>
        </w:rPr>
        <w:t>” means, collectively, the Acquisition Documents.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shall mean, with respect to any Lender, a fund or other investment vehicle that invests in commercial loans and is managed by such Lender or by the same investment advisor (or an Affiliate of the same investment advisor) that manages such Lender.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2" w:name="page193"/>
    <w:bookmarkEnd w:id="192"/>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Persons</w:t>
      </w:r>
      <w:r>
        <w:rPr>
          <w:rFonts w:ascii="Times New Roman" w:cs="Times New Roman" w:eastAsia="Times New Roman" w:hAnsi="Times New Roman"/>
          <w:sz w:val="18"/>
          <w:szCs w:val="18"/>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as to any Person, any release, spill, emission, leaking, pumping, injection, deposit, disposal, discharge, dispersal, dumping, leaching or migration of Hazardous Materials in the indoor or outdoor environment by such Person, including the movement of Hazardous Materials through or in the air, soil, surface water, ground water or property.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Rental Office</w:t>
      </w:r>
      <w:r>
        <w:rPr>
          <w:rFonts w:ascii="Times New Roman" w:cs="Times New Roman" w:eastAsia="Times New Roman" w:hAnsi="Times New Roman"/>
          <w:sz w:val="18"/>
          <w:szCs w:val="18"/>
          <w:color w:val="auto"/>
        </w:rPr>
        <w:t>” means any rental office of the Borrower or any of its Subsidiaries.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means, at any time, Lenders having at such time in excess of fifty percent (50%) of the sum of the aggregate Term Loan Commitments then in effect (or, if such Term Loan Commitments are terminated, the amount outstanding under the Term Loan); provided, however, that at any time when there are two (2) or more Lenders that are not Affiliates and each hold greater than fifteen percent (15%) of the Term Loan Commitments (or aggregate outstanding Term Loan if the Term Loan Commitments are no longer in effect), Required Lenders shall require at least two (2) such Lenders. For purposes of calculation of Required Lenders, a Lender and any of its Affiliates that are also a Lender, and their respective Term Loan Commitments and/or holdings of the Term Loan, shall be deemed to be a single Lender with a single consolidated Term Loan Commitment and/or holding a single consolidated Term Loan. Notwithstanding the foregoing, the voting rights of CCM Lender are limited in accordance with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means as to any Person, the Certificate or Articles of Incorporation and By-Laws or other Organizational Documents of such Person, and any law, treaty, rule or regulation or determination of an arbitrator or a court or other Governmental Authority, in each case, binding upon such Person or any of its property or to which such Person or any of its property is subject.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with respect to any Person (other than an individual), any corporate officer, but in any event, with respect to financial matters, the chief financial officer, chief operating officer, chief accounting officer, or treasurer of such Person.</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means: (a) the declaration or payment of any dividend or the incurrence of any liability to make any other payment or distribution of cash or other property or assets on or in respect of Borrower’s or any other Credit Party’s Stock, (b) any payment or distribution made in respect of any Subordinated Debt of Borrower or any other Credit Party in violation of any subordination or other agreement made in favor of Agent for the benefit of the Lenders, (c) any payment on account of the purchase, redemption, defeasance or other retirement of Borrower’s or any other Credit Party’s Stock or any other payment or distribution made in respect of any thereof, either directly or indirectly, or (d) any payment by any Credit Party or any of its Subsidiaries of any management, consulting or similar fees to Sponsor or any of its Affiliates (other than Borrower or any of its Subsidiaries), whether pursuant to a management agreement or otherwise.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3" w:name="page194"/>
    <w:bookmarkEnd w:id="193"/>
    <w:p>
      <w:pPr>
        <w:jc w:val="both"/>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Rights Acknowledgement and Agreement</w:t>
      </w:r>
      <w:r>
        <w:rPr>
          <w:rFonts w:ascii="Times New Roman" w:cs="Times New Roman" w:eastAsia="Times New Roman" w:hAnsi="Times New Roman"/>
          <w:sz w:val="18"/>
          <w:szCs w:val="18"/>
          <w:u w:val="single" w:color="auto"/>
          <w:color w:val="0000FF"/>
        </w:rPr>
        <w:t>” means that certain Rights Acknowledgement and Agreement, dated as of the Second Amendment Effective Date, by and among Battle Born, Borrower, Stryten Energy LLC, a Delaware limited liability company, and the Agent, as amended from time to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SBA</w:t>
      </w:r>
      <w:r>
        <w:rPr>
          <w:rFonts w:ascii="Times New Roman" w:cs="Times New Roman" w:eastAsia="Times New Roman" w:hAnsi="Times New Roman"/>
          <w:sz w:val="18"/>
          <w:szCs w:val="18"/>
          <w:color w:val="auto"/>
        </w:rPr>
        <w:t>” means the United States Small Business Administration and any successor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SBA Documents</w:t>
      </w:r>
      <w:r>
        <w:rPr>
          <w:rFonts w:ascii="Times New Roman" w:cs="Times New Roman" w:eastAsia="Times New Roman" w:hAnsi="Times New Roman"/>
          <w:sz w:val="17"/>
          <w:szCs w:val="17"/>
          <w:color w:val="auto"/>
        </w:rPr>
        <w:t>” means, collectively, SBA forms 480, 652 and 1031, the SBA Side Letter and a promissory note in favor of each Lender that is an SBIC.</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SBA Side Letter</w:t>
      </w:r>
      <w:r>
        <w:rPr>
          <w:rFonts w:ascii="Times New Roman" w:cs="Times New Roman" w:eastAsia="Times New Roman" w:hAnsi="Times New Roman"/>
          <w:sz w:val="18"/>
          <w:szCs w:val="18"/>
          <w:color w:val="auto"/>
        </w:rPr>
        <w:t>” means a Small Business Investment Company side letter among the Borrower and any Lender that is an SBIC in form and substance reasonably satisfactory to the Lead Arranger.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SBIC</w:t>
      </w:r>
      <w:r>
        <w:rPr>
          <w:rFonts w:ascii="Times New Roman" w:cs="Times New Roman" w:eastAsia="Times New Roman" w:hAnsi="Times New Roman"/>
          <w:sz w:val="18"/>
          <w:szCs w:val="18"/>
          <w:color w:val="auto"/>
        </w:rPr>
        <w:t>” means Lead Arranger or certain of its Affiliates that is a Federal licensee under the Act. “</w:t>
      </w:r>
      <w:r>
        <w:rPr>
          <w:rFonts w:ascii="Times New Roman" w:cs="Times New Roman" w:eastAsia="Times New Roman" w:hAnsi="Times New Roman"/>
          <w:sz w:val="18"/>
          <w:szCs w:val="18"/>
          <w:b w:val="1"/>
          <w:bCs w:val="1"/>
          <w:color w:val="auto"/>
        </w:rPr>
        <w:t>SDN List</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Second Amendment</w:t>
      </w:r>
      <w:r>
        <w:rPr>
          <w:rFonts w:ascii="Times New Roman" w:cs="Times New Roman" w:eastAsia="Times New Roman" w:hAnsi="Times New Roman"/>
          <w:sz w:val="18"/>
          <w:szCs w:val="18"/>
          <w:u w:val="single" w:color="auto"/>
          <w:color w:val="0000FF"/>
        </w:rPr>
        <w:t>” means that certain Limited Waiver, Consent and Second Amendment to this Agreement, dated as of the Second Amendment Effective Date, by and among Borrower, the other Credit Parties party thereto, the Agent and the Lenders party thereto.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Second Amendment Effective Date</w:t>
      </w:r>
      <w:r>
        <w:rPr>
          <w:rFonts w:ascii="Times New Roman" w:cs="Times New Roman" w:eastAsia="Times New Roman" w:hAnsi="Times New Roman"/>
          <w:sz w:val="18"/>
          <w:szCs w:val="18"/>
          <w:u w:val="single" w:color="auto"/>
          <w:color w:val="0000FF"/>
        </w:rPr>
        <w:t>” means July 29, 2024.</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Secretarial Certificate</w:t>
      </w:r>
      <w:r>
        <w:rPr>
          <w:rFonts w:ascii="Times New Roman" w:cs="Times New Roman" w:eastAsia="Times New Roman" w:hAnsi="Times New Roman"/>
          <w:sz w:val="18"/>
          <w:szCs w:val="18"/>
          <w:color w:val="auto"/>
        </w:rPr>
        <w:t xml:space="preserve">” means, as applicable, each Secretarial Certificate of the Credit Parties delivered to Agent as of the Closing Date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any Secretarial Certificate delivered to the Agent after the Closing Date pursuant to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Leverage Ratio</w:t>
      </w:r>
      <w:r>
        <w:rPr>
          <w:rFonts w:ascii="Times New Roman" w:cs="Times New Roman" w:eastAsia="Times New Roman" w:hAnsi="Times New Roman"/>
          <w:sz w:val="18"/>
          <w:szCs w:val="18"/>
          <w:color w:val="auto"/>
        </w:rPr>
        <w:t>” shall mean, at any date of determination, the ratio of (a) Consolidated Indebtedness on such date minus 100% of the unrestricted cash and Cash Equivalents held by the Credit Parties and their Subsidiaries in an amount not to exceed $500,000 and subject to a Control Agreement in the period beginning forty-five (45) days after the Closing Date to (b) Consolidated EBITDA for the trailing twelve (12) Fiscal Month period most recently 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means a Loan that bears interest at a rate based on Adjusted Term SOFR, other than pursuant to the definition of “Base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any Person on a particular date, that on such date (a) the assets of such Person, at a fair valuation, exceed its liabilities, including contingent liabilities, (b) the remaining capital of such Person is not unreasonably small to conduct its business and (c) such Person will not have incurred debts, and does not have the present intent to incur debts, beyond its ability to pay such debts as they mature. For purposes of this definition, “debt” means any liability on a claim, and “claim” means any (i) right to payment, whether or not such right is reduced to judgment, liquidated, unliquidated, fixed, contingent, matured, unmatured, disputed, undisputed, legal, equitable, secured or unsecured, or (ii) right to an equitable remedy for breach of performance if such breach gives rise to a right to payment, whether or not such right to an equitable remedy is reduced to judgment, fixed, contingent, matured, unmatured, disputed, undisputed, secured or unsecured. In computing the amount of contingent liabilities of any Person on any date, such liabilities shall be computed at the amount that, in the judgment of the Agent in light of all facts and circumstances existing at such time, represents the amount of such liabilities that reasonably can be expected to become actual or matured liabilities.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Chardan Capital Markets LLC, a Delaware limited liability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 Date</w:t>
      </w:r>
      <w:r>
        <w:rPr>
          <w:rFonts w:ascii="Times New Roman" w:cs="Times New Roman" w:eastAsia="Times New Roman" w:hAnsi="Times New Roman"/>
          <w:sz w:val="18"/>
          <w:szCs w:val="18"/>
          <w:color w:val="auto"/>
        </w:rPr>
        <w:t>” means October 7, 2026; provided, that, if such date is not a Business Day, then the Stated Maturity Date shall be deemed to be the immediately preceding Business Day.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any unsecured, subordinated indebtedness of Credit Parties subject to a Subordination Agreement in form and substance reasonably acceptable to Agent and the Required Lenders.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Loan Documents</w:t>
      </w:r>
      <w:r>
        <w:rPr>
          <w:rFonts w:ascii="Times New Roman" w:cs="Times New Roman" w:eastAsia="Times New Roman" w:hAnsi="Times New Roman"/>
          <w:sz w:val="18"/>
          <w:szCs w:val="18"/>
          <w:color w:val="auto"/>
        </w:rPr>
        <w:t>” means, collectively, each Subordination Agreement and all other agreements, indentures and instruments pursuant to which any Subordinated Debt is issued or extended or subordinated, in each case as amended, amended and restated, refinanced, replaced or otherwise modified from time to time to the extent permitted by the terms of the applicable Subordination Agreement.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means each subordination agreement or the applicable subordination terms entered into in connection with any Indebtedness of Credit Parties that is subordinated to the Obligations, in each case as amended, amended and restated, refinanced, replaced or otherwise modified from time to time to the extent permitted by the terms of the applicable subordination agreement or subordination terms.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(i) any corporation of which an aggregate of more than fifty percent (50%) of the outstanding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legally or beneficially by such Person and/or one or more Subsidiaries of such Person, or with respect to which any such Person has the right to vote or designate the vote of more than fifty percent (50%) of such Stock whether by proxy, agreement, operation of law or otherwise, and (ii) any partnership or limited liability company in which such Person or one or more Subsidiaries of such Person has an equity interest (whether in the form of voting or participation in profits or capital contribution) of more than fifty percent (50%) or of which any such Person is a general partner or manager or may exercise the powers of a general partner or manager.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 xml:space="preserve">” means each direct or indirect Subsidiary of the Borrower as of the Closing Date and each other direct or indirect Subsidiary that becomes a party to this Agreement pursuant to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Lender</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xml:space="preserve">” means the commitment of each Lender under this Agreement to make or otherwise fund its portion of the Loan as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 The aggregate amount of the Term Loan Commitments as of the Closing Date is $75,000,000.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Note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Sheet</w:t>
      </w:r>
      <w:r>
        <w:rPr>
          <w:rFonts w:ascii="Times New Roman" w:cs="Times New Roman" w:eastAsia="Times New Roman" w:hAnsi="Times New Roman"/>
          <w:sz w:val="18"/>
          <w:szCs w:val="18"/>
          <w:color w:val="auto"/>
        </w:rPr>
        <w:t>” means that certain Summary of Terms and Conditions attached as Exhibit B to the Commitment Letter.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 the Term SOFR Reference Rate for an interest period of three (3) months for each quarter (or, only in the case of the Loans made on the Closing Date, for the period from the Closing Date until the end of the quarter in which the Closing Date occurs) as determined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that is two (2) U.S. Government Securities Business Days prior to the first day of such quarter (or, only in the case of the Loans made on the Closing Date, prior to the Closing Date), as such rate is published by the Term SOFR Administrator; provided, however, that if as of 5:00 p.m. (New York City time) on any Periodic Term SOFR Determination Day the Term SOFR Reference Rate for such interest period has not been published by the Term SOFR Administrator and a Benchmark Replacement Date with respect to the Term SOFR Reference Rate has not occurred, then Term SOFR will be the Term SOFR Reference Rate for such interest period as published by the Term SOFR Administrator on the first preceding U.S. Government Securities Business Day for which such Term SOFR Reference Rate for such interest period was published by the Term SOFR Administrator so long as such first preceding U.S. Government Securities Business Day is not more than three (3) U.S. Government Securities Business Days prior to such Periodic Term SOFR Determination Day.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Adjustment</w:t>
      </w:r>
      <w:r>
        <w:rPr>
          <w:rFonts w:ascii="Times New Roman" w:cs="Times New Roman" w:eastAsia="Times New Roman" w:hAnsi="Times New Roman"/>
          <w:sz w:val="18"/>
          <w:szCs w:val="18"/>
          <w:color w:val="auto"/>
        </w:rPr>
        <w:t>” means (a) for any calculation with respect to a SOFR Loan, a percentage equal to 0.26161% per annum, and (b) for any calculation with respect to a Base Rate Loan, a percentage equal to 0.11448% per annum.</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Agent in its reasonable discretion).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the forward-looking term rate based on SOFR.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the date on which all Obligations under this Agreement are paid in full, in cash (other than contingent obligations and expense reimbursement not yet due and payable), and Borrower shall have no further right to borrow any moneys or obtain other credit extensions or financial accommodations from the Lenders under this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6" w:name="page197"/>
    <w:bookmarkEnd w:id="196"/>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IV Plan</w:t>
      </w:r>
      <w:r>
        <w:rPr>
          <w:rFonts w:ascii="Times New Roman" w:cs="Times New Roman" w:eastAsia="Times New Roman" w:hAnsi="Times New Roman"/>
          <w:sz w:val="18"/>
          <w:szCs w:val="18"/>
          <w:color w:val="auto"/>
        </w:rPr>
        <w:t>” means a pension plan subject to Title IV of ERISA, other than a Multiemployer Plan, to which any ERISA Affiliate incurs or otherwise has any obligation or liability, contingent or otherwise.</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all of the following now owned or hereafter adopted or acquired by any Person: (i) all trademarks, trade names, trade dress, domain names, corporate names, business names, trade styles, service marks, logos, other source or business identifiers, prints and labels on which any of the foregoing have appeared or appear, designs and general intangibles of like nature (whether registered or unregistered) all registrations and recordings thereof, and all applications in connection therewith, including all registrations, recordings and applications in the United States Patent and Trademark Office or in any similar office or agency of the United States, any State or Territory thereof, or any other country or any political subdivision thereof: (ii) all reissues, extensions or renewals thereof; and (iii) all goodwill associated with or symbolized by any of the foregoing.</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Trademark License Agreement</w:t>
      </w:r>
      <w:r>
        <w:rPr>
          <w:rFonts w:ascii="Times New Roman" w:cs="Times New Roman" w:eastAsia="Times New Roman" w:hAnsi="Times New Roman"/>
          <w:sz w:val="18"/>
          <w:szCs w:val="18"/>
          <w:u w:val="single" w:color="auto"/>
          <w:color w:val="0000FF"/>
        </w:rPr>
        <w:t>” means that certain Trademark License Agreement, dated as of the Second Amendment Effective Date, by and between Battle Born, Borrower and Stryten Energy LLC, a Delaware limited liability company.</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Trademark Transfer Agreement</w:t>
      </w:r>
      <w:r>
        <w:rPr>
          <w:rFonts w:ascii="Times New Roman" w:cs="Times New Roman" w:eastAsia="Times New Roman" w:hAnsi="Times New Roman"/>
          <w:sz w:val="18"/>
          <w:szCs w:val="18"/>
          <w:u w:val="single" w:color="auto"/>
          <w:color w:val="0000FF"/>
        </w:rPr>
        <w:t>” means that certain Trademark Transfer and License-Back Agreement, dated as of the Second Amendment Effective Date, by and between Borrower and Battle Born.</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means all of the following in which any Person now holds or hereafter acquires any interest: all know-how, trade secrets, manufacturing and production processes and techniques, inventions, research and development information, technical, marketing, financial and business data and databases, pricing and cost information, business and marketing plans, customer and supplier lists and information, all other confidential and proprietary information, together with any and all rights and privileges arising under applicable law and international treaties and conventions with respect to such trade secrets throughout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collectively, the Loan Documents and Related Agreements.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collectively, the transactions to occur on or prior to the Closing Date pursuant to the Transaction Documents, including (a) the execution, delivery and performance of the Loan Documents and the initial borrowings hereunder; (b) the consummation of the Combination and transactions contemplated by the Acquisition Documents; and (c) the payment of all fees and expenses to be paid on or prior to the Closing Date and owing in connection with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Guarantor</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7" w:name="page198"/>
    <w:bookmarkEnd w:id="197"/>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(Title III of Pub. L. 107-56).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Borrower</w:t>
      </w:r>
      <w:r>
        <w:rPr>
          <w:rFonts w:ascii="Times New Roman" w:cs="Times New Roman" w:eastAsia="Times New Roman" w:hAnsi="Times New Roman"/>
          <w:sz w:val="18"/>
          <w:szCs w:val="18"/>
          <w:color w:val="auto"/>
        </w:rPr>
        <w:t>” means a Borrower that is a U.S. Person.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IRC.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Publicly-Traded Entity</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8(b)(ii)(C)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Voluntary Prepayment</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means, with respect to any Person, any class or classes of Equity Interests pursuant to which the holders thereof have the general voting power under ordinary circumstances to elect at least a majority of the Board of Directors of such Person.</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($10 Per Share)</w:t>
      </w:r>
      <w:r>
        <w:rPr>
          <w:rFonts w:ascii="Times New Roman" w:cs="Times New Roman" w:eastAsia="Times New Roman" w:hAnsi="Times New Roman"/>
          <w:sz w:val="18"/>
          <w:szCs w:val="18"/>
          <w:color w:val="auto"/>
        </w:rPr>
        <w:t xml:space="preserve">” means a warrant issued by Holdings, substantially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hereto, exercisable for shares of common stock of Holdings at an exercise price of $10.00 per share.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as to any Person, (a) any corporation 100% of whose capital stock (other than directors’ qualifying shares) is at the time owned by such Person and/or one or more Wholly Owned Subsidiaries of such Person and (b) any partnership, association, joint venture, limited liability company or other entity in which such Person and/or one or more Wholly Owned Subsidiaries of such Person have a 100% equity interest at such time.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Borrower and Agent.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8" w:name="page199"/>
    <w:bookmarkEnd w:id="198"/>
    <w:p>
      <w:pPr>
        <w:jc w:val="both"/>
        <w:spacing w:after="0" w:line="252" w:lineRule="auto"/>
        <w:rPr>
          <w:sz w:val="20"/>
          <w:szCs w:val="20"/>
          <w:color w:val="auto"/>
        </w:rPr>
      </w:pPr>
      <w:r>
        <w:rPr>
          <w:rFonts w:ascii="Times New Roman" w:cs="Times New Roman" w:eastAsia="Times New Roman" w:hAnsi="Times New Roman"/>
          <w:sz w:val="18"/>
          <w:szCs w:val="18"/>
          <w:color w:val="auto"/>
        </w:rPr>
        <w:t>Any accounting term used in this Agreement or the other Loan Documents shall have, unless otherwise specifically provided therein, the meaning customarily given such term in accordance with GAAP, and all financial computations thereunder shall be computed, unless otherwise specifically provided therein, in accordance with GAAP consistently applied; provided, that all financial covenants and calculations in the Loan Documents shall be made in accordance with GAAP as in effect on the Closing Date unless Borrower and Agent shall otherwise specifically agree in writing. If Borrower requests an amendment to any provision hereof to eliminate the effect of (a) any change in GAAP or the application thereof or (b) the issuance of any new accounting rule or guidance or in the application thereof, in each case, occurring after the date of this Agreement, then Agent (in consultation with the Lenders) and Borrower agree that they will negotiate in good faith amendments to the provisions of this Agreement that are directly affected by such change or issuance with the intent of having the respective positions of the Lenders and Borrower after such change or issuance conform as nearly as possible to their respective positions as of the date of this Agreement. That certain items or computations are explicitly modified by the phrase “in accordance with GAAP” shall in no way be construed to limit the foregoing. Notwithstanding anything to the contrary contained herein,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other capitalized terms contained in this Agreement or the other Loan Documents, but not defined herein or therein, shall, unless the context indicates otherwise, have the meanings provided for by the Code. The words “herein,” “hereof” and “hereunder” or other words of similar import refer to this Agreement as a whole, including the exhibits and schedules thereto, as the same may from time to time be amended, restated, modified or supplemented, and not to any particular section, subsection or clause contained in this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Agreement and the other Loan Documents, the following additional rules of construction shall apply, unless specifically indicated to the contrary: (a) wherever from the context it appears appropriate, each term stated in either the singular or plural shall include the singular and the plural;</w:t>
      </w:r>
    </w:p>
    <w:p>
      <w:pPr>
        <w:jc w:val="both"/>
        <w:ind w:firstLine="8"/>
        <w:spacing w:after="0" w:line="253" w:lineRule="auto"/>
        <w:tabs>
          <w:tab w:leader="none" w:pos="2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“or” is not exclusive; (c) the term “including” (or any form thereof) shall not be limiting or exclusive; (d) all references to statutes and related regulations shall include any amendments of same and any successor statutes and regulations; and (e) all references to any instruments or agreements, including references to any of the Loan Documents, shall include any and all modifications or amendments thereto and any and all extensions or renewals thereof.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9" w:name="page200"/>
    <w:bookmarkEnd w:id="199"/>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SCHEDULE OF TERM LOAN COMMITMENTS</w:t>
      </w:r>
    </w:p>
    <w:p>
      <w:pPr>
        <w:spacing w:after="0" w:line="225"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Term Loan</w:t>
            </w:r>
          </w:p>
        </w:tc>
      </w:tr>
      <w:tr>
        <w:trPr>
          <w:trHeight w:val="245"/>
        </w:trPr>
        <w:tc>
          <w:tcPr>
            <w:tcW w:w="2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2"/>
          </w:tcPr>
          <w:p>
            <w:pPr>
              <w:jc w:val="right"/>
              <w:ind w:right="1520"/>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16"/>
        </w:trPr>
        <w:tc>
          <w:tcPr>
            <w:tcW w:w="24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Impact Credit Fund I LP</w:t>
            </w:r>
          </w:p>
        </w:tc>
        <w:tc>
          <w:tcPr>
            <w:tcW w:w="1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$ 10,000,000.00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Energy Impact Credit Fund II LP</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$ 20,000,000.00</w:t>
            </w:r>
          </w:p>
        </w:tc>
        <w:tc>
          <w:tcPr>
            <w:tcW w:w="60" w:type="dxa"/>
            <w:vAlign w:val="bottom"/>
          </w:tcPr>
          <w:p>
            <w:pPr>
              <w:spacing w:after="0"/>
              <w:rPr>
                <w:sz w:val="18"/>
                <w:szCs w:val="18"/>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CCM Investments 5 LLC</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$ 45,000,000.00</w:t>
            </w:r>
          </w:p>
        </w:tc>
        <w:tc>
          <w:tcPr>
            <w:tcW w:w="60" w:type="dxa"/>
            <w:vAlign w:val="bottom"/>
            <w:shd w:val="clear" w:color="auto" w:fill="CCEEFF"/>
          </w:tcPr>
          <w:p>
            <w:pPr>
              <w:spacing w:after="0"/>
              <w:rPr>
                <w:sz w:val="18"/>
                <w:szCs w:val="18"/>
                <w:color w:val="auto"/>
              </w:rPr>
            </w:pPr>
          </w:p>
        </w:tc>
      </w:tr>
      <w:tr>
        <w:trPr>
          <w:trHeight w:val="238"/>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$ 75,000,000.00</w:t>
            </w:r>
          </w:p>
        </w:tc>
        <w:tc>
          <w:tcPr>
            <w:tcW w:w="60" w:type="dxa"/>
            <w:vAlign w:val="bottom"/>
          </w:tcPr>
          <w:p>
            <w:pPr>
              <w:spacing w:after="0"/>
              <w:rPr>
                <w:sz w:val="20"/>
                <w:szCs w:val="20"/>
                <w:color w:val="auto"/>
              </w:rPr>
            </w:pPr>
          </w:p>
        </w:tc>
      </w:tr>
      <w:tr>
        <w:trPr>
          <w:trHeight w:val="410"/>
        </w:trPr>
        <w:tc>
          <w:tcPr>
            <w:tcW w:w="6740" w:type="dxa"/>
            <w:vAlign w:val="bottom"/>
            <w:gridSpan w:val="11"/>
          </w:tcPr>
          <w:p>
            <w:pPr>
              <w:ind w:left="1340"/>
              <w:spacing w:after="0"/>
              <w:rPr>
                <w:sz w:val="20"/>
                <w:szCs w:val="20"/>
                <w:color w:val="auto"/>
              </w:rPr>
            </w:pPr>
            <w:r>
              <w:rPr>
                <w:rFonts w:ascii="Times New Roman" w:cs="Times New Roman" w:eastAsia="Times New Roman" w:hAnsi="Times New Roman"/>
                <w:sz w:val="18"/>
                <w:szCs w:val="18"/>
                <w:b w:val="1"/>
                <w:bCs w:val="1"/>
                <w:color w:val="auto"/>
              </w:rPr>
              <w:t>SCHEDULE OF AMORTIZATION OF THE LOAN</w:t>
            </w:r>
          </w:p>
        </w:tc>
      </w:tr>
      <w:tr>
        <w:trPr>
          <w:trHeight w:val="410"/>
        </w:trPr>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Original Loan</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Quarterly Principal</w:t>
            </w:r>
          </w:p>
        </w:tc>
      </w:tr>
      <w:tr>
        <w:trPr>
          <w:trHeight w:val="245"/>
        </w:trPr>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60" w:type="dxa"/>
            <w:vAlign w:val="bottom"/>
            <w:tcBorders>
              <w:bottom w:val="single" w:sz="8" w:color="CCEEFF"/>
            </w:tcBorders>
          </w:tcPr>
          <w:p>
            <w:pPr>
              <w:spacing w:after="0"/>
              <w:rPr>
                <w:sz w:val="21"/>
                <w:szCs w:val="21"/>
                <w:color w:val="auto"/>
              </w:rPr>
            </w:pPr>
          </w:p>
        </w:tc>
      </w:tr>
      <w:tr>
        <w:trPr>
          <w:trHeight w:val="216"/>
        </w:trPr>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April 1, 2023</w:t>
            </w: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240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July 1, 2023</w:t>
            </w:r>
          </w:p>
        </w:tc>
        <w:tc>
          <w:tcPr>
            <w:tcW w:w="2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October 1, 2023</w:t>
            </w: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240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January 1, 2024</w:t>
            </w:r>
          </w:p>
        </w:tc>
        <w:tc>
          <w:tcPr>
            <w:tcW w:w="2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April 1, 2024</w:t>
            </w: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240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July 1, 2024</w:t>
            </w:r>
          </w:p>
        </w:tc>
        <w:tc>
          <w:tcPr>
            <w:tcW w:w="2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October 1, 2024</w:t>
            </w: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60" w:type="dxa"/>
            <w:vAlign w:val="bottom"/>
          </w:tcPr>
          <w:p>
            <w:pPr>
              <w:spacing w:after="0"/>
              <w:rPr>
                <w:sz w:val="18"/>
                <w:szCs w:val="18"/>
                <w:color w:val="auto"/>
              </w:rPr>
            </w:pPr>
          </w:p>
        </w:tc>
      </w:tr>
      <w:tr>
        <w:trPr>
          <w:trHeight w:val="216"/>
        </w:trPr>
        <w:tc>
          <w:tcPr>
            <w:tcW w:w="240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January 1, 2025</w:t>
            </w:r>
          </w:p>
        </w:tc>
        <w:tc>
          <w:tcPr>
            <w:tcW w:w="2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April 1, 2025</w:t>
            </w: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60" w:type="dxa"/>
            <w:vAlign w:val="bottom"/>
          </w:tcPr>
          <w:p>
            <w:pPr>
              <w:spacing w:after="0"/>
              <w:rPr>
                <w:sz w:val="18"/>
                <w:szCs w:val="18"/>
                <w:color w:val="auto"/>
              </w:rPr>
            </w:pPr>
          </w:p>
        </w:tc>
      </w:tr>
      <w:tr>
        <w:trPr>
          <w:trHeight w:val="216"/>
        </w:trPr>
        <w:tc>
          <w:tcPr>
            <w:tcW w:w="240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July 1, 2025</w:t>
            </w:r>
          </w:p>
        </w:tc>
        <w:tc>
          <w:tcPr>
            <w:tcW w:w="2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October 1, 2025</w:t>
            </w: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60" w:type="dxa"/>
            <w:vAlign w:val="bottom"/>
          </w:tcPr>
          <w:p>
            <w:pPr>
              <w:spacing w:after="0"/>
              <w:rPr>
                <w:sz w:val="18"/>
                <w:szCs w:val="18"/>
                <w:color w:val="auto"/>
              </w:rPr>
            </w:pPr>
          </w:p>
        </w:tc>
      </w:tr>
      <w:tr>
        <w:trPr>
          <w:trHeight w:val="216"/>
        </w:trPr>
        <w:tc>
          <w:tcPr>
            <w:tcW w:w="240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January 1, 2026</w:t>
            </w:r>
          </w:p>
        </w:tc>
        <w:tc>
          <w:tcPr>
            <w:tcW w:w="2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April 1, 2026</w:t>
            </w: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60" w:type="dxa"/>
            <w:vAlign w:val="bottom"/>
          </w:tcPr>
          <w:p>
            <w:pPr>
              <w:spacing w:after="0"/>
              <w:rPr>
                <w:sz w:val="18"/>
                <w:szCs w:val="18"/>
                <w:color w:val="auto"/>
              </w:rPr>
            </w:pPr>
          </w:p>
        </w:tc>
      </w:tr>
      <w:tr>
        <w:trPr>
          <w:trHeight w:val="216"/>
        </w:trPr>
        <w:tc>
          <w:tcPr>
            <w:tcW w:w="240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July 1, 2026</w:t>
            </w:r>
          </w:p>
        </w:tc>
        <w:tc>
          <w:tcPr>
            <w:tcW w:w="2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October 1, 2026</w:t>
            </w: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60" w:type="dxa"/>
            <w:vAlign w:val="bottom"/>
          </w:tcPr>
          <w:p>
            <w:pPr>
              <w:spacing w:after="0"/>
              <w:rPr>
                <w:sz w:val="18"/>
                <w:szCs w:val="18"/>
                <w:color w:val="auto"/>
              </w:rPr>
            </w:pPr>
          </w:p>
        </w:tc>
      </w:tr>
      <w:tr>
        <w:trPr>
          <w:trHeight w:val="198"/>
        </w:trPr>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rPr>
              <w:t>All remaining principal</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All remaining principal</w:t>
            </w:r>
          </w:p>
        </w:tc>
      </w:tr>
      <w:tr>
        <w:trPr>
          <w:trHeight w:val="216"/>
        </w:trPr>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outstanding on the</w:t>
            </w:r>
          </w:p>
        </w:tc>
        <w:tc>
          <w:tcPr>
            <w:tcW w:w="160" w:type="dxa"/>
            <w:vAlign w:val="bottom"/>
            <w:shd w:val="clear" w:color="auto" w:fill="CCEEFF"/>
          </w:tcPr>
          <w:p>
            <w:pPr>
              <w:spacing w:after="0"/>
              <w:rPr>
                <w:sz w:val="18"/>
                <w:szCs w:val="18"/>
                <w:color w:val="auto"/>
              </w:rPr>
            </w:pPr>
          </w:p>
        </w:tc>
        <w:tc>
          <w:tcPr>
            <w:tcW w:w="2080" w:type="dxa"/>
            <w:vAlign w:val="bottom"/>
            <w:gridSpan w:val="5"/>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outstanding on the Maturity</w:t>
            </w:r>
          </w:p>
        </w:tc>
      </w:tr>
      <w:tr>
        <w:trPr>
          <w:trHeight w:val="234"/>
        </w:trPr>
        <w:tc>
          <w:tcPr>
            <w:tcW w:w="240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Maturity Date</w:t>
            </w:r>
          </w:p>
        </w:tc>
        <w:tc>
          <w:tcPr>
            <w:tcW w:w="21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Maturity Date</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center"/>
              <w:ind w:right="800"/>
              <w:spacing w:after="0"/>
              <w:rPr>
                <w:sz w:val="20"/>
                <w:szCs w:val="20"/>
                <w:color w:val="auto"/>
              </w:rPr>
            </w:pPr>
            <w:r>
              <w:rPr>
                <w:rFonts w:ascii="Times New Roman" w:cs="Times New Roman" w:eastAsia="Times New Roman" w:hAnsi="Times New Roman"/>
                <w:sz w:val="18"/>
                <w:szCs w:val="18"/>
                <w:color w:val="auto"/>
                <w:w w:val="99"/>
              </w:rPr>
              <w:t>Date</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S</w:t>
      </w:r>
      <w:r>
        <w:rPr>
          <w:rFonts w:ascii="Times New Roman" w:cs="Times New Roman" w:eastAsia="Times New Roman" w:hAnsi="Times New Roman"/>
          <w:sz w:val="12"/>
          <w:szCs w:val="12"/>
          <w:color w:val="FF0000"/>
          <w:strike w:val="1"/>
        </w:rPr>
        <w:t>chedule</w:t>
      </w:r>
      <w:r>
        <w:rPr>
          <w:rFonts w:ascii="Times New Roman" w:cs="Times New Roman" w:eastAsia="Times New Roman" w:hAnsi="Times New Roman"/>
          <w:sz w:val="18"/>
          <w:szCs w:val="18"/>
          <w:color w:val="FF0000"/>
          <w:strike w:val="1"/>
        </w:rPr>
        <w:t xml:space="preserve"> 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657" w:right="1440" w:bottom="1440" w:gutter="0" w:footer="0" w:header="0"/>
        </w:sectPr>
      </w:pPr>
    </w:p>
    <w:bookmarkStart w:id="200" w:name="page201"/>
    <w:bookmarkEnd w:id="20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8"/>
          <w:szCs w:val="18"/>
          <w:b w:val="1"/>
          <w:bCs w:val="1"/>
          <w:color w:val="auto"/>
        </w:rPr>
        <w:t>AGENT’S, LENDERS’ AND CREDIT PARTIES’ ADDRESSES FOR 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Agent’s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ALTER DOMUS (US)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225 W. Washington Street, 9th Floor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 Department, Emily Ergang Pappas and Mike Kumor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(312) 564-5100</w:t>
      </w:r>
    </w:p>
    <w:p>
      <w:pPr>
        <w:spacing w:after="0" w:line="9" w:lineRule="exact"/>
        <w:rPr>
          <w:sz w:val="20"/>
          <w:szCs w:val="20"/>
          <w:color w:val="auto"/>
        </w:rPr>
      </w:pPr>
    </w:p>
    <w:p>
      <w:pPr>
        <w:ind w:right="4019"/>
        <w:spacing w:after="0" w:line="260" w:lineRule="auto"/>
        <w:rPr>
          <w:sz w:val="20"/>
          <w:szCs w:val="20"/>
          <w:color w:val="auto"/>
        </w:rPr>
      </w:pPr>
      <w:r>
        <w:rPr>
          <w:rFonts w:ascii="Times New Roman" w:cs="Times New Roman" w:eastAsia="Times New Roman" w:hAnsi="Times New Roman"/>
          <w:sz w:val="18"/>
          <w:szCs w:val="18"/>
          <w:color w:val="auto"/>
        </w:rPr>
        <w:t xml:space="preserve">Email: Legal_Agency@alterdomus.com, Emily.ErgangPappas@alterdomus.com and </w:t>
      </w:r>
      <w:r>
        <w:rPr>
          <w:rFonts w:ascii="Times New Roman" w:cs="Times New Roman" w:eastAsia="Times New Roman" w:hAnsi="Times New Roman"/>
          <w:sz w:val="18"/>
          <w:szCs w:val="18"/>
          <w:u w:val="single" w:color="auto"/>
          <w:color w:val="auto"/>
        </w:rPr>
        <w:t>adagencyteam2@alterdomus.com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Holland &amp; Knight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N. Riverside Plaza, Suite 2700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Joshua M. Spencer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Joshua.Spencer@hklaw.com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Lead Arranger’s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EICF Agent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600 3rd Avenue, Floor 38</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York, NY 10016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Harry Giovani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(212) 899-9714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giovani@energyimpactpartners.com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Chapman and Cutler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1270 Avenue of the Americas, 30th Floor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Anthony M. DiGiacomo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(212) 655-2530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655-2531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digiacom@chapman.com</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0000"/>
          <w:strike w:val="1"/>
        </w:rPr>
        <w:t>S</w:t>
      </w:r>
      <w:r>
        <w:rPr>
          <w:rFonts w:ascii="Times New Roman" w:cs="Times New Roman" w:eastAsia="Times New Roman" w:hAnsi="Times New Roman"/>
          <w:sz w:val="12"/>
          <w:szCs w:val="12"/>
          <w:color w:val="FF0000"/>
          <w:strike w:val="1"/>
        </w:rPr>
        <w:t>chedule</w:t>
      </w:r>
      <w:r>
        <w:rPr>
          <w:rFonts w:ascii="Times New Roman" w:cs="Times New Roman" w:eastAsia="Times New Roman" w:hAnsi="Times New Roman"/>
          <w:sz w:val="18"/>
          <w:szCs w:val="18"/>
          <w:color w:val="FF0000"/>
          <w:strike w:val="1"/>
        </w:rPr>
        <w:t xml:space="preserve"> 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auto"/>
        </w:rPr>
        <w:t>Lenders’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Energy Impact Credit Fund I LP and Energy Impact Credit Fund 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600 3rd Avenue, Floor 38</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York, NY 10016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Harry Giovani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(212) 899-9714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giovani@energyimpactpartners.com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Chapman and Cutler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1270 Avenue of the Americas, 30th Floor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Anthony M. DiGiacomo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(212) 655-2530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655-2531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digiacom@chapman.com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CCM Investments 5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17 State Street, Suite 2130</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Borrower’s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Dragonfly Energy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1190 Trademark Drive, #108</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John Marchetti and Nicole Harvey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(775) 622-3448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jmarchetti@dragonflyenergy.com and nharvey@dragonflyenergy.com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https://dragonflyenergy.com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O’Melveny &amp; Myers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 Two Embarcadero Center, 28th Floor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Jennifer Taylor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(415) 984-8922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jtaylor@omm.com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Guarantor’s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1190 Trademark Drive, #108</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John Marchetti and Nicole Harvey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(775) 622-3448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jmarchetti@dragonflyenergy.com and nharvey@dragonflyenergy.com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https://dragonflyenergy.com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O’Melveny &amp; Myers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 Two Embarcadero Center, 28th Floor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Jennifer Taylor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(415) 984-8922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jtaylor@omm.com</w:t>
      </w:r>
    </w:p>
    <w:p>
      <w:pPr>
        <w:spacing w:after="0" w:line="207"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8"/>
          <w:szCs w:val="18"/>
          <w:color w:val="auto"/>
        </w:rPr>
        <w:t>SCHEDULE C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202" w:name="page203"/>
    <w:bookmarkEnd w:id="20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CLOSING CHECKLIST</w:t>
      </w:r>
    </w:p>
    <w:p>
      <w:pPr>
        <w:spacing w:after="0" w:line="24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See attached.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S</w:t>
      </w:r>
      <w:r>
        <w:rPr>
          <w:rFonts w:ascii="Times New Roman" w:cs="Times New Roman" w:eastAsia="Times New Roman" w:hAnsi="Times New Roman"/>
          <w:sz w:val="12"/>
          <w:szCs w:val="12"/>
          <w:color w:val="FF0000"/>
          <w:strike w:val="1"/>
        </w:rPr>
        <w:t>chedule</w:t>
      </w:r>
      <w:r>
        <w:rPr>
          <w:rFonts w:ascii="Times New Roman" w:cs="Times New Roman" w:eastAsia="Times New Roman" w:hAnsi="Times New Roman"/>
          <w:sz w:val="18"/>
          <w:szCs w:val="18"/>
          <w:color w:val="FF0000"/>
          <w:strike w:val="1"/>
        </w:rPr>
        <w:t xml:space="preserve"> D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657" w:right="1440" w:bottom="1440" w:gutter="0" w:footer="0" w:header="0"/>
        </w:sectPr>
      </w:pPr>
    </w:p>
    <w:bookmarkStart w:id="203" w:name="page204"/>
    <w:bookmarkEnd w:id="203"/>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E</w:t>
      </w:r>
    </w:p>
    <w:p>
      <w:pPr>
        <w:spacing w:after="0" w:line="225"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8"/>
          <w:szCs w:val="18"/>
          <w:b w:val="1"/>
          <w:bCs w:val="1"/>
          <w:color w:val="auto"/>
        </w:rPr>
        <w:t>RESTRICTED LOCATIONS</w:t>
      </w:r>
    </w:p>
    <w:p>
      <w:pPr>
        <w:spacing w:after="0" w:line="229" w:lineRule="exact"/>
        <w:rPr>
          <w:sz w:val="20"/>
          <w:szCs w:val="20"/>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Crimea</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Cuba</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Korea</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Syria</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Russia</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0000"/>
          <w:strike w:val="1"/>
        </w:rPr>
        <w:t>S</w:t>
      </w:r>
      <w:r>
        <w:rPr>
          <w:rFonts w:ascii="Times New Roman" w:cs="Times New Roman" w:eastAsia="Times New Roman" w:hAnsi="Times New Roman"/>
          <w:sz w:val="12"/>
          <w:szCs w:val="12"/>
          <w:color w:val="FF0000"/>
          <w:strike w:val="1"/>
        </w:rPr>
        <w:t>chedule</w:t>
      </w:r>
      <w:r>
        <w:rPr>
          <w:rFonts w:ascii="Times New Roman" w:cs="Times New Roman" w:eastAsia="Times New Roman" w:hAnsi="Times New Roman"/>
          <w:sz w:val="18"/>
          <w:szCs w:val="18"/>
          <w:color w:val="FF0000"/>
          <w:strike w:val="1"/>
        </w:rPr>
        <w:t xml:space="preserve"> 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SCHEDULE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POST-CLOSING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items set forth below shall be delivered by Credit Parties to the Agent, and performed and completed to the satisfaction of Agent, within the periods set forth opposite such item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9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Post-Closing Item</w:t>
            </w:r>
          </w:p>
        </w:tc>
        <w:tc>
          <w:tcPr>
            <w:tcW w:w="220" w:type="dxa"/>
            <w:vAlign w:val="bottom"/>
          </w:tcPr>
          <w:p>
            <w:pPr>
              <w:spacing w:after="0"/>
              <w:rPr>
                <w:sz w:val="20"/>
                <w:szCs w:val="20"/>
                <w:color w:val="auto"/>
              </w:rPr>
            </w:pPr>
          </w:p>
        </w:tc>
        <w:tc>
          <w:tcPr>
            <w:tcW w:w="55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Required Completion Date</w:t>
            </w:r>
          </w:p>
        </w:tc>
      </w:tr>
      <w:tr>
        <w:trPr>
          <w:trHeight w:val="34"/>
        </w:trPr>
        <w:tc>
          <w:tcPr>
            <w:tcW w:w="5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5720" w:type="dxa"/>
            <w:vAlign w:val="bottom"/>
            <w:gridSpan w:val="2"/>
          </w:tcPr>
          <w:p>
            <w:pPr>
              <w:spacing w:after="0"/>
              <w:rPr>
                <w:sz w:val="2"/>
                <w:szCs w:val="2"/>
                <w:color w:val="auto"/>
              </w:rPr>
            </w:pPr>
          </w:p>
        </w:tc>
      </w:tr>
      <w:tr>
        <w:trPr>
          <w:trHeight w:val="198"/>
        </w:trPr>
        <w:tc>
          <w:tcPr>
            <w:tcW w:w="540" w:type="dxa"/>
            <w:vAlign w:val="bottom"/>
            <w:tcBorders>
              <w:top w:val="single" w:sz="8" w:color="auto"/>
            </w:tcBorders>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4980" w:type="dxa"/>
            <w:vAlign w:val="bottom"/>
            <w:tcBorders>
              <w:top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Control Agreements duly authorized, executed and delivered by</w:t>
            </w:r>
          </w:p>
        </w:tc>
        <w:tc>
          <w:tcPr>
            <w:tcW w:w="220" w:type="dxa"/>
            <w:vAlign w:val="bottom"/>
          </w:tcPr>
          <w:p>
            <w:pPr>
              <w:spacing w:after="0"/>
              <w:rPr>
                <w:sz w:val="17"/>
                <w:szCs w:val="17"/>
                <w:color w:val="auto"/>
              </w:rPr>
            </w:pPr>
          </w:p>
        </w:tc>
        <w:tc>
          <w:tcPr>
            <w:tcW w:w="5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Within 45 days of the Closing Date</w:t>
            </w:r>
          </w:p>
        </w:tc>
      </w:tr>
      <w:tr>
        <w:trPr>
          <w:trHeight w:val="216"/>
        </w:trPr>
        <w:tc>
          <w:tcPr>
            <w:tcW w:w="5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each bank where a Blocked Account for the benefit of Borrower or</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Grantors is</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maintained.</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Delivery of original stock certificates evidencing Pledged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Within 5 Business Days of the Closing Date</w:t>
            </w:r>
          </w:p>
        </w:tc>
      </w:tr>
      <w:tr>
        <w:trPr>
          <w:trHeight w:val="216"/>
        </w:trPr>
        <w:tc>
          <w:tcPr>
            <w:tcW w:w="5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original instruments of transfer/stock powers, original</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original signature pages to each Power of Attorney and</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original signature pages to the Closing Date</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endorsements naming Agent, on behalf of the Lenders,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Within 30 days of the Closing Date</w:t>
            </w:r>
          </w:p>
        </w:tc>
      </w:tr>
      <w:tr>
        <w:trPr>
          <w:trHeight w:val="216"/>
        </w:trPr>
        <w:tc>
          <w:tcPr>
            <w:tcW w:w="5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lender’s loss payee and additional insured pursuant to Section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3.15(b) of this</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Landlord waivers with respect to the below properties pursuant to</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Within 30 days of the Closing Date</w:t>
            </w:r>
          </w:p>
        </w:tc>
      </w:tr>
      <w:tr>
        <w:trPr>
          <w:trHeight w:val="216"/>
        </w:trPr>
        <w:tc>
          <w:tcPr>
            <w:tcW w:w="5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3.24 of this Agreement.</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ind w:left="1320" w:hanging="313"/>
        <w:spacing w:after="0"/>
        <w:tabs>
          <w:tab w:leader="none" w:pos="1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1190 Trademark Drive, Reno, Nevada</w:t>
      </w:r>
    </w:p>
    <w:p>
      <w:pPr>
        <w:spacing w:after="0" w:line="9" w:lineRule="exact"/>
        <w:rPr>
          <w:rFonts w:ascii="Times New Roman" w:cs="Times New Roman" w:eastAsia="Times New Roman" w:hAnsi="Times New Roman"/>
          <w:sz w:val="18"/>
          <w:szCs w:val="18"/>
          <w:color w:val="auto"/>
        </w:rPr>
      </w:pPr>
    </w:p>
    <w:p>
      <w:pPr>
        <w:ind w:left="1320" w:hanging="313"/>
        <w:spacing w:after="0"/>
        <w:tabs>
          <w:tab w:leader="none" w:pos="1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1375 Greg Street, Sparks, Nevada</w:t>
      </w:r>
    </w:p>
    <w:p>
      <w:pPr>
        <w:spacing w:after="0" w:line="9" w:lineRule="exact"/>
        <w:rPr>
          <w:rFonts w:ascii="Times New Roman" w:cs="Times New Roman" w:eastAsia="Times New Roman" w:hAnsi="Times New Roman"/>
          <w:sz w:val="18"/>
          <w:szCs w:val="18"/>
          <w:color w:val="auto"/>
        </w:rPr>
      </w:pPr>
    </w:p>
    <w:p>
      <w:pPr>
        <w:ind w:left="1320" w:hanging="313"/>
        <w:spacing w:after="0"/>
        <w:tabs>
          <w:tab w:leader="none" w:pos="1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12815 Old Virginia Road, Reno, Nevada</w:t>
      </w:r>
    </w:p>
    <w:p>
      <w:pPr>
        <w:spacing w:after="0" w:line="9" w:lineRule="exact"/>
        <w:rPr>
          <w:sz w:val="20"/>
          <w:szCs w:val="20"/>
          <w:color w:val="auto"/>
        </w:rPr>
      </w:pPr>
    </w:p>
    <w:p>
      <w:pPr>
        <w:ind w:left="680" w:right="2960" w:hanging="399"/>
        <w:spacing w:after="0" w:line="260" w:lineRule="auto"/>
        <w:tabs>
          <w:tab w:leader="none" w:pos="660" w:val="left"/>
        </w:tabs>
        <w:rPr>
          <w:sz w:val="20"/>
          <w:szCs w:val="20"/>
          <w:color w:val="auto"/>
        </w:rPr>
      </w:pPr>
      <w:r>
        <w:rPr>
          <w:rFonts w:ascii="Times New Roman" w:cs="Times New Roman" w:eastAsia="Times New Roman" w:hAnsi="Times New Roman"/>
          <w:sz w:val="18"/>
          <w:szCs w:val="18"/>
          <w:color w:val="auto"/>
        </w:rPr>
        <w:t>5.</w:t>
        <w:tab/>
        <w:t>Bailee Waiver with Watchpoint Within 30 days of the Closing Date Logistics pursuant to Section 3.24 of this Agreement.</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0000"/>
          <w:strike w:val="1"/>
        </w:rPr>
        <w:t>Schedule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JOINDER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29, 2024</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JOINDER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dated as of the date hereof, is executed by BATTLE BORN BATTERY PRODUCTS,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liability company (“</w:t>
      </w:r>
      <w:r>
        <w:rPr>
          <w:rFonts w:ascii="Times New Roman" w:cs="Times New Roman" w:eastAsia="Times New Roman" w:hAnsi="Times New Roman"/>
          <w:sz w:val="18"/>
          <w:szCs w:val="18"/>
          <w:b w:val="1"/>
          <w:bCs w:val="1"/>
          <w:color w:val="auto"/>
        </w:rPr>
        <w:t>New Credit Party</w:t>
      </w:r>
      <w:r>
        <w:rPr>
          <w:rFonts w:ascii="Times New Roman" w:cs="Times New Roman" w:eastAsia="Times New Roman" w:hAnsi="Times New Roman"/>
          <w:sz w:val="18"/>
          <w:szCs w:val="18"/>
          <w:color w:val="auto"/>
        </w:rPr>
        <w:t>”) in favor of Agent for the benefit of the Lenders described below. All capitalized terms used and not defined herein have the meanings herein as set forth in the Loan Agreement (as defined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that certain Term Loan, Guarantee and Security Agreement, dated as of October 7, 2022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restated,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by and among DRAGONFLY ENERGY CORP.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DRAGONFLY ENERGY HOLDINGS CORP. (f/k/a Chardan Nextech Acquisition 2 Corp.)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each other Credit Party from time to time party thereto, the lenders from time to time party thereto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ALTER DOMUS (US) LLC, as agent (in such capacity,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the Lenders have, subject to the terms and conditions in the Loan Agreement, agreed to make the loans and other extensions of credit to Borrower.</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1.12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Loan Agreement and subject to certain limitations and exceptions set forth therein,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Party is a Subsidiary of Borrower and is required to become (or has been designated by the Borrower to become, if applicable) a Credit Party, Grantor and either a co-Borrower or Guarantor, as applicable, under the Loan Agreement and each of the other Loan Documents and, as such, derives benefits from the loans and other extensions of credit by the Lenders to Borrower; and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New Credit Party desires to join the Loan Agreement and each of the other Loan Documents to which the Credit Parties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date hereof, as a Credit Party, Grantor, Pledgor (if applicable, and either a co-Borrower or Guarantor (as applicable), thereunder, and to be bound thereby;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mutual covenants herein contained and in the other Loan Documents, and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receipt and sufficiency of which are hereby acknowledged, the parties hereto agree as follows:</w:t>
      </w:r>
    </w:p>
    <w:p>
      <w:pPr>
        <w:spacing w:after="0" w:line="159" w:lineRule="exact"/>
        <w:rPr>
          <w:sz w:val="20"/>
          <w:szCs w:val="20"/>
          <w:color w:val="auto"/>
        </w:rPr>
      </w:pPr>
    </w:p>
    <w:p>
      <w:pPr>
        <w:ind w:left="840" w:hanging="184"/>
        <w:spacing w:after="0"/>
        <w:tabs>
          <w:tab w:leader="none" w:pos="8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All capitalized terms used but not otherwise defined herein shall have the meanings given to them in the Loan Agreement.</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JOINDER; GRANT OF SECURITY INTEREST; GUARANTEE.</w:t>
      </w:r>
    </w:p>
    <w:p>
      <w:pPr>
        <w:spacing w:after="0" w:line="225" w:lineRule="exact"/>
        <w:rPr>
          <w:sz w:val="20"/>
          <w:szCs w:val="20"/>
          <w:color w:val="auto"/>
        </w:rPr>
      </w:pPr>
    </w:p>
    <w:p>
      <w:pPr>
        <w:jc w:val="both"/>
        <w:ind w:firstLine="656"/>
        <w:spacing w:after="0" w:line="256" w:lineRule="auto"/>
        <w:tabs>
          <w:tab w:leader="none" w:pos="90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New Credit Party hereby joins the Loan Agreement and each of the other Loan Documents as a Credit Party, Grantor, Pledgor (if applicable) and Guarantor, and agrees to be bound by all of the terms thereof and shall be as fully a party thereto as if New Credit Party were an original signatory thereto. New Credit Party hereby assumes all of the obligations of a Credit Party, Guarantor, Grantor and Pledgor, as applicable, under the Loan Documents to which it is hereby joining, and agrees to be bound by all of the terms, provisions and conditions contained in such Loan Documents applicable to a Credit Party, Guarantor, Grantor and Pledgor, as applicable. Each reference to a “Guarantor”, “Credit Party”, “Grantor” or “Pledgor” in the Loan Agreement or any other Loan Document heretofore, now or hereafter executed, shall be deemed to include New Credit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6" w:name="page207"/>
    <w:bookmarkEnd w:id="206"/>
    <w:p>
      <w:pPr>
        <w:jc w:val="both"/>
        <w:ind w:firstLine="656"/>
        <w:spacing w:after="0" w:line="255" w:lineRule="auto"/>
        <w:tabs>
          <w:tab w:leader="none" w:pos="90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Without limiting the generality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Joinder, New Credit Party hereby acknowledges, agrees and confirms the grant by New Credit Party as of the date of this Joinder of a continuing security interest, pledge and assignment to Agent of all of its right, title, and interest in all currently existing and hereafter acquired or arising Collateral in order to secure prompt repayment of any and all of the Obligations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Loan Agreement. In furtherance of the foregoing, New Credit Party agrees to execute and/or deliver to Agent such Loan Documents, Collateral Documents and other documents, UCC and/or PPSA financing statements, officer’s certificates as to the organization and incumbency and any other documents, instruments, certificates or agreements as Agent may reasonably request to give effect to this joinder of New Credit Party as a Credit Party.</w:t>
      </w:r>
    </w:p>
    <w:p>
      <w:pPr>
        <w:spacing w:after="0" w:line="189" w:lineRule="exact"/>
        <w:rPr>
          <w:sz w:val="20"/>
          <w:szCs w:val="20"/>
          <w:color w:val="auto"/>
        </w:rPr>
      </w:pPr>
    </w:p>
    <w:p>
      <w:pPr>
        <w:jc w:val="both"/>
        <w:ind w:firstLine="656"/>
        <w:spacing w:after="0" w:line="255" w:lineRule="auto"/>
        <w:tabs>
          <w:tab w:leader="none" w:pos="84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New Credit Party hereby represents and warrants to Agent that (a) this Joinder has been duly authorized, executed and delivered by New Credit Party, (b) after giving effect to this Joinder, no Default or Event of Default has occurred and is continuing as of the date hereof, and (c) all of the representations and warranties applicable to New Credit Party in the Loan Documents are true and correct in all material respects (except to the extent such representations and warranties expressly relate to an earlier date, in which case they are true and correct in all material respects as of such earlier date (except in each case (whether the date hereof or such earlier date) to the extent that such representation or warranty is qualified by “Material Adverse Effect” or any other materiality qualifier, in which case it is true and correct in all respects)) on and as of the date of this Joinder after giving effect to this Joinder, including the updates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This Joinder shall be deemed a Loan Document for all purposes under the Loan Agreement. New Credit Party hereby confirms that it has received a copy as executed of the Loan Agreement, and all annexes, exhibits and schedules thereto.</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The undersigned has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supplemental schedules which supplement the Schedules to the Loan Agreement in respect of New Credit Party, and the undersigned hereby certifies, as of the date hereof, that it has caused such Schedules to have been prepared in substantially the form of the equivalent Schedules to the Loan Agreement, and such Schedules include all of the information required to be scheduled to the Loan Agreement in respect of New Credit Party and do not omit to state any material information with respect thereto.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Joinder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To the extent permitted by applicable law, Additional Guarantor hereby waives any provision of law that renders any provision hereof prohibited or unenforceable in any respect; provided that Additional Guarantor does not waive the provisions of any applicable Debtor Relief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7" w:name="page208"/>
    <w:bookmarkEnd w:id="207"/>
    <w:p>
      <w:pPr>
        <w:jc w:val="both"/>
        <w:ind w:firstLine="656"/>
        <w:spacing w:after="0" w:line="262" w:lineRule="auto"/>
        <w:tabs>
          <w:tab w:leader="none" w:pos="8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JOINDER SHALL BE GOVERNED BY, AND CONSTRUED AND ENFORCED IN ACCORDANCE WITH, THE LAWS OF THE STATE OF NEW YORK APPLICABLE TO CONTRACTS MADE AND PERFORMED IN SUCH STATE, WITHOUT REGARD TO THE PRINCIPLES THEREOF REGARDING CONFLICTS OF LAWS OTHER THAN SECTION 5-1401 OF THE GENERAL OBLIGATION LAWS OF NEW YORK.</w:t>
      </w:r>
    </w:p>
    <w:p>
      <w:pPr>
        <w:spacing w:after="0" w:line="180"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Joinder may be executed in any number of counterparts, each of which shall be deemed to be an original, but all such separate counterparts shall together constitute but one and the same instrument. This Joinder may be authenticated by manual signature, facsimile or, if approved in writing by Agent, electronic means, all of which shall be equally valid. Delivery of an executed counterpart of a signature page of this Agreement by facsimile or in electronic (i.e., “pdf” or “tif”) format shall be effective as delivery of a manually executed counterpart of this Joinder. The words “execution,” “signed,” “signature,” and words of like import in this Joinder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the case may be.</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 OF JOINDER</w:t>
      </w:r>
      <w:r>
        <w:rPr>
          <w:rFonts w:ascii="Times New Roman" w:cs="Times New Roman" w:eastAsia="Times New Roman" w:hAnsi="Times New Roman"/>
          <w:sz w:val="18"/>
          <w:szCs w:val="18"/>
          <w:color w:val="auto"/>
        </w:rPr>
        <w:t xml:space="preserve">. This Joinder shall not become effective unless and until (i) one or more counterparts of the same have been duly executed by New Credit Party and delivered to Agent, (ii) all of the conditions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of the Loan Agreement have been satisfied or waived by Agent and (iii) Borrower and the other Credit Parties shall have executed the attached Confirmation and delivered the same to the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New Credit Party has caused this Joinder to be duly executed and delivered as of the day and year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BATTLE BORN BATTERY PRODUCTS, LLC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3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JOINDER AGREEMENT (BATTLE 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657" w:right="3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CONFIRMATION</w:t>
      </w:r>
    </w:p>
    <w:p>
      <w:pPr>
        <w:spacing w:after="0" w:line="229" w:lineRule="exact"/>
        <w:rPr>
          <w:sz w:val="20"/>
          <w:szCs w:val="20"/>
          <w:color w:val="auto"/>
        </w:rPr>
      </w:pPr>
    </w:p>
    <w:p>
      <w:pPr>
        <w:jc w:val="both"/>
        <w:ind w:firstLine="8"/>
        <w:spacing w:after="0" w:line="261" w:lineRule="auto"/>
        <w:rPr>
          <w:sz w:val="20"/>
          <w:szCs w:val="20"/>
          <w:color w:val="auto"/>
        </w:rPr>
      </w:pPr>
      <w:r>
        <w:rPr>
          <w:rFonts w:ascii="Times New Roman" w:cs="Times New Roman" w:eastAsia="Times New Roman" w:hAnsi="Times New Roman"/>
          <w:sz w:val="18"/>
          <w:szCs w:val="18"/>
          <w:color w:val="auto"/>
        </w:rPr>
        <w:t>The undersigned Credit Parties hereby acknowledge the te1ms of the foregoing Joinder Agreement and agree and confum that its obligations under each Loan Document to which it is a party will continue in full force and effect after giving effect to such Joinder Agreement, and nothing in such Joinder Agreement shall be deemed to constitute a novation or an accord and satisfaction of any of the Obligations or to modify, affect or impair the pe1fection or continuity of Agent’s security interests in, security titles to or other Liens on any Collateral.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BORROWER:</w:t>
            </w: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DRAGONFLY ENERGY CORP.</w:t>
            </w:r>
          </w:p>
        </w:tc>
      </w:tr>
      <w:tr>
        <w:trPr>
          <w:trHeight w:val="439"/>
        </w:trPr>
        <w:tc>
          <w:tcPr>
            <w:tcW w:w="3360" w:type="dxa"/>
            <w:vAlign w:val="bottom"/>
          </w:tcPr>
          <w:p>
            <w:pPr>
              <w:spacing w:after="0"/>
              <w:rPr>
                <w:sz w:val="24"/>
                <w:szCs w:val="24"/>
                <w:color w:val="auto"/>
              </w:rPr>
            </w:pPr>
          </w:p>
        </w:tc>
        <w:tc>
          <w:tcPr>
            <w:tcW w:w="2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3360" w:type="dxa"/>
            <w:vAlign w:val="bottom"/>
          </w:tcPr>
          <w:p>
            <w:pPr>
              <w:spacing w:after="0"/>
              <w:rPr>
                <w:sz w:val="17"/>
                <w:szCs w:val="17"/>
                <w:color w:val="auto"/>
              </w:rPr>
            </w:pPr>
          </w:p>
        </w:tc>
        <w:tc>
          <w:tcPr>
            <w:tcW w:w="2840" w:type="dxa"/>
            <w:vAlign w:val="bottom"/>
          </w:tcPr>
          <w:p>
            <w:pPr>
              <w:ind w:left="22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3360" w:type="dxa"/>
            <w:vAlign w:val="bottom"/>
          </w:tcPr>
          <w:p>
            <w:pPr>
              <w:spacing w:after="0"/>
              <w:rPr>
                <w:sz w:val="20"/>
                <w:szCs w:val="20"/>
                <w:color w:val="auto"/>
              </w:rPr>
            </w:pPr>
          </w:p>
        </w:tc>
        <w:tc>
          <w:tcPr>
            <w:tcW w:w="2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HOLDINGS:</w:t>
            </w: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(f/k/a Chardan Nextech Acquisition 2 Corp.)</w:t>
            </w:r>
          </w:p>
        </w:tc>
      </w:tr>
      <w:tr>
        <w:trPr>
          <w:trHeight w:val="439"/>
        </w:trPr>
        <w:tc>
          <w:tcPr>
            <w:tcW w:w="3360" w:type="dxa"/>
            <w:vAlign w:val="bottom"/>
          </w:tcPr>
          <w:p>
            <w:pPr>
              <w:spacing w:after="0"/>
              <w:rPr>
                <w:sz w:val="24"/>
                <w:szCs w:val="24"/>
                <w:color w:val="auto"/>
              </w:rPr>
            </w:pPr>
          </w:p>
        </w:tc>
        <w:tc>
          <w:tcPr>
            <w:tcW w:w="2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3360" w:type="dxa"/>
            <w:vAlign w:val="bottom"/>
          </w:tcPr>
          <w:p>
            <w:pPr>
              <w:spacing w:after="0"/>
              <w:rPr>
                <w:sz w:val="17"/>
                <w:szCs w:val="17"/>
                <w:color w:val="auto"/>
              </w:rPr>
            </w:pPr>
          </w:p>
        </w:tc>
        <w:tc>
          <w:tcPr>
            <w:tcW w:w="2840" w:type="dxa"/>
            <w:vAlign w:val="bottom"/>
          </w:tcPr>
          <w:p>
            <w:pPr>
              <w:ind w:left="22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3360" w:type="dxa"/>
            <w:vAlign w:val="bottom"/>
          </w:tcPr>
          <w:p>
            <w:pPr>
              <w:spacing w:after="0"/>
              <w:rPr>
                <w:sz w:val="20"/>
                <w:szCs w:val="20"/>
                <w:color w:val="auto"/>
              </w:rPr>
            </w:pPr>
          </w:p>
        </w:tc>
        <w:tc>
          <w:tcPr>
            <w:tcW w:w="2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JOINDER AGREEMENT (BATTLE 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156845</wp:posOffset>
            </wp:positionV>
            <wp:extent cx="2254250" cy="7112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25425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Enters into $30M Licensing Agreement for Battle Born Batteries Brand with Stryten Energy, a Leading North American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Battery Manufacturer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Agreement to allow for expansion of Battle Born Batteries® products into new markets</w:t>
      </w:r>
    </w:p>
    <w:p>
      <w:pPr>
        <w:spacing w:after="0" w:line="205" w:lineRule="exact"/>
        <w:rPr>
          <w:sz w:val="20"/>
          <w:szCs w:val="20"/>
          <w:color w:val="auto"/>
        </w:rPr>
      </w:pPr>
    </w:p>
    <w:p>
      <w:pPr>
        <w:ind w:left="980" w:right="20" w:hanging="324"/>
        <w:spacing w:after="0" w:line="262" w:lineRule="auto"/>
        <w:tabs>
          <w:tab w:leader="none" w:pos="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Dragonfly Energy signs a $30 million agreement to license its popular lithium-ion battery brand, Battle Born Batteries®, to Stryten Energy for distribution globally</w:t>
      </w:r>
    </w:p>
    <w:p>
      <w:pPr>
        <w:ind w:left="980" w:hanging="324"/>
        <w:spacing w:after="0" w:line="250" w:lineRule="auto"/>
        <w:tabs>
          <w:tab w:leader="none" w:pos="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Stryten Energy will have exclusive rights to market and distribute Battle Born Batteries for military, automotive, marine, power sports, lawn and garden and golf cart applications. All B2B end markets Dragonfly Energy doesn’t currently have a presence in.</w:t>
      </w:r>
    </w:p>
    <w:p>
      <w:pPr>
        <w:ind w:left="980" w:hanging="324"/>
        <w:spacing w:after="0" w:line="250" w:lineRule="auto"/>
        <w:tabs>
          <w:tab w:leader="none" w:pos="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This partnership will encompass a mix of existing Battle Born Batteries products, with a strong focus on the development of new battery models specifically tailored to Stryten Energy’s target markets.</w:t>
      </w:r>
    </w:p>
    <w:p>
      <w:pPr>
        <w:ind w:left="980" w:hanging="324"/>
        <w:spacing w:after="0" w:line="260" w:lineRule="auto"/>
        <w:tabs>
          <w:tab w:leader="none" w:pos="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Dragonfly Energy will receive an initial licensing fee of $5 million and have the right to mid-single digit royalty payments for up to an additional $25 million.</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RENO, NEVADA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July 30, 2024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Dragonfly Energy Holdings Corp.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(“Dragonfly Energy” or the “Company”) (Nasdaq: DFLI), an industry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storage and manufacturer of lithium-ion batteries, today announced a strategic partnership with Stryten Energy, a leading North American battery manufacturer, for the licensing of the Dragonfly Energy’s Battle Born Batteries® brand of lithium-ion batteries. The agreement, with a potential value of up to $30 million, grants Stryten Energy a license to market and distribute Dragonfly Energy’s Battle Born Batteries globally. Stryten Energy plans to leverage its vast distributor and customer network to introduce Battle Born Batteries branded products to new business-to-business (B2B) markets, including military, automotive, marine, power sports, lawn &amp; garden and golf carts.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129540</wp:posOffset>
            </wp:positionV>
            <wp:extent cx="3703320" cy="2468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70332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Mike Judd, Chief Executive Officer and President (left) and Petar Oklobdzija, Executive Vice President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 at Stryten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1" w:name="page212"/>
    <w:bookmarkEnd w:id="211"/>
    <w:p>
      <w:pPr>
        <w:jc w:val="both"/>
        <w:spacing w:after="0" w:line="258" w:lineRule="auto"/>
        <w:rPr>
          <w:sz w:val="20"/>
          <w:szCs w:val="20"/>
          <w:color w:val="auto"/>
        </w:rPr>
      </w:pPr>
      <w:r>
        <w:rPr>
          <w:rFonts w:ascii="Times New Roman" w:cs="Times New Roman" w:eastAsia="Times New Roman" w:hAnsi="Times New Roman"/>
          <w:sz w:val="18"/>
          <w:szCs w:val="18"/>
          <w:color w:val="auto"/>
        </w:rPr>
        <w:t>“At Dragonfly Energy, we’re incredibly proud to see the Battle Born Batteries brand take this leap forward into new end markets,” said Dr. Denis Phares, chief executive officer of Dragonfly Energy. “The love and trust our customers have placed in our products has been humbling, and the potential to see our lithium batteries on shelves at major retailers, alongside other leading brands’ components, not only is a testament to their enduring quality but makes them more accessible to consumers nationwide. We believe that Stryten Energy’s extensive reach and shared commitment to innovation will make this agreement the beginning of a truly mutually beneficial relationship, and we’re confident it will unlock increased growth for both companies.”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partnership between Dragonfly Energy and Stryten Energy will focus on battery design, contract manufacturing and licensing of Battle Born Batteries products for new B2B end markets where the Company does not currently have a presence in. Dragonfly Energy will continue its independent operations in existing markets such as recreational vehicles (RV), off-grid properties, heavy-duty trucking, stationary storage, and oil and gas. The potential value of the licensing agreement is $30 million, comprised of an upfront payment of $5 million to Dragonfly Energy and subsequent mid-single digit royalty payments based on Stryten Energy’s product volume using the licensed branding, with a tiered structure reaching up to an additional $25 million, at which point Stryten Energy will be required to pay a nominal annual license fee. Additional fees will apply for battery design and contract manufacturing services outside of the licensing agreement and are expected to provide additional revenue to the Company.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Stryten Energy is a leading U.S.-based manufacturer of energy storage solutions, providing advanced lead, lithium and vanadium batteries to customers across the transportation, industrial, military and government sectors. With a workforce of over 2,500 employees and ten manufacturing plants, Stryten Energy is a respected supplier in the energy storage market. Through a nationwide customer base of automotive aftermarket retailers and battery distributors, this exclusive business-to-business licensing deal is poised to expand brand awareness and market reach of Battle Born Batteries while offering Stryten Energy’s customers reliable, trusted and powerful lithium-based power solutions.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Stryten Energy, we’re focused on providing premium energy storage solutions to our customers,” said Mike Judd, chief executive officer of Stryten Energy. “This partnership with Dragonfly Energy will allow us to expand our transportation product portfolio and provide our customers access to the well-known Battle Born Batteries brand of quality lithium batteries. We’re excited about the market potential this collaboration holds and look forward to continuing to explore future opportunities as we grow our relationship with Dragonfly Energy.”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ensure the same high level of quality customers expect from the Battle Born Batteries brand, Dragonfly Energy will initially contract manufacture all batteries distributed by Stryten Energy at the Company’s facility in Northern Nevada until Stryten Energy establishes its own domestic manufacturing footprint. This partnership will encompass a mix of existing Battle Born Batteries products, with a strong focus on the development of new battery models specifically tailored to Stryten Energy’s target markets. This approach will allow Stryten to leverage the proven performance of Battle Born Batteries while offering unique solutions to its diverse customer base. Dragonfly Energy remains committed to providing exceptional technical support for all Battle Born Batteries products and will continue to grow their support team along with increasing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2" w:name="page213"/>
    <w:bookmarkEnd w:id="212"/>
    <w:p>
      <w:pPr>
        <w:jc w:val="both"/>
        <w:spacing w:after="0" w:line="261" w:lineRule="auto"/>
        <w:rPr>
          <w:sz w:val="20"/>
          <w:szCs w:val="20"/>
          <w:color w:val="auto"/>
        </w:rPr>
      </w:pPr>
      <w:r>
        <w:rPr>
          <w:rFonts w:ascii="Times New Roman" w:cs="Times New Roman" w:eastAsia="Times New Roman" w:hAnsi="Times New Roman"/>
          <w:sz w:val="18"/>
          <w:szCs w:val="18"/>
          <w:color w:val="auto"/>
        </w:rPr>
        <w:t>“The impact of this partnership with Stryten Energy for the wider proliferation of the Battle Born Batteries brand cannot be understated,” said Tyler Bourns, chief marketing officer at Dragonfly Energy. “We believe this agreement not only allows us to expand the brand into a wider range of previously untapped markets, but also leverages Stryten Energy’s vast retail and distribution customer network to significantly increase our brand awareness. We believe this is a major step forward in our mission to make Battle Born Batteries a household name across North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Dragonfly Energy, visit </w:t>
      </w:r>
      <w:r>
        <w:rPr>
          <w:rFonts w:ascii="Times New Roman" w:cs="Times New Roman" w:eastAsia="Times New Roman" w:hAnsi="Times New Roman"/>
          <w:sz w:val="18"/>
          <w:szCs w:val="18"/>
          <w:u w:val="single" w:color="auto"/>
          <w:color w:val="auto"/>
        </w:rPr>
        <w:t>DragonflyEnergy.com.</w:t>
      </w:r>
      <w:r>
        <w:rPr>
          <w:rFonts w:ascii="Times New Roman" w:cs="Times New Roman" w:eastAsia="Times New Roman" w:hAnsi="Times New Roman"/>
          <w:sz w:val="18"/>
          <w:szCs w:val="18"/>
          <w:color w:val="auto"/>
        </w:rPr>
        <w:t xml:space="preserve"> To learn more about Stryten Energy, visit </w:t>
      </w:r>
      <w:r>
        <w:rPr>
          <w:rFonts w:ascii="Times New Roman" w:cs="Times New Roman" w:eastAsia="Times New Roman" w:hAnsi="Times New Roman"/>
          <w:sz w:val="18"/>
          <w:szCs w:val="18"/>
          <w:u w:val="single" w:color="auto"/>
          <w:color w:val="auto"/>
        </w:rPr>
        <w:t>Stryten.com.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www.dragonflyenergy.com/investors.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Stryten Energy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Stryten Energy helps solve the world’s most pressing energy challenges with a broad range of energy storage solutions across the Essential Power, Motive Power, Transportation, Military and Government sectors. Headquartered in Alpharetta, Georgia, we partner with some of the world’s most recognized companies to meet the growing demand for reliable and sustainable energy storage capacity. Stryten powers everything from submarines to subcompacts, microgrids, warehouses, distribution centers, cars, trains and trucks. Our stored energy technologies include advanced lead, lithium and vanadium redox flow batteries, intelligent chargers and energy performance management software that keep people on the move and supply chains running. An industry leader backed by more than a century of expertise, Stryten has The Energy to Challenge the status quo and deliver top-performing energy solutions for today and tomorrow. Learn more at </w:t>
      </w:r>
      <w:r>
        <w:rPr>
          <w:rFonts w:ascii="Times New Roman" w:cs="Times New Roman" w:eastAsia="Times New Roman" w:hAnsi="Times New Roman"/>
          <w:sz w:val="18"/>
          <w:szCs w:val="18"/>
          <w:u w:val="single" w:color="auto"/>
          <w:color w:val="auto"/>
        </w:rPr>
        <w:t>stryten.com.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its partnership with Stryten Energy and the potential value of the license agreement, the Company’s future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3" w:name="page214"/>
    <w:bookmarkEnd w:id="213"/>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risks, uncertainties, and other factors (some of which are beyond the Company’s control) which could cause actual results to differ materially from those expressed or implied by such forward-looking statements. Such factors include those set forth in the sections entitled “Risk Factors” and “Cautionary Note Regarding Forward-Looking Statements” in the Company’s Annual Report on Form 10-K for the year ended December 31, 2023, and in the Company’s subsequent filings with the SEC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Caldwell Bailey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Demuth, RAD Strategies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dragonfly@radstrategiesinc.com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Click to download b-roll video of Dragonfly Energy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Click to download photos to accompany this release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72BD23"/>
    <w:multiLevelType w:val="hybridMultilevel"/>
    <w:lvl w:ilvl="0">
      <w:lvlJc w:val="left"/>
      <w:lvlText w:val="☐"/>
      <w:numFmt w:val="bullet"/>
      <w:start w:val="1"/>
    </w:lvl>
  </w:abstractNum>
  <w:abstractNum w:abstractNumId="1">
    <w:nsid w:val="6FC75AF8"/>
    <w:multiLevelType w:val="hybridMultilevel"/>
    <w:lvl w:ilvl="0">
      <w:lvlJc w:val="left"/>
      <w:lvlText w:val="(%1)"/>
      <w:numFmt w:val="lowerRoman"/>
      <w:start w:val="6"/>
    </w:lvl>
  </w:abstractNum>
  <w:abstractNum w:abstractNumId="2">
    <w:nsid w:val="6A5F7029"/>
    <w:multiLevelType w:val="hybridMultilevel"/>
    <w:lvl w:ilvl="0">
      <w:lvlJc w:val="left"/>
      <w:lvlText w:val="#"/>
      <w:numFmt w:val="bullet"/>
      <w:start w:val="1"/>
    </w:lvl>
  </w:abstractNum>
  <w:abstractNum w:abstractNumId="3">
    <w:nsid w:val="7D5E18F8"/>
    <w:multiLevelType w:val="hybridMultilevel"/>
    <w:lvl w:ilvl="0">
      <w:lvlJc w:val="left"/>
      <w:lvlText w:val="+"/>
      <w:numFmt w:val="bullet"/>
      <w:start w:val="1"/>
    </w:lvl>
  </w:abstractNum>
  <w:abstractNum w:abstractNumId="4">
    <w:nsid w:val="5F3534A4"/>
    <w:multiLevelType w:val="hybridMultilevel"/>
    <w:lvl w:ilvl="0">
      <w:lvlJc w:val="left"/>
      <w:lvlText w:val="[***]"/>
      <w:numFmt w:val="bullet"/>
      <w:start w:val="1"/>
    </w:lvl>
  </w:abstractNum>
  <w:abstractNum w:abstractNumId="5">
    <w:nsid w:val="73A1821B"/>
    <w:multiLevelType w:val="hybridMultilevel"/>
    <w:lvl w:ilvl="0">
      <w:lvlJc w:val="left"/>
      <w:lvlText w:val="%1."/>
      <w:numFmt w:val="decimal"/>
      <w:start w:val="2"/>
    </w:lvl>
  </w:abstractNum>
  <w:abstractNum w:abstractNumId="6">
    <w:nsid w:val="7DE67713"/>
    <w:multiLevelType w:val="hybridMultilevel"/>
    <w:lvl w:ilvl="0">
      <w:lvlJc w:val="left"/>
      <w:lvlText w:val="(%1)"/>
      <w:numFmt w:val="lowerLetter"/>
      <w:start w:val="2"/>
    </w:lvl>
  </w:abstractNum>
  <w:abstractNum w:abstractNumId="7">
    <w:nsid w:val="555C55B5"/>
    <w:multiLevelType w:val="hybridMultilevel"/>
    <w:lvl w:ilvl="0">
      <w:lvlJc w:val="left"/>
      <w:lvlText w:val="(%1)"/>
      <w:numFmt w:val="lowerLetter"/>
      <w:start w:val="1"/>
    </w:lvl>
  </w:abstractNum>
  <w:abstractNum w:abstractNumId="8">
    <w:nsid w:val="3FA62ACA"/>
    <w:multiLevelType w:val="hybridMultilevel"/>
    <w:lvl w:ilvl="0">
      <w:lvlJc w:val="left"/>
      <w:lvlText w:val="%1"/>
      <w:numFmt w:val="decimal"/>
      <w:start w:val="1"/>
    </w:lvl>
    <w:lvl w:ilvl="1">
      <w:lvlJc w:val="left"/>
      <w:lvlText w:val="(%2)"/>
      <w:numFmt w:val="lowerLetter"/>
      <w:start w:val="2"/>
    </w:lvl>
  </w:abstractNum>
  <w:abstractNum w:abstractNumId="9">
    <w:nsid w:val="14FCE74E"/>
    <w:multiLevelType w:val="hybridMultilevel"/>
    <w:lvl w:ilvl="0">
      <w:lvlJc w:val="left"/>
      <w:lvlText w:val="%1."/>
      <w:numFmt w:val="decimal"/>
      <w:start w:val="3"/>
    </w:lvl>
    <w:lvl w:ilvl="1">
      <w:lvlJc w:val="left"/>
      <w:lvlText w:val="%2"/>
      <w:numFmt w:val="lowerLetter"/>
      <w:start w:val="1"/>
    </w:lvl>
  </w:abstractNum>
  <w:abstractNum w:abstractNumId="10">
    <w:nsid w:val="6A3DD3E8"/>
    <w:multiLevelType w:val="hybridMultilevel"/>
    <w:lvl w:ilvl="0">
      <w:lvlJc w:val="left"/>
      <w:lvlText w:val="%1."/>
      <w:numFmt w:val="decimal"/>
      <w:start w:val="4"/>
    </w:lvl>
  </w:abstractNum>
  <w:abstractNum w:abstractNumId="11">
    <w:nsid w:val="71C91298"/>
    <w:multiLevelType w:val="hybridMultilevel"/>
    <w:lvl w:ilvl="0">
      <w:lvlJc w:val="left"/>
      <w:lvlText w:val="(%1)"/>
      <w:numFmt w:val="lowerLetter"/>
      <w:start w:val="1"/>
    </w:lvl>
  </w:abstractNum>
  <w:abstractNum w:abstractNumId="12">
    <w:nsid w:val="9DAF632"/>
    <w:multiLevelType w:val="hybridMultilevel"/>
    <w:lvl w:ilvl="0">
      <w:lvlJc w:val="left"/>
      <w:lvlText w:val="(%1)"/>
      <w:numFmt w:val="lowerLetter"/>
      <w:start w:val="1"/>
    </w:lvl>
  </w:abstractNum>
  <w:abstractNum w:abstractNumId="13">
    <w:nsid w:val="53299938"/>
    <w:multiLevelType w:val="hybridMultilevel"/>
    <w:lvl w:ilvl="0">
      <w:lvlJc w:val="left"/>
      <w:lvlText w:val="(%1)"/>
      <w:numFmt w:val="lowerLetter"/>
      <w:start w:val="4"/>
    </w:lvl>
    <w:lvl w:ilvl="1">
      <w:lvlJc w:val="left"/>
      <w:lvlText w:val="(%2)"/>
      <w:numFmt w:val="lowerRoman"/>
      <w:start w:val="1"/>
    </w:lvl>
  </w:abstractNum>
  <w:abstractNum w:abstractNumId="14">
    <w:nsid w:val="1FBFE8E0"/>
    <w:multiLevelType w:val="hybridMultilevel"/>
    <w:lvl w:ilvl="0">
      <w:lvlJc w:val="left"/>
      <w:lvlText w:val="%1."/>
      <w:numFmt w:val="decimal"/>
      <w:start w:val="5"/>
    </w:lvl>
  </w:abstractNum>
  <w:abstractNum w:abstractNumId="15">
    <w:nsid w:val="5092CA79"/>
    <w:multiLevelType w:val="hybridMultilevel"/>
    <w:lvl w:ilvl="0">
      <w:lvlJc w:val="left"/>
      <w:lvlText w:val="%1."/>
      <w:numFmt w:val="decimal"/>
      <w:start w:val="6"/>
    </w:lvl>
  </w:abstractNum>
  <w:abstractNum w:abstractNumId="16">
    <w:nsid w:val="1D545C4D"/>
    <w:multiLevelType w:val="hybridMultilevel"/>
    <w:lvl w:ilvl="0">
      <w:lvlJc w:val="left"/>
      <w:lvlText w:val="%1."/>
      <w:numFmt w:val="decimal"/>
      <w:start w:val="8"/>
    </w:lvl>
  </w:abstractNum>
  <w:abstractNum w:abstractNumId="17">
    <w:nsid w:val="59ADEA3D"/>
    <w:multiLevelType w:val="hybridMultilevel"/>
    <w:lvl w:ilvl="0">
      <w:lvlJc w:val="left"/>
      <w:lvlText w:val="(%1)"/>
      <w:numFmt w:val="lowerLetter"/>
      <w:start w:val="1"/>
    </w:lvl>
  </w:abstractNum>
  <w:abstractNum w:abstractNumId="18">
    <w:nsid w:val="288F1A34"/>
    <w:multiLevelType w:val="hybridMultilevel"/>
    <w:lvl w:ilvl="0">
      <w:lvlJc w:val="left"/>
      <w:lvlText w:val="%1."/>
      <w:numFmt w:val="decimal"/>
      <w:start w:val="9"/>
    </w:lvl>
  </w:abstractNum>
  <w:abstractNum w:abstractNumId="19">
    <w:nsid w:val="2A155DBC"/>
    <w:multiLevelType w:val="hybridMultilevel"/>
    <w:lvl w:ilvl="0">
      <w:lvlJc w:val="left"/>
      <w:lvlText w:val="%1."/>
      <w:numFmt w:val="decimal"/>
      <w:start w:val="10"/>
    </w:lvl>
  </w:abstractNum>
  <w:abstractNum w:abstractNumId="20">
    <w:nsid w:val="1D9F6E5F"/>
    <w:multiLevelType w:val="hybridMultilevel"/>
    <w:lvl w:ilvl="0">
      <w:lvlJc w:val="left"/>
      <w:lvlText w:val="(%1)"/>
      <w:numFmt w:val="lowerLetter"/>
      <w:start w:val="2"/>
    </w:lvl>
  </w:abstractNum>
  <w:abstractNum w:abstractNumId="21">
    <w:nsid w:val="97E1B4E"/>
    <w:multiLevelType w:val="hybridMultilevel"/>
    <w:lvl w:ilvl="0">
      <w:lvlJc w:val="left"/>
      <w:lvlText w:val="(%1)"/>
      <w:numFmt w:val="lowerLetter"/>
      <w:start w:val="1"/>
    </w:lvl>
  </w:abstractNum>
  <w:abstractNum w:abstractNumId="22">
    <w:nsid w:val="51088277"/>
    <w:multiLevelType w:val="hybridMultilevel"/>
    <w:lvl w:ilvl="0">
      <w:lvlJc w:val="left"/>
      <w:lvlText w:val="(%1)"/>
      <w:numFmt w:val="lowerLetter"/>
      <w:start w:val="1"/>
    </w:lvl>
  </w:abstractNum>
  <w:abstractNum w:abstractNumId="23">
    <w:nsid w:val="1CA0C5FA"/>
    <w:multiLevelType w:val="hybridMultilevel"/>
    <w:lvl w:ilvl="0">
      <w:lvlJc w:val="left"/>
      <w:lvlText w:val="%1."/>
      <w:numFmt w:val="decimal"/>
      <w:start w:val="11"/>
    </w:lvl>
  </w:abstractNum>
  <w:abstractNum w:abstractNumId="24">
    <w:nsid w:val="53584BCB"/>
    <w:multiLevelType w:val="hybridMultilevel"/>
    <w:lvl w:ilvl="0">
      <w:lvlJc w:val="left"/>
      <w:lvlText w:val="%1."/>
      <w:numFmt w:val="decimal"/>
      <w:start w:val="13"/>
    </w:lvl>
  </w:abstractNum>
  <w:abstractNum w:abstractNumId="25">
    <w:nsid w:val="415E286C"/>
    <w:multiLevelType w:val="hybridMultilevel"/>
    <w:lvl w:ilvl="0">
      <w:lvlJc w:val="left"/>
      <w:lvlText w:val="(%1)"/>
      <w:numFmt w:val="lowerLetter"/>
      <w:start w:val="1"/>
    </w:lvl>
  </w:abstractNum>
  <w:abstractNum w:abstractNumId="26">
    <w:nsid w:val="7C58FD05"/>
    <w:multiLevelType w:val="hybridMultilevel"/>
    <w:lvl w:ilvl="0">
      <w:lvlJc w:val="left"/>
      <w:lvlText w:val="(%1)"/>
      <w:numFmt w:val="lowerLetter"/>
      <w:start w:val="1"/>
    </w:lvl>
  </w:abstractNum>
  <w:abstractNum w:abstractNumId="27">
    <w:nsid w:val="23D86AAC"/>
    <w:multiLevelType w:val="hybridMultilevel"/>
    <w:lvl w:ilvl="0">
      <w:lvlJc w:val="left"/>
      <w:lvlText w:val="(%1)"/>
      <w:numFmt w:val="lowerLetter"/>
      <w:start w:val="4"/>
    </w:lvl>
  </w:abstractNum>
  <w:abstractNum w:abstractNumId="28">
    <w:nsid w:val="45E6D486"/>
    <w:multiLevelType w:val="hybridMultilevel"/>
    <w:lvl w:ilvl="0">
      <w:lvlJc w:val="left"/>
      <w:lvlText w:val="%1."/>
      <w:numFmt w:val="decimal"/>
      <w:start w:val="14"/>
    </w:lvl>
  </w:abstractNum>
  <w:abstractNum w:abstractNumId="29">
    <w:nsid w:val="5C10FE21"/>
    <w:multiLevelType w:val="hybridMultilevel"/>
    <w:lvl w:ilvl="0">
      <w:lvlJc w:val="left"/>
      <w:lvlText w:val="(%1)"/>
      <w:numFmt w:val="lowerLetter"/>
      <w:start w:val="1"/>
    </w:lvl>
  </w:abstractNum>
  <w:abstractNum w:abstractNumId="30">
    <w:nsid w:val="E7FFA2B"/>
    <w:multiLevelType w:val="hybridMultilevel"/>
    <w:lvl w:ilvl="0">
      <w:lvlJc w:val="left"/>
      <w:lvlText w:val="(%1)"/>
      <w:numFmt w:val="lowerLetter"/>
      <w:start w:val="2"/>
    </w:lvl>
  </w:abstractNum>
  <w:abstractNum w:abstractNumId="31">
    <w:nsid w:val="3C5991AA"/>
    <w:multiLevelType w:val="hybridMultilevel"/>
    <w:lvl w:ilvl="0">
      <w:lvlJc w:val="left"/>
      <w:lvlText w:val="(%1)"/>
      <w:numFmt w:val="lowerLetter"/>
      <w:start w:val="1"/>
    </w:lvl>
  </w:abstractNum>
  <w:abstractNum w:abstractNumId="32">
    <w:nsid w:val="4BD8591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
    <w:nsid w:val="78DF6A55"/>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34">
    <w:nsid w:val="39B7AAA2"/>
    <w:multiLevelType w:val="hybridMultilevel"/>
    <w:lvl w:ilvl="0">
      <w:lvlJc w:val="left"/>
      <w:lvlText w:val="(%1)"/>
      <w:numFmt w:val="lowerLetter"/>
      <w:start w:val="1"/>
    </w:lvl>
    <w:lvl w:ilvl="1">
      <w:lvlJc w:val="left"/>
      <w:lvlText w:val="(%2)"/>
      <w:numFmt w:val="lowerRoman"/>
      <w:start w:val="1"/>
    </w:lvl>
  </w:abstractNum>
  <w:abstractNum w:abstractNumId="35">
    <w:nsid w:val="2B0D8DBE"/>
    <w:multiLevelType w:val="hybridMultilevel"/>
    <w:lvl w:ilvl="0">
      <w:lvlJc w:val="left"/>
      <w:lvlText w:val="%1"/>
      <w:numFmt w:val="decimal"/>
      <w:start w:val="1"/>
    </w:lvl>
    <w:lvl w:ilvl="1">
      <w:lvlJc w:val="left"/>
      <w:lvlText w:val="(%2)"/>
      <w:numFmt w:val="lowerLetter"/>
      <w:start w:val="3"/>
    </w:lvl>
  </w:abstractNum>
  <w:abstractNum w:abstractNumId="36">
    <w:nsid w:val="6C80EC70"/>
    <w:multiLevelType w:val="hybridMultilevel"/>
    <w:lvl w:ilvl="0">
      <w:lvlJc w:val="left"/>
      <w:lvlText w:val="%1."/>
      <w:numFmt w:val="decimal"/>
      <w:start w:val="16"/>
    </w:lvl>
    <w:lvl w:ilvl="1">
      <w:lvlJc w:val="left"/>
      <w:lvlText w:val="%2"/>
      <w:numFmt w:val="lowerLetter"/>
      <w:start w:val="1"/>
    </w:lvl>
  </w:abstractNum>
  <w:abstractNum w:abstractNumId="37">
    <w:nsid w:val="379E21B5"/>
    <w:multiLevelType w:val="hybridMultilevel"/>
    <w:lvl w:ilvl="0">
      <w:lvlJc w:val="left"/>
      <w:lvlText w:val="(%1)"/>
      <w:numFmt w:val="lowerLetter"/>
      <w:start w:val="1"/>
    </w:lvl>
  </w:abstractNum>
  <w:abstractNum w:abstractNumId="38">
    <w:nsid w:val="69E373"/>
    <w:multiLevelType w:val="hybridMultilevel"/>
    <w:lvl w:ilvl="0">
      <w:lvlJc w:val="left"/>
      <w:lvlText w:val="%1."/>
      <w:numFmt w:val="decimal"/>
      <w:start w:val="17"/>
    </w:lvl>
  </w:abstractNum>
  <w:abstractNum w:abstractNumId="39">
    <w:nsid w:val="2C27173B"/>
    <w:multiLevelType w:val="hybridMultilevel"/>
    <w:lvl w:ilvl="0">
      <w:lvlJc w:val="left"/>
      <w:lvlText w:val="%1."/>
      <w:numFmt w:val="decimal"/>
      <w:start w:val="19"/>
    </w:lvl>
  </w:abstractNum>
  <w:abstractNum w:abstractNumId="40">
    <w:nsid w:val="4C9B0904"/>
    <w:multiLevelType w:val="hybridMultilevel"/>
    <w:lvl w:ilvl="0">
      <w:lvlJc w:val="left"/>
      <w:lvlText w:val="%1."/>
      <w:numFmt w:val="decimal"/>
      <w:start w:val="2"/>
    </w:lvl>
    <w:lvl w:ilvl="1">
      <w:lvlJc w:val="left"/>
      <w:lvlText w:val="(%2)"/>
      <w:numFmt w:val="lowerLetter"/>
      <w:start w:val="1"/>
    </w:lvl>
  </w:abstractNum>
  <w:abstractNum w:abstractNumId="41">
    <w:nsid w:val="6AA7B7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2">
    <w:nsid w:val="1DF029D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3">
    <w:nsid w:val="5675FF36"/>
    <w:multiLevelType w:val="hybridMultilevel"/>
    <w:lvl w:ilvl="0">
      <w:lvlJc w:val="left"/>
      <w:lvlText w:val="(%1)"/>
      <w:numFmt w:val="lowerRoman"/>
      <w:start w:val="5"/>
    </w:lvl>
  </w:abstractNum>
  <w:abstractNum w:abstractNumId="44">
    <w:nsid w:val="3DD1509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5">
    <w:nsid w:val="3DB012B3"/>
    <w:multiLevelType w:val="hybridMultilevel"/>
    <w:lvl w:ilvl="0">
      <w:lvlJc w:val="left"/>
      <w:lvlText w:val="%1"/>
      <w:numFmt w:val="decimal"/>
      <w:start w:val="1"/>
    </w:lvl>
    <w:lvl w:ilvl="1">
      <w:lvlJc w:val="left"/>
      <w:lvlText w:val="(%2)"/>
      <w:numFmt w:val="lowerLetter"/>
      <w:start w:val="4"/>
    </w:lvl>
  </w:abstractNum>
  <w:abstractNum w:abstractNumId="46">
    <w:nsid w:val="2708C9AF"/>
    <w:multiLevelType w:val="hybridMultilevel"/>
    <w:lvl w:ilvl="0">
      <w:lvlJc w:val="left"/>
      <w:lvlText w:val="%1."/>
      <w:numFmt w:val="decimal"/>
      <w:start w:val="9"/>
    </w:lvl>
    <w:lvl w:ilvl="1">
      <w:lvlJc w:val="left"/>
      <w:lvlText w:val="(%2)"/>
      <w:numFmt w:val="lowerLetter"/>
      <w:start w:val="1"/>
    </w:lvl>
  </w:abstractNum>
  <w:abstractNum w:abstractNumId="47">
    <w:nsid w:val="5B25ACE2"/>
    <w:multiLevelType w:val="hybridMultilevel"/>
    <w:lvl w:ilvl="0">
      <w:lvlJc w:val="left"/>
      <w:lvlText w:val="%1"/>
      <w:numFmt w:val="decimal"/>
      <w:start w:val="1"/>
    </w:lvl>
    <w:lvl w:ilvl="1">
      <w:lvlJc w:val="left"/>
      <w:lvlText w:val="(%2)"/>
      <w:numFmt w:val="lowerLetter"/>
      <w:start w:val="2"/>
    </w:lvl>
  </w:abstractNum>
  <w:abstractNum w:abstractNumId="48">
    <w:nsid w:val="175DFCF0"/>
    <w:multiLevelType w:val="hybridMultilevel"/>
    <w:lvl w:ilvl="0">
      <w:lvlJc w:val="left"/>
      <w:lvlText w:val="%1."/>
      <w:numFmt w:val="decimal"/>
      <w:start w:val="11"/>
    </w:lvl>
    <w:lvl w:ilvl="1">
      <w:lvlJc w:val="left"/>
      <w:lvlText w:val="%2"/>
      <w:numFmt w:val="lowerLetter"/>
      <w:start w:val="1"/>
    </w:lvl>
  </w:abstractNum>
  <w:abstractNum w:abstractNumId="49">
    <w:nsid w:val="4F97E3E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0">
    <w:nsid w:val="53B0A9E"/>
    <w:multiLevelType w:val="hybridMultilevel"/>
    <w:lvl w:ilvl="0">
      <w:lvlJc w:val="left"/>
      <w:lvlText w:val="%1."/>
      <w:numFmt w:val="decimal"/>
      <w:start w:val="16"/>
    </w:lvl>
    <w:lvl w:ilvl="1">
      <w:lvlJc w:val="left"/>
      <w:lvlText w:val="(%2)"/>
      <w:numFmt w:val="lowerLetter"/>
      <w:start w:val="1"/>
    </w:lvl>
  </w:abstractNum>
  <w:abstractNum w:abstractNumId="51">
    <w:nsid w:val="34FD6B4F"/>
    <w:multiLevelType w:val="hybridMultilevel"/>
    <w:lvl w:ilvl="0">
      <w:lvlJc w:val="left"/>
      <w:lvlText w:val="(%1)"/>
      <w:numFmt w:val="lowerLetter"/>
      <w:start w:val="2"/>
    </w:lvl>
  </w:abstractNum>
  <w:abstractNum w:abstractNumId="52">
    <w:nsid w:val="5915FF32"/>
    <w:multiLevelType w:val="hybridMultilevel"/>
    <w:lvl w:ilvl="0">
      <w:lvlJc w:val="left"/>
      <w:lvlText w:val="%1."/>
      <w:numFmt w:val="decimal"/>
      <w:start w:val="1"/>
    </w:lvl>
  </w:abstractNum>
  <w:abstractNum w:abstractNumId="53">
    <w:nsid w:val="56438D15"/>
    <w:multiLevelType w:val="hybridMultilevel"/>
    <w:lvl w:ilvl="0">
      <w:lvlJc w:val="left"/>
      <w:lvlText w:val="(%1)"/>
      <w:numFmt w:val="lowerLetter"/>
      <w:start w:val="1"/>
    </w:lvl>
  </w:abstractNum>
  <w:abstractNum w:abstractNumId="54">
    <w:nsid w:val="519E3149"/>
    <w:multiLevelType w:val="hybridMultilevel"/>
    <w:lvl w:ilvl="0">
      <w:lvlJc w:val="left"/>
      <w:lvlText w:val="(%1)"/>
      <w:numFmt w:val="lowerLetter"/>
      <w:start w:val="5"/>
    </w:lvl>
  </w:abstractNum>
  <w:abstractNum w:abstractNumId="55">
    <w:nsid w:val="2C6E4AFD"/>
    <w:multiLevelType w:val="hybridMultilevel"/>
    <w:lvl w:ilvl="0">
      <w:lvlJc w:val="left"/>
      <w:lvlText w:val="(%1)"/>
      <w:numFmt w:val="lowerLetter"/>
      <w:start w:val="1"/>
    </w:lvl>
    <w:lvl w:ilvl="1">
      <w:lvlJc w:val="left"/>
      <w:lvlText w:val="(%2)"/>
      <w:numFmt w:val="lowerRoman"/>
      <w:start w:val="1"/>
    </w:lvl>
  </w:abstractNum>
  <w:abstractNum w:abstractNumId="56">
    <w:nsid w:val="17A1B582"/>
    <w:multiLevelType w:val="hybridMultilevel"/>
    <w:lvl w:ilvl="0">
      <w:lvlJc w:val="left"/>
      <w:lvlText w:val="%1."/>
      <w:numFmt w:val="decimal"/>
      <w:start w:val="6"/>
    </w:lvl>
  </w:abstractNum>
  <w:abstractNum w:abstractNumId="57">
    <w:nsid w:val="4DF72E4E"/>
    <w:multiLevelType w:val="hybridMultilevel"/>
    <w:lvl w:ilvl="0">
      <w:lvlJc w:val="left"/>
      <w:lvlText w:val="(%1)"/>
      <w:numFmt w:val="lowerLetter"/>
      <w:start w:val="1"/>
    </w:lvl>
  </w:abstractNum>
  <w:abstractNum w:abstractNumId="58">
    <w:nsid w:val="5046B5A9"/>
    <w:multiLevelType w:val="hybridMultilevel"/>
    <w:lvl w:ilvl="0">
      <w:lvlJc w:val="left"/>
      <w:lvlText w:val="%1."/>
      <w:numFmt w:val="decimal"/>
      <w:start w:val="7"/>
    </w:lvl>
  </w:abstractNum>
  <w:abstractNum w:abstractNumId="59">
    <w:nsid w:val="5D888A08"/>
    <w:multiLevelType w:val="hybridMultilevel"/>
    <w:lvl w:ilvl="0">
      <w:lvlJc w:val="left"/>
      <w:lvlText w:val="%1."/>
      <w:numFmt w:val="decimal"/>
      <w:start w:val="9"/>
    </w:lvl>
  </w:abstractNum>
  <w:abstractNum w:abstractNumId="60">
    <w:nsid w:val="2A082C70"/>
    <w:multiLevelType w:val="hybridMultilevel"/>
    <w:lvl w:ilvl="0">
      <w:lvlJc w:val="left"/>
      <w:lvlText w:val="%1."/>
      <w:numFmt w:val="decimal"/>
      <w:start w:val="1"/>
    </w:lvl>
  </w:abstractNum>
  <w:abstractNum w:abstractNumId="61">
    <w:nsid w:val="5EC6AFD4"/>
    <w:multiLevelType w:val="hybridMultilevel"/>
    <w:lvl w:ilvl="0">
      <w:lvlJc w:val="left"/>
      <w:lvlText w:val="%1."/>
      <w:numFmt w:val="decimal"/>
      <w:start w:val="1"/>
    </w:lvl>
  </w:abstractNum>
  <w:abstractNum w:abstractNumId="62">
    <w:nsid w:val="19E21BB2"/>
    <w:multiLevelType w:val="hybridMultilevel"/>
    <w:lvl w:ilvl="0">
      <w:lvlJc w:val="left"/>
      <w:lvlText w:val="(%1)"/>
      <w:numFmt w:val="lowerLetter"/>
      <w:start w:val="1"/>
    </w:lvl>
  </w:abstractNum>
  <w:abstractNum w:abstractNumId="63">
    <w:nsid w:val="75E0858A"/>
    <w:multiLevelType w:val="hybridMultilevel"/>
    <w:lvl w:ilvl="0">
      <w:lvlJc w:val="left"/>
      <w:lvlText w:val="(%1)"/>
      <w:numFmt w:val="lowerLetter"/>
      <w:start w:val="2"/>
    </w:lvl>
  </w:abstractNum>
  <w:abstractNum w:abstractNumId="64">
    <w:nsid w:val="57A61A29"/>
    <w:multiLevelType w:val="hybridMultilevel"/>
    <w:lvl w:ilvl="0">
      <w:lvlJc w:val="left"/>
      <w:lvlText w:val="(%1)"/>
      <w:numFmt w:val="lowerLetter"/>
      <w:start w:val="1"/>
    </w:lvl>
  </w:abstractNum>
  <w:abstractNum w:abstractNumId="65">
    <w:nsid w:val="5399C654"/>
    <w:multiLevelType w:val="hybridMultilevel"/>
    <w:lvl w:ilvl="0">
      <w:lvlJc w:val="left"/>
      <w:lvlText w:val="(%1)"/>
      <w:numFmt w:val="lowerLetter"/>
      <w:start w:val="3"/>
    </w:lvl>
  </w:abstractNum>
  <w:abstractNum w:abstractNumId="66">
    <w:nsid w:val="20EE1348"/>
    <w:multiLevelType w:val="hybridMultilevel"/>
    <w:lvl w:ilvl="0">
      <w:lvlJc w:val="left"/>
      <w:lvlText w:val="(%1)"/>
      <w:numFmt w:val="lowerLetter"/>
      <w:start w:val="5"/>
    </w:lvl>
  </w:abstractNum>
  <w:abstractNum w:abstractNumId="67">
    <w:nsid w:val="4427069A"/>
    <w:multiLevelType w:val="hybridMultilevel"/>
    <w:lvl w:ilvl="0">
      <w:lvlJc w:val="left"/>
      <w:lvlText w:val="(%1)"/>
      <w:numFmt w:val="lowerRoman"/>
      <w:start w:val="3"/>
    </w:lvl>
  </w:abstractNum>
  <w:abstractNum w:abstractNumId="68">
    <w:nsid w:val="B37E80A"/>
    <w:multiLevelType w:val="hybridMultilevel"/>
    <w:lvl w:ilvl="0">
      <w:lvlJc w:val="left"/>
      <w:lvlText w:val="(%1)"/>
      <w:numFmt w:val="lowerLetter"/>
      <w:start w:val="1"/>
    </w:lvl>
  </w:abstractNum>
  <w:abstractNum w:abstractNumId="69">
    <w:nsid w:val="2157F6BC"/>
    <w:multiLevelType w:val="hybridMultilevel"/>
    <w:lvl w:ilvl="0">
      <w:lvlJc w:val="left"/>
      <w:lvlText w:val="(%1)"/>
      <w:numFmt w:val="lowerLetter"/>
      <w:start w:val="3"/>
    </w:lvl>
  </w:abstractNum>
  <w:abstractNum w:abstractNumId="70">
    <w:nsid w:val="704E1DD5"/>
    <w:multiLevelType w:val="hybridMultilevel"/>
    <w:lvl w:ilvl="0">
      <w:lvlJc w:val="left"/>
      <w:lvlText w:val="(%1)"/>
      <w:numFmt w:val="lowerLetter"/>
      <w:start w:val="1"/>
    </w:lvl>
  </w:abstractNum>
  <w:abstractNum w:abstractNumId="71">
    <w:nsid w:val="57D2F10E"/>
    <w:multiLevelType w:val="hybridMultilevel"/>
    <w:lvl w:ilvl="0">
      <w:lvlJc w:val="left"/>
      <w:lvlText w:val="(%1)"/>
      <w:numFmt w:val="lowerLetter"/>
      <w:start w:val="3"/>
    </w:lvl>
  </w:abstractNum>
  <w:abstractNum w:abstractNumId="72">
    <w:nsid w:val="BFFAE18"/>
    <w:multiLevelType w:val="hybridMultilevel"/>
    <w:lvl w:ilvl="0">
      <w:lvlJc w:val="left"/>
      <w:lvlText w:val="(%1)"/>
      <w:numFmt w:val="lowerLetter"/>
      <w:start w:val="1"/>
    </w:lvl>
  </w:abstractNum>
  <w:abstractNum w:abstractNumId="73">
    <w:nsid w:val="E3E47A8"/>
    <w:multiLevelType w:val="hybridMultilevel"/>
    <w:lvl w:ilvl="0">
      <w:lvlJc w:val="left"/>
      <w:lvlText w:val="(%1)"/>
      <w:numFmt w:val="lowerLetter"/>
      <w:start w:val="2"/>
    </w:lvl>
  </w:abstractNum>
  <w:abstractNum w:abstractNumId="74">
    <w:nsid w:val="2E48F044"/>
    <w:multiLevelType w:val="hybridMultilevel"/>
    <w:lvl w:ilvl="0">
      <w:lvlJc w:val="left"/>
      <w:lvlText w:val="(%1)"/>
      <w:numFmt w:val="lowerLetter"/>
      <w:start w:val="5"/>
    </w:lvl>
  </w:abstractNum>
  <w:abstractNum w:abstractNumId="75">
    <w:nsid w:val="49D0FEAC"/>
    <w:multiLevelType w:val="hybridMultilevel"/>
    <w:lvl w:ilvl="0">
      <w:lvlJc w:val="left"/>
      <w:lvlText w:val="(%1)"/>
      <w:numFmt w:val="lowerLetter"/>
      <w:start w:val="1"/>
    </w:lvl>
  </w:abstractNum>
  <w:abstractNum w:abstractNumId="76">
    <w:nsid w:val="4BEE5A5B"/>
    <w:multiLevelType w:val="hybridMultilevel"/>
    <w:lvl w:ilvl="0">
      <w:lvlJc w:val="left"/>
      <w:lvlText w:val="(%1)"/>
      <w:numFmt w:val="lowerLetter"/>
      <w:start w:val="3"/>
    </w:lvl>
  </w:abstractNum>
  <w:abstractNum w:abstractNumId="77">
    <w:nsid w:val="5551B9F3"/>
    <w:multiLevelType w:val="hybridMultilevel"/>
    <w:lvl w:ilvl="0">
      <w:lvlJc w:val="left"/>
      <w:lvlText w:val="%1."/>
      <w:numFmt w:val="decimal"/>
      <w:start w:val="2"/>
    </w:lvl>
  </w:abstractNum>
  <w:abstractNum w:abstractNumId="78">
    <w:nsid w:val="24F6AB8E"/>
    <w:multiLevelType w:val="hybridMultilevel"/>
    <w:lvl w:ilvl="0">
      <w:lvlJc w:val="left"/>
      <w:lvlText w:val="(%1)"/>
      <w:numFmt w:val="lowerLetter"/>
      <w:start w:val="1"/>
    </w:lvl>
  </w:abstractNum>
  <w:abstractNum w:abstractNumId="79">
    <w:nsid w:val="634C574C"/>
    <w:multiLevelType w:val="hybridMultilevel"/>
    <w:lvl w:ilvl="0">
      <w:lvlJc w:val="left"/>
      <w:lvlText w:val="(%1)"/>
      <w:numFmt w:val="lowerLetter"/>
      <w:start w:val="4"/>
    </w:lvl>
  </w:abstractNum>
  <w:abstractNum w:abstractNumId="80">
    <w:nsid w:val="24E99DD7"/>
    <w:multiLevelType w:val="hybridMultilevel"/>
    <w:lvl w:ilvl="0">
      <w:lvlJc w:val="left"/>
      <w:lvlText w:val="(%1)"/>
      <w:numFmt w:val="lowerLetter"/>
      <w:start w:val="3"/>
    </w:lvl>
  </w:abstractNum>
  <w:abstractNum w:abstractNumId="81">
    <w:nsid w:val="2A31B62D"/>
    <w:multiLevelType w:val="hybridMultilevel"/>
    <w:lvl w:ilvl="0">
      <w:lvlJc w:val="left"/>
      <w:lvlText w:val="(%1)"/>
      <w:numFmt w:val="lowerLetter"/>
      <w:start w:val="5"/>
    </w:lvl>
  </w:abstractNum>
  <w:abstractNum w:abstractNumId="82">
    <w:nsid w:val="1849C29B"/>
    <w:multiLevelType w:val="hybridMultilevel"/>
    <w:lvl w:ilvl="0">
      <w:lvlJc w:val="left"/>
      <w:lvlText w:val="(%1)"/>
      <w:numFmt w:val="lowerLetter"/>
      <w:start w:val="12"/>
    </w:lvl>
  </w:abstractNum>
  <w:abstractNum w:abstractNumId="83">
    <w:nsid w:val="7DFF9D09"/>
    <w:multiLevelType w:val="hybridMultilevel"/>
    <w:lvl w:ilvl="0">
      <w:lvlJc w:val="left"/>
      <w:lvlText w:val="%1."/>
      <w:numFmt w:val="decimal"/>
      <w:start w:val="3"/>
    </w:lvl>
  </w:abstractNum>
  <w:abstractNum w:abstractNumId="84">
    <w:nsid w:val="754342"/>
    <w:multiLevelType w:val="hybridMultilevel"/>
    <w:lvl w:ilvl="0">
      <w:lvlJc w:val="left"/>
      <w:lvlText w:val="(%1)"/>
      <w:numFmt w:val="lowerLetter"/>
      <w:start w:val="1"/>
    </w:lvl>
  </w:abstractNum>
  <w:abstractNum w:abstractNumId="85">
    <w:nsid w:val="69E7F3E5"/>
    <w:multiLevelType w:val="hybridMultilevel"/>
    <w:lvl w:ilvl="0">
      <w:lvlJc w:val="left"/>
      <w:lvlText w:val="(%1)"/>
      <w:numFmt w:val="lowerLetter"/>
      <w:start w:val="1"/>
    </w:lvl>
  </w:abstractNum>
  <w:abstractNum w:abstractNumId="86">
    <w:nsid w:val="2A6DE806"/>
    <w:multiLevelType w:val="hybridMultilevel"/>
    <w:lvl w:ilvl="0">
      <w:lvlJc w:val="left"/>
      <w:lvlText w:val="(%1)"/>
      <w:numFmt w:val="lowerLetter"/>
      <w:start w:val="2"/>
    </w:lvl>
  </w:abstractNum>
  <w:abstractNum w:abstractNumId="87">
    <w:nsid w:val="1816F8C4"/>
    <w:multiLevelType w:val="hybridMultilevel"/>
    <w:lvl w:ilvl="0">
      <w:lvlJc w:val="left"/>
      <w:lvlText w:val="(%1)"/>
      <w:numFmt w:val="lowerLetter"/>
      <w:start w:val="25"/>
    </w:lvl>
  </w:abstractNum>
  <w:abstractNum w:abstractNumId="88">
    <w:nsid w:val="37DF2233"/>
    <w:multiLevelType w:val="hybridMultilevel"/>
    <w:lvl w:ilvl="0">
      <w:lvlJc w:val="left"/>
      <w:lvlText w:val="(%1)"/>
      <w:numFmt w:val="lowerLetter"/>
      <w:start w:val="1"/>
    </w:lvl>
    <w:lvl w:ilvl="1">
      <w:lvlJc w:val="left"/>
      <w:lvlText w:val="(%2)"/>
      <w:numFmt w:val="lowerRoman"/>
      <w:start w:val="1"/>
    </w:lvl>
  </w:abstractNum>
  <w:abstractNum w:abstractNumId="89">
    <w:nsid w:val="7AB49DAF"/>
    <w:multiLevelType w:val="hybridMultilevel"/>
    <w:lvl w:ilvl="0">
      <w:lvlJc w:val="left"/>
      <w:lvlText w:val="(%1)"/>
      <w:numFmt w:val="lowerLetter"/>
      <w:start w:val="1"/>
    </w:lvl>
    <w:lvl w:ilvl="1">
      <w:lvlJc w:val="left"/>
      <w:lvlText w:val="(%2)"/>
      <w:numFmt w:val="lowerRoman"/>
      <w:start w:val="1"/>
    </w:lvl>
  </w:abstractNum>
  <w:abstractNum w:abstractNumId="90">
    <w:nsid w:val="759F82CD"/>
    <w:multiLevelType w:val="hybridMultilevel"/>
    <w:lvl w:ilvl="0">
      <w:lvlJc w:val="left"/>
      <w:lvlText w:val="(%1)"/>
      <w:numFmt w:val="lowerLetter"/>
      <w:start w:val="2"/>
    </w:lvl>
    <w:lvl w:ilvl="1">
      <w:lvlJc w:val="left"/>
      <w:lvlText w:val="(%2)"/>
      <w:numFmt w:val="lowerRoman"/>
      <w:start w:val="1"/>
    </w:lvl>
  </w:abstractNum>
  <w:abstractNum w:abstractNumId="91">
    <w:nsid w:val="61E74EA3"/>
    <w:multiLevelType w:val="hybridMultilevel"/>
    <w:lvl w:ilvl="0">
      <w:lvlJc w:val="left"/>
      <w:lvlText w:val="(%1)"/>
      <w:numFmt w:val="lowerLetter"/>
      <w:start w:val="7"/>
    </w:lvl>
  </w:abstractNum>
  <w:abstractNum w:abstractNumId="92">
    <w:nsid w:val="597B4D84"/>
    <w:multiLevelType w:val="hybridMultilevel"/>
    <w:lvl w:ilvl="0">
      <w:lvlJc w:val="left"/>
      <w:lvlText w:val="(%1)"/>
      <w:numFmt w:val="lowerLetter"/>
      <w:start w:val="1"/>
    </w:lvl>
  </w:abstractNum>
  <w:abstractNum w:abstractNumId="93">
    <w:nsid w:val="F819E7F"/>
    <w:multiLevelType w:val="hybridMultilevel"/>
    <w:lvl w:ilvl="0">
      <w:lvlJc w:val="left"/>
      <w:lvlText w:val="(%1)"/>
      <w:numFmt w:val="lowerLetter"/>
      <w:start w:val="3"/>
    </w:lvl>
  </w:abstractNum>
  <w:abstractNum w:abstractNumId="94">
    <w:nsid w:val="57C7D42D"/>
    <w:multiLevelType w:val="hybridMultilevel"/>
    <w:lvl w:ilvl="0">
      <w:lvlJc w:val="left"/>
      <w:lvlText w:val="(%1)"/>
      <w:numFmt w:val="lowerLetter"/>
      <w:start w:val="4"/>
    </w:lvl>
  </w:abstractNum>
  <w:abstractNum w:abstractNumId="95">
    <w:nsid w:val="312167AD"/>
    <w:multiLevelType w:val="hybridMultilevel"/>
    <w:lvl w:ilvl="0">
      <w:lvlJc w:val="left"/>
      <w:lvlText w:val="(%1)"/>
      <w:numFmt w:val="lowerLetter"/>
      <w:start w:val="1"/>
    </w:lvl>
  </w:abstractNum>
  <w:abstractNum w:abstractNumId="96">
    <w:nsid w:val="631B64D4"/>
    <w:multiLevelType w:val="hybridMultilevel"/>
    <w:lvl w:ilvl="0">
      <w:lvlJc w:val="left"/>
      <w:lvlText w:val="(%1)"/>
      <w:numFmt w:val="lowerLetter"/>
      <w:start w:val="3"/>
    </w:lvl>
  </w:abstractNum>
  <w:abstractNum w:abstractNumId="97">
    <w:nsid w:val="78B5E776"/>
    <w:multiLevelType w:val="hybridMultilevel"/>
    <w:lvl w:ilvl="0">
      <w:lvlJc w:val="left"/>
      <w:lvlText w:val="(%1)"/>
      <w:numFmt w:val="lowerLetter"/>
      <w:start w:val="1"/>
    </w:lvl>
  </w:abstractNum>
  <w:abstractNum w:abstractNumId="98">
    <w:nsid w:val="75486E47"/>
    <w:multiLevelType w:val="hybridMultilevel"/>
    <w:lvl w:ilvl="0">
      <w:lvlJc w:val="left"/>
      <w:lvlText w:val="(%1)"/>
      <w:numFmt w:val="lowerLetter"/>
      <w:start w:val="6"/>
    </w:lvl>
  </w:abstractNum>
  <w:abstractNum w:abstractNumId="99">
    <w:nsid w:val="6E534CDE"/>
    <w:multiLevelType w:val="hybridMultilevel"/>
    <w:lvl w:ilvl="0">
      <w:lvlJc w:val="left"/>
      <w:lvlText w:val="(%1)"/>
      <w:numFmt w:val="lowerLetter"/>
      <w:start w:val="1"/>
    </w:lvl>
  </w:abstractNum>
  <w:abstractNum w:abstractNumId="100">
    <w:nsid w:val="1A0DDE32"/>
    <w:multiLevelType w:val="hybridMultilevel"/>
    <w:lvl w:ilvl="0">
      <w:lvlJc w:val="left"/>
      <w:lvlText w:val="(%1)"/>
      <w:numFmt w:val="lowerLetter"/>
      <w:start w:val="3"/>
    </w:lvl>
  </w:abstractNum>
  <w:abstractNum w:abstractNumId="101">
    <w:nsid w:val="65968C1C"/>
    <w:multiLevelType w:val="hybridMultilevel"/>
    <w:lvl w:ilvl="0">
      <w:lvlJc w:val="left"/>
      <w:lvlText w:val="(%1)"/>
      <w:numFmt w:val="lowerLetter"/>
      <w:start w:val="1"/>
    </w:lvl>
  </w:abstractNum>
  <w:abstractNum w:abstractNumId="102">
    <w:nsid w:val="46263DEC"/>
    <w:multiLevelType w:val="hybridMultilevel"/>
    <w:lvl w:ilvl="0">
      <w:lvlJc w:val="left"/>
      <w:lvlText w:val="(%1)"/>
      <w:numFmt w:val="lowerLetter"/>
      <w:start w:val="1"/>
    </w:lvl>
  </w:abstractNum>
  <w:abstractNum w:abstractNumId="103">
    <w:nsid w:val="260D8C4A"/>
    <w:multiLevelType w:val="hybridMultilevel"/>
    <w:lvl w:ilvl="0">
      <w:lvlJc w:val="left"/>
      <w:lvlText w:val="(%1)"/>
      <w:numFmt w:val="lowerRoman"/>
      <w:start w:val="2"/>
    </w:lvl>
  </w:abstractNum>
  <w:abstractNum w:abstractNumId="104">
    <w:nsid w:val="73D4D3C4"/>
    <w:multiLevelType w:val="hybridMultilevel"/>
    <w:lvl w:ilvl="0">
      <w:lvlJc w:val="left"/>
      <w:lvlText w:val="(%1)"/>
      <w:numFmt w:val="lowerLetter"/>
      <w:start w:val="1"/>
    </w:lvl>
  </w:abstractNum>
  <w:abstractNum w:abstractNumId="105">
    <w:nsid w:val="746F2E30"/>
    <w:multiLevelType w:val="hybridMultilevel"/>
    <w:lvl w:ilvl="0">
      <w:lvlJc w:val="left"/>
      <w:lvlText w:val="(%1)"/>
      <w:numFmt w:val="lowerLetter"/>
      <w:start w:val="4"/>
    </w:lvl>
  </w:abstractNum>
  <w:abstractNum w:abstractNumId="106">
    <w:nsid w:val="6FDE8AF6"/>
    <w:multiLevelType w:val="hybridMultilevel"/>
    <w:lvl w:ilvl="0">
      <w:lvlJc w:val="left"/>
      <w:lvlText w:val="(%1)"/>
      <w:numFmt w:val="lowerLetter"/>
      <w:start w:val="11"/>
    </w:lvl>
  </w:abstractNum>
  <w:abstractNum w:abstractNumId="107">
    <w:nsid w:val="3FC32E20"/>
    <w:multiLevelType w:val="hybridMultilevel"/>
    <w:lvl w:ilvl="0">
      <w:lvlJc w:val="left"/>
      <w:lvlText w:val="(%1)"/>
      <w:numFmt w:val="lowerLetter"/>
      <w:start w:val="9"/>
    </w:lvl>
  </w:abstractNum>
  <w:abstractNum w:abstractNumId="108">
    <w:nsid w:val="49C0E823"/>
    <w:multiLevelType w:val="hybridMultilevel"/>
    <w:lvl w:ilvl="0">
      <w:lvlJc w:val="left"/>
      <w:lvlText w:val="(%1)"/>
      <w:numFmt w:val="lowerLetter"/>
      <w:start w:val="16"/>
    </w:lvl>
  </w:abstractNum>
  <w:abstractNum w:abstractNumId="109">
    <w:nsid w:val="14D53685"/>
    <w:multiLevelType w:val="hybridMultilevel"/>
    <w:lvl w:ilvl="0">
      <w:lvlJc w:val="left"/>
      <w:lvlText w:val="(%1)"/>
      <w:numFmt w:val="lowerLetter"/>
      <w:start w:val="1"/>
    </w:lvl>
  </w:abstractNum>
  <w:abstractNum w:abstractNumId="110">
    <w:nsid w:val="230F856C"/>
    <w:multiLevelType w:val="hybridMultilevel"/>
    <w:lvl w:ilvl="0">
      <w:lvlJc w:val="left"/>
      <w:lvlText w:val="(%1)"/>
      <w:numFmt w:val="lowerLetter"/>
      <w:start w:val="2"/>
    </w:lvl>
    <w:lvl w:ilvl="1">
      <w:lvlJc w:val="left"/>
      <w:lvlText w:val="(%2)"/>
      <w:numFmt w:val="lowerRoman"/>
      <w:start w:val="1"/>
    </w:lvl>
  </w:abstractNum>
  <w:abstractNum w:abstractNumId="111">
    <w:nsid w:val="6EAA85FB"/>
    <w:multiLevelType w:val="hybridMultilevel"/>
    <w:lvl w:ilvl="0">
      <w:lvlJc w:val="left"/>
      <w:lvlText w:val="(%1)"/>
      <w:numFmt w:val="lowerLetter"/>
      <w:start w:val="1"/>
    </w:lvl>
  </w:abstractNum>
  <w:abstractNum w:abstractNumId="112">
    <w:nsid w:val="3F06ECB2"/>
    <w:multiLevelType w:val="hybridMultilevel"/>
    <w:lvl w:ilvl="0">
      <w:lvlJc w:val="left"/>
      <w:lvlText w:val="(%1)"/>
      <w:numFmt w:val="lowerLetter"/>
      <w:start w:val="19"/>
    </w:lvl>
  </w:abstractNum>
  <w:abstractNum w:abstractNumId="113">
    <w:nsid w:val="3B594807"/>
    <w:multiLevelType w:val="hybridMultilevel"/>
    <w:lvl w:ilvl="0">
      <w:lvlJc w:val="left"/>
      <w:lvlText w:val="(%1)"/>
      <w:numFmt w:val="lowerLetter"/>
      <w:start w:val="27"/>
    </w:lvl>
  </w:abstractNum>
  <w:abstractNum w:abstractNumId="114">
    <w:nsid w:val="6CAA2304"/>
    <w:multiLevelType w:val="hybridMultilevel"/>
    <w:lvl w:ilvl="0">
      <w:lvlJc w:val="left"/>
      <w:lvlText w:val="(%1)"/>
      <w:numFmt w:val="lowerLetter"/>
      <w:start w:val="14"/>
    </w:lvl>
  </w:abstractNum>
  <w:abstractNum w:abstractNumId="115">
    <w:nsid w:val="3F7C2FF4"/>
    <w:multiLevelType w:val="hybridMultilevel"/>
    <w:lvl w:ilvl="0">
      <w:lvlJc w:val="left"/>
      <w:lvlText w:val="(%1)"/>
      <w:numFmt w:val="lowerLetter"/>
      <w:start w:val="2"/>
    </w:lvl>
  </w:abstractNum>
  <w:abstractNum w:abstractNumId="116">
    <w:nsid w:val="25413BEC"/>
    <w:multiLevelType w:val="hybridMultilevel"/>
    <w:lvl w:ilvl="0">
      <w:lvlJc w:val="left"/>
      <w:lvlText w:val="(%1)"/>
      <w:numFmt w:val="lowerRoman"/>
      <w:start w:val="2"/>
    </w:lvl>
  </w:abstractNum>
  <w:abstractNum w:abstractNumId="117">
    <w:nsid w:val="17180B0B"/>
    <w:multiLevelType w:val="hybridMultilevel"/>
    <w:lvl w:ilvl="0">
      <w:lvlJc w:val="left"/>
      <w:lvlText w:val="(%1)"/>
      <w:numFmt w:val="lowerLetter"/>
      <w:start w:val="1"/>
    </w:lvl>
  </w:abstractNum>
  <w:abstractNum w:abstractNumId="118">
    <w:nsid w:val="579328B9"/>
    <w:multiLevelType w:val="hybridMultilevel"/>
    <w:lvl w:ilvl="0">
      <w:lvlJc w:val="left"/>
      <w:lvlText w:val="(%1)"/>
      <w:numFmt w:val="lowerLetter"/>
      <w:start w:val="1"/>
    </w:lvl>
  </w:abstractNum>
  <w:abstractNum w:abstractNumId="119">
    <w:nsid w:val="5D205E20"/>
    <w:multiLevelType w:val="hybridMultilevel"/>
    <w:lvl w:ilvl="0">
      <w:lvlJc w:val="left"/>
      <w:lvlText w:val="(%1)"/>
      <w:numFmt w:val="lowerRoman"/>
      <w:start w:val="2"/>
    </w:lvl>
  </w:abstractNum>
  <w:abstractNum w:abstractNumId="120">
    <w:nsid w:val="11CCA8BA"/>
    <w:multiLevelType w:val="hybridMultilevel"/>
    <w:lvl w:ilvl="0">
      <w:lvlJc w:val="left"/>
      <w:lvlText w:val="(%1)"/>
      <w:numFmt w:val="lowerRoman"/>
      <w:start w:val="1"/>
    </w:lvl>
  </w:abstractNum>
  <w:abstractNum w:abstractNumId="121">
    <w:nsid w:val="4D32AB86"/>
    <w:multiLevelType w:val="hybridMultilevel"/>
    <w:lvl w:ilvl="0">
      <w:lvlJc w:val="left"/>
      <w:lvlText w:val="(%1)"/>
      <w:numFmt w:val="lowerRoman"/>
      <w:start w:val="7"/>
    </w:lvl>
  </w:abstractNum>
  <w:abstractNum w:abstractNumId="122">
    <w:nsid w:val="3F07ACC3"/>
    <w:multiLevelType w:val="hybridMultilevel"/>
    <w:lvl w:ilvl="0">
      <w:lvlJc w:val="left"/>
      <w:lvlText w:val="(%1)"/>
      <w:numFmt w:val="lowerLetter"/>
      <w:start w:val="2"/>
    </w:lvl>
  </w:abstractNum>
  <w:abstractNum w:abstractNumId="123">
    <w:nsid w:val="6B47F63E"/>
    <w:multiLevelType w:val="hybridMultilevel"/>
    <w:lvl w:ilvl="0">
      <w:lvlJc w:val="left"/>
      <w:lvlText w:val="(%1)"/>
      <w:numFmt w:val="lowerLetter"/>
      <w:start w:val="3"/>
    </w:lvl>
  </w:abstractNum>
  <w:abstractNum w:abstractNumId="124">
    <w:nsid w:val="5CB44A05"/>
    <w:multiLevelType w:val="hybridMultilevel"/>
    <w:lvl w:ilvl="0">
      <w:lvlJc w:val="left"/>
      <w:lvlText w:val="%1"/>
      <w:numFmt w:val="decimal"/>
      <w:start w:val="1"/>
    </w:lvl>
    <w:lvl w:ilvl="1">
      <w:lvlJc w:val="left"/>
      <w:lvlText w:val="(%2)"/>
      <w:numFmt w:val="lowerLetter"/>
      <w:start w:val="2"/>
    </w:lvl>
  </w:abstractNum>
  <w:abstractNum w:abstractNumId="125">
    <w:nsid w:val="16CF80F1"/>
    <w:multiLevelType w:val="hybridMultilevel"/>
    <w:lvl w:ilvl="0">
      <w:lvlJc w:val="left"/>
      <w:lvlText w:val="%1."/>
      <w:numFmt w:val="decimal"/>
      <w:start w:val="7"/>
    </w:lvl>
    <w:lvl w:ilvl="1">
      <w:lvlJc w:val="left"/>
      <w:lvlText w:val="%2"/>
      <w:numFmt w:val="lowerLetter"/>
      <w:start w:val="1"/>
    </w:lvl>
  </w:abstractNum>
  <w:abstractNum w:abstractNumId="126">
    <w:nsid w:val="1C695DEC"/>
    <w:multiLevelType w:val="hybridMultilevel"/>
    <w:lvl w:ilvl="0">
      <w:lvlJc w:val="left"/>
      <w:lvlText w:val="(%1)"/>
      <w:numFmt w:val="lowerLetter"/>
      <w:start w:val="1"/>
    </w:lvl>
  </w:abstractNum>
  <w:abstractNum w:abstractNumId="127">
    <w:nsid w:val="3FCFAED9"/>
    <w:multiLevelType w:val="hybridMultilevel"/>
    <w:lvl w:ilvl="0">
      <w:lvlJc w:val="left"/>
      <w:lvlText w:val="(%1)"/>
      <w:numFmt w:val="lowerLetter"/>
      <w:start w:val="2"/>
    </w:lvl>
  </w:abstractNum>
  <w:abstractNum w:abstractNumId="128">
    <w:nsid w:val="F856867"/>
    <w:multiLevelType w:val="hybridMultilevel"/>
    <w:lvl w:ilvl="0">
      <w:lvlJc w:val="left"/>
      <w:lvlText w:val="(%1)"/>
      <w:numFmt w:val="lowerLetter"/>
      <w:start w:val="7"/>
    </w:lvl>
  </w:abstractNum>
  <w:abstractNum w:abstractNumId="129">
    <w:nsid w:val="11B1CC33"/>
    <w:multiLevelType w:val="hybridMultilevel"/>
    <w:lvl w:ilvl="0">
      <w:lvlJc w:val="left"/>
      <w:lvlText w:val="(%1)"/>
      <w:numFmt w:val="lowerLetter"/>
      <w:start w:val="24"/>
    </w:lvl>
  </w:abstractNum>
  <w:abstractNum w:abstractNumId="130">
    <w:nsid w:val="2E22FBB7"/>
    <w:multiLevelType w:val="hybridMultilevel"/>
    <w:lvl w:ilvl="0">
      <w:lvlJc w:val="left"/>
      <w:lvlText w:val="(%1)"/>
      <w:numFmt w:val="lowerLetter"/>
      <w:start w:val="9"/>
    </w:lvl>
  </w:abstractNum>
  <w:abstractNum w:abstractNumId="131">
    <w:nsid w:val="29934699"/>
    <w:multiLevelType w:val="hybridMultilevel"/>
    <w:lvl w:ilvl="0">
      <w:lvlJc w:val="left"/>
      <w:lvlText w:val="(%1)"/>
      <w:numFmt w:val="lowerLetter"/>
      <w:start w:val="12"/>
    </w:lvl>
  </w:abstractNum>
  <w:abstractNum w:abstractNumId="132">
    <w:nsid w:val="77485850"/>
    <w:multiLevelType w:val="hybridMultilevel"/>
    <w:lvl w:ilvl="0">
      <w:lvlJc w:val="left"/>
      <w:lvlText w:val="(%1)"/>
      <w:numFmt w:val="lowerLetter"/>
      <w:start w:val="1"/>
    </w:lvl>
  </w:abstractNum>
  <w:abstractNum w:abstractNumId="133">
    <w:nsid w:val="744939A3"/>
    <w:multiLevelType w:val="hybridMultilevel"/>
    <w:lvl w:ilvl="0">
      <w:lvlJc w:val="left"/>
      <w:lvlText w:val="(%1)"/>
      <w:numFmt w:val="lowerLetter"/>
      <w:start w:val="3"/>
    </w:lvl>
  </w:abstractNum>
  <w:abstractNum w:abstractNumId="134">
    <w:nsid w:val="4FA0D2E3"/>
    <w:multiLevelType w:val="hybridMultilevel"/>
    <w:lvl w:ilvl="0">
      <w:lvlJc w:val="left"/>
      <w:lvlText w:val="%1."/>
      <w:numFmt w:val="decimal"/>
      <w:start w:val="8"/>
    </w:lvl>
    <w:lvl w:ilvl="1">
      <w:lvlJc w:val="left"/>
      <w:lvlText w:val="(%2)"/>
      <w:numFmt w:val="lowerLetter"/>
      <w:start w:val="1"/>
    </w:lvl>
  </w:abstractNum>
  <w:abstractNum w:abstractNumId="135">
    <w:nsid w:val="6B1D2C1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6">
    <w:nsid w:val="68B867D3"/>
    <w:multiLevelType w:val="hybridMultilevel"/>
    <w:lvl w:ilvl="0">
      <w:lvlJc w:val="left"/>
      <w:lvlText w:val="(%1)"/>
      <w:numFmt w:val="lowerRoman"/>
      <w:start w:val="4"/>
    </w:lvl>
  </w:abstractNum>
  <w:abstractNum w:abstractNumId="137">
    <w:nsid w:val="3F7F5DD9"/>
    <w:multiLevelType w:val="hybridMultilevel"/>
    <w:lvl w:ilvl="0">
      <w:lvlJc w:val="left"/>
      <w:lvlText w:val="(%1)"/>
      <w:numFmt w:val="lowerLetter"/>
      <w:start w:val="1"/>
    </w:lvl>
  </w:abstractNum>
  <w:abstractNum w:abstractNumId="138">
    <w:nsid w:val="2AE05A34"/>
    <w:multiLevelType w:val="hybridMultilevel"/>
    <w:lvl w:ilvl="0">
      <w:lvlJc w:val="left"/>
      <w:lvlText w:val="(%1)"/>
      <w:numFmt w:val="lowerLetter"/>
      <w:start w:val="3"/>
    </w:lvl>
  </w:abstractNum>
  <w:abstractNum w:abstractNumId="139">
    <w:nsid w:val="32794FF7"/>
    <w:multiLevelType w:val="hybridMultilevel"/>
    <w:lvl w:ilvl="0">
      <w:lvlJc w:val="left"/>
      <w:lvlText w:val="(%1)"/>
      <w:numFmt w:val="lowerLetter"/>
      <w:start w:val="1"/>
    </w:lvl>
  </w:abstractNum>
  <w:abstractNum w:abstractNumId="140">
    <w:nsid w:val="5454945E"/>
    <w:multiLevelType w:val="hybridMultilevel"/>
    <w:lvl w:ilvl="0">
      <w:lvlJc w:val="left"/>
      <w:lvlText w:val="(%1)"/>
      <w:numFmt w:val="lowerLetter"/>
      <w:start w:val="9"/>
    </w:lvl>
  </w:abstractNum>
  <w:abstractNum w:abstractNumId="141">
    <w:nsid w:val="4DEFDFA0"/>
    <w:multiLevelType w:val="hybridMultilevel"/>
    <w:lvl w:ilvl="0">
      <w:lvlJc w:val="left"/>
      <w:lvlText w:val="(%1)"/>
      <w:numFmt w:val="lowerLetter"/>
      <w:start w:val="35"/>
    </w:lvl>
  </w:abstractNum>
  <w:abstractNum w:abstractNumId="142">
    <w:nsid w:val="2123D5F2"/>
    <w:multiLevelType w:val="hybridMultilevel"/>
    <w:lvl w:ilvl="0">
      <w:lvlJc w:val="left"/>
      <w:lvlText w:val="(%1)"/>
      <w:numFmt w:val="lowerLetter"/>
      <w:start w:val="1"/>
    </w:lvl>
  </w:abstractNum>
  <w:abstractNum w:abstractNumId="143">
    <w:nsid w:val="135B8110"/>
    <w:multiLevelType w:val="hybridMultilevel"/>
    <w:lvl w:ilvl="0">
      <w:lvlJc w:val="left"/>
      <w:lvlText w:val="(%1)"/>
      <w:numFmt w:val="lowerLetter"/>
      <w:start w:val="2"/>
    </w:lvl>
    <w:lvl w:ilvl="1">
      <w:lvlJc w:val="left"/>
      <w:lvlText w:val="(%2)"/>
      <w:numFmt w:val="lowerRoman"/>
      <w:start w:val="1"/>
    </w:lvl>
  </w:abstractNum>
  <w:abstractNum w:abstractNumId="144">
    <w:nsid w:val="94927A8"/>
    <w:multiLevelType w:val="hybridMultilevel"/>
    <w:lvl w:ilvl="0">
      <w:lvlJc w:val="left"/>
      <w:lvlText w:val="(%1)"/>
      <w:numFmt w:val="lowerRoman"/>
      <w:start w:val="6"/>
    </w:lvl>
  </w:abstractNum>
  <w:abstractNum w:abstractNumId="145">
    <w:nsid w:val="DCDF8F6"/>
    <w:multiLevelType w:val="hybridMultilevel"/>
    <w:lvl w:ilvl="0">
      <w:lvlJc w:val="left"/>
      <w:lvlText w:val="(%1)"/>
      <w:numFmt w:val="lowerLetter"/>
      <w:start w:val="1"/>
    </w:lvl>
  </w:abstractNum>
  <w:abstractNum w:abstractNumId="146">
    <w:nsid w:val="52D7B105"/>
    <w:multiLevelType w:val="hybridMultilevel"/>
    <w:lvl w:ilvl="0">
      <w:lvlJc w:val="left"/>
      <w:lvlText w:val="(%1)"/>
      <w:numFmt w:val="lowerLetter"/>
      <w:start w:val="3"/>
    </w:lvl>
  </w:abstractNum>
  <w:abstractNum w:abstractNumId="147">
    <w:nsid w:val="2E8A6394"/>
    <w:multiLevelType w:val="hybridMultilevel"/>
    <w:lvl w:ilvl="0">
      <w:lvlJc w:val="left"/>
      <w:lvlText w:val="(%1)"/>
      <w:numFmt w:val="lowerLetter"/>
      <w:start w:val="1"/>
    </w:lvl>
  </w:abstractNum>
  <w:abstractNum w:abstractNumId="148">
    <w:nsid w:val="24E60401"/>
    <w:multiLevelType w:val="hybridMultilevel"/>
    <w:lvl w:ilvl="0">
      <w:lvlJc w:val="left"/>
      <w:lvlText w:val="(%1)"/>
      <w:numFmt w:val="lowerLetter"/>
      <w:start w:val="1"/>
    </w:lvl>
    <w:lvl w:ilvl="1">
      <w:lvlJc w:val="left"/>
      <w:lvlText w:val="(%2)"/>
      <w:numFmt w:val="lowerLetter"/>
      <w:start w:val="9"/>
    </w:lvl>
  </w:abstractNum>
  <w:abstractNum w:abstractNumId="149">
    <w:nsid w:val="2A6AD9BE"/>
    <w:multiLevelType w:val="hybridMultilevel"/>
    <w:lvl w:ilvl="0">
      <w:lvlJc w:val="left"/>
      <w:lvlText w:val="(%1)"/>
      <w:numFmt w:val="lowerRoman"/>
      <w:start w:val="2"/>
    </w:lvl>
  </w:abstractNum>
  <w:abstractNum w:abstractNumId="150">
    <w:nsid w:val="BAAC1B4"/>
    <w:multiLevelType w:val="hybridMultilevel"/>
    <w:lvl w:ilvl="0">
      <w:lvlJc w:val="left"/>
      <w:lvlText w:val="(%1)"/>
      <w:numFmt w:val="lowerLetter"/>
      <w:start w:val="3"/>
    </w:lvl>
  </w:abstractNum>
  <w:abstractNum w:abstractNumId="151">
    <w:nsid w:val="36B2ACBC"/>
    <w:multiLevelType w:val="hybridMultilevel"/>
    <w:lvl w:ilvl="0">
      <w:lvlJc w:val="left"/>
      <w:lvlText w:val="(%1)"/>
      <w:numFmt w:val="lowerLetter"/>
      <w:start w:val="4"/>
    </w:lvl>
  </w:abstractNum>
  <w:abstractNum w:abstractNumId="152">
    <w:nsid w:val="779D8544"/>
    <w:multiLevelType w:val="hybridMultilevel"/>
    <w:lvl w:ilvl="0">
      <w:lvlJc w:val="left"/>
      <w:lvlText w:val="(%1)"/>
      <w:numFmt w:val="lowerLetter"/>
      <w:start w:val="1"/>
    </w:lvl>
  </w:abstractNum>
  <w:abstractNum w:abstractNumId="153">
    <w:nsid w:val="4AB26E78"/>
    <w:multiLevelType w:val="hybridMultilevel"/>
    <w:lvl w:ilvl="0">
      <w:lvlJc w:val="left"/>
      <w:lvlText w:val="(%1)"/>
      <w:numFmt w:val="lowerLetter"/>
      <w:start w:val="2"/>
    </w:lvl>
  </w:abstractNum>
  <w:abstractNum w:abstractNumId="154">
    <w:nsid w:val="21FAA2FA"/>
    <w:multiLevelType w:val="hybridMultilevel"/>
    <w:lvl w:ilvl="0">
      <w:lvlJc w:val="left"/>
      <w:lvlText w:val="(%1)"/>
      <w:numFmt w:val="lowerLetter"/>
      <w:start w:val="1"/>
    </w:lvl>
  </w:abstractNum>
  <w:abstractNum w:abstractNumId="155">
    <w:nsid w:val="5451CF49"/>
    <w:multiLevelType w:val="hybridMultilevel"/>
    <w:lvl w:ilvl="0">
      <w:lvlJc w:val="left"/>
      <w:lvlText w:val="(%1)"/>
      <w:numFmt w:val="lowerLetter"/>
      <w:start w:val="6"/>
    </w:lvl>
  </w:abstractNum>
  <w:abstractNum w:abstractNumId="156">
    <w:nsid w:val="6181EF69"/>
    <w:multiLevelType w:val="hybridMultilevel"/>
    <w:lvl w:ilvl="0">
      <w:lvlJc w:val="left"/>
      <w:lvlText w:val="(%1)"/>
      <w:numFmt w:val="lowerLetter"/>
      <w:start w:val="1"/>
    </w:lvl>
  </w:abstractNum>
  <w:abstractNum w:abstractNumId="157">
    <w:nsid w:val="3E6400E6"/>
    <w:multiLevelType w:val="hybridMultilevel"/>
    <w:lvl w:ilvl="0">
      <w:lvlJc w:val="left"/>
      <w:lvlText w:val="(%1)"/>
      <w:numFmt w:val="lowerLetter"/>
      <w:start w:val="2"/>
    </w:lvl>
  </w:abstractNum>
  <w:abstractNum w:abstractNumId="158">
    <w:nsid w:val="14217E23"/>
    <w:multiLevelType w:val="hybridMultilevel"/>
    <w:lvl w:ilvl="0">
      <w:lvlJc w:val="left"/>
      <w:lvlText w:val="(%1)"/>
      <w:numFmt w:val="lowerLetter"/>
      <w:start w:val="1"/>
    </w:lvl>
  </w:abstractNum>
  <w:abstractNum w:abstractNumId="159">
    <w:nsid w:val="710757D0"/>
    <w:multiLevelType w:val="hybridMultilevel"/>
    <w:lvl w:ilvl="0">
      <w:lvlJc w:val="left"/>
      <w:lvlText w:val="(%1)"/>
      <w:numFmt w:val="lowerLetter"/>
      <w:start w:val="2"/>
    </w:lvl>
  </w:abstractNum>
  <w:abstractNum w:abstractNumId="160">
    <w:nsid w:val="5015CD1A"/>
    <w:multiLevelType w:val="hybridMultilevel"/>
    <w:lvl w:ilvl="0">
      <w:lvlJc w:val="left"/>
      <w:lvlText w:val="%1"/>
      <w:numFmt w:val="decimal"/>
      <w:start w:val="1"/>
    </w:lvl>
    <w:lvl w:ilvl="1">
      <w:lvlJc w:val="left"/>
      <w:lvlText w:val="(%2)"/>
      <w:numFmt w:val="lowerLetter"/>
      <w:start w:val="5"/>
    </w:lvl>
  </w:abstractNum>
  <w:abstractNum w:abstractNumId="161">
    <w:nsid w:val="424479DA"/>
    <w:multiLevelType w:val="hybridMultilevel"/>
    <w:lvl w:ilvl="0">
      <w:lvlJc w:val="left"/>
      <w:lvlText w:val="%1."/>
      <w:numFmt w:val="decimal"/>
      <w:start w:val="11"/>
    </w:lvl>
    <w:lvl w:ilvl="1">
      <w:lvlJc w:val="left"/>
      <w:lvlText w:val="%2"/>
      <w:numFmt w:val="lowerLetter"/>
      <w:start w:val="1"/>
    </w:lvl>
  </w:abstractNum>
  <w:abstractNum w:abstractNumId="162">
    <w:nsid w:val="1A9A9E69"/>
    <w:multiLevelType w:val="hybridMultilevel"/>
    <w:lvl w:ilvl="0">
      <w:lvlJc w:val="left"/>
      <w:lvlText w:val="(%1)"/>
      <w:numFmt w:val="lowerLetter"/>
      <w:start w:val="1"/>
    </w:lvl>
  </w:abstractNum>
  <w:abstractNum w:abstractNumId="163">
    <w:nsid w:val="475E256A"/>
    <w:multiLevelType w:val="hybridMultilevel"/>
    <w:lvl w:ilvl="0">
      <w:lvlJc w:val="left"/>
      <w:lvlText w:val="(%1)"/>
      <w:numFmt w:val="lowerLetter"/>
      <w:start w:val="2"/>
    </w:lvl>
  </w:abstractNum>
  <w:abstractNum w:abstractNumId="164">
    <w:nsid w:val="368DB37E"/>
    <w:multiLevelType w:val="hybridMultilevel"/>
    <w:lvl w:ilvl="0">
      <w:lvlJc w:val="left"/>
      <w:lvlText w:val="(%1)"/>
      <w:numFmt w:val="lowerLetter"/>
      <w:start w:val="1"/>
    </w:lvl>
  </w:abstractNum>
  <w:abstractNum w:abstractNumId="165">
    <w:nsid w:val="6A3B714C"/>
    <w:multiLevelType w:val="hybridMultilevel"/>
    <w:lvl w:ilvl="0">
      <w:lvlJc w:val="left"/>
      <w:lvlText w:val="(%1)"/>
      <w:numFmt w:val="upperLetter"/>
      <w:start w:val="35"/>
    </w:lvl>
  </w:abstractNum>
  <w:abstractNum w:abstractNumId="166">
    <w:nsid w:val="327B517E"/>
    <w:multiLevelType w:val="hybridMultilevel"/>
    <w:lvl w:ilvl="0">
      <w:lvlJc w:val="left"/>
      <w:lvlText w:val="(%1)"/>
      <w:numFmt w:val="lowerLetter"/>
      <w:start w:val="1"/>
    </w:lvl>
  </w:abstractNum>
  <w:abstractNum w:abstractNumId="167">
    <w:nsid w:val="1F461B51"/>
    <w:multiLevelType w:val="hybridMultilevel"/>
    <w:lvl w:ilvl="0">
      <w:lvlJc w:val="left"/>
      <w:lvlText w:val="(%1)"/>
      <w:numFmt w:val="lowerLetter"/>
      <w:start w:val="1"/>
    </w:lvl>
  </w:abstractNum>
  <w:abstractNum w:abstractNumId="168">
    <w:nsid w:val="29BACF25"/>
    <w:multiLevelType w:val="hybridMultilevel"/>
    <w:lvl w:ilvl="0">
      <w:lvlJc w:val="left"/>
      <w:lvlText w:val="(%1)"/>
      <w:numFmt w:val="lowerLetter"/>
      <w:start w:val="3"/>
    </w:lvl>
  </w:abstractNum>
  <w:abstractNum w:abstractNumId="169">
    <w:nsid w:val="5D5BABB3"/>
    <w:multiLevelType w:val="hybridMultilevel"/>
    <w:lvl w:ilvl="0">
      <w:lvlJc w:val="left"/>
      <w:lvlText w:val="(%1)"/>
      <w:numFmt w:val="lowerLetter"/>
      <w:start w:val="1"/>
    </w:lvl>
  </w:abstractNum>
  <w:abstractNum w:abstractNumId="170">
    <w:nsid w:val="51BF6B48"/>
    <w:multiLevelType w:val="hybridMultilevel"/>
    <w:lvl w:ilvl="0">
      <w:lvlJc w:val="left"/>
      <w:lvlText w:val="(%1)"/>
      <w:numFmt w:val="lowerLetter"/>
      <w:start w:val="1"/>
    </w:lvl>
  </w:abstractNum>
  <w:abstractNum w:abstractNumId="171">
    <w:nsid w:val="7E0F6384"/>
    <w:multiLevelType w:val="hybridMultilevel"/>
    <w:lvl w:ilvl="0">
      <w:lvlJc w:val="left"/>
      <w:lvlText w:val="(%1)"/>
      <w:numFmt w:val="lowerLetter"/>
      <w:start w:val="3"/>
    </w:lvl>
  </w:abstractNum>
  <w:abstractNum w:abstractNumId="172">
    <w:nsid w:val="2B4B8B53"/>
    <w:multiLevelType w:val="hybridMultilevel"/>
    <w:lvl w:ilvl="0">
      <w:lvlJc w:val="left"/>
      <w:lvlText w:val="%1"/>
      <w:numFmt w:val="lowerLetter"/>
      <w:start w:val="1"/>
    </w:lvl>
    <w:lvl w:ilvl="1">
      <w:lvlJc w:val="left"/>
      <w:lvlText w:val="(%2)"/>
      <w:numFmt w:val="lowerLetter"/>
      <w:start w:val="14"/>
    </w:lvl>
  </w:abstractNum>
  <w:abstractNum w:abstractNumId="173">
    <w:nsid w:val="72E3413A"/>
    <w:multiLevelType w:val="hybridMultilevel"/>
    <w:lvl w:ilvl="0">
      <w:lvlJc w:val="left"/>
      <w:lvlText w:val="(%1)"/>
      <w:numFmt w:val="lowerLetter"/>
      <w:start w:val="26"/>
    </w:lvl>
    <w:lvl w:ilvl="1">
      <w:lvlJc w:val="left"/>
      <w:lvlText w:val="%2"/>
      <w:numFmt w:val="lowerLetter"/>
      <w:start w:val="1"/>
    </w:lvl>
  </w:abstractNum>
  <w:abstractNum w:abstractNumId="174">
    <w:nsid w:val="116AE494"/>
    <w:multiLevelType w:val="hybridMultilevel"/>
    <w:lvl w:ilvl="0">
      <w:lvlJc w:val="left"/>
      <w:lvlText w:val="(%1)"/>
      <w:numFmt w:val="lowerLetter"/>
      <w:start w:val="1"/>
    </w:lvl>
  </w:abstractNum>
  <w:abstractNum w:abstractNumId="175">
    <w:nsid w:val="3494B2FB"/>
    <w:multiLevelType w:val="hybridMultilevel"/>
    <w:lvl w:ilvl="0">
      <w:lvlJc w:val="left"/>
      <w:lvlText w:val="(%1)"/>
      <w:numFmt w:val="lowerLetter"/>
      <w:start w:val="1"/>
    </w:lvl>
  </w:abstractNum>
  <w:abstractNum w:abstractNumId="176">
    <w:nsid w:val="B13A31"/>
    <w:multiLevelType w:val="hybridMultilevel"/>
    <w:lvl w:ilvl="0">
      <w:lvlJc w:val="left"/>
      <w:lvlText w:val="(%1)"/>
      <w:numFmt w:val="lowerRoman"/>
      <w:start w:val="2"/>
    </w:lvl>
  </w:abstractNum>
  <w:abstractNum w:abstractNumId="177">
    <w:nsid w:val="64429599"/>
    <w:multiLevelType w:val="hybridMultilevel"/>
    <w:lvl w:ilvl="0">
      <w:lvlJc w:val="left"/>
      <w:lvlText w:val="(%1)"/>
      <w:numFmt w:val="lowerLetter"/>
      <w:start w:val="1"/>
    </w:lvl>
    <w:lvl w:ilvl="1">
      <w:lvlJc w:val="left"/>
      <w:lvlText w:val="(%2)"/>
      <w:numFmt w:val="lowerRoman"/>
      <w:start w:val="1"/>
    </w:lvl>
  </w:abstractNum>
  <w:abstractNum w:abstractNumId="178">
    <w:nsid w:val="631F1690"/>
    <w:multiLevelType w:val="hybridMultilevel"/>
    <w:lvl w:ilvl="0">
      <w:lvlJc w:val="left"/>
      <w:lvlText w:val="(%1)"/>
      <w:numFmt w:val="lowerLetter"/>
      <w:start w:val="2"/>
    </w:lvl>
    <w:lvl w:ilvl="1">
      <w:lvlJc w:val="left"/>
      <w:lvlText w:val="(%2)"/>
      <w:numFmt w:val="lowerRoman"/>
      <w:start w:val="1"/>
    </w:lvl>
  </w:abstractNum>
  <w:abstractNum w:abstractNumId="179">
    <w:nsid w:val="25973E32"/>
    <w:multiLevelType w:val="hybridMultilevel"/>
    <w:lvl w:ilvl="0">
      <w:lvlJc w:val="left"/>
      <w:lvlText w:val="(%1)"/>
      <w:numFmt w:val="lowerLetter"/>
      <w:start w:val="3"/>
    </w:lvl>
  </w:abstractNum>
  <w:abstractNum w:abstractNumId="180">
    <w:nsid w:val="EAD6F57"/>
    <w:multiLevelType w:val="hybridMultilevel"/>
    <w:lvl w:ilvl="0">
      <w:lvlJc w:val="left"/>
      <w:lvlText w:val="(%1)"/>
      <w:numFmt w:val="lowerLetter"/>
      <w:start w:val="7"/>
    </w:lvl>
  </w:abstractNum>
  <w:abstractNum w:abstractNumId="181">
    <w:nsid w:val="6EC9D844"/>
    <w:multiLevelType w:val="hybridMultilevel"/>
    <w:lvl w:ilvl="0">
      <w:lvlJc w:val="left"/>
      <w:lvlText w:val="(%1)"/>
      <w:numFmt w:val="lowerLetter"/>
      <w:start w:val="1"/>
    </w:lvl>
    <w:lvl w:ilvl="1">
      <w:lvlJc w:val="left"/>
      <w:lvlText w:val="(%2)"/>
      <w:numFmt w:val="lowerRoman"/>
      <w:start w:val="1"/>
    </w:lvl>
  </w:abstractNum>
  <w:abstractNum w:abstractNumId="182">
    <w:nsid w:val="5C49EAEE"/>
    <w:multiLevelType w:val="hybridMultilevel"/>
    <w:lvl w:ilvl="0">
      <w:lvlJc w:val="left"/>
      <w:lvlText w:val="%1"/>
      <w:numFmt w:val="lowerLetter"/>
      <w:start w:val="1"/>
    </w:lvl>
    <w:lvl w:ilvl="1">
      <w:lvlJc w:val="left"/>
      <w:lvlText w:val="(%2)"/>
      <w:numFmt w:val="lowerRoman"/>
      <w:start w:val="4"/>
    </w:lvl>
  </w:abstractNum>
  <w:abstractNum w:abstractNumId="183">
    <w:nsid w:val="64AF49B"/>
    <w:multiLevelType w:val="hybridMultilevel"/>
    <w:lvl w:ilvl="0">
      <w:lvlJc w:val="left"/>
      <w:lvlText w:val="(%1)"/>
      <w:numFmt w:val="lowerLetter"/>
      <w:start w:val="2"/>
    </w:lvl>
    <w:lvl w:ilvl="1">
      <w:lvlJc w:val="left"/>
      <w:lvlText w:val="%2"/>
      <w:numFmt w:val="lowerRoman"/>
      <w:start w:val="1"/>
    </w:lvl>
  </w:abstractNum>
  <w:abstractNum w:abstractNumId="184">
    <w:nsid w:val="397C46BC"/>
    <w:multiLevelType w:val="hybridMultilevel"/>
    <w:lvl w:ilvl="0">
      <w:lvlJc w:val="left"/>
      <w:lvlText w:val="(%1)"/>
      <w:numFmt w:val="lowerRoman"/>
      <w:start w:val="2"/>
    </w:lvl>
  </w:abstractNum>
  <w:abstractNum w:abstractNumId="185">
    <w:nsid w:val="7E448DE9"/>
    <w:multiLevelType w:val="hybridMultilevel"/>
    <w:lvl w:ilvl="0">
      <w:lvlJc w:val="left"/>
      <w:lvlText w:val="(%1)"/>
      <w:numFmt w:val="lowerRoman"/>
      <w:start w:val="2"/>
    </w:lvl>
  </w:abstractNum>
  <w:abstractNum w:abstractNumId="186">
    <w:nsid w:val="5A9CC3E5"/>
    <w:multiLevelType w:val="hybridMultilevel"/>
    <w:lvl w:ilvl="0">
      <w:lvlJc w:val="left"/>
      <w:lvlText w:val="(%1)"/>
      <w:numFmt w:val="upperLetter"/>
      <w:start w:val="1"/>
    </w:lvl>
  </w:abstractNum>
  <w:abstractNum w:abstractNumId="187">
    <w:nsid w:val="1AFE3625"/>
    <w:multiLevelType w:val="hybridMultilevel"/>
    <w:lvl w:ilvl="0">
      <w:lvlJc w:val="left"/>
      <w:lvlText w:val="(%1)"/>
      <w:numFmt w:val="lowerRoman"/>
      <w:start w:val="9"/>
    </w:lvl>
  </w:abstractNum>
  <w:abstractNum w:abstractNumId="188">
    <w:nsid w:val="3CA88ECF"/>
    <w:multiLevelType w:val="hybridMultilevel"/>
    <w:lvl w:ilvl="0">
      <w:lvlJc w:val="left"/>
      <w:lvlText w:val="(%1)"/>
      <w:numFmt w:val="lowerLetter"/>
      <w:start w:val="2"/>
    </w:lvl>
  </w:abstractNum>
  <w:abstractNum w:abstractNumId="189">
    <w:nsid w:val="6EBE4208"/>
    <w:multiLevelType w:val="hybridMultilevel"/>
    <w:lvl w:ilvl="0">
      <w:lvlJc w:val="left"/>
      <w:lvlText w:val="%1."/>
      <w:numFmt w:val="decimal"/>
      <w:start w:val="1"/>
    </w:lvl>
  </w:abstractNum>
  <w:abstractNum w:abstractNumId="190">
    <w:nsid w:val="C058DF5"/>
    <w:multiLevelType w:val="hybridMultilevel"/>
    <w:lvl w:ilvl="0">
      <w:lvlJc w:val="left"/>
      <w:lvlText w:val="%1."/>
      <w:numFmt w:val="lowerLetter"/>
      <w:start w:val="1"/>
    </w:lvl>
  </w:abstractNum>
  <w:abstractNum w:abstractNumId="191">
    <w:nsid w:val="CBE5BE9"/>
    <w:multiLevelType w:val="hybridMultilevel"/>
    <w:lvl w:ilvl="0">
      <w:lvlJc w:val="left"/>
      <w:lvlText w:val="%1."/>
      <w:numFmt w:val="decimal"/>
      <w:start w:val="1"/>
    </w:lvl>
  </w:abstractNum>
  <w:abstractNum w:abstractNumId="192">
    <w:nsid w:val="3102BBE2"/>
    <w:multiLevelType w:val="hybridMultilevel"/>
    <w:lvl w:ilvl="0">
      <w:lvlJc w:val="left"/>
      <w:lvlText w:val="(%1)"/>
      <w:numFmt w:val="lowerLetter"/>
      <w:start w:val="1"/>
    </w:lvl>
  </w:abstractNum>
  <w:abstractNum w:abstractNumId="193">
    <w:nsid w:val="26A02C5E"/>
    <w:multiLevelType w:val="hybridMultilevel"/>
    <w:lvl w:ilvl="0">
      <w:lvlJc w:val="left"/>
      <w:lvlText w:val="(%1)"/>
      <w:numFmt w:val="lowerLetter"/>
      <w:start w:val="2"/>
    </w:lvl>
  </w:abstractNum>
  <w:abstractNum w:abstractNumId="194">
    <w:nsid w:val="541C8153"/>
    <w:multiLevelType w:val="hybridMultilevel"/>
    <w:lvl w:ilvl="0">
      <w:lvlJc w:val="left"/>
      <w:lvlText w:val="%1."/>
      <w:numFmt w:val="decimal"/>
      <w:start w:val="3"/>
    </w:lvl>
  </w:abstractNum>
  <w:abstractNum w:abstractNumId="195">
    <w:nsid w:val="67906F60"/>
    <w:multiLevelType w:val="hybridMultilevel"/>
    <w:lvl w:ilvl="0">
      <w:lvlJc w:val="left"/>
      <w:lvlText w:val="%1."/>
      <w:numFmt w:val="decimal"/>
      <w:start w:val="7"/>
    </w:lvl>
  </w:abstractNum>
  <w:abstractNum w:abstractNumId="196">
    <w:nsid w:val="10DB9DA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2024-08-01T16:08:13Z</dcterms:created>
  <dcterms:modified xsi:type="dcterms:W3CDTF">2024-08-01T16:08:13Z</dcterms:modified>
</cp:coreProperties>
</file>