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4,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87"/>
        </w:trPr>
        <w:tc>
          <w:tcPr>
            <w:tcW w:w="5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5500" w:type="dxa"/>
            <w:vAlign w:val="bottom"/>
          </w:tcPr>
          <w:p>
            <w:pPr>
              <w:spacing w:after="0"/>
              <w:rPr>
                <w:sz w:val="24"/>
                <w:szCs w:val="24"/>
                <w:color w:val="auto"/>
              </w:rPr>
            </w:pP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2"/>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 2022 Equity Inventive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12915 Old Virginia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(775) 662 - 3448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all communications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M. Skolnick,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262-6700</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is filed by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purpose of registering additional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under the Company’s 2022 Equity Incentive Plan (the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Company’s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The number of shares of Common Stock available for grant and issuance under the 2022 Plan is subject to an automatic annual increase on January 1 of each year beginning in 2023 by an amount equal to the lesser of (i) 4% of the total number of shares of Common Stock outstanding on December 31 of the preceding calendar year; or (ii) a number of shares of Common Stock determined by the Board of Directors of the Company (the “</w:t>
      </w:r>
      <w:r>
        <w:rPr>
          <w:rFonts w:ascii="Times New Roman" w:cs="Times New Roman" w:eastAsia="Times New Roman" w:hAnsi="Times New Roman"/>
          <w:sz w:val="18"/>
          <w:szCs w:val="18"/>
          <w:u w:val="single" w:color="auto"/>
          <w:color w:val="auto"/>
        </w:rPr>
        <w:t>2022 Plan Evergreen Provision</w:t>
      </w:r>
      <w:r>
        <w:rPr>
          <w:rFonts w:ascii="Times New Roman" w:cs="Times New Roman" w:eastAsia="Times New Roman" w:hAnsi="Times New Roman"/>
          <w:sz w:val="18"/>
          <w:szCs w:val="18"/>
          <w:color w:val="auto"/>
        </w:rPr>
        <w:t>”). On January 1, 2025, the number of shares of Common Stock available for grant and issuance under the 2022 Plan increased by 289,306 shares of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available for grant and issuance under the ESPP is subject to an automatic annual increase on January 1 of each year by an amount equal to the lesser of (i) 1% of the total number of shares of Common Stock outstanding on December 31 of the preceding calendar year; (ii) 166,666 shares of Common Stock; or (iii) a number of shares of Common Stock determined by the Board of Directors of the Company (the “</w:t>
      </w:r>
      <w:r>
        <w:rPr>
          <w:rFonts w:ascii="Times New Roman" w:cs="Times New Roman" w:eastAsia="Times New Roman" w:hAnsi="Times New Roman"/>
          <w:sz w:val="18"/>
          <w:szCs w:val="18"/>
          <w:u w:val="single" w:color="auto"/>
          <w:color w:val="auto"/>
        </w:rPr>
        <w:t>ESPP Evergreen Provision</w:t>
      </w:r>
      <w:r>
        <w:rPr>
          <w:rFonts w:ascii="Times New Roman" w:cs="Times New Roman" w:eastAsia="Times New Roman" w:hAnsi="Times New Roman"/>
          <w:sz w:val="18"/>
          <w:szCs w:val="18"/>
          <w:color w:val="auto"/>
        </w:rPr>
        <w:t>”). On January 1, 2025, the number of shares of Common Stock available for grant and issuance under the ESPP increased by 72,327 shares of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Statement registers a total of 361,633 shares of Common Stock comprised of: (i) 289,306 shares of Common Stock which were available for grant and issuance under the 2022 Plan pursuant to the 2022 Plan Evergreen Provision as of January 1, 2025; and (ii) 72,327 shares of Common Stock which were available for grant and issuance under the ESPP pursuant to the ESPP Evergreen Provision as of January 1, 2025.</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shares of Common Stock registered pursuant to this Registration Statement are of the same class of securities as (i) the 289,550 shares of Common Stock registered for issuance under the 2022 Plan and the 273,823 shares of Common Stock registered for issuance under the ESPP pursuant to the currently effective Registration Statement on Form S-8 (Registration No. 333-268784) filed on December 13 2022, and subsequently amended by Post-Effective Amendment No. 1 filed on August 30, 2023, (ii) the 192,324 shares of Common Stock registered for issuance under the 2022 Plan and the 81,415 shares of Common Stock registered for issuance under the ESPP pursuant to the currently effective Registration Statement on Form S-8 (Registration No. 333-274277) filed on August 30, 2023, and (iii) the 267,824 shares of Common Stock registered for issuance under the 2022 Plan and 66,956 shares of Common Stock registered for issuance under the ESPP pursuant to the currently effective Registration Statement on Form S-8 (Registration No. 333-280173) filed on June 13, 2024. Pursuant to General Instruction E of Form S-8, the contents of the Company’s Registration Statements on Form S-8 (Registration Nos. 333-268784, 333-274277 and 333-280173), including any amendments thereto or filings incorporated therein, are incorporated herein by this reference to the extent not replaced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Company with the Commission pursuant to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are incorporated herein by reference:</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xml:space="preserve">”) filed with the SEC on </w:t>
      </w:r>
      <w:hyperlink r:id="rId15">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Current Reports on Form 8-K filed with the SEC on </w:t>
      </w:r>
      <w:hyperlink r:id="rId16">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xml:space="preserve">, and </w:t>
      </w:r>
      <w:hyperlink r:id="rId20">
        <w:r>
          <w:rPr>
            <w:rFonts w:ascii="Times New Roman" w:cs="Times New Roman" w:eastAsia="Times New Roman" w:hAnsi="Times New Roman"/>
            <w:sz w:val="18"/>
            <w:szCs w:val="18"/>
            <w:u w:val="single" w:color="auto"/>
            <w:color w:val="0000EE"/>
          </w:rPr>
          <w:t>March 24,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excluding any information deemed furnished under Items 2.02 or 7.01 of Form 8-K, including the related exhibits,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information is not incorporated by reference herein); and</w:t>
      </w:r>
    </w:p>
    <w:p>
      <w:pPr>
        <w:spacing w:after="0" w:line="17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its Registration Statement on Form 8-A, filed on </w:t>
      </w:r>
      <w:hyperlink r:id="rId21">
        <w:r>
          <w:rPr>
            <w:rFonts w:ascii="Times New Roman" w:cs="Times New Roman" w:eastAsia="Times New Roman" w:hAnsi="Times New Roman"/>
            <w:sz w:val="18"/>
            <w:szCs w:val="18"/>
            <w:u w:val="single" w:color="auto"/>
            <w:color w:val="0000EE"/>
          </w:rPr>
          <w:t>August 10,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Section 12(b) of the Exchange Act including any amendments or reports filed for the purpose of updating such description, including </w:t>
      </w:r>
      <w:hyperlink r:id="rId22">
        <w:r>
          <w:rPr>
            <w:rFonts w:ascii="Times New Roman" w:cs="Times New Roman" w:eastAsia="Times New Roman" w:hAnsi="Times New Roman"/>
            <w:sz w:val="18"/>
            <w:szCs w:val="18"/>
            <w:u w:val="single" w:color="auto"/>
            <w:color w:val="0000EE"/>
          </w:rPr>
          <w:t>Exhibit 4.18</w:t>
        </w:r>
      </w:hyperlink>
      <w:r>
        <w:rPr>
          <w:rFonts w:ascii="Times New Roman" w:cs="Times New Roman" w:eastAsia="Times New Roman" w:hAnsi="Times New Roman"/>
          <w:sz w:val="18"/>
          <w:szCs w:val="18"/>
          <w:color w:val="auto"/>
        </w:rPr>
        <w:t xml:space="preserve"> to the Form 10-K.</w:t>
      </w:r>
    </w:p>
    <w:p>
      <w:pPr>
        <w:spacing w:after="0" w:line="176" w:lineRule="exact"/>
        <w:rPr>
          <w:rFonts w:ascii="Times New Roman" w:cs="Times New Roman" w:eastAsia="Times New Roman" w:hAnsi="Times New Roman"/>
          <w:sz w:val="18"/>
          <w:szCs w:val="18"/>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documents filed by the Company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8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74"/>
        </w:trPr>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20"/>
                <w:szCs w:val="20"/>
                <w:color w:val="auto"/>
              </w:rPr>
            </w:pPr>
          </w:p>
        </w:tc>
        <w:tc>
          <w:tcPr>
            <w:tcW w:w="76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4"/>
                <w:szCs w:val="14"/>
                <w:color w:val="auto"/>
              </w:rPr>
            </w:pPr>
          </w:p>
        </w:tc>
        <w:tc>
          <w:tcPr>
            <w:tcW w:w="4480" w:type="dxa"/>
            <w:vAlign w:val="bottom"/>
            <w:tcBorders>
              <w:top w:val="single" w:sz="8" w:color="auto"/>
              <w:bottom w:val="single" w:sz="8" w:color="0000EE"/>
            </w:tcBorders>
            <w:gridSpan w:val="6"/>
          </w:tcPr>
          <w:p>
            <w:pPr>
              <w:spacing w:after="0" w:line="169"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Articles of Incorporation of Dragonfly Energy Holdings Corp.</w:t>
              </w:r>
            </w:hyperlink>
          </w:p>
        </w:tc>
        <w:tc>
          <w:tcPr>
            <w:tcW w:w="3140" w:type="dxa"/>
            <w:vAlign w:val="bottom"/>
            <w:tcBorders>
              <w:top w:val="single" w:sz="8" w:color="auto"/>
            </w:tcBorders>
            <w:gridSpan w:val="7"/>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03/31/2023</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7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Amendment to the Articles of Incorporation of Dragonfly Energy Holdings Corp., dated</w:t>
              </w:r>
            </w:hyperlink>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11/29/2023</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1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November 29, 2023.</w:t>
              </w:r>
            </w:hyperlink>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5">
              <w:r>
                <w:rPr>
                  <w:rFonts w:ascii="Times New Roman" w:cs="Times New Roman" w:eastAsia="Times New Roman" w:hAnsi="Times New Roman"/>
                  <w:sz w:val="18"/>
                  <w:szCs w:val="18"/>
                  <w:color w:val="0000EE"/>
                  <w:w w:val="95"/>
                </w:rPr>
                <w:t>Bylaws.</w:t>
              </w:r>
            </w:hyperlink>
          </w:p>
        </w:tc>
        <w:tc>
          <w:tcPr>
            <w:tcW w:w="880" w:type="dxa"/>
            <w:vAlign w:val="bottom"/>
            <w:tcBorders>
              <w:top w:val="single" w:sz="8" w:color="0000EE"/>
            </w:tcBorders>
            <w:gridSpan w:val="2"/>
          </w:tcPr>
          <w:p>
            <w:pPr>
              <w:spacing w:after="0"/>
              <w:rPr>
                <w:sz w:val="17"/>
                <w:szCs w:val="17"/>
                <w:color w:val="auto"/>
              </w:rPr>
            </w:pPr>
          </w:p>
        </w:tc>
        <w:tc>
          <w:tcPr>
            <w:tcW w:w="61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7620" w:type="dxa"/>
            <w:vAlign w:val="bottom"/>
            <w:gridSpan w:val="1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Specimen Common Stock Certificate of Dragonfly Energy Holdings Corp.</w:t>
              </w:r>
            </w:hyperlink>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7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Amendment to the Articles of Incorporation of Dragonfly Energy Holdings Corp., dated</w:t>
              </w:r>
            </w:hyperlink>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11/22/2024</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1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November 19, 2024.</w:t>
              </w:r>
            </w:hyperlink>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7"/>
                <w:szCs w:val="17"/>
                <w:color w:val="auto"/>
              </w:rPr>
            </w:pPr>
          </w:p>
        </w:tc>
        <w:tc>
          <w:tcPr>
            <w:tcW w:w="7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Certificate of Designation of the Powers, Preferences and Relative, Participating, Optional and Other</w:t>
              </w:r>
            </w:hyperlink>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02/27/2025</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Restrictions of Series A Convertible Preferred Stock of Dragonfly Energy Holdings Corp.</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Parsons Behle &amp; Latimer.</w:t>
            </w:r>
          </w:p>
        </w:tc>
        <w:tc>
          <w:tcPr>
            <w:tcW w:w="49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18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Consent of Marcum LLP.</w:t>
            </w:r>
          </w:p>
        </w:tc>
        <w:tc>
          <w:tcPr>
            <w:tcW w:w="580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7"/>
                <w:szCs w:val="17"/>
                <w:color w:val="auto"/>
              </w:rPr>
            </w:pPr>
          </w:p>
        </w:tc>
        <w:tc>
          <w:tcPr>
            <w:tcW w:w="45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Parsons Behle &amp; Latimer (included in Exhibit 5.1).</w:t>
            </w:r>
          </w:p>
        </w:tc>
        <w:tc>
          <w:tcPr>
            <w:tcW w:w="3100" w:type="dxa"/>
            <w:vAlign w:val="bottom"/>
            <w:gridSpan w:val="5"/>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7"/>
              </w:rPr>
              <w: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7"/>
                <w:szCs w:val="17"/>
                <w:color w:val="auto"/>
              </w:rPr>
            </w:pPr>
          </w:p>
        </w:tc>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(contained on the signature page of this Registration Statement).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Dragonfly Energy Holdings Corp. 2022 Equity Incentive Plan.</w:t>
              </w:r>
            </w:hyperlink>
          </w:p>
        </w:tc>
        <w:tc>
          <w:tcPr>
            <w:tcW w:w="1500" w:type="dxa"/>
            <w:vAlign w:val="bottom"/>
            <w:tcBorders>
              <w:top w:val="single" w:sz="8" w:color="0000EE"/>
            </w:tcBorders>
            <w:gridSpan w:val="4"/>
          </w:tcPr>
          <w:p>
            <w:pPr>
              <w:spacing w:after="0"/>
              <w:rPr>
                <w:sz w:val="17"/>
                <w:szCs w:val="17"/>
                <w:color w:val="auto"/>
              </w:rPr>
            </w:pPr>
          </w:p>
        </w:tc>
        <w:tc>
          <w:tcPr>
            <w:tcW w:w="1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7"/>
                <w:szCs w:val="17"/>
                <w:color w:val="auto"/>
              </w:rPr>
            </w:pPr>
          </w:p>
        </w:tc>
        <w:tc>
          <w:tcPr>
            <w:tcW w:w="4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Dragonfly Energy Holdings Corp. Employee Stock Purchase Plan.</w:t>
              </w:r>
            </w:hyperlink>
          </w:p>
        </w:tc>
        <w:tc>
          <w:tcPr>
            <w:tcW w:w="28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Reno, Nevada, on April 4,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Chief Executive Officer and Interim 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Denis Phares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and filed pursuant to Rule 462 under the Securities Act of 1933, as amended,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or his or their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7"/>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President, Chief Executive Officer and interim Chief Financial</w:t>
            </w:r>
          </w:p>
        </w:tc>
        <w:tc>
          <w:tcPr>
            <w:tcW w:w="2020" w:type="dxa"/>
            <w:vAlign w:val="bottom"/>
          </w:tcPr>
          <w:p>
            <w:pPr>
              <w:spacing w:after="0"/>
              <w:rPr>
                <w:sz w:val="24"/>
                <w:szCs w:val="24"/>
                <w:color w:val="auto"/>
              </w:rPr>
            </w:pPr>
          </w:p>
        </w:tc>
      </w:tr>
      <w:tr>
        <w:trPr>
          <w:trHeight w:val="214"/>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Officer</w:t>
            </w:r>
          </w:p>
        </w:tc>
        <w:tc>
          <w:tcPr>
            <w:tcW w:w="20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20" w:type="dxa"/>
            <w:vAlign w:val="bottom"/>
          </w:tcPr>
          <w:p>
            <w:pPr>
              <w:spacing w:after="0"/>
              <w:rPr>
                <w:sz w:val="18"/>
                <w:szCs w:val="18"/>
                <w:color w:val="auto"/>
              </w:rPr>
            </w:pPr>
          </w:p>
        </w:tc>
      </w:tr>
      <w:tr>
        <w:trPr>
          <w:trHeight w:val="23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Denis Phares</w:t>
            </w:r>
          </w:p>
        </w:tc>
        <w:tc>
          <w:tcPr>
            <w:tcW w:w="220" w:type="dxa"/>
            <w:vAlign w:val="bottom"/>
          </w:tcPr>
          <w:p>
            <w:pPr>
              <w:spacing w:after="0"/>
              <w:rPr>
                <w:sz w:val="20"/>
                <w:szCs w:val="20"/>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 Phares</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Luisa Ingargiola</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Luisa Ingargiola</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Brian Nelson</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Nelson</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Perry Boyle</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Perry Boyle</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Jonathan Bellows</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Rick Parod</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Rick Parod</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Karina Montilla Edmonds</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r>
      <w:tr>
        <w:trPr>
          <w:trHeight w:val="22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Karina Montilla Edmonds</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Dragonfly Energy Holdings Corp. –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We have acted as special Nevada counsel to Dragonfly Energy Holdings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on even date herewith by the Company with the Securities and Exchange Commission.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is filed by the Company for the purpose of registering additional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under the Company’s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and the Company’s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and together with the 2022 Plan,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rendering this opinion letter in connection with the Registration Statement registering a total of 361,633 shares of Common Stock comprised of: (i) 289,306 shares of Common Stock which were available for grant and issuance under the 2022 Plan; and (ii) 72,327 shares of Common Stock which were available for grant and issuance under the ESPP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counsel to the Company, we have reviewed the Registration Statement and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such examination, it is our opinion that the Shares have been duly authorized by all requisite corporate action on the part of the Company and, upon their issuance, delivery and payment therefor in the manner contemplated by the Plans and Registration Statement, will be validly issued, fully paid and non-assessable.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Registration Statement. In connection with this opinion letter, we have relied on oral or written statements and representations of officers or other representatives of the Company and others. In rendering this opinion letter, we have assumed that the issuance of the Shares will not exceed the number of authorized shares.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letter is given as of the date hereof. We assume no obligation to advise you of changes that may hereafter be brought to our attention.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inclusion of this opinion letter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Securities and Exchange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PARSONS BEHLE &amp; LATIMER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31, 2025 relating to the financial statements appearing in the Annual Report on Form 10-K of Dragonfly Energy Holdings Corp. for the year ended December 31, 2024</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0"/>
        </w:trPr>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Proposed</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Proposed</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5"/>
        </w:trPr>
        <w:tc>
          <w:tcPr>
            <w:tcW w:w="1120" w:type="dxa"/>
            <w:vAlign w:val="bottom"/>
          </w:tcPr>
          <w:p>
            <w:pPr>
              <w:spacing w:after="0"/>
              <w:rPr>
                <w:sz w:val="19"/>
                <w:szCs w:val="19"/>
                <w:color w:val="auto"/>
              </w:rPr>
            </w:pPr>
          </w:p>
        </w:tc>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1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40" w:type="dxa"/>
            <w:vAlign w:val="bottom"/>
          </w:tcPr>
          <w:p>
            <w:pPr>
              <w:spacing w:after="0"/>
              <w:rPr>
                <w:sz w:val="18"/>
                <w:szCs w:val="18"/>
                <w:color w:val="auto"/>
              </w:rPr>
            </w:pP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5"/>
              </w:rPr>
              <w:t>registration</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Rule</w:t>
            </w:r>
          </w:p>
        </w:tc>
        <w:tc>
          <w:tcPr>
            <w:tcW w:w="1720" w:type="dxa"/>
            <w:vAlign w:val="bottom"/>
          </w:tcPr>
          <w:p>
            <w:pPr>
              <w:ind w:left="560"/>
              <w:spacing w:after="0" w:line="270" w:lineRule="exact"/>
              <w:rPr>
                <w:sz w:val="20"/>
                <w:szCs w:val="20"/>
                <w:color w:val="auto"/>
              </w:rPr>
            </w:pP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29"/>
                <w:szCs w:val="29"/>
                <w:b w:val="1"/>
                <w:bCs w:val="1"/>
                <w:color w:val="auto"/>
                <w:vertAlign w:val="superscript"/>
              </w:rPr>
              <w:t>(1)</w:t>
            </w:r>
          </w:p>
        </w:tc>
        <w:tc>
          <w:tcPr>
            <w:tcW w:w="134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b w:val="1"/>
                <w:bCs w:val="1"/>
                <w:color w:val="auto"/>
              </w:rPr>
              <w:t>per share</w:t>
            </w:r>
            <w:r>
              <w:rPr>
                <w:rFonts w:ascii="Times New Roman" w:cs="Times New Roman" w:eastAsia="Times New Roman" w:hAnsi="Times New Roman"/>
                <w:sz w:val="29"/>
                <w:szCs w:val="29"/>
                <w:b w:val="1"/>
                <w:bCs w:val="1"/>
                <w:color w:val="auto"/>
                <w:vertAlign w:val="superscript"/>
              </w:rPr>
              <w:t>(2)</w:t>
            </w:r>
          </w:p>
        </w:tc>
        <w:tc>
          <w:tcPr>
            <w:tcW w:w="128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29"/>
                <w:szCs w:val="29"/>
                <w:b w:val="1"/>
                <w:bCs w:val="1"/>
                <w:color w:val="auto"/>
                <w:vertAlign w:val="superscript"/>
              </w:rPr>
              <w:t>(2)</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360" w:type="dxa"/>
            <w:vAlign w:val="bottom"/>
          </w:tcPr>
          <w:p>
            <w:pPr>
              <w:ind w:left="480"/>
              <w:spacing w:after="0" w:line="270" w:lineRule="exact"/>
              <w:rPr>
                <w:sz w:val="20"/>
                <w:szCs w:val="20"/>
                <w:color w:val="auto"/>
              </w:rPr>
            </w:pP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29"/>
                <w:szCs w:val="29"/>
                <w:b w:val="1"/>
                <w:bCs w:val="1"/>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191"/>
        </w:trPr>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$0.0001 par value</w:t>
            </w:r>
          </w:p>
        </w:tc>
      </w:tr>
      <w:tr>
        <w:trPr>
          <w:trHeight w:val="25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per share </w:t>
            </w:r>
            <w:r>
              <w:rPr>
                <w:rFonts w:ascii="Times New Roman" w:cs="Times New Roman" w:eastAsia="Times New Roman" w:hAnsi="Times New Roman"/>
                <w:sz w:val="29"/>
                <w:szCs w:val="29"/>
                <w:b w:val="1"/>
                <w:bCs w:val="1"/>
                <w:color w:val="auto"/>
                <w:vertAlign w:val="superscript"/>
              </w:rPr>
              <w:t>(3)</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$0.0001 par value</w:t>
            </w:r>
          </w:p>
        </w:tc>
      </w:tr>
      <w:tr>
        <w:trPr>
          <w:trHeight w:val="275"/>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360" w:type="dxa"/>
            <w:vAlign w:val="bottom"/>
          </w:tcPr>
          <w:p>
            <w:pPr>
              <w:spacing w:after="0" w:line="276" w:lineRule="exact"/>
              <w:rPr>
                <w:sz w:val="20"/>
                <w:szCs w:val="20"/>
                <w:color w:val="auto"/>
              </w:rPr>
            </w:pPr>
            <w:r>
              <w:rPr>
                <w:rFonts w:ascii="Times New Roman" w:cs="Times New Roman" w:eastAsia="Times New Roman" w:hAnsi="Times New Roman"/>
                <w:sz w:val="18"/>
                <w:szCs w:val="18"/>
                <w:color w:val="auto"/>
              </w:rPr>
              <w:t xml:space="preserve">per share </w:t>
            </w:r>
            <w:r>
              <w:rPr>
                <w:rFonts w:ascii="Times New Roman" w:cs="Times New Roman" w:eastAsia="Times New Roman" w:hAnsi="Times New Roman"/>
                <w:sz w:val="29"/>
                <w:szCs w:val="29"/>
                <w:b w:val="1"/>
                <w:bCs w:val="1"/>
                <w:color w:val="auto"/>
                <w:vertAlign w:val="superscript"/>
              </w:rPr>
              <w:t>(4)</w:t>
            </w: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Rule 457(c) and</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289,306</w:t>
            </w: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274,840.70</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0.00015310</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45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Rule 457(c) and</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72,327</w:t>
            </w: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68,710.65</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0.00015310</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bl>
    <w:p>
      <w:pPr>
        <w:spacing w:after="0" w:line="20" w:lineRule="exact"/>
        <w:rPr>
          <w:sz w:val="20"/>
          <w:szCs w:val="20"/>
          <w:color w:val="auto"/>
        </w:rPr>
      </w:pPr>
    </w:p>
    <w:p>
      <w:pPr>
        <w:sectPr>
          <w:pgSz w:w="11900" w:h="16838" w:orient="portrait"/>
          <w:cols w:equalWidth="0" w:num="2">
            <w:col w:w="2940" w:space="220"/>
            <w:col w:w="808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4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54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Total Offering Amounts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343,551.35</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52.60</w:t>
            </w:r>
          </w:p>
        </w:tc>
      </w:tr>
      <w:tr>
        <w:trPr>
          <w:trHeight w:val="257"/>
        </w:trPr>
        <w:tc>
          <w:tcPr>
            <w:tcW w:w="5400" w:type="dxa"/>
            <w:vAlign w:val="bottom"/>
            <w:shd w:val="clear" w:color="auto" w:fill="CCEEFF"/>
          </w:tcPr>
          <w:p>
            <w:pPr>
              <w:ind w:left="1580"/>
              <w:spacing w:after="0" w:line="256" w:lineRule="exact"/>
              <w:rPr>
                <w:sz w:val="20"/>
                <w:szCs w:val="20"/>
                <w:color w:val="auto"/>
              </w:rPr>
            </w:pPr>
            <w:r>
              <w:rPr>
                <w:rFonts w:ascii="Times New Roman" w:cs="Times New Roman" w:eastAsia="Times New Roman" w:hAnsi="Times New Roman"/>
                <w:sz w:val="18"/>
                <w:szCs w:val="18"/>
                <w:color w:val="auto"/>
              </w:rPr>
              <w:t xml:space="preserve">Total Fee Offsets </w:t>
            </w:r>
            <w:r>
              <w:rPr>
                <w:rFonts w:ascii="Times New Roman" w:cs="Times New Roman" w:eastAsia="Times New Roman" w:hAnsi="Times New Roman"/>
                <w:sz w:val="29"/>
                <w:szCs w:val="29"/>
                <w:b w:val="1"/>
                <w:bCs w:val="1"/>
                <w:color w:val="auto"/>
                <w:vertAlign w:val="superscript"/>
              </w:rPr>
              <w:t>(5)</w:t>
            </w:r>
          </w:p>
        </w:tc>
        <w:tc>
          <w:tcPr>
            <w:tcW w:w="2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Net Fee Due</w:t>
            </w: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52.60</w:t>
            </w:r>
          </w:p>
        </w:tc>
      </w:tr>
    </w:tbl>
    <w:p>
      <w:pPr>
        <w:spacing w:after="0" w:line="179" w:lineRule="exact"/>
        <w:rPr>
          <w:sz w:val="20"/>
          <w:szCs w:val="20"/>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common stock that become issuable under the Registrant’s 2022 Omnibus Equity Incentive Plan (the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under the Registrant’s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 In addition, pursuant to Rule 416(c) under the Securities Act, this registration statement also covers an indeterminate amount of interests to be offered or sold pursuant to the employee benefit plan(s) described herein, as these amounts may be adjusted as a result of stock splits, stock dividends, antidilution provisions, and similar transactions.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 price, $1.00 and $0.89, respectively, of the Registrant’s common stock as reported on the Nasdaq Capital Market on April 2,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on January 1, 2025, to the number of shares of the Registrant’s common stock reserved for issuance under the 2022 Plan, which annual increase is provided for in the 2022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on January 1, 2025, to the number of shares of the Registrant’s common stock reserved for issuance under the ESPP, which annual increase is provided for in the ESPP.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15" Type="http://schemas.openxmlformats.org/officeDocument/2006/relationships/hyperlink" Target="https://www.sec.gov/Archives/edgar/data/1847986/000164117225001755/form10-k.htm" TargetMode="External"/><Relationship Id="rId16" Type="http://schemas.openxmlformats.org/officeDocument/2006/relationships/hyperlink" Target="https://www.sec.gov/Archives/edgar/data/1847986/000149315225000307/form8-k.htm" TargetMode="External"/><Relationship Id="rId17" Type="http://schemas.openxmlformats.org/officeDocument/2006/relationships/hyperlink" Target="https://www.sec.gov/Archives/edgar/data/1847986/000149315225005013/form8-k.htm" TargetMode="External"/><Relationship Id="rId18" Type="http://schemas.openxmlformats.org/officeDocument/2006/relationships/hyperlink" Target="https://www.sec.gov/Archives/edgar/data/1847986/000149315225008445/form8-k.htm" TargetMode="External"/><Relationship Id="rId19" Type="http://schemas.openxmlformats.org/officeDocument/2006/relationships/hyperlink" Target="https://www.sec.gov/Archives/edgar/data/1847986/000149315225009633/form8-k.htm" TargetMode="External"/><Relationship Id="rId20" Type="http://schemas.openxmlformats.org/officeDocument/2006/relationships/hyperlink" Target="https://www.sec.gov/Archives/edgar/data/1847986/000164117225000298/form8-k.htm" TargetMode="External"/><Relationship Id="rId21" Type="http://schemas.openxmlformats.org/officeDocument/2006/relationships/hyperlink" Target="https://www.sec.gov/Archives/edgar/data/1847986/000110465921102670/tm2124648d1_8a12b.htm" TargetMode="External"/><Relationship Id="rId22" Type="http://schemas.openxmlformats.org/officeDocument/2006/relationships/hyperlink" Target="https://www.sec.gov/Archives/edgar/data/1847986/000164117225001755/ex4-18.htm" TargetMode="External"/><Relationship Id="rId23" Type="http://schemas.openxmlformats.org/officeDocument/2006/relationships/hyperlink" Target="https://www.sec.gov/Archives/edgar/data/1847986/000149315223010262/ex3-1.htm" TargetMode="External"/><Relationship Id="rId24" Type="http://schemas.openxmlformats.org/officeDocument/2006/relationships/hyperlink" Target="https://www.sec.gov/Archives/edgar/data/1847986/000149315223043109/ex3-1.htm" TargetMode="External"/><Relationship Id="rId25" Type="http://schemas.openxmlformats.org/officeDocument/2006/relationships/hyperlink" Target="https://www.sec.gov/Archives/edgar/data/1847986/000149315223010262/ex3-2.htm" TargetMode="External"/><Relationship Id="rId26" Type="http://schemas.openxmlformats.org/officeDocument/2006/relationships/hyperlink" Target="https://www.sec.gov/Archives/edgar/data/1847986/000110465922107212/tm2222125d3_ex4-1.htm" TargetMode="External"/><Relationship Id="rId27" Type="http://schemas.openxmlformats.org/officeDocument/2006/relationships/hyperlink" Target="https://www.sec.gov/Archives/edgar/data/1847986/000149315224047295/ex3-1.htm" TargetMode="External"/><Relationship Id="rId28" Type="http://schemas.openxmlformats.org/officeDocument/2006/relationships/hyperlink" Target="https://www.sec.gov/Archives/edgar/data/1847986/000149315225008445/ex3-1.htm" TargetMode="External"/><Relationship Id="rId29" Type="http://schemas.openxmlformats.org/officeDocument/2006/relationships/hyperlink" Target="https://www.sec.gov/Archives/edgar/data/1847986/000110465922107212/tm2222125d3_ex10-5.htm" TargetMode="External"/><Relationship Id="rId30" Type="http://schemas.openxmlformats.org/officeDocument/2006/relationships/hyperlink" Target="https://www.sec.gov/Archives/edgar/data/1847986/000110465922107212/tm2222125d3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2025-04-04T16:31:21Z</dcterms:created>
  <dcterms:modified xsi:type="dcterms:W3CDTF">2025-04-04T16:31:21Z</dcterms:modified>
</cp:coreProperties>
</file>