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21, 2022</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109855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4"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304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0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9"/>
              </w:rPr>
              <w:t>3690</w:t>
            </w:r>
          </w:p>
        </w:tc>
        <w:tc>
          <w:tcPr>
            <w:tcW w:w="184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85-1873463</w:t>
            </w:r>
          </w:p>
        </w:tc>
      </w:tr>
      <w:tr>
        <w:trPr>
          <w:trHeight w:val="148"/>
        </w:trPr>
        <w:tc>
          <w:tcPr>
            <w:tcW w:w="304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400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color w:val="auto"/>
              </w:rPr>
              <w:t>(Primary Standard Industrial Classification Code</w:t>
            </w:r>
          </w:p>
        </w:tc>
        <w:tc>
          <w:tcPr>
            <w:tcW w:w="184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4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organization)</w:t>
            </w:r>
          </w:p>
        </w:tc>
        <w:tc>
          <w:tcPr>
            <w:tcW w:w="4000" w:type="dxa"/>
            <w:vAlign w:val="bottom"/>
          </w:tcPr>
          <w:p>
            <w:pPr>
              <w:jc w:val="center"/>
              <w:ind w:right="328"/>
              <w:spacing w:after="0"/>
              <w:rPr>
                <w:sz w:val="20"/>
                <w:szCs w:val="20"/>
                <w:color w:val="auto"/>
              </w:rPr>
            </w:pPr>
            <w:r>
              <w:rPr>
                <w:rFonts w:ascii="Times New Roman" w:cs="Times New Roman" w:eastAsia="Times New Roman" w:hAnsi="Times New Roman"/>
                <w:sz w:val="14"/>
                <w:szCs w:val="14"/>
                <w:color w:val="auto"/>
              </w:rPr>
              <w:t>Number)</w:t>
            </w:r>
          </w:p>
        </w:tc>
        <w:tc>
          <w:tcPr>
            <w:tcW w:w="184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17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1190 Trademark Drive #108</w:t>
      </w:r>
    </w:p>
    <w:p>
      <w:pPr>
        <w:ind w:left="4480"/>
        <w:spacing w:after="0" w:line="229" w:lineRule="auto"/>
        <w:rPr>
          <w:sz w:val="20"/>
          <w:szCs w:val="20"/>
          <w:color w:val="auto"/>
        </w:rPr>
      </w:pPr>
      <w:r>
        <w:rPr>
          <w:rFonts w:ascii="Times New Roman" w:cs="Times New Roman" w:eastAsia="Times New Roman" w:hAnsi="Times New Roman"/>
          <w:sz w:val="14"/>
          <w:szCs w:val="14"/>
          <w:b w:val="1"/>
          <w:bCs w:val="1"/>
          <w:color w:val="auto"/>
        </w:rPr>
        <w:t>Reno, Nevada 89521</w:t>
      </w:r>
    </w:p>
    <w:p>
      <w:pPr>
        <w:ind w:left="4680"/>
        <w:spacing w:after="0"/>
        <w:rPr>
          <w:sz w:val="20"/>
          <w:szCs w:val="20"/>
          <w:color w:val="auto"/>
        </w:rPr>
      </w:pPr>
      <w:r>
        <w:rPr>
          <w:rFonts w:ascii="Times New Roman" w:cs="Times New Roman" w:eastAsia="Times New Roman" w:hAnsi="Times New Roman"/>
          <w:sz w:val="14"/>
          <w:szCs w:val="14"/>
          <w:b w:val="1"/>
          <w:bCs w:val="1"/>
          <w:color w:val="auto"/>
        </w:rPr>
        <w:t>(775) 622-3448</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118110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Denis Phares</w:t>
      </w:r>
    </w:p>
    <w:p>
      <w:pPr>
        <w:ind w:left="4060"/>
        <w:spacing w:after="0" w:line="229" w:lineRule="auto"/>
        <w:rPr>
          <w:sz w:val="20"/>
          <w:szCs w:val="20"/>
          <w:color w:val="auto"/>
        </w:rPr>
      </w:pPr>
      <w:r>
        <w:rPr>
          <w:rFonts w:ascii="Times New Roman" w:cs="Times New Roman" w:eastAsia="Times New Roman" w:hAnsi="Times New Roman"/>
          <w:sz w:val="14"/>
          <w:szCs w:val="14"/>
          <w:b w:val="1"/>
          <w:bCs w:val="1"/>
          <w:color w:val="auto"/>
        </w:rPr>
        <w:t>Dragonfly Energy Holdings Corp.</w:t>
      </w:r>
    </w:p>
    <w:p>
      <w:pPr>
        <w:ind w:left="4260"/>
        <w:spacing w:after="0" w:line="221" w:lineRule="auto"/>
        <w:rPr>
          <w:sz w:val="20"/>
          <w:szCs w:val="20"/>
          <w:color w:val="auto"/>
        </w:rPr>
      </w:pPr>
      <w:r>
        <w:rPr>
          <w:rFonts w:ascii="Times New Roman" w:cs="Times New Roman" w:eastAsia="Times New Roman" w:hAnsi="Times New Roman"/>
          <w:sz w:val="14"/>
          <w:szCs w:val="14"/>
          <w:b w:val="1"/>
          <w:bCs w:val="1"/>
          <w:color w:val="auto"/>
        </w:rPr>
        <w:t>1190 Trademark Drive #108</w:t>
      </w:r>
    </w:p>
    <w:p>
      <w:pPr>
        <w:ind w:left="4480"/>
        <w:spacing w:after="0" w:line="222" w:lineRule="auto"/>
        <w:rPr>
          <w:sz w:val="20"/>
          <w:szCs w:val="20"/>
          <w:color w:val="auto"/>
        </w:rPr>
      </w:pPr>
      <w:r>
        <w:rPr>
          <w:rFonts w:ascii="Times New Roman" w:cs="Times New Roman" w:eastAsia="Times New Roman" w:hAnsi="Times New Roman"/>
          <w:sz w:val="14"/>
          <w:szCs w:val="14"/>
          <w:b w:val="1"/>
          <w:bCs w:val="1"/>
          <w:color w:val="auto"/>
        </w:rPr>
        <w:t>Reno, Nevada 89521</w:t>
      </w:r>
    </w:p>
    <w:p>
      <w:pPr>
        <w:ind w:left="4680"/>
        <w:spacing w:after="0"/>
        <w:rPr>
          <w:sz w:val="20"/>
          <w:szCs w:val="20"/>
          <w:color w:val="auto"/>
        </w:rPr>
      </w:pPr>
      <w:r>
        <w:rPr>
          <w:rFonts w:ascii="Times New Roman" w:cs="Times New Roman" w:eastAsia="Times New Roman" w:hAnsi="Times New Roman"/>
          <w:sz w:val="14"/>
          <w:szCs w:val="14"/>
          <w:b w:val="1"/>
          <w:bCs w:val="1"/>
          <w:color w:val="auto"/>
        </w:rPr>
        <w:t>(775) 622-3448</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118110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ind w:left="4520"/>
        <w:spacing w:after="0" w:line="229" w:lineRule="auto"/>
        <w:rPr>
          <w:sz w:val="20"/>
          <w:szCs w:val="20"/>
          <w:color w:val="auto"/>
        </w:rPr>
      </w:pPr>
      <w:r>
        <w:rPr>
          <w:rFonts w:ascii="Times New Roman" w:cs="Times New Roman" w:eastAsia="Times New Roman" w:hAnsi="Times New Roman"/>
          <w:sz w:val="14"/>
          <w:szCs w:val="14"/>
          <w:b w:val="1"/>
          <w:bCs w:val="1"/>
          <w:color w:val="auto"/>
        </w:rPr>
        <w:t>Jeeho M. Lee, Esq.</w:t>
      </w:r>
    </w:p>
    <w:p>
      <w:pPr>
        <w:ind w:left="4400"/>
        <w:spacing w:after="0" w:line="221" w:lineRule="auto"/>
        <w:rPr>
          <w:sz w:val="20"/>
          <w:szCs w:val="20"/>
          <w:color w:val="auto"/>
        </w:rPr>
      </w:pPr>
      <w:r>
        <w:rPr>
          <w:rFonts w:ascii="Times New Roman" w:cs="Times New Roman" w:eastAsia="Times New Roman" w:hAnsi="Times New Roman"/>
          <w:sz w:val="14"/>
          <w:szCs w:val="14"/>
          <w:b w:val="1"/>
          <w:bCs w:val="1"/>
          <w:color w:val="auto"/>
        </w:rPr>
        <w:t>Tai Vivatvaraphol, Esq.</w:t>
      </w:r>
    </w:p>
    <w:p>
      <w:pPr>
        <w:ind w:left="4320"/>
        <w:spacing w:after="0" w:line="222" w:lineRule="auto"/>
        <w:rPr>
          <w:sz w:val="20"/>
          <w:szCs w:val="20"/>
          <w:color w:val="auto"/>
        </w:rPr>
      </w:pPr>
      <w:r>
        <w:rPr>
          <w:rFonts w:ascii="Times New Roman" w:cs="Times New Roman" w:eastAsia="Times New Roman" w:hAnsi="Times New Roman"/>
          <w:sz w:val="14"/>
          <w:szCs w:val="14"/>
          <w:b w:val="1"/>
          <w:bCs w:val="1"/>
          <w:color w:val="auto"/>
        </w:rPr>
        <w:t>O’Melveny &amp; Myers LLP</w:t>
      </w:r>
    </w:p>
    <w:p>
      <w:pPr>
        <w:ind w:left="4420"/>
        <w:spacing w:after="0" w:line="221" w:lineRule="auto"/>
        <w:rPr>
          <w:sz w:val="20"/>
          <w:szCs w:val="20"/>
          <w:color w:val="auto"/>
        </w:rPr>
      </w:pPr>
      <w:r>
        <w:rPr>
          <w:rFonts w:ascii="Times New Roman" w:cs="Times New Roman" w:eastAsia="Times New Roman" w:hAnsi="Times New Roman"/>
          <w:sz w:val="14"/>
          <w:szCs w:val="14"/>
          <w:b w:val="1"/>
          <w:bCs w:val="1"/>
          <w:color w:val="auto"/>
        </w:rPr>
        <w:t>7 Times Square Tower</w:t>
      </w:r>
    </w:p>
    <w:p>
      <w:pPr>
        <w:ind w:left="4440"/>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10036</w:t>
      </w:r>
    </w:p>
    <w:p>
      <w:pPr>
        <w:ind w:left="4680"/>
        <w:spacing w:after="0"/>
        <w:rPr>
          <w:sz w:val="20"/>
          <w:szCs w:val="20"/>
          <w:color w:val="auto"/>
        </w:rPr>
      </w:pPr>
      <w:r>
        <w:rPr>
          <w:rFonts w:ascii="Times New Roman" w:cs="Times New Roman" w:eastAsia="Times New Roman" w:hAnsi="Times New Roman"/>
          <w:sz w:val="14"/>
          <w:szCs w:val="14"/>
          <w:b w:val="1"/>
          <w:bCs w:val="1"/>
          <w:color w:val="auto"/>
        </w:rPr>
        <w:t>(212) 326-2000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90805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44" w:lineRule="exact"/>
        <w:rPr>
          <w:sz w:val="24"/>
          <w:szCs w:val="24"/>
          <w:color w:val="auto"/>
        </w:rPr>
      </w:pPr>
    </w:p>
    <w:p>
      <w:pPr>
        <w:ind w:right="2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right="3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30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 w:lineRule="exact"/>
        <w:rPr>
          <w:sz w:val="24"/>
          <w:szCs w:val="24"/>
          <w:color w:val="auto"/>
        </w:rPr>
      </w:pPr>
    </w:p>
    <w:p>
      <w:pPr>
        <w:ind w:right="46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 w:lineRule="exact"/>
        <w:rPr>
          <w:sz w:val="24"/>
          <w:szCs w:val="24"/>
          <w:color w:val="auto"/>
        </w:rPr>
      </w:pPr>
    </w:p>
    <w:p>
      <w:pPr>
        <w:ind w:right="20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513715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42545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85090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2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0140"/>
          </w:cols>
          <w:pgMar w:left="720" w:top="513" w:right="10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615"/>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untiltheregistrationstatementfiledwiththe</w:t>
            </w:r>
          </w:p>
        </w:tc>
        <w:tc>
          <w:tcPr>
            <w:tcW w:w="400" w:type="dxa"/>
            <w:vAlign w:val="bottom"/>
            <w:textDirection w:val="btLr"/>
          </w:tcPr>
          <w:p>
            <w:pPr>
              <w:ind w:left="34"/>
              <w:spacing w:after="0"/>
              <w:rPr>
                <w:sz w:val="20"/>
                <w:szCs w:val="20"/>
                <w:color w:val="auto"/>
              </w:rPr>
            </w:pPr>
            <w:r>
              <w:rPr>
                <w:rFonts w:ascii="Times New Roman" w:cs="Times New Roman" w:eastAsia="Times New Roman" w:hAnsi="Times New Roman"/>
                <w:sz w:val="18"/>
                <w:szCs w:val="18"/>
                <w:b w:val="1"/>
                <w:bCs w:val="1"/>
                <w:color w:val="FF0000"/>
              </w:rPr>
              <w:t>isnotsolicitinganoffertobuythesesecurities</w:t>
            </w:r>
          </w:p>
        </w:tc>
      </w:tr>
      <w:tr>
        <w:trPr>
          <w:trHeight w:val="1251"/>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thesesecurities</w:t>
            </w:r>
          </w:p>
        </w:tc>
        <w:tc>
          <w:tcPr>
            <w:tcW w:w="400" w:type="dxa"/>
            <w:vAlign w:val="bottom"/>
            <w:textDirection w:val="btLr"/>
          </w:tcPr>
          <w:p>
            <w:pPr>
              <w:ind w:left="32"/>
              <w:spacing w:after="0"/>
              <w:rPr>
                <w:sz w:val="20"/>
                <w:szCs w:val="20"/>
                <w:color w:val="auto"/>
              </w:rPr>
            </w:pPr>
            <w:r>
              <w:rPr>
                <w:rFonts w:ascii="Times New Roman" w:cs="Times New Roman" w:eastAsia="Times New Roman" w:hAnsi="Times New Roman"/>
                <w:sz w:val="18"/>
                <w:szCs w:val="18"/>
                <w:b w:val="1"/>
                <w:bCs w:val="1"/>
                <w:color w:val="FF0000"/>
              </w:rPr>
              <w:t>securitiesandit</w:t>
            </w:r>
          </w:p>
        </w:tc>
      </w:tr>
      <w:tr>
        <w:trPr>
          <w:trHeight w:val="1349"/>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Wemaynotsell</w:t>
            </w:r>
          </w:p>
        </w:tc>
        <w:tc>
          <w:tcPr>
            <w:tcW w:w="400" w:type="dxa"/>
            <w:vAlign w:val="bottom"/>
            <w:textDirection w:val="btLr"/>
          </w:tcPr>
          <w:p>
            <w:pPr>
              <w:ind w:left="30"/>
              <w:spacing w:after="0"/>
              <w:rPr>
                <w:sz w:val="20"/>
                <w:szCs w:val="20"/>
                <w:color w:val="auto"/>
              </w:rPr>
            </w:pPr>
            <w:r>
              <w:rPr>
                <w:rFonts w:ascii="Times New Roman" w:cs="Times New Roman" w:eastAsia="Times New Roman" w:hAnsi="Times New Roman"/>
                <w:sz w:val="18"/>
                <w:szCs w:val="18"/>
                <w:b w:val="1"/>
                <w:bCs w:val="1"/>
                <w:color w:val="FF0000"/>
              </w:rPr>
              <w:t>offertosellthese</w:t>
            </w:r>
          </w:p>
        </w:tc>
      </w:tr>
      <w:tr>
        <w:trPr>
          <w:trHeight w:val="734"/>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changed.</w:t>
            </w:r>
          </w:p>
        </w:tc>
        <w:tc>
          <w:tcPr>
            <w:tcW w:w="400" w:type="dxa"/>
            <w:vAlign w:val="bottom"/>
            <w:textDirection w:val="btLr"/>
          </w:tcPr>
          <w:p>
            <w:pPr>
              <w:ind w:left="28"/>
              <w:spacing w:after="0"/>
              <w:rPr>
                <w:sz w:val="20"/>
                <w:szCs w:val="20"/>
                <w:color w:val="auto"/>
              </w:rPr>
            </w:pPr>
            <w:r>
              <w:rPr>
                <w:rFonts w:ascii="Times New Roman" w:cs="Times New Roman" w:eastAsia="Times New Roman" w:hAnsi="Times New Roman"/>
                <w:sz w:val="18"/>
                <w:szCs w:val="18"/>
                <w:b w:val="1"/>
                <w:bCs w:val="1"/>
                <w:color w:val="FF0000"/>
              </w:rPr>
              <w:t>isnotan</w:t>
            </w:r>
          </w:p>
        </w:tc>
      </w:tr>
      <w:tr>
        <w:trPr>
          <w:trHeight w:val="5084"/>
        </w:trPr>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rPr>
              <w:t>Theinformationinthisprospectusisnotcompleteandmaybe</w:t>
            </w:r>
          </w:p>
        </w:tc>
        <w:tc>
          <w:tcPr>
            <w:tcW w:w="400" w:type="dxa"/>
            <w:vAlign w:val="bottom"/>
            <w:textDirection w:val="btLr"/>
          </w:tcPr>
          <w:p>
            <w:pPr>
              <w:ind w:left="239"/>
              <w:spacing w:after="0"/>
              <w:rPr>
                <w:sz w:val="20"/>
                <w:szCs w:val="20"/>
                <w:color w:val="auto"/>
              </w:rPr>
            </w:pPr>
            <w:r>
              <w:rPr>
                <w:rFonts w:ascii="Times New Roman" w:cs="Times New Roman" w:eastAsia="Times New Roman" w:hAnsi="Times New Roman"/>
                <w:sz w:val="14"/>
                <w:szCs w:val="14"/>
                <w:b w:val="1"/>
                <w:bCs w:val="1"/>
                <w:color w:val="FF0000"/>
                <w:w w:val="74"/>
              </w:rPr>
              <w:t>SecuritiesandExchangeCommissioniseffective.Thisprospectusinanyjurisdictionwheretheofferorsaleisnotpermitted.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FF0000"/>
        </w:rPr>
        <w:t>SUBJECT TO COMPLETION, DATED OCTOBER 21,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2329815</wp:posOffset>
            </wp:positionH>
            <wp:positionV relativeFrom="paragraph">
              <wp:posOffset>107315</wp:posOffset>
            </wp:positionV>
            <wp:extent cx="1217295"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729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DRAGONFLY ENERGY HOLDINGS CORP.</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Up to 21,512,027 Shares of Common Stock</w:t>
      </w:r>
    </w:p>
    <w:p>
      <w:pPr>
        <w:spacing w:after="0" w:line="141" w:lineRule="exact"/>
        <w:rPr>
          <w:sz w:val="20"/>
          <w:szCs w:val="20"/>
          <w:color w:val="auto"/>
        </w:rPr>
      </w:pPr>
    </w:p>
    <w:p>
      <w:pPr>
        <w:ind w:right="240" w:firstLine="324"/>
        <w:spacing w:after="0" w:line="298" w:lineRule="auto"/>
        <w:rPr>
          <w:sz w:val="20"/>
          <w:szCs w:val="20"/>
          <w:color w:val="auto"/>
        </w:rPr>
      </w:pPr>
      <w:r>
        <w:rPr>
          <w:rFonts w:ascii="Times New Roman" w:cs="Times New Roman" w:eastAsia="Times New Roman" w:hAnsi="Times New Roman"/>
          <w:sz w:val="16"/>
          <w:szCs w:val="16"/>
          <w:color w:val="auto"/>
        </w:rPr>
        <w:t>This prospectus relates to the potential offer and resale, from time to time, of up to 21,512,027 shares of our common stock, par value $0.0001 per share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by the selling stockholder, Chardan Capital Markets LLC (“</w:t>
      </w:r>
      <w:r>
        <w:rPr>
          <w:rFonts w:ascii="Times New Roman" w:cs="Times New Roman" w:eastAsia="Times New Roman" w:hAnsi="Times New Roman"/>
          <w:sz w:val="16"/>
          <w:szCs w:val="16"/>
          <w:b w:val="1"/>
          <w:bCs w:val="1"/>
          <w:color w:val="auto"/>
        </w:rPr>
        <w:t>CCM</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selling stockholder</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ind w:right="240" w:firstLine="324"/>
        <w:spacing w:after="0" w:line="281" w:lineRule="auto"/>
        <w:rPr>
          <w:sz w:val="20"/>
          <w:szCs w:val="20"/>
          <w:color w:val="auto"/>
        </w:rPr>
      </w:pPr>
      <w:r>
        <w:rPr>
          <w:rFonts w:ascii="Times New Roman" w:cs="Times New Roman" w:eastAsia="Times New Roman" w:hAnsi="Times New Roman"/>
          <w:sz w:val="16"/>
          <w:szCs w:val="16"/>
          <w:color w:val="auto"/>
        </w:rPr>
        <w:t>The shares of common stock to which this prospectus relates includes shares that have been or may be issued to CCM pursuant to a purchase agreement between us and CCM, dated October 7, 2022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establishing an equity facility (the “</w:t>
      </w:r>
      <w:r>
        <w:rPr>
          <w:rFonts w:ascii="Times New Roman" w:cs="Times New Roman" w:eastAsia="Times New Roman" w:hAnsi="Times New Roman"/>
          <w:sz w:val="16"/>
          <w:szCs w:val="16"/>
          <w:b w:val="1"/>
          <w:bCs w:val="1"/>
          <w:color w:val="auto"/>
        </w:rPr>
        <w:t>ChEF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Equity Facility</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spacing w:after="0" w:line="75"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6"/>
          <w:szCs w:val="16"/>
          <w:color w:val="auto"/>
        </w:rPr>
        <w:t>CCM is an “underwriter” within the meaning of Section 2(a)(11) of the Securities Act of 1933, as amended, or the Securities Act. See “</w:t>
      </w:r>
      <w:r>
        <w:rPr>
          <w:rFonts w:ascii="Times New Roman" w:cs="Times New Roman" w:eastAsia="Times New Roman" w:hAnsi="Times New Roman"/>
          <w:sz w:val="16"/>
          <w:szCs w:val="16"/>
          <w:i w:val="1"/>
          <w:iCs w:val="1"/>
          <w:color w:val="auto"/>
        </w:rPr>
        <w:t>ChEF Equity Facility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Plan of Distribution (Conflicts of Interest)</w:t>
      </w:r>
      <w:r>
        <w:rPr>
          <w:rFonts w:ascii="Times New Roman" w:cs="Times New Roman" w:eastAsia="Times New Roman" w:hAnsi="Times New Roman"/>
          <w:sz w:val="16"/>
          <w:szCs w:val="16"/>
          <w:color w:val="auto"/>
        </w:rPr>
        <w:t>” for more information about how CCM may sell the shares of common stock being registered pursuant to this prospectus and for a description of compensation payable to CCM.</w:t>
      </w:r>
    </w:p>
    <w:p>
      <w:pPr>
        <w:spacing w:after="0" w:line="6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Times New Roman" w:cs="Times New Roman" w:eastAsia="Times New Roman" w:hAnsi="Times New Roman"/>
          <w:sz w:val="16"/>
          <w:szCs w:val="16"/>
          <w:i w:val="1"/>
          <w:iCs w:val="1"/>
          <w:color w:val="auto"/>
        </w:rPr>
        <w:t>ChEF Equity Facility</w:t>
      </w:r>
      <w:r>
        <w:rPr>
          <w:rFonts w:ascii="Times New Roman" w:cs="Times New Roman" w:eastAsia="Times New Roman" w:hAnsi="Times New Roman"/>
          <w:sz w:val="16"/>
          <w:szCs w:val="16"/>
          <w:color w:val="auto"/>
        </w:rPr>
        <w:t>” on page 114 for more information.</w:t>
      </w:r>
    </w:p>
    <w:p>
      <w:pPr>
        <w:spacing w:after="0" w:line="82"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In addition, we will file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spacing w:after="0" w:line="75"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6"/>
          <w:szCs w:val="16"/>
          <w:color w:val="auto"/>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spacing w:after="0" w:line="67" w:lineRule="exact"/>
        <w:rPr>
          <w:sz w:val="20"/>
          <w:szCs w:val="20"/>
          <w:color w:val="auto"/>
        </w:rPr>
      </w:pPr>
    </w:p>
    <w:p>
      <w:pPr>
        <w:ind w:right="160" w:firstLine="324"/>
        <w:spacing w:after="0" w:line="301" w:lineRule="auto"/>
        <w:rPr>
          <w:sz w:val="20"/>
          <w:szCs w:val="20"/>
          <w:color w:val="auto"/>
        </w:rPr>
      </w:pPr>
      <w:r>
        <w:rPr>
          <w:rFonts w:ascii="Times New Roman" w:cs="Times New Roman" w:eastAsia="Times New Roman" w:hAnsi="Times New Roman"/>
          <w:sz w:val="16"/>
          <w:szCs w:val="16"/>
          <w:color w:val="auto"/>
        </w:rPr>
        <w:t>Our common stock is listed on the Nasdaq Global Market (the “</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under the symbol “DFLI”. On October 20, 2022, the closing price of our common stock was $7.62.</w:t>
      </w:r>
    </w:p>
    <w:p>
      <w:pPr>
        <w:spacing w:after="0" w:line="52" w:lineRule="exact"/>
        <w:rPr>
          <w:sz w:val="20"/>
          <w:szCs w:val="20"/>
          <w:color w:val="auto"/>
        </w:rPr>
      </w:pPr>
    </w:p>
    <w:p>
      <w:pPr>
        <w:ind w:right="160" w:firstLine="324"/>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We are an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emerging growth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under applicable federal securities laws and will be subject to reduced public company reporting requirements.</w:t>
      </w:r>
    </w:p>
    <w:p>
      <w:pPr>
        <w:spacing w:after="0" w:line="52" w:lineRule="exact"/>
        <w:rPr>
          <w:sz w:val="20"/>
          <w:szCs w:val="20"/>
          <w:color w:val="auto"/>
        </w:rPr>
      </w:pPr>
    </w:p>
    <w:p>
      <w:pPr>
        <w:ind w:right="340" w:firstLine="324"/>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INVESTING IN OUR SECURITIES INVOLVES RISKS THAT ARE DESCRIBED IN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BEGINNING ON PAGE 11 OF THIS PROSPECTUS.</w:t>
      </w:r>
    </w:p>
    <w:p>
      <w:pPr>
        <w:spacing w:after="0" w:line="52" w:lineRule="exact"/>
        <w:rPr>
          <w:sz w:val="20"/>
          <w:szCs w:val="20"/>
          <w:color w:val="auto"/>
        </w:rPr>
      </w:pPr>
    </w:p>
    <w:p>
      <w:pPr>
        <w:jc w:val="both"/>
        <w:ind w:right="520" w:firstLine="324"/>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67" w:lineRule="exact"/>
        <w:rPr>
          <w:sz w:val="20"/>
          <w:szCs w:val="20"/>
          <w:color w:val="auto"/>
        </w:rPr>
      </w:pPr>
    </w:p>
    <w:tbl>
      <w:tblPr>
        <w:tblLayout w:type="fixed"/>
        <w:tblInd w:w="3260" w:type="dxa"/>
        <w:tblCellMar>
          <w:top w:w="0" w:type="dxa"/>
          <w:left w:w="0" w:type="dxa"/>
          <w:bottom w:w="0" w:type="dxa"/>
          <w:right w:w="0" w:type="dxa"/>
        </w:tblCellMar>
      </w:tblPr>
      <w:tr>
        <w:trPr>
          <w:trHeight w:val="212"/>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1332230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600" w:space="320"/>
            <w:col w:w="9220"/>
          </w:cols>
          <w:pgMar w:left="720" w:top="513" w:right="10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0" w:type="dxa"/>
            <w:vAlign w:val="bottom"/>
            <w:tcBorders>
              <w:top w:val="single" w:sz="8" w:color="0000EE"/>
            </w:tcBorders>
            <w:vMerge w:val="restart"/>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INTRODUCTORY NOTE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56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080" w:type="dxa"/>
            <w:vAlign w:val="bottom"/>
            <w:tcBorders>
              <w:top w:val="single" w:sz="8" w:color="CCEEFF"/>
            </w:tcBorders>
            <w:gridSpan w:val="2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780" w:type="dxa"/>
            <w:vAlign w:val="bottom"/>
            <w:tcBorders>
              <w:top w:val="single" w:sz="8" w:color="CCEEFF"/>
            </w:tcBorders>
            <w:gridSpan w:val="19"/>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850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6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DRAGONFLY’S MANAGEMENT’S DISCUSSION AND ANALYSIS OF FINANCIAL CONDITION AND RESULTS OF</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8"/>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CNTQ’S MANAGEMENT’S DISCUSSION AND ANALYSIS OF FINANCIAL CONDITION AND RESULTS OF</w:t>
            </w:r>
          </w:p>
        </w:tc>
        <w:tc>
          <w:tcPr>
            <w:tcW w:w="88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8"/>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900" w:type="dxa"/>
            <w:vAlign w:val="bottom"/>
            <w:tcBorders>
              <w:bottom w:val="single" w:sz="8" w:color="CCEEFF"/>
            </w:tcBorders>
            <w:gridSpan w:val="1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SECURITIES</w:t>
            </w:r>
          </w:p>
        </w:tc>
        <w:tc>
          <w:tcPr>
            <w:tcW w:w="684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CHEF EQUITY FACILITY</w:t>
            </w:r>
          </w:p>
        </w:tc>
        <w:tc>
          <w:tcPr>
            <w:tcW w:w="7320" w:type="dxa"/>
            <w:vAlign w:val="bottom"/>
            <w:tcBorders>
              <w:bottom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900" w:type="dxa"/>
            <w:vAlign w:val="bottom"/>
            <w:tcBorders>
              <w:top w:val="single" w:sz="8" w:color="CCEEFF"/>
            </w:tcBorders>
            <w:gridSpan w:val="20"/>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540" w:type="dxa"/>
            <w:vAlign w:val="bottom"/>
            <w:tcBorders>
              <w:top w:val="single" w:sz="8" w:color="CCEEFF"/>
            </w:tcBorders>
            <w:gridSpan w:val="10"/>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876935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firstLine="8"/>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513"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at Closing in connection with the Term Loan.</w:t>
      </w:r>
    </w:p>
    <w:p>
      <w:pPr>
        <w:spacing w:after="0" w:line="15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Charter</w:t>
      </w:r>
      <w:r>
        <w:rPr>
          <w:rFonts w:ascii="Times New Roman" w:cs="Times New Roman" w:eastAsia="Times New Roman" w:hAnsi="Times New Roman"/>
          <w:sz w:val="18"/>
          <w:szCs w:val="18"/>
          <w:color w:val="auto"/>
        </w:rPr>
        <w:t>” means the amended and restated certificate of incorporation of Dragonfly, in effect as of the date of this prospectus.</w:t>
      </w:r>
    </w:p>
    <w:p>
      <w:pPr>
        <w:spacing w:after="0" w:line="15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Delaware corporation.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Board</w:t>
      </w:r>
      <w:r>
        <w:rPr>
          <w:rFonts w:ascii="Times New Roman" w:cs="Times New Roman" w:eastAsia="Times New Roman" w:hAnsi="Times New Roman"/>
          <w:sz w:val="18"/>
          <w:szCs w:val="18"/>
          <w:color w:val="auto"/>
        </w:rPr>
        <w:t>” means the board of directors of Dragonfly.</w:t>
      </w:r>
    </w:p>
    <w:p>
      <w:pPr>
        <w:spacing w:after="0" w:line="225" w:lineRule="exact"/>
        <w:rPr>
          <w:sz w:val="20"/>
          <w:szCs w:val="20"/>
          <w:color w:val="auto"/>
        </w:rPr>
      </w:pPr>
    </w:p>
    <w:p>
      <w:pPr>
        <w:ind w:right="34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Earnout Shares</w:t>
      </w:r>
      <w:r>
        <w:rPr>
          <w:rFonts w:ascii="Times New Roman" w:cs="Times New Roman" w:eastAsia="Times New Roman" w:hAnsi="Times New Roman"/>
          <w:sz w:val="17"/>
          <w:szCs w:val="17"/>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32"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Legacy Dragonfly</w:t>
      </w:r>
      <w:r>
        <w:rPr>
          <w:rFonts w:ascii="Times New Roman" w:cs="Times New Roman" w:eastAsia="Times New Roman" w:hAnsi="Times New Roman"/>
          <w:sz w:val="17"/>
          <w:szCs w:val="17"/>
          <w:color w:val="auto"/>
        </w:rPr>
        <w:t>” means Dragonfly Energy Corp., a Nevada corporation, and includes the surviving corporation after the Merger.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herein to Dragonfly will include its subsidiaries, including Legacy Dragonfly, to the extent reasonably applicable.</w:t>
      </w:r>
    </w:p>
    <w:p>
      <w:pPr>
        <w:spacing w:after="0" w:line="20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ectPr>
          <w:pgSz w:w="11900" w:h="16838" w:orient="portrait"/>
          <w:cols w:equalWidth="0" w:num="1">
            <w:col w:w="9900"/>
          </w:cols>
          <w:pgMar w:left="980" w:top="513" w:right="101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the Private Warrants, the Penny Warrants and the $10 Warrants of Dragonfly.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2" w:lineRule="exact"/>
        <w:rPr>
          <w:sz w:val="20"/>
          <w:szCs w:val="20"/>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the anticipated benefits of our recent Business Combination, which may be affected by, among other things, the factors listed below;</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patents and other intellectual property;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common stock on the Nasdaq;</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sell the desired amounts of shares of common stock to CCM at desired prices under the ChEF Equity Facility;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the Company’s failure to timely achieve the anticipated benefits of the Company’s customer arrangements with THOR and its affiliate brands (including Keystone);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and proprietary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dependence on a single manufacturing facility;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software and hardware that is highly complex and technical; and</w:t>
      </w:r>
    </w:p>
    <w:p>
      <w:pPr>
        <w:spacing w:after="0" w:line="22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any of our assumptions prove incorrect, actual results could differ materially from the results implied by these forward-looking statements. There may be additional risks that we are not presently aware of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these forward-looking statements at some point in the future, we specifically disclaim any obligation to do so. These forward-looking statements should not be relied upon as representing our assessments as of any date subsequent to the date of this prospectus.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3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left="20" w:right="2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“Dragonfly’s Management’s Discussion and Analysis of Financial Condition and Results of Operations,” “Unaudited Pro Forma Condensed Combined Financial Information and Other Data” and the financial statements included elsewhere in this prospectus.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 w:right="40" w:firstLine="324"/>
        <w:spacing w:after="0" w:line="281" w:lineRule="auto"/>
        <w:rPr>
          <w:sz w:val="20"/>
          <w:szCs w:val="20"/>
          <w:color w:val="auto"/>
        </w:rPr>
      </w:pPr>
      <w:r>
        <w:rPr>
          <w:rFonts w:ascii="Times New Roman" w:cs="Times New Roman" w:eastAsia="Times New Roman" w:hAnsi="Times New Roman"/>
          <w:sz w:val="17"/>
          <w:szCs w:val="17"/>
          <w:color w:val="auto"/>
        </w:rPr>
        <w:t>Our business was founded in 2012.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7"/>
          <w:szCs w:val="17"/>
          <w:b w:val="1"/>
          <w:bCs w:val="1"/>
          <w:color w:val="auto"/>
        </w:rPr>
        <w:t>RV</w:t>
      </w:r>
      <w:r>
        <w:rPr>
          <w:rFonts w:ascii="Times New Roman" w:cs="Times New Roman" w:eastAsia="Times New Roman" w:hAnsi="Times New Roman"/>
          <w:sz w:val="17"/>
          <w:szCs w:val="17"/>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64" w:lineRule="exact"/>
        <w:rPr>
          <w:sz w:val="20"/>
          <w:szCs w:val="20"/>
          <w:color w:val="auto"/>
        </w:rPr>
      </w:pPr>
    </w:p>
    <w:p>
      <w:pPr>
        <w:jc w:val="both"/>
        <w:ind w:left="20"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co-founder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76" w:lineRule="exact"/>
        <w:rPr>
          <w:sz w:val="20"/>
          <w:szCs w:val="20"/>
          <w:color w:val="auto"/>
        </w:rPr>
      </w:pPr>
    </w:p>
    <w:p>
      <w:pPr>
        <w:ind w:left="20" w:right="100" w:firstLine="324"/>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160" w:lineRule="exact"/>
        <w:rPr>
          <w:sz w:val="20"/>
          <w:szCs w:val="20"/>
          <w:color w:val="auto"/>
        </w:rPr>
      </w:pPr>
    </w:p>
    <w:p>
      <w:pPr>
        <w:ind w:left="20" w:right="360" w:firstLine="324"/>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left="20" w:right="8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w:t>
      </w:r>
    </w:p>
    <w:p>
      <w:pPr>
        <w:spacing w:after="0" w:line="27" w:lineRule="exact"/>
        <w:rPr>
          <w:sz w:val="20"/>
          <w:szCs w:val="20"/>
          <w:color w:val="auto"/>
        </w:rPr>
      </w:pPr>
    </w:p>
    <w:p>
      <w:pPr>
        <w:jc w:val="both"/>
        <w:ind w:left="20" w:right="200" w:firstLine="2"/>
        <w:spacing w:after="0" w:line="253"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lef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3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$100 million during such completed fiscal year and the market value of our common stock held by non-affiliates exceeds $700 million as of the prior June 30.</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20" w:right="22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 Such risks include, but are not limited to, the following risks: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ChEF</w:t>
      </w:r>
    </w:p>
    <w:p>
      <w:pPr>
        <w:spacing w:after="0" w:line="229" w:lineRule="exact"/>
        <w:rPr>
          <w:sz w:val="20"/>
          <w:szCs w:val="20"/>
          <w:color w:val="auto"/>
        </w:rPr>
      </w:pPr>
    </w:p>
    <w:p>
      <w:pPr>
        <w:jc w:val="both"/>
        <w:ind w:left="700" w:right="340" w:hanging="327"/>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p>
      <w:pPr>
        <w:spacing w:after="0" w:line="175" w:lineRule="exact"/>
        <w:rPr>
          <w:rFonts w:ascii="Times New Roman" w:cs="Times New Roman" w:eastAsia="Times New Roman" w:hAnsi="Times New Roman"/>
          <w:sz w:val="18"/>
          <w:szCs w:val="18"/>
          <w:color w:val="auto"/>
        </w:rPr>
      </w:pPr>
    </w:p>
    <w:p>
      <w:pPr>
        <w:jc w:val="both"/>
        <w:ind w:left="700" w:right="320" w:hanging="327"/>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p>
      <w:pPr>
        <w:spacing w:after="0" w:line="175"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common stock from CCM at different times will likely pay different prices.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700" w:hanging="327"/>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25" w:lineRule="exact"/>
        <w:rPr>
          <w:rFonts w:ascii="Times New Roman" w:cs="Times New Roman" w:eastAsia="Times New Roman" w:hAnsi="Times New Roman"/>
          <w:sz w:val="18"/>
          <w:szCs w:val="18"/>
          <w:color w:val="auto"/>
        </w:rPr>
      </w:pPr>
    </w:p>
    <w:p>
      <w:pPr>
        <w:ind w:left="700" w:right="200" w:hanging="327"/>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175" w:lineRule="exact"/>
        <w:rPr>
          <w:rFonts w:ascii="Times New Roman" w:cs="Times New Roman" w:eastAsia="Times New Roman" w:hAnsi="Times New Roman"/>
          <w:sz w:val="18"/>
          <w:szCs w:val="18"/>
          <w:color w:val="auto"/>
        </w:rPr>
      </w:pPr>
    </w:p>
    <w:p>
      <w:pPr>
        <w:jc w:val="both"/>
        <w:ind w:left="700" w:hanging="327"/>
        <w:spacing w:after="0" w:line="261"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9" w:lineRule="exact"/>
        <w:rPr>
          <w:rFonts w:ascii="Times New Roman" w:cs="Times New Roman" w:eastAsia="Times New Roman" w:hAnsi="Times New Roman"/>
          <w:sz w:val="18"/>
          <w:szCs w:val="18"/>
          <w:color w:val="auto"/>
        </w:rPr>
      </w:pPr>
    </w:p>
    <w:p>
      <w:pPr>
        <w:ind w:left="700" w:right="60" w:hanging="327"/>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5" w:lineRule="exact"/>
        <w:rPr>
          <w:rFonts w:ascii="Times New Roman" w:cs="Times New Roman" w:eastAsia="Times New Roman" w:hAnsi="Times New Roman"/>
          <w:sz w:val="18"/>
          <w:szCs w:val="18"/>
          <w:color w:val="auto"/>
        </w:rPr>
      </w:pPr>
    </w:p>
    <w:p>
      <w:pPr>
        <w:ind w:left="700" w:right="280" w:hanging="327"/>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700" w:hanging="327"/>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61" w:lineRule="exact"/>
        <w:rPr>
          <w:rFonts w:ascii="Times New Roman" w:cs="Times New Roman" w:eastAsia="Times New Roman" w:hAnsi="Times New Roman"/>
          <w:sz w:val="18"/>
          <w:szCs w:val="18"/>
          <w:color w:val="auto"/>
        </w:rPr>
      </w:pPr>
    </w:p>
    <w:p>
      <w:pPr>
        <w:ind w:left="700" w:right="40" w:hanging="327"/>
        <w:spacing w:after="0" w:line="312" w:lineRule="auto"/>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39" w:lineRule="exact"/>
        <w:rPr>
          <w:rFonts w:ascii="Times New Roman" w:cs="Times New Roman" w:eastAsia="Times New Roman" w:hAnsi="Times New Roman"/>
          <w:sz w:val="17"/>
          <w:szCs w:val="17"/>
          <w:color w:val="auto"/>
        </w:rPr>
      </w:pPr>
    </w:p>
    <w:p>
      <w:pPr>
        <w:ind w:left="700" w:right="280" w:hanging="327"/>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ectPr>
          <w:pgSz w:w="11900" w:h="16838" w:orient="portrait"/>
          <w:cols w:equalWidth="0" w:num="1">
            <w:col w:w="9880"/>
          </w:cols>
          <w:pgMar w:left="98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5850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8925" cy="585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700" w:right="56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spacing w:after="0" w:line="161" w:lineRule="exact"/>
        <w:rPr>
          <w:rFonts w:ascii="Times New Roman" w:cs="Times New Roman" w:eastAsia="Times New Roman" w:hAnsi="Times New Roman"/>
          <w:sz w:val="18"/>
          <w:szCs w:val="18"/>
          <w:color w:val="auto"/>
        </w:rPr>
      </w:pPr>
    </w:p>
    <w:p>
      <w:pPr>
        <w:ind w:left="700" w:right="10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 consuming and could cause us to incur substantial costs.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700" w:right="60" w:hanging="327"/>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139" w:lineRule="exact"/>
        <w:rPr>
          <w:rFonts w:ascii="Times New Roman" w:cs="Times New Roman" w:eastAsia="Times New Roman" w:hAnsi="Times New Roman"/>
          <w:sz w:val="17"/>
          <w:szCs w:val="17"/>
          <w:color w:val="auto"/>
        </w:rPr>
      </w:pPr>
    </w:p>
    <w:p>
      <w:pPr>
        <w:ind w:left="700" w:right="480" w:hanging="327"/>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39" w:lineRule="exact"/>
        <w:rPr>
          <w:rFonts w:ascii="Times New Roman" w:cs="Times New Roman" w:eastAsia="Times New Roman" w:hAnsi="Times New Roman"/>
          <w:sz w:val="17"/>
          <w:szCs w:val="17"/>
          <w:color w:val="auto"/>
        </w:rPr>
      </w:pPr>
    </w:p>
    <w:p>
      <w:pPr>
        <w:ind w:left="700" w:right="160" w:hanging="327"/>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700" w:right="220" w:hanging="327"/>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61" w:lineRule="exact"/>
        <w:rPr>
          <w:rFonts w:ascii="Times New Roman" w:cs="Times New Roman" w:eastAsia="Times New Roman" w:hAnsi="Times New Roman"/>
          <w:sz w:val="18"/>
          <w:szCs w:val="18"/>
          <w:color w:val="auto"/>
        </w:rPr>
      </w:pPr>
    </w:p>
    <w:p>
      <w:pPr>
        <w:ind w:left="700" w:hanging="327"/>
        <w:spacing w:after="0" w:line="266"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700" w:right="10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will become exercisable for our common stock, which would increase the number of shares eligible for future resale in the public market and result in dilution to our stockholders.</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continue to have substantial influence over us, which could limit your ability to affect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765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8925"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99"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Dragonfly Energy Holdings Corp.</w:t>
      </w:r>
    </w:p>
    <w:p>
      <w:pPr>
        <w:spacing w:after="0" w:line="194"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Shares of common stock offered by CCM as the selling stockholder</w:t>
      </w:r>
      <w:r>
        <w:rPr>
          <w:sz w:val="20"/>
          <w:szCs w:val="20"/>
          <w:color w:val="auto"/>
        </w:rPr>
        <w:tab/>
      </w:r>
      <w:r>
        <w:rPr>
          <w:rFonts w:ascii="Times New Roman" w:cs="Times New Roman" w:eastAsia="Times New Roman" w:hAnsi="Times New Roman"/>
          <w:sz w:val="16"/>
          <w:szCs w:val="16"/>
          <w:color w:val="auto"/>
        </w:rPr>
        <w:t>Up to 21,512,027 shares of common stock that we may sell to CCM, from</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time to time after the Commencement Date (as defined in the Purchase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Agreement) in accordance with the Purchase Agreement. All sales under</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Purchase Agreement are at our sole discretion.</w:t>
      </w:r>
    </w:p>
    <w:p>
      <w:pPr>
        <w:spacing w:after="0" w:line="18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actual number of our common stock issued and sold to CCM under</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ChEF Equity Facility will vary depending on the then current market</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price of our common stock sold to CCM under the ChEF Equity Facility.</w:t>
      </w:r>
    </w:p>
    <w:p>
      <w:pPr>
        <w:spacing w:after="0" w:line="200"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Terms of the Offering</w:t>
      </w:r>
      <w:r>
        <w:rPr>
          <w:sz w:val="20"/>
          <w:szCs w:val="20"/>
          <w:color w:val="auto"/>
        </w:rPr>
        <w:tab/>
      </w:r>
      <w:r>
        <w:rPr>
          <w:rFonts w:ascii="Times New Roman" w:cs="Times New Roman" w:eastAsia="Times New Roman" w:hAnsi="Times New Roman"/>
          <w:sz w:val="16"/>
          <w:szCs w:val="16"/>
          <w:color w:val="auto"/>
        </w:rPr>
        <w:t>CCM will determine when and how it will dispose of any shares of</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common stock registered under this prospectus for resale.</w:t>
      </w:r>
    </w:p>
    <w:p>
      <w:pPr>
        <w:spacing w:after="0" w:line="186"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Use of proceeds</w:t>
      </w:r>
      <w:r>
        <w:rPr>
          <w:sz w:val="20"/>
          <w:szCs w:val="20"/>
          <w:color w:val="auto"/>
        </w:rPr>
        <w:tab/>
      </w:r>
      <w:r>
        <w:rPr>
          <w:rFonts w:ascii="Times New Roman" w:cs="Times New Roman" w:eastAsia="Times New Roman" w:hAnsi="Times New Roman"/>
          <w:sz w:val="16"/>
          <w:szCs w:val="16"/>
          <w:color w:val="auto"/>
        </w:rPr>
        <w:t>We will receive no proceeds from the sale of shares of common stock by</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CCM in this offering. We may receive up to $150 million in gross</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proceeds from the sale of shares to CCM pursuant to the Purchase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Agreement from time to time after the Commencement Date. However,</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actual proceeds we receive may be less than $150 million (before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being reduced for the discount to CCM) depending on the number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shares of common stock sold and the price at which the shares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common stock are sold. Any proceeds we receive from CCM, we intend</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to use for working capital and general corporate purposes. Additionally,</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pending the uses described above, we plan to invest the net proceeds from</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sale of shares of common stock to CCM, if any, in short- and</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intermediate-term, interest-bearing obligations, investment-grade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instruments, certificates of deposit or direct or guaranteed obligations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U.S. government.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additional information.</w:t>
      </w:r>
    </w:p>
    <w:p>
      <w:pPr>
        <w:spacing w:after="0" w:line="186"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Conflicts of Interest</w:t>
      </w:r>
      <w:r>
        <w:rPr>
          <w:sz w:val="20"/>
          <w:szCs w:val="20"/>
          <w:color w:val="auto"/>
        </w:rPr>
        <w:tab/>
      </w:r>
      <w:r>
        <w:rPr>
          <w:rFonts w:ascii="Times New Roman" w:cs="Times New Roman" w:eastAsia="Times New Roman" w:hAnsi="Times New Roman"/>
          <w:sz w:val="16"/>
          <w:szCs w:val="16"/>
          <w:color w:val="auto"/>
        </w:rPr>
        <w:t>CCM, an affiliate of the Sponsor, is a member of the Financial Industry</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Regulatory Authority, Inc. (“</w:t>
      </w:r>
      <w:r>
        <w:rPr>
          <w:rFonts w:ascii="Times New Roman" w:cs="Times New Roman" w:eastAsia="Times New Roman" w:hAnsi="Times New Roman"/>
          <w:sz w:val="16"/>
          <w:szCs w:val="16"/>
          <w:b w:val="1"/>
          <w:bCs w:val="1"/>
          <w:color w:val="auto"/>
        </w:rPr>
        <w:t>FINRA</w:t>
      </w:r>
      <w:r>
        <w:rPr>
          <w:rFonts w:ascii="Times New Roman" w:cs="Times New Roman" w:eastAsia="Times New Roman" w:hAnsi="Times New Roman"/>
          <w:sz w:val="16"/>
          <w:szCs w:val="16"/>
          <w:color w:val="auto"/>
        </w:rPr>
        <w:t>”) and is expected to act as an</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executing broker for the resale of common stock in this offering. CCM’s</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receipt of all the proceeds from resales of common stock results in a</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“conflict of interest” under FINRA Rule 5121. Accordingly, resales by</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CCM will be conducted in compliance with FINRA Rule 5121. To the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extent that the common stock does not have a “bona fide public market,”</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as defined in FINRA Rule 5121, a qualified independent underwriter will</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participate in the preparation of, and exercise the usual standards of “due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diligence” with respect to, the registration statement. LifeSci Capital,</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LLC has agreed to act as qualified independent underwriter for this</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offering and will receive an upfront fee of $100,000 and, beginning one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year after the date of the Purchase Agreement until its termination, a</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quarterly fee of $25,000 for doing so, or up to $300,000 in the aggregate.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Pursuant to FINRA Rule 5121, CCM will not confirm resales of common</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stock to any account over which it exercises discretionary authority</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without the prior written approval of the customer. See “</w:t>
      </w:r>
      <w:r>
        <w:rPr>
          <w:rFonts w:ascii="Times New Roman" w:cs="Times New Roman" w:eastAsia="Times New Roman" w:hAnsi="Times New Roman"/>
          <w:sz w:val="16"/>
          <w:szCs w:val="16"/>
          <w:i w:val="1"/>
          <w:iCs w:val="1"/>
          <w:color w:val="auto"/>
        </w:rPr>
        <w:t>Plan of</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i w:val="1"/>
          <w:iCs w:val="1"/>
          <w:color w:val="auto"/>
        </w:rPr>
        <w:t>Distribution (Conflicts of Interest) – Conflicts of Interest</w:t>
      </w:r>
      <w:r>
        <w:rPr>
          <w:rFonts w:ascii="Times New Roman" w:cs="Times New Roman" w:eastAsia="Times New Roman" w:hAnsi="Times New Roman"/>
          <w:sz w:val="16"/>
          <w:szCs w:val="16"/>
          <w:color w:val="auto"/>
        </w:rPr>
        <w:t>.”</w:t>
      </w:r>
    </w:p>
    <w:p>
      <w:pPr>
        <w:spacing w:after="0" w:line="186"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Nasdaq ticker symbols</w:t>
      </w:r>
      <w:r>
        <w:rPr>
          <w:sz w:val="20"/>
          <w:szCs w:val="20"/>
          <w:color w:val="auto"/>
        </w:rPr>
        <w:tab/>
      </w:r>
      <w:r>
        <w:rPr>
          <w:rFonts w:ascii="Times New Roman" w:cs="Times New Roman" w:eastAsia="Times New Roman" w:hAnsi="Times New Roman"/>
          <w:sz w:val="16"/>
          <w:szCs w:val="16"/>
          <w:color w:val="auto"/>
        </w:rPr>
        <w:t>Our common stock is currently listed on the Nasdaq under the symbol</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“DFLI”.</w:t>
      </w:r>
    </w:p>
    <w:p>
      <w:pPr>
        <w:spacing w:after="0" w:line="186" w:lineRule="exact"/>
        <w:rPr>
          <w:sz w:val="20"/>
          <w:szCs w:val="20"/>
          <w:color w:val="auto"/>
        </w:rPr>
      </w:pPr>
    </w:p>
    <w:p>
      <w:pPr>
        <w:ind w:left="160"/>
        <w:spacing w:after="0"/>
        <w:tabs>
          <w:tab w:leader="none" w:pos="5080" w:val="left"/>
        </w:tabs>
        <w:rPr>
          <w:sz w:val="20"/>
          <w:szCs w:val="20"/>
          <w:color w:val="auto"/>
        </w:rPr>
      </w:pPr>
      <w:r>
        <w:rPr>
          <w:rFonts w:ascii="Times New Roman" w:cs="Times New Roman" w:eastAsia="Times New Roman" w:hAnsi="Times New Roman"/>
          <w:sz w:val="16"/>
          <w:szCs w:val="16"/>
          <w:color w:val="auto"/>
        </w:rPr>
        <w:t>Risk factors</w:t>
      </w:r>
      <w:r>
        <w:rPr>
          <w:sz w:val="20"/>
          <w:szCs w:val="20"/>
          <w:color w:val="auto"/>
        </w:rPr>
        <w:tab/>
      </w:r>
      <w:r>
        <w:rPr>
          <w:rFonts w:ascii="Times New Roman" w:cs="Times New Roman" w:eastAsia="Times New Roman" w:hAnsi="Times New Roman"/>
          <w:sz w:val="16"/>
          <w:szCs w:val="16"/>
          <w:color w:val="auto"/>
        </w:rPr>
        <w:t>Any investment in the securities offered hereby is speculative and</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involves a high degree of risk. You should carefully consider the</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information set forth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elsewhere in this</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prospectus.</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358140</wp:posOffset>
            </wp:positionV>
            <wp:extent cx="6638925" cy="3655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8925" cy="365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firstLine="324"/>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the Closing Date, does not give effect to issuances of our common stock, warrants or options to purchase shares of our common stock, or the exercise of warrants or options after such date, and excludes:</w:t>
      </w:r>
    </w:p>
    <w:p>
      <w:pPr>
        <w:spacing w:after="0" w:line="172" w:lineRule="exact"/>
        <w:rPr>
          <w:sz w:val="20"/>
          <w:szCs w:val="20"/>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initially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221" w:lineRule="exact"/>
        <w:rPr>
          <w:rFonts w:ascii="Times New Roman" w:cs="Times New Roman" w:eastAsia="Times New Roman" w:hAnsi="Times New Roman"/>
          <w:sz w:val="18"/>
          <w:szCs w:val="18"/>
          <w:color w:val="auto"/>
        </w:rPr>
      </w:pPr>
    </w:p>
    <w:p>
      <w:pPr>
        <w:ind w:left="700" w:right="14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shares of common stock (the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issuable upon exercise of the private placement warrants that were originally issued in a private placement at the time of the CNTQ IPO;</w:t>
      </w:r>
    </w:p>
    <w:p>
      <w:pPr>
        <w:spacing w:after="0" w:line="154" w:lineRule="exact"/>
        <w:rPr>
          <w:rFonts w:ascii="Times New Roman" w:cs="Times New Roman" w:eastAsia="Times New Roman" w:hAnsi="Times New Roman"/>
          <w:sz w:val="18"/>
          <w:szCs w:val="18"/>
          <w:color w:val="auto"/>
        </w:rPr>
      </w:pPr>
    </w:p>
    <w:p>
      <w:pPr>
        <w:ind w:left="700" w:right="14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shares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 issuable upon exercise of the Public Warrants sold as part of the units in the CNTQ IPO;</w:t>
      </w:r>
    </w:p>
    <w:p>
      <w:pPr>
        <w:spacing w:after="0" w:line="154" w:lineRule="exact"/>
        <w:rPr>
          <w:rFonts w:ascii="Times New Roman" w:cs="Times New Roman" w:eastAsia="Times New Roman" w:hAnsi="Times New Roman"/>
          <w:sz w:val="18"/>
          <w:szCs w:val="18"/>
          <w:color w:val="auto"/>
        </w:rPr>
      </w:pPr>
    </w:p>
    <w:p>
      <w:pPr>
        <w:ind w:left="700" w:right="16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shares of common stock (the “</w:t>
      </w:r>
      <w:r>
        <w:rPr>
          <w:rFonts w:ascii="Times New Roman" w:cs="Times New Roman" w:eastAsia="Times New Roman" w:hAnsi="Times New Roman"/>
          <w:sz w:val="18"/>
          <w:szCs w:val="18"/>
          <w:b w:val="1"/>
          <w:bCs w:val="1"/>
          <w:color w:val="auto"/>
        </w:rPr>
        <w:t>$10 Warrants Shares</w:t>
      </w:r>
      <w:r>
        <w:rPr>
          <w:rFonts w:ascii="Times New Roman" w:cs="Times New Roman" w:eastAsia="Times New Roman" w:hAnsi="Times New Roman"/>
          <w:sz w:val="18"/>
          <w:szCs w:val="18"/>
          <w:color w:val="auto"/>
        </w:rPr>
        <w:t>”) currently issuable upon exercise of the $10 Warrants issued as part of the Term Loan;</w:t>
      </w:r>
    </w:p>
    <w:p>
      <w:pPr>
        <w:spacing w:after="0" w:line="154" w:lineRule="exact"/>
        <w:rPr>
          <w:rFonts w:ascii="Times New Roman" w:cs="Times New Roman" w:eastAsia="Times New Roman" w:hAnsi="Times New Roman"/>
          <w:sz w:val="18"/>
          <w:szCs w:val="18"/>
          <w:color w:val="auto"/>
        </w:rPr>
      </w:pPr>
    </w:p>
    <w:p>
      <w:pPr>
        <w:ind w:left="700" w:right="26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shares of common stock (the “</w:t>
      </w:r>
      <w:r>
        <w:rPr>
          <w:rFonts w:ascii="Times New Roman" w:cs="Times New Roman" w:eastAsia="Times New Roman" w:hAnsi="Times New Roman"/>
          <w:sz w:val="18"/>
          <w:szCs w:val="18"/>
          <w:b w:val="1"/>
          <w:bCs w:val="1"/>
          <w:color w:val="auto"/>
        </w:rPr>
        <w:t>Penny Warrants Shares</w:t>
      </w:r>
      <w:r>
        <w:rPr>
          <w:rFonts w:ascii="Times New Roman" w:cs="Times New Roman" w:eastAsia="Times New Roman" w:hAnsi="Times New Roman"/>
          <w:sz w:val="18"/>
          <w:szCs w:val="18"/>
          <w:color w:val="auto"/>
        </w:rPr>
        <w:t>”) currently issuable upon exercise of the Penny Warrants issued as part of the Term Loan; and</w:t>
      </w:r>
    </w:p>
    <w:p>
      <w:pPr>
        <w:spacing w:after="0" w:line="158"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of common stock underlying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notes to the financial statements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ChEF</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114 for more information regarding the Purchase Agreement and the ChEF Equity Facility.</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spacing w:after="0" w:line="18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CCM for shares of common stock that we may elect to sell to CCM under the ChEF Equity Facility, if any, will fluctuate based on the VWAP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 $150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VWAP on the applicable Purchase Date of such purchase. Our inability to access a portion or the full amount available under the ChEF Equity Facility, in the absence of any other financing sources, could have a material adverse effect on our business.</w:t>
      </w:r>
    </w:p>
    <w:p>
      <w:pPr>
        <w:spacing w:after="0" w:line="192"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CCM is an affiliate of CNTQ’s Sponsor. See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on page 110 for more information about CCM and its affiliates’ beneficial ownership of our shares of common stock. In light of the Beneficial Ownership Limitation set forth above, the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Sponsor has agreed that the Private Warrants may not be exercised to the extent the Sponsor and its affiliates are deemed to beneficially own, or it would cause the Sponsor and such affiliates to be deemed to beneficially own, more than 7.5% of our common stock.</w:t>
      </w:r>
    </w:p>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for the shares that we may sell to CCM under the Purchase Agreement will fluctuate based on the price of our common stock. Depending on market liquidity at the time, sales of such shares may cause the trading price of shares of our common stock to fall.</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spacing w:after="0" w:line="183"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obligated to register for sale or resale certain shares of our common stock and/or warrants issued in conjunction with the Business Combination, and the perception that such sales may occur may cause the trading price for our common stock to fall.</w:t>
      </w:r>
    </w:p>
    <w:p>
      <w:pPr>
        <w:spacing w:after="0" w:line="13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The shares being separately registered for resale into the public markets represent a substantial majority of our outstanding common stock as of October 20, 2022. Once such separate registration statements are effective,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separate registration statements may have an incentive to sell because they purchased shares and/or warrants at prices below the CNTQ IPO offering price. Sales by such investors may prevent the trading price of our securities from exceeding the CNTQ IPO offering price and may cause the trading prices of our securities to experience a further decline.</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from sales of our common stock made pursuant to the Purchase Agreement in ways with which you may not agree or in ways which may not yield a significant return.</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sale of shares to CCM pursuant to the Purchase Agreement, if any. We intend to use the net proceeds from the sale of shares to CCM pursuant to the Purchase Agreement, if any,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common stock from CCM at different times will likely pay different prices.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demand for our products, including sales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potential annual renewals. However, although in time we expect Keystone to be a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9"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5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the RV, marine vessel and off-grid residence markets which require cost-effective batteries with a long-life span), new competitors may emerge, alternative approaches to solid-state battery technology may be developed and competitors may seek to market solid- state battery technologies better suited for other applications (such as electric vehicles (“</w:t>
      </w:r>
      <w:r>
        <w:rPr>
          <w:rFonts w:ascii="Times New Roman" w:cs="Times New Roman" w:eastAsia="Times New Roman" w:hAnsi="Times New Roman"/>
          <w:sz w:val="18"/>
          <w:szCs w:val="18"/>
          <w:b w:val="1"/>
          <w:bCs w:val="1"/>
          <w:color w:val="auto"/>
        </w:rPr>
        <w:t>EVs</w:t>
      </w:r>
      <w:r>
        <w:rPr>
          <w:rFonts w:ascii="Times New Roman" w:cs="Times New Roman" w:eastAsia="Times New Roman" w:hAnsi="Times New Roman"/>
          <w:sz w:val="18"/>
          <w:szCs w:val="18"/>
          <w:color w:val="auto"/>
        </w:rPr>
        <w:t>”)) to our target markets.</w:t>
      </w:r>
    </w:p>
    <w:p>
      <w:pPr>
        <w:spacing w:after="0" w:line="19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industrial, specialty and work vehicles, material handling, solar integration, and emergency and standby power in the medium term, and data centers, rail,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6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 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93"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3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 how;</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have seen rising materials costs due to inflation, which we have had to counteract through increases in our product prices, where we believe it is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We may encounter delays in the design, manufacture and launch of our solid-state battery cells, and in increasing production to scale.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 state batteries could be harmed.</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believe that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Additionally, a prior allegation of infringement was raised by a separate third party with regards to the alternator regulators that we plan to sell, although we believe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96" w:lineRule="exact"/>
        <w:rPr>
          <w:sz w:val="20"/>
          <w:szCs w:val="20"/>
          <w:color w:val="auto"/>
        </w:rPr>
      </w:pPr>
    </w:p>
    <w:p>
      <w:pPr>
        <w:ind w:left="680" w:right="2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2"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as a result of the COVID-19 pandemic and the Russia- Ukraine conflict, could reduce consumer spending and disrupt our supply chain which could negatively affect our results of operations.</w:t>
      </w:r>
    </w:p>
    <w:p>
      <w:pPr>
        <w:spacing w:after="0" w:line="15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For example, we experienced shortages and workforce slowdowns at our manufacturing facility due to stay-at-home mandates, delays in shipping finished products to customers and some delays in our receiving non-critical battery components.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19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as we have done in 2022,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may not continue to provide us with LFP cells or our battery management systems in our required quantities, to our required specifications and quality levels or at attractive prices.</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Mr.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w:t>
      </w:r>
    </w:p>
    <w:p>
      <w:pPr>
        <w:sectPr>
          <w:pgSz w:w="11900" w:h="16838" w:orient="portrait"/>
          <w:cols w:equalWidth="0" w:num="1">
            <w:col w:w="9900"/>
          </w:cols>
          <w:pgMar w:left="980" w:top="12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exchange policies or stakeholder expectations could materially and adversely impact the value of our stock and related cost of capital, and limit our ability to fund future growth, or result in increased investigations and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not worked together at prior companies that were publicly traded. Our management team may not successfully or efficiently manage their new roles and responsibilities.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transition to being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225"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21"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restrictive covenants restrict our ability to, among other things:</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2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See “</w:t>
      </w:r>
      <w:r>
        <w:rPr>
          <w:rFonts w:ascii="Times New Roman" w:cs="Times New Roman" w:eastAsia="Times New Roman" w:hAnsi="Times New Roman"/>
          <w:sz w:val="18"/>
          <w:szCs w:val="18"/>
          <w:i w:val="1"/>
          <w:iCs w:val="1"/>
          <w:color w:val="auto"/>
        </w:rPr>
        <w:t>Certain Relationships and Related Person Transactions—Debt Financing</w:t>
      </w:r>
      <w:r>
        <w:rPr>
          <w:rFonts w:ascii="Times New Roman" w:cs="Times New Roman" w:eastAsia="Times New Roman" w:hAnsi="Times New Roman"/>
          <w:sz w:val="18"/>
          <w:szCs w:val="18"/>
          <w:color w:val="auto"/>
        </w:rPr>
        <w:t>.”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described elsewhere in this prospectus, our management identified material weaknesses in our internal control over financial reporting relating to (i) inadequate segregation of duties; (ii) lack of appropriate technology controls; and (iii) deficiency in the design of controls around account reconciliations and operational activity. As a result of these material weaknesses, our management concluded that our internal control over financial reporting was not effective as of December 31, 2021, and December 31, 2020.</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We have recently implemented an ERP system and hired a new Chief Financial Officer, and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the Nasdaq, or to other regulatory investigations and civil or criminal sanctions.</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the Nasdaq, or other regulatory authorities, which would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Immediately prior to the Business Combination, there was no public market for our stock and trading in shares of CNTQ Common Stock was not active. Accordingly, the valuation ascribed to our business and CNTQ Common Stock in the Business Combination may not prove to be indicative of the price that will prevail in the trading market.</w:t>
      </w:r>
    </w:p>
    <w:p>
      <w:pPr>
        <w:spacing w:after="0" w:line="18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will depend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since you might be unable to sell your shares at or above the price attributed to them in the Business Combination.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w:t>
      </w:r>
    </w:p>
    <w:p>
      <w:pPr>
        <w:spacing w:after="0" w:line="159"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and other matters described or referenced under the sections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Broad market and industry factors may materially harm the market price of our securities irrespective of our operating performance. The stock market in general and the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Warrants to acquire our common stock would increase the number of shares eligible for future resale in the public market and result in dilution to our stockholders.</w:t>
      </w:r>
    </w:p>
    <w:p>
      <w:pPr>
        <w:spacing w:after="0" w:line="15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exercise of warrants to acquire our common stock will increase the number of shares eligible for future resale in the public market and result in dilution to our stockholders. There are currently (i) 9,487,500 outstanding public warrants to purchase 9,487,500 shares of common stock at an exercise price of $11.50 per share; (ii) 4,627,858 private warrants outstanding exercisable for 4,627,858 shares of common stock at an exercise price of $11.50 per share; (iii) 1,600,000 shares of common stock issuable upon exercise of the $10 Warrants; and (iv) 2,593,056 shares of common stock issuable upon exercise of the Penny Warrants.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the Penny Warrants contain price-based anti-dilution provisions. Depending on the nature and price of any equity issuances by us, the number of shares issuable upon the exercise of such warrants could be increased and the exercise price of the Penny Warrants could be adjusted down. Under the terms of the Penny Warrants, no adjustment will be made in connection with any sale of shares of up to $150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it may provide.</w:t>
      </w:r>
    </w:p>
    <w:p>
      <w:pPr>
        <w:spacing w:after="0" w:line="159" w:lineRule="exact"/>
        <w:rPr>
          <w:sz w:val="20"/>
          <w:szCs w:val="20"/>
          <w:color w:val="auto"/>
        </w:rPr>
      </w:pPr>
    </w:p>
    <w:p>
      <w:pPr>
        <w:jc w:val="both"/>
        <w:ind w:right="100" w:firstLine="324"/>
        <w:spacing w:after="0" w:line="312"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0"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our ability to serve those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stockholders must rely on sales of their common stock after price appreciation as the only way to realize any future gains on their investment.</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amended and restated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DGCL, the amended and restated certificate of incorporation or our amended and restated 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consents in writing to the selection of an alternative forum. This provision would not apply to suits brought to enforce a duty or liability created by the Exchange Act or any other claim for which the federal courts have exclusive jurisdiction. The amended and restated certificate of incorporation also provides that, unless we consents in writing to the selection of an alternative forum, the federal district courts of the United States shall be the exclusive forum for the</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amended and restated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the amended and restated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could discourage another company from acquiring us and may prevent attempts by our stockholders to replace or remove our management.</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2" w:lineRule="exact"/>
        <w:rPr>
          <w:sz w:val="20"/>
          <w:szCs w:val="20"/>
          <w:color w:val="auto"/>
        </w:rPr>
      </w:pPr>
    </w:p>
    <w:p>
      <w:pPr>
        <w:ind w:left="680" w:right="24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amended and restated bylaws without obtaining stockholder approval;</w:t>
      </w:r>
    </w:p>
    <w:p>
      <w:pPr>
        <w:spacing w:after="0" w:line="225"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 2∕3%) of our common shares entitled to vote at an election of our board of directors is required to adopt, amend, alter or repeal our amended and restated bylaws or amend, alter, change or repeal or adopt any provision of the amended and restated certificate of incorporation inconsistent with the provisions of our amended and restated certificate of incorporation regarding the election and removal of directors;</w:t>
      </w:r>
    </w:p>
    <w:p>
      <w:pPr>
        <w:spacing w:after="0" w:line="179"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40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incorporated in Delaware, we will be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680" w:right="16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 convertible debt securities;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identified material weaknesses in our internal control over financial reporting. These material weaknesses could continue to adversely affect our ability to report our results of operations and financial condition accurately and in a timely manner.</w:t>
      </w:r>
      <w:r>
        <w:rPr>
          <w:rFonts w:ascii="Times New Roman" w:cs="Times New Roman" w:eastAsia="Times New Roman" w:hAnsi="Times New Roman"/>
          <w:sz w:val="18"/>
          <w:szCs w:val="18"/>
          <w:color w:val="auto"/>
        </w:rPr>
        <w:t>” We are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refine our disclosure controls and other procedures that are designed to ensure that information required to be disclosed by us in the reports that we file with the SEC is recorded, processed, summarized and reported within the time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specified in SEC rules and forms and that information required to be disclosed in reports under the Exchange Act is accumulated and communicated to our management, including our principal executive and financial officers.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our internal control over financial reporting and once we cease to be an emerging growth company, we will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include an attestation report on internal control over financial reporting issued by our independent registered public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compliance with these requirements within the prescribed time period, we will be engaging in a process to document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 our internal control over financial reporting, which is both costly and challenging. In this regard, we will need to continue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dedicate internal resources, potentially engage outside consultants and adopt a detailed work plan to assess and document the adequacy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internal control over financial reporting, validate through testing that controls are functioning as documented and implement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continuous reporting and improvement process for internal control over financial reporting. There is a risk that we will not be 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 within the prescribed time period or at all, that our internal control over financial reporting is effective as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the Sarbanes-Oxley Act. Moreover, our testing, or the subsequent testing by our independent registered public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may reveal additional deficiencies in our internal control over financial reporting that are deemed to be material weaknesses.</w:t>
      </w:r>
    </w:p>
    <w:p>
      <w:pPr>
        <w:spacing w:after="0" w:line="20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Nasdaq, the SEC and other regulatory authorities.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at a price greater than what you paid for it.</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our board of directors may deem relevant. As a result, you may not receive any return on an investment in our common stock unless you sell your our common stock for a price greater than that which you paid for it.</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may not be indicative of what our actual financial position or results of operations would have been.</w:t>
      </w:r>
    </w:p>
    <w:p>
      <w:pPr>
        <w:spacing w:after="0" w:line="15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 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more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22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prospectus and in any accompanying prospectus supplements, as well as the amount of cash used in our operations.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price that CCM will pay for the shares to be resold pursuant to this prospectus will depend upon the timing of sales and will fluctuate based on the trading price of our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7, 2022, we had 44,848,686 outstanding shares of common stock. This total excludes:</w:t>
      </w:r>
    </w:p>
    <w:p>
      <w:pPr>
        <w:spacing w:after="0" w:line="225"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2022 Plan;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 initially reserved under the ESPP;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Warrants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1,600,000 $10 Warrants Shares;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underlying outstanding options.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investors purchasing our shares in this offering will experience further dilution. In addition, the $10 Warrants and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 As of October 20, 2022, the closing price of our common stock and warrants was $7.62 and $0.29, respectively. As of October 7, 2022, there were 8 holders of record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prior to the closing of the Business Combination are intended to mean Dragonfly Energy Corp., a Nevada corporation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Chardan NexTech Acquisition 2 Corp. prior to the Closing. References in this section to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after the closing of the Business Combination are intended to mean, Dragonfly Energy Holdings Corp. and its consolidated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historical financial information of CNTQ was derived from the unaudited financial statements of CNTQ as of June 30, 2022 and for the six months ended June 30, 2022 and the audited financial statements of CNTQ as of December 31, 2021, included elsewhere in this prospectus. The historical financial information of Legacy Dragonfly was derived from the unaudited financial statements of Legacy Dragonfly as of June 30, 2022 and for the six months ended June 30, 2022 and the audited financial statements of Legacy Dragonfly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Times New Roman" w:cs="Times New Roman" w:eastAsia="Times New Roman" w:hAnsi="Times New Roman"/>
          <w:sz w:val="18"/>
          <w:szCs w:val="18"/>
          <w:i w:val="1"/>
          <w:iCs w:val="1"/>
          <w:color w:val="auto"/>
        </w:rPr>
        <w:t>CNTQ’s 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and other financial information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closing of the Business Combination, they nominated five of the seven members of the board of directors at the closing of the Business Combination, Legacy Dragonfly’s management continues to manage Dragonfly and Legacy Dragonfly’s business comprises the ongoing operations of Dragonfly.</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assumes that the Business Combination and related transactions occurred on June 30, 2022. The unaudited pro forma condensed combined statements of operations for the six months ended June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common stock. The new shares of common stock were delivered to Legacy Dragonfly Equity Holders (including to holders of the 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June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Dragonfly accounts for the Earnout Shares as either equity-classified or liability-classified instruments based on an assessment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ASC 815, as defined below. Dragonfly has preliminarily determined that the Earnout Shares are indexed to Dragonfly’s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therefore not precluded from equity classification. Such accounting determination will be assessed at each financial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date to determine whether equity classification remains appropriate. If the Earnout Shares are later determined to be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instruments, Dragonfly would recognize subsequent changes in the fair value of such Earnout Shares within earnings 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during the earnout period. The pro forma value of the Earnout Consideration was prepared utilizing a Monte Carlo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simulation model. The significant assumptions utilized in determining the fair value of Earnout Consideration include the following: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price for our common stock of approximately $14.00; (2) a risk-free rate of 4.24%; (3) projected revenue and EBITDA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$255,100,000 and $41,000,000 respectively; (4) expected volatility of future annual revenue and future annual EBITDA of 37.0%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respectively; (5) discount rates ranging from 4.2%-8.8%; and (6) expected probability of change in control of 15.0%.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fair value of the Earnout Shares has been determined to be $391.3 million.</w:t>
      </w:r>
    </w:p>
    <w:p>
      <w:pPr>
        <w:spacing w:after="0" w:line="20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of the Business Combination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 pro forma adjustments related to the recognition of these shares because there is no net impact on additional paid-in capital on a pro forma combined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8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Consistent with the commitment letter entered into concurrently with signing of the Business Combination Agreement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firstLine="8"/>
        <w:spacing w:after="0" w:line="251"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 to issue penny warrants to the Term Loan Lenders exercisable to purchase 2,593,056 shares, which is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(ii) the $10 warrant to issue warrants to the Term Loan Lenders exercisable to purchase 1,600,000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at $10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Warrants. The Company preliminarily determined that the Warrants will be equity-classified instruments to be recognized as an offset to the debt instrument and amortized over the life of the debt instrument based on their relative fair values. If the warrants are determined to be liability-classified instruments, the fair value of the Warrants would be expensed at issuance.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Closing. In addition, the Company appointed LifeSci Capital, LLC as “qualified independent underwriter” with respect to the transactions contemplated by the Purchase Agreement.</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62" w:lineRule="exact"/>
        <w:rPr>
          <w:sz w:val="20"/>
          <w:szCs w:val="20"/>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and reclassification of cash held in CNTQ’s Trust Account to cash and cash equivalents, net of redemptions (see below);</w:t>
      </w:r>
    </w:p>
    <w:p>
      <w:pPr>
        <w:spacing w:after="0" w:line="5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Amendment;</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redemptions prior to Closing;</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Agreement;</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Term Loan;</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existing debt; and</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certain offering costs and transaction costs incurred by both CNTQ and Dragonfly.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Closing, CNTQ’s public stockholders holding 2,031,910 ordinary shares elected to redeem such shares.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of Dragonfly following the Business Combination and related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Dragonfly existing shareholders</w:t>
            </w:r>
            <w:r>
              <w:rPr>
                <w:rFonts w:ascii="Times New Roman" w:cs="Times New Roman" w:eastAsia="Times New Roman" w:hAnsi="Times New Roman"/>
                <w:sz w:val="24"/>
                <w:szCs w:val="24"/>
                <w:color w:val="auto"/>
                <w:vertAlign w:val="superscript"/>
              </w:rPr>
              <w:t>(1)(2)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38,576,648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CNTQ existing public stockholders</w:t>
            </w:r>
            <w:r>
              <w:rPr>
                <w:rFonts w:ascii="Times New Roman" w:cs="Times New Roman" w:eastAsia="Times New Roman" w:hAnsi="Times New Roman"/>
                <w:sz w:val="25"/>
                <w:szCs w:val="25"/>
                <w:color w:val="auto"/>
                <w:vertAlign w:val="superscript"/>
              </w:rPr>
              <w:t>(3)(4)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576,438</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Initial stockholders of CNTQ</w:t>
            </w:r>
            <w:r>
              <w:rPr>
                <w:rFonts w:ascii="Times New Roman" w:cs="Times New Roman" w:eastAsia="Times New Roman" w:hAnsi="Times New Roman"/>
                <w:sz w:val="25"/>
                <w:szCs w:val="25"/>
                <w:color w:val="auto"/>
                <w:vertAlign w:val="superscript"/>
              </w:rPr>
              <w:t>(5)(6)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6"/>
        </w:trPr>
        <w:tc>
          <w:tcPr>
            <w:tcW w:w="74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Term Loan Lenders</w:t>
            </w:r>
            <w:r>
              <w:rPr>
                <w:rFonts w:ascii="Times New Roman" w:cs="Times New Roman" w:eastAsia="Times New Roman" w:hAnsi="Times New Roman"/>
                <w:sz w:val="25"/>
                <w:szCs w:val="25"/>
                <w:color w:val="auto"/>
                <w:vertAlign w:val="superscript"/>
              </w:rPr>
              <w:t>(7)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Pro forma Common Stock</w:t>
            </w:r>
            <w:r>
              <w:rPr>
                <w:rFonts w:ascii="Times New Roman" w:cs="Times New Roman" w:eastAsia="Times New Roman" w:hAnsi="Times New Roman"/>
                <w:sz w:val="24"/>
                <w:szCs w:val="24"/>
                <w:color w:val="auto"/>
                <w:vertAlign w:val="superscript"/>
              </w:rPr>
              <w:t>(8)</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45,408,642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Dragonfly common stock issued pursuant to the THOR Investment.</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9,487,500 shares of common stock underlying the public warrants.</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shares of common stock underlying the private warrants.</w:t>
      </w:r>
    </w:p>
    <w:p>
      <w:pPr>
        <w:spacing w:after="0" w:line="117"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67" w:lineRule="exact"/>
        <w:rPr>
          <w:rFonts w:ascii="Times New Roman" w:cs="Times New Roman" w:eastAsia="Times New Roman" w:hAnsi="Times New Roman"/>
          <w:sz w:val="18"/>
          <w:szCs w:val="18"/>
          <w:color w:val="auto"/>
        </w:rPr>
      </w:pPr>
    </w:p>
    <w:p>
      <w:pPr>
        <w:ind w:left="340" w:right="80" w:hanging="332"/>
        <w:spacing w:after="0" w:line="256" w:lineRule="auto"/>
        <w:tabs>
          <w:tab w:leader="none" w:pos="3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2,593,056 shares of common stock underlying the Penny Warrants due to their nominal exercise price. The Penny Warrants are exercisable for 5.6% of fully-diluted outstanding shares of common stock post-closing.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Excludes 1,600,000 shares of common stock underlying the $10 Warrants.</w:t>
      </w:r>
    </w:p>
    <w:p>
      <w:pPr>
        <w:spacing w:after="0" w:line="7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pursuant to the ChEF Equity Facility after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 AS OF JUNE 30,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CNTQ</w:t>
            </w:r>
          </w:p>
        </w:tc>
        <w:tc>
          <w:tcPr>
            <w:tcW w:w="80" w:type="dxa"/>
            <w:vAlign w:val="bottom"/>
          </w:tcPr>
          <w:p>
            <w:pPr>
              <w:spacing w:after="0"/>
              <w:rPr>
                <w:sz w:val="13"/>
                <w:szCs w:val="13"/>
                <w:color w:val="auto"/>
              </w:rPr>
            </w:pP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THOR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31,996</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73,486</w:t>
            </w:r>
          </w:p>
        </w:tc>
        <w:tc>
          <w:tcPr>
            <w:tcW w:w="20" w:type="dxa"/>
            <w:vAlign w:val="bottom"/>
          </w:tcPr>
          <w:p>
            <w:pPr>
              <w:spacing w:after="0"/>
              <w:rPr>
                <w:sz w:val="12"/>
                <w:szCs w:val="12"/>
                <w:color w:val="auto"/>
              </w:rPr>
            </w:pPr>
          </w:p>
        </w:tc>
        <w:tc>
          <w:tcPr>
            <w:tcW w:w="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(29,342) </w:t>
            </w:r>
            <w:r>
              <w:rPr>
                <w:rFonts w:ascii="Times New Roman" w:cs="Times New Roman" w:eastAsia="Times New Roman" w:hAnsi="Times New Roman"/>
                <w:sz w:val="14"/>
                <w:szCs w:val="14"/>
                <w:b w:val="1"/>
                <w:bCs w:val="1"/>
                <w:color w:val="auto"/>
              </w:rPr>
              <w:t>E</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(39,312) </w:t>
            </w:r>
            <w:r>
              <w:rPr>
                <w:rFonts w:ascii="Times New Roman" w:cs="Times New Roman" w:eastAsia="Times New Roman" w:hAnsi="Times New Roman"/>
                <w:sz w:val="14"/>
                <w:szCs w:val="14"/>
                <w:b w:val="1"/>
                <w:bCs w:val="1"/>
                <w:color w:val="auto"/>
              </w:rPr>
              <w:t>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xml:space="preserve">(4,000) </w:t>
            </w:r>
            <w:r>
              <w:rPr>
                <w:rFonts w:ascii="Times New Roman" w:cs="Times New Roman" w:eastAsia="Times New Roman" w:hAnsi="Times New Roman"/>
                <w:sz w:val="14"/>
                <w:szCs w:val="14"/>
                <w:b w:val="1"/>
                <w:bCs w:val="1"/>
                <w:color w:val="auto"/>
              </w:rPr>
              <w:t>J</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(21,017) </w:t>
            </w:r>
            <w:r>
              <w:rPr>
                <w:rFonts w:ascii="Times New Roman" w:cs="Times New Roman" w:eastAsia="Times New Roman" w:hAnsi="Times New Roman"/>
                <w:sz w:val="14"/>
                <w:szCs w:val="14"/>
                <w:b w:val="1"/>
                <w:bCs w:val="1"/>
                <w:color w:val="auto"/>
              </w:rPr>
              <w:t>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(3,044) </w:t>
            </w:r>
            <w:r>
              <w:rPr>
                <w:rFonts w:ascii="Times New Roman" w:cs="Times New Roman" w:eastAsia="Times New Roman" w:hAnsi="Times New Roman"/>
                <w:sz w:val="14"/>
                <w:szCs w:val="14"/>
                <w:b w:val="1"/>
                <w:bCs w:val="1"/>
                <w:color w:val="auto"/>
              </w:rPr>
              <w:t>F</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42,268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inventory</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59,801</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8,767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84,149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(96,337) </w:t>
            </w:r>
            <w:r>
              <w:rPr>
                <w:rFonts w:ascii="Times New Roman" w:cs="Times New Roman" w:eastAsia="Times New Roman" w:hAnsi="Times New Roman"/>
                <w:sz w:val="14"/>
                <w:szCs w:val="14"/>
                <w:b w:val="1"/>
                <w:bCs w:val="1"/>
                <w:color w:val="auto"/>
              </w:rPr>
              <w:t>B</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(32,274) </w:t>
            </w:r>
            <w:r>
              <w:rPr>
                <w:rFonts w:ascii="Times New Roman" w:cs="Times New Roman" w:eastAsia="Times New Roman" w:hAnsi="Times New Roman"/>
                <w:sz w:val="14"/>
                <w:szCs w:val="14"/>
                <w:b w:val="1"/>
                <w:bCs w:val="1"/>
                <w:color w:val="auto"/>
              </w:rPr>
              <w:t>C</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issuance costs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K</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CCEEFF"/>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129,192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74,154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(118,844)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40" w:type="dxa"/>
            <w:vAlign w:val="bottom"/>
            <w:shd w:val="clear" w:color="auto" w:fill="CCEEFF"/>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TEMPORARY EQUITY AND STOCKHOLDERS'</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deposits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payable, current portion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(5,212) </w:t>
            </w:r>
            <w:r>
              <w:rPr>
                <w:rFonts w:ascii="Times New Roman" w:cs="Times New Roman" w:eastAsia="Times New Roman" w:hAnsi="Times New Roman"/>
                <w:sz w:val="14"/>
                <w:szCs w:val="14"/>
                <w:b w:val="1"/>
                <w:bCs w:val="1"/>
                <w:color w:val="auto"/>
              </w:rPr>
              <w:t>F</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liability, current portion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Obligation to issue common stock</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K</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21,911</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Notes payable-noncurrent, net of debt discount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42,449</w:t>
            </w:r>
          </w:p>
        </w:tc>
        <w:tc>
          <w:tcPr>
            <w:tcW w:w="20" w:type="dxa"/>
            <w:vAlign w:val="bottom"/>
          </w:tcPr>
          <w:p>
            <w:pPr>
              <w:spacing w:after="0"/>
              <w:rPr>
                <w:sz w:val="12"/>
                <w:szCs w:val="12"/>
                <w:color w:val="auto"/>
              </w:rPr>
            </w:pPr>
          </w:p>
        </w:tc>
        <w:tc>
          <w:tcPr>
            <w:tcW w:w="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(549) </w:t>
            </w:r>
            <w:r>
              <w:rPr>
                <w:rFonts w:ascii="Times New Roman" w:cs="Times New Roman" w:eastAsia="Times New Roman" w:hAnsi="Times New Roman"/>
                <w:sz w:val="14"/>
                <w:szCs w:val="14"/>
                <w:b w:val="1"/>
                <w:bCs w:val="1"/>
                <w:color w:val="auto"/>
              </w:rPr>
              <w:t>E</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(34,912) </w:t>
            </w:r>
            <w:r>
              <w:rPr>
                <w:rFonts w:ascii="Times New Roman" w:cs="Times New Roman" w:eastAsia="Times New Roman" w:hAnsi="Times New Roman"/>
                <w:sz w:val="14"/>
                <w:szCs w:val="14"/>
                <w:b w:val="1"/>
                <w:bCs w:val="1"/>
                <w:color w:val="auto"/>
              </w:rPr>
              <w:t>F</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60,939</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2,776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64,911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128,398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(96,337)</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(32,061) </w:t>
            </w:r>
            <w:r>
              <w:rPr>
                <w:rFonts w:ascii="Times New Roman" w:cs="Times New Roman" w:eastAsia="Times New Roman" w:hAnsi="Times New Roman"/>
                <w:sz w:val="14"/>
                <w:szCs w:val="14"/>
                <w:b w:val="1"/>
                <w:bCs w:val="1"/>
                <w:color w:val="auto"/>
              </w:rPr>
              <w:t>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(2,000) </w:t>
            </w:r>
            <w:r>
              <w:rPr>
                <w:rFonts w:ascii="Times New Roman" w:cs="Times New Roman" w:eastAsia="Times New Roman" w:hAnsi="Times New Roman"/>
                <w:sz w:val="14"/>
                <w:szCs w:val="14"/>
                <w:b w:val="1"/>
                <w:bCs w:val="1"/>
                <w:color w:val="auto"/>
              </w:rPr>
              <w:t>H</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78"/>
              </w:rPr>
              <w:t>A</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H</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b w:val="1"/>
                <w:bCs w:val="1"/>
                <w:color w:val="auto"/>
              </w:rPr>
              <w:t>L</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14,998</w:t>
            </w:r>
          </w:p>
        </w:tc>
        <w:tc>
          <w:tcPr>
            <w:tcW w:w="2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78"/>
              </w:rPr>
              <w:t>A</w:t>
            </w: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(678) </w:t>
            </w:r>
            <w:r>
              <w:rPr>
                <w:rFonts w:ascii="Times New Roman" w:cs="Times New Roman" w:eastAsia="Times New Roman" w:hAnsi="Times New Roman"/>
                <w:sz w:val="14"/>
                <w:szCs w:val="14"/>
                <w:b w:val="1"/>
                <w:bCs w:val="1"/>
                <w:color w:val="auto"/>
              </w:rPr>
              <w:t>C</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31,034</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D</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(28,393) </w:t>
            </w:r>
            <w:r>
              <w:rPr>
                <w:rFonts w:ascii="Times New Roman" w:cs="Times New Roman" w:eastAsia="Times New Roman" w:hAnsi="Times New Roman"/>
                <w:sz w:val="14"/>
                <w:szCs w:val="14"/>
                <w:b w:val="1"/>
                <w:bCs w:val="1"/>
                <w:color w:val="auto"/>
              </w:rPr>
              <w:t>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32,058</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G</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20" w:type="dxa"/>
            <w:vAlign w:val="bottom"/>
          </w:tcPr>
          <w:p>
            <w:pPr>
              <w:spacing w:after="0"/>
              <w:rPr>
                <w:sz w:val="12"/>
                <w:szCs w:val="12"/>
                <w:color w:val="auto"/>
              </w:rPr>
            </w:pPr>
          </w:p>
        </w:tc>
        <w:tc>
          <w:tcPr>
            <w:tcW w:w="2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1"/>
              </w:rPr>
              <w:t>H</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xml:space="preserve">(403) </w:t>
            </w:r>
            <w:r>
              <w:rPr>
                <w:rFonts w:ascii="Times New Roman" w:cs="Times New Roman" w:eastAsia="Times New Roman" w:hAnsi="Times New Roman"/>
                <w:sz w:val="14"/>
                <w:szCs w:val="14"/>
                <w:b w:val="1"/>
                <w:bCs w:val="1"/>
                <w:color w:val="auto"/>
              </w:rPr>
              <w:t>I</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(21,015) </w:t>
            </w:r>
            <w:r>
              <w:rPr>
                <w:rFonts w:ascii="Times New Roman" w:cs="Times New Roman" w:eastAsia="Times New Roman" w:hAnsi="Times New Roman"/>
                <w:sz w:val="14"/>
                <w:szCs w:val="14"/>
                <w:b w:val="1"/>
                <w:bCs w:val="1"/>
                <w:color w:val="auto"/>
              </w:rPr>
              <w:t>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 earnings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xml:space="preserve">(2,232) </w:t>
            </w:r>
            <w:r>
              <w:rPr>
                <w:rFonts w:ascii="Times New Roman" w:cs="Times New Roman" w:eastAsia="Times New Roman" w:hAnsi="Times New Roman"/>
                <w:sz w:val="14"/>
                <w:szCs w:val="14"/>
                <w:b w:val="1"/>
                <w:bCs w:val="1"/>
                <w:color w:val="auto"/>
              </w:rPr>
              <w:t>F</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xml:space="preserve">403 </w:t>
            </w:r>
            <w:r>
              <w:rPr>
                <w:rFonts w:ascii="Times New Roman" w:cs="Times New Roman" w:eastAsia="Times New Roman" w:hAnsi="Times New Roman"/>
                <w:sz w:val="14"/>
                <w:szCs w:val="14"/>
                <w:b w:val="1"/>
                <w:bCs w:val="1"/>
                <w:color w:val="auto"/>
              </w:rPr>
              <w:t>I</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xml:space="preserve">(4,000) </w:t>
            </w:r>
            <w:r>
              <w:rPr>
                <w:rFonts w:ascii="Times New Roman" w:cs="Times New Roman" w:eastAsia="Times New Roman" w:hAnsi="Times New Roman"/>
                <w:sz w:val="14"/>
                <w:szCs w:val="14"/>
                <w:b w:val="1"/>
                <w:bCs w:val="1"/>
                <w:color w:val="auto"/>
              </w:rPr>
              <w:t>J</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(402)</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11,215</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8,778</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34,591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temporary equity and stockholders' equity (deficit)</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129,192</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74,154</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(118,844)</w:t>
            </w: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CNTQ</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6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CNTQ</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(14,818)</w:t>
            </w:r>
            <w:r>
              <w:rPr>
                <w:rFonts w:ascii="Times New Roman" w:cs="Times New Roman" w:eastAsia="Times New Roman" w:hAnsi="Times New Roman"/>
                <w:sz w:val="18"/>
                <w:szCs w:val="18"/>
                <w:b w:val="1"/>
                <w:bCs w:val="1"/>
                <w:color w:val="auto"/>
              </w:rPr>
              <w:t>EE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indebtedness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(2,232)</w:t>
            </w:r>
            <w:r>
              <w:rPr>
                <w:rFonts w:ascii="Times New Roman" w:cs="Times New Roman" w:eastAsia="Times New Roman" w:hAnsi="Times New Roman"/>
                <w:sz w:val="18"/>
                <w:szCs w:val="18"/>
                <w:b w:val="1"/>
                <w:bCs w:val="1"/>
                <w:color w:val="auto"/>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AA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no goodwill or other intangible assets recorded, in accordance with GAAP. Under this method of accounting, CNTQ has been treated as the “accounting acquiree” and Dragonfly as the “accounting acquirer” for financial reporting purposes. Accordingly, for accounting purposes, the Business Combination has been treated as the equivalent of Dragonfly issuing shares for the net assets of CNTQ, followed by a recapitalization. The net assets of Dragonfly have been stated at historical cost. Operations prior to the Business Combination are those of Dragonfly.</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gives effect to the Business Combination and related transactions as if they occurred on June 30, 2022. The unaudited pro forma condensed combined statements of operations for the six months ended June 30, 2022 and for the year ended December 31, 2021 give effect to the Business Combination and related transactions as if they occurred on January 1, 2021. These periods are presented on the basis that Dragonfly is the acquirer for accounting purposes.</w:t>
      </w:r>
    </w:p>
    <w:p>
      <w:pPr>
        <w:spacing w:after="0" w:line="18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CNTQ and Dragonfly.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each share of Legacy Dragonfly’s pre-merger preferred stock has been converted into one share of Dragonfly common stock. Upon the closing of the Business Combination (after giving effect to the conversion of Legacy Dragonfly preferred stock into Dragonfly common stock), all shares of Legacy Dragonfly common stock outstanding have been converted into shares of Dragonfly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Option Conversion</w:t>
      </w:r>
    </w:p>
    <w:p>
      <w:pPr>
        <w:spacing w:after="0" w:line="229" w:lineRule="exact"/>
        <w:rPr>
          <w:sz w:val="20"/>
          <w:szCs w:val="20"/>
          <w:color w:val="auto"/>
        </w:rPr>
      </w:pPr>
    </w:p>
    <w:p>
      <w:pPr>
        <w:ind w:right="220" w:firstLine="324"/>
        <w:spacing w:after="0" w:line="274"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 Dragonfly post-merger options contain only service-based vesting conditions, management will recognize the incremental fair value</w:t>
      </w:r>
    </w:p>
    <w:p>
      <w:pPr>
        <w:sectPr>
          <w:pgSz w:w="11900" w:h="16838" w:orient="portrait"/>
          <w:cols w:equalWidth="0" w:num="1">
            <w:col w:w="9900"/>
          </w:cols>
          <w:pgMar w:left="980" w:top="121" w:right="1019"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portion of the fully vested post-merger option and subject to service-based vesting conditions as consideration transferred.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there was no change in the terms of the options, management does not expect to recognize any incremental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Financial Information</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62"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 Adjustments</w:t>
      </w:r>
      <w:r>
        <w:rPr>
          <w:rFonts w:ascii="Times New Roman" w:cs="Times New Roman" w:eastAsia="Times New Roman" w:hAnsi="Times New Roman"/>
          <w:sz w:val="18"/>
          <w:szCs w:val="18"/>
          <w:color w:val="auto"/>
        </w:rPr>
        <w:t>”). CNTQ has elected not to present Management’s Adjustments and will only be presenting Transaction Accounting Adjustments in the unaudited pro forma condensed combined financial information. CNTQ and Dragonfly have not had any historical relationship prior to the Business Combination. Accordingly, no pro forma adjustments were required to eliminate activities between the companies.</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Dragonfly’s ordinary shares outstanding, assuming the Business Combination and related transactions occurred on January 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THOR Investment</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July 2022, Legacy Dragonfly entered into a certain Stock Purchase Agreement with THOR Industries, whereby THOR purchased 1,267,502 shares of Legacy Dragonfly common stock for $15,000,000 in cash. The Business Combination Agreement was amended to reflect the increase in consideration to be issued in the business combination as a result of the THOR Investment. The shares issued pursuant to the THOR Investment converted into 1,500,000 shares of Dragonfly common stock at the closing of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June 30, 2022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related to the THOR Investment</w:t>
      </w:r>
    </w:p>
    <w:p>
      <w:pPr>
        <w:spacing w:after="0" w:line="229" w:lineRule="exact"/>
        <w:rPr>
          <w:sz w:val="20"/>
          <w:szCs w:val="20"/>
          <w:color w:val="auto"/>
        </w:rPr>
      </w:pPr>
    </w:p>
    <w:p>
      <w:pPr>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$15.0 million pursuant to the THOR Investment and related Stock Purchase Agreement to which THOR Industries purchased 1,267,502 shares of Legacy Dragonfly common stock at a purchase price of $11.8343 per share. The shares issued pursuant to the THOR Investment converted into 1,500,000 shares of Dragonfly common stock at the closing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w:t>
      </w:r>
    </w:p>
    <w:p>
      <w:pPr>
        <w:spacing w:after="0" w:line="229" w:lineRule="exact"/>
        <w:rPr>
          <w:sz w:val="20"/>
          <w:szCs w:val="20"/>
          <w:color w:val="auto"/>
        </w:rPr>
      </w:pPr>
    </w:p>
    <w:p>
      <w:pPr>
        <w:ind w:left="340" w:right="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payment totaling approximately $96.8 million as a result of the redemption of 9,516,652 CNTQ public shares in connection with the Charter Amendment, inclusive of a $0.4 million deposit to the Trust Account, $0.1 million of available interest at August 8, 2022, and net of a $0.4 million tax withdrawal.</w:t>
      </w:r>
    </w:p>
    <w:p>
      <w:pPr>
        <w:spacing w:after="0" w:line="175" w:lineRule="exact"/>
        <w:rPr>
          <w:rFonts w:ascii="Times New Roman" w:cs="Times New Roman" w:eastAsia="Times New Roman" w:hAnsi="Times New Roman"/>
          <w:sz w:val="18"/>
          <w:szCs w:val="18"/>
          <w:color w:val="auto"/>
        </w:rPr>
      </w:pPr>
    </w:p>
    <w:p>
      <w:pPr>
        <w:ind w:left="340" w:right="18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$32.0 million held in the Trust Account, inclusive of interest earned on the Trust Account, tax withdrawals and loans from related parties for working capital purposes, to cash and cash equivalents that is available at closing of the Business Combination, prior to additional redemptions before the closing. This adjustment does not recognize amounts due to related parties at closing of $0.4 million as these amounts are paid at closing (see adjustment E), providing a net zero effect to amounts due to related parties for pro forma purposes. The offset of the amounts held in the Trust Account at Closing (net of redemption payments) and the amounts reclassified to cash and cash equivalents has been recorded to APIC in the amount of $0.7 million.</w:t>
      </w:r>
    </w:p>
    <w:p>
      <w:pPr>
        <w:spacing w:after="0" w:line="188"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approximately $73.5 million pursuant to the Term Loan. The Term Loan involves the issuance of $75.0 million in principal amount of term loans (with an original issue discount of 3%) and the related issuance of the Term Loan</w:t>
      </w:r>
    </w:p>
    <w:p>
      <w:pPr>
        <w:sectPr>
          <w:pgSz w:w="11900" w:h="16838" w:orient="portrait"/>
          <w:cols w:equalWidth="0" w:num="1">
            <w:col w:w="9920"/>
          </w:cols>
          <w:pgMar w:left="980" w:top="12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53" w:lineRule="auto"/>
        <w:rPr>
          <w:sz w:val="20"/>
          <w:szCs w:val="20"/>
          <w:color w:val="auto"/>
        </w:rPr>
      </w:pPr>
      <w:r>
        <w:rPr>
          <w:rFonts w:ascii="Times New Roman" w:cs="Times New Roman" w:eastAsia="Times New Roman" w:hAnsi="Times New Roman"/>
          <w:sz w:val="18"/>
          <w:szCs w:val="18"/>
          <w:color w:val="auto"/>
        </w:rPr>
        <w:t>Lender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Lender Warrants will be equity-classified instruments Should the Term Loan Lender Warrants be subsequently concluded as a part of the debt transaction, the Company would consider the instruments to be liability-classified, and would be subsequently measured at fair value through earnings. The costs associated with liability-classified instruments assumed or issued in the Business Combination would be expensed as incurred. For purposes of the unaudited pro forma condensed combined balance sheet, the preliminary fair value of the Term Loan Lender Warrants of $52.9 million ($31.0 million based on their combined relative fair values to the Term Loan) has been recorded as debt issuance costs offset against the debt with an offset to additional-paid-in capital. The fair value of the Term Loan Lender Warrants was based on a Black-Scholes simulation with key inputs and assumptions such as stock price, term, dividend yield, risk-free rate, and volatility. An additional $0.5 million of transaction costs incurred by Dragonfly have been allocated to the Term Loan as debt issuance costs offset against the debt.</w:t>
      </w:r>
    </w:p>
    <w:p>
      <w:pPr>
        <w:spacing w:after="0" w:line="190" w:lineRule="exact"/>
        <w:rPr>
          <w:sz w:val="20"/>
          <w:szCs w:val="20"/>
          <w:color w:val="auto"/>
        </w:rPr>
      </w:pPr>
    </w:p>
    <w:p>
      <w:pPr>
        <w:ind w:left="340" w:right="20" w:hanging="332"/>
        <w:spacing w:after="0" w:line="253"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payment estimated transaction costs of $28.9 million in relation to the Business Combination and reimbursements to related parties of CNTQ for providing working capital to CNTQ of $0.4 million (see adjustment C). Certain transaction costs totaling $10.9 million, which include legal, accounting, and other services incurred related to the Business Combination have been allocated between the following newly issued financial instruments based on their anticipated relative fair values at Closing: shares of CNTQ Common Stock, the Earnout Shares, the Term Loan, the Penny Warrants and the $10 Warrants. The allocation of these costs resulted in $0.5 million recognized as debt issuance costs offset against the Term Loan, and $2.7 million recognized as equity issuance costs offset to additional paid-in capital. CNTQ incurred an estimated $18.1 million, inclusive of $4.1 million pursuant to a Business Combination Marketing Agreement with CCM, $0.9 million and $2.6 million pursuant to financing commitment fee agreements with CCM and Stifel, respectively, $7.1 million in legal costs, and $3.0 million of printing, legal, insurance, and accounting services including the Duff &amp; Phelps fairness opinion, all of which were expensed and recognized to CNTQ’s accumulated deficit and reclassified to additional paid-in capital at Closing to 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w:t>
      </w:r>
    </w:p>
    <w:p>
      <w:pPr>
        <w:spacing w:after="0" w:line="187"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repayment of outstanding principal indebtedness of Dragonfly totaling $42.4 million and the write off of unamortized debt discount and other settlement fees incurred totaling $2.2 million.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$32.1 million of common stock subject to possible redemption to permanent equity.</w:t>
      </w:r>
    </w:p>
    <w:p>
      <w:pPr>
        <w:spacing w:after="0" w:line="225"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recapitalization of Dragonfly’s outstanding equity as a result of the reverse recapitalization and the issuance of common stock to Dragonfly Equity Holders as consideration for the reverse recapitalization.</w:t>
      </w:r>
    </w:p>
    <w:p>
      <w:pPr>
        <w:spacing w:after="0" w:line="161" w:lineRule="exact"/>
        <w:rPr>
          <w:rFonts w:ascii="Times New Roman" w:cs="Times New Roman" w:eastAsia="Times New Roman" w:hAnsi="Times New Roman"/>
          <w:sz w:val="18"/>
          <w:szCs w:val="18"/>
          <w:color w:val="auto"/>
        </w:rPr>
      </w:pPr>
    </w:p>
    <w:p>
      <w:pPr>
        <w:ind w:left="340" w:right="8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CNTQ’s historical accumulated deficit into additional paid-in capital as part of the reverse recapitalization.</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obligation to issue shares of Dragonfly common stock with a discount of up to $1.0 million over the term of the ChEF Equity Facility, payable by way of a reduction of the VWAP Purchase Price. Dragonfly may terminate the facility at any time subject to the full payment of a commitment fee of $1.0 million.</w:t>
      </w:r>
    </w:p>
    <w:p>
      <w:pPr>
        <w:spacing w:after="0" w:line="175"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six months ended June 30, 2022 and the year ended December 31, 2021 are as follows:</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investment income on the Trust Account.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transaction costs of $18.1 million as if incurred on January 1, 2021, the date the Business Combination occurred for the purposes of the unaudited pro forma condensed combined statement of operations. This is a non-recurring item.</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recognized on existing Dragonfly indebtedness and the recognition of a loss on extinguishment of existing Dragonfly indebtedness as if the Business Combination closed, and the indebtedness was settled, on January 1, 2021 (see adjustment F).</w:t>
      </w:r>
    </w:p>
    <w:p>
      <w:pPr>
        <w:spacing w:after="0" w:line="175"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on the Term Loan as if the facility was executed on January 1, 2021, consisting of $5.1 million and $10.1 million of interest expense for the six months ended June 30, 2022 and the year ended December 31, 2021, respectively, calculated using an approximated rate of 13.50% per annum (as further detailed in the Term Loan Agreement), and $3.0 million and $4.7 million of amortization of debt issuance costs related to the Term Loan for the for the six months ended June 30, 2022 and the year ended December 31, 2021, respectively. The amortization of debt issuance costs was calculated using an effective interest rate of 33.7% based on an estimated initial book value of the Term Loan of $41.9 million after deducting the proceeds allocated to the Term Loan Lender Warrants of $31.0 million, allocated transaction costs of $0.5 million, and a $1.5 million original issue discount (or 3% of proceeds).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4"/>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June 30, 2022 </w:t>
            </w:r>
            <w:r>
              <w:rPr>
                <w:rFonts w:ascii="Times New Roman" w:cs="Times New Roman" w:eastAsia="Times New Roman" w:hAnsi="Times New Roman"/>
                <w:sz w:val="20"/>
                <w:szCs w:val="20"/>
                <w:b w:val="1"/>
                <w:bCs w:val="1"/>
                <w:color w:val="auto"/>
                <w:vertAlign w:val="superscript"/>
              </w:rPr>
              <w:t>(1)</w:t>
            </w:r>
          </w:p>
        </w:tc>
        <w:tc>
          <w:tcPr>
            <w:tcW w:w="200" w:type="dxa"/>
            <w:vAlign w:val="bottom"/>
          </w:tcPr>
          <w:p>
            <w:pPr>
              <w:spacing w:after="0"/>
              <w:rPr>
                <w:sz w:val="15"/>
                <w:szCs w:val="15"/>
                <w:color w:val="auto"/>
              </w:rPr>
            </w:pPr>
          </w:p>
        </w:tc>
        <w:tc>
          <w:tcPr>
            <w:tcW w:w="1380" w:type="dxa"/>
            <w:vAlign w:val="bottom"/>
            <w:tcBorders>
              <w:bottom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December 31, 2021 </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4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Weighted average shares outstanding - basic and diluted</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45,408,642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 basic and diluted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Excluded securities:</w:t>
            </w:r>
            <w:r>
              <w:rPr>
                <w:rFonts w:ascii="Times New Roman" w:cs="Times New Roman" w:eastAsia="Times New Roman" w:hAnsi="Times New Roman"/>
                <w:sz w:val="25"/>
                <w:szCs w:val="25"/>
                <w:i w:val="1"/>
                <w:iCs w:val="1"/>
                <w:color w:val="auto"/>
                <w:vertAlign w:val="superscript"/>
              </w:rPr>
              <w:t>(3)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 Shares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Private Warrants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Dragonfly Options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 Warrants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income (loss) per share includes the related pro forma adjustments as referred to within the section “Unaudited Pro Forma Condensed Combined Financial Information.”</w:t>
      </w:r>
    </w:p>
    <w:p>
      <w:pPr>
        <w:spacing w:after="0" w:line="161" w:lineRule="exact"/>
        <w:rPr>
          <w:rFonts w:ascii="Times New Roman" w:cs="Times New Roman" w:eastAsia="Times New Roman" w:hAnsi="Times New Roman"/>
          <w:sz w:val="18"/>
          <w:szCs w:val="18"/>
          <w:color w:val="auto"/>
        </w:rPr>
      </w:pPr>
    </w:p>
    <w:p>
      <w:pPr>
        <w:ind w:left="340" w:right="6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2,593,056 shares of common stock underlying the Penny Warrants due to their nominal exercise price. The Penny Warrants are exercisable for 5.6%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w:t>
      </w:r>
    </w:p>
    <w:p>
      <w:pPr>
        <w:sectPr>
          <w:pgSz w:w="11900" w:h="16838" w:orient="portrait"/>
          <w:cols w:equalWidth="0" w:num="1">
            <w:col w:w="9920"/>
          </w:cols>
          <w:pgMar w:left="980" w:top="12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common stock on an as-converted to common stock basis, and (iii) all shares of common stock subject to outstanding options.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Excludes shares of common stock issuable after Closing pursuant to the ChEF Equity Facility.</w:t>
      </w:r>
    </w:p>
    <w:p>
      <w:pPr>
        <w:spacing w:after="0" w:line="207" w:lineRule="exact"/>
        <w:rPr>
          <w:sz w:val="20"/>
          <w:szCs w:val="20"/>
          <w:color w:val="auto"/>
        </w:rPr>
      </w:pPr>
    </w:p>
    <w:p>
      <w:pPr>
        <w:ind w:left="340" w:right="139"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Formed in 2012 and based in Reno, Nevada, we are a manufacturer of non-toxic deep cycle lithium-ion batteries that caters to customers in the RV,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18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a dual-brand strategy,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expect to launch our unique battery communication system during the first half of 2023. We currently source the LFP cells incorporated into our batteries from a limited number of carefully selected suppliers that can meet our demanding quality standards and with whom we have developed long-term relationships.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2018, we have sold over 165,000 batteries. For the six months ended June 30, 2021 and 2022, we sold 37,226 and 41,976 batteries, respectively, and had $39.0 million and $39.9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THOR, who has made a strategic investment in our business and with whom we intend to enter into a future, mutually agreed exclusive two-year North American distribution agreement (with potential annual renewals), Airstream, and REV, and we are in ongoing discussions with a number of additional RV OEMS to further increase adoption of our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40" w:firstLine="324"/>
        <w:spacing w:after="0" w:line="312" w:lineRule="auto"/>
        <w:rPr>
          <w:sz w:val="20"/>
          <w:szCs w:val="20"/>
          <w:color w:val="auto"/>
        </w:rPr>
      </w:pPr>
      <w:r>
        <w:rPr>
          <w:rFonts w:ascii="Times New Roman" w:cs="Times New Roman" w:eastAsia="Times New Roman" w:hAnsi="Times New Roman"/>
          <w:sz w:val="17"/>
          <w:szCs w:val="17"/>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100330</wp:posOffset>
            </wp:positionV>
            <wp:extent cx="5143500" cy="2082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currently focus on three main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co-founder and CEO, is currently developing the next generation of LFP solid-state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allowing us to vertically integrate our cells into our batteries, thereby lowering our production costs as a result of our proprietary cost-effective manufacturing processes.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ind w:left="680" w:hanging="321"/>
        <w:spacing w:after="0" w:line="255"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Environmentally Friendly, Socially Responsible and Safer</w:t>
      </w:r>
      <w:r>
        <w:rPr>
          <w:rFonts w:ascii="Times New Roman" w:cs="Times New Roman" w:eastAsia="Times New Roman" w:hAnsi="Times New Roman"/>
          <w:sz w:val="18"/>
          <w:szCs w:val="18"/>
          <w:color w:val="auto"/>
        </w:rPr>
        <w:t>. Lead-acid batteries that are not recycled or disposed of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4"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Longer Lifespan</w:t>
      </w:r>
      <w:r>
        <w:rPr>
          <w:rFonts w:ascii="Times New Roman" w:cs="Times New Roman" w:eastAsia="Times New Roman" w:hAnsi="Times New Roman"/>
          <w:sz w:val="18"/>
          <w:szCs w:val="18"/>
          <w:color w:val="auto"/>
        </w:rPr>
        <w:t>. Lithium-ion batteries have longer lifecycles compared to lead-acid batteries. LFP batteries are able to cycle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184"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 and Performance</w:t>
      </w:r>
      <w:r>
        <w:rPr>
          <w:rFonts w:ascii="Times New Roman" w:cs="Times New Roman" w:eastAsia="Times New Roman" w:hAnsi="Times New Roman"/>
          <w:sz w:val="18"/>
          <w:szCs w:val="18"/>
          <w:color w:val="auto"/>
        </w:rPr>
        <w:t>. As new technologies evolve and people consume more electricity, the importance of battery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ind w:left="680" w:right="60" w:hanging="321"/>
        <w:spacing w:after="0" w:line="257"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Charging</w:t>
      </w:r>
      <w:r>
        <w:rPr>
          <w:rFonts w:ascii="Times New Roman" w:cs="Times New Roman" w:eastAsia="Times New Roman" w:hAnsi="Times New Roman"/>
          <w:sz w:val="18"/>
          <w:szCs w:val="18"/>
          <w:color w:val="auto"/>
        </w:rPr>
        <w:t>. Lead-acid batteries were the first rechargeable batteries on the market. However, due to new advancements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density (i.e., the amount of energy stored by mass volume) and charge/ 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82" w:lineRule="exact"/>
        <w:rPr>
          <w:rFonts w:ascii="Times New Roman" w:cs="Times New Roman" w:eastAsia="Times New Roman" w:hAnsi="Times New Roman"/>
          <w:sz w:val="18"/>
          <w:szCs w:val="18"/>
          <w:color w:val="auto"/>
        </w:rPr>
      </w:pPr>
    </w:p>
    <w:p>
      <w:pPr>
        <w:ind w:left="680" w:right="140" w:hanging="321"/>
        <w:spacing w:after="0" w:line="275"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Maintenance-Free</w:t>
      </w:r>
      <w:r>
        <w:rPr>
          <w:rFonts w:ascii="Times New Roman" w:cs="Times New Roman" w:eastAsia="Times New Roman" w:hAnsi="Times New Roman"/>
          <w:sz w:val="17"/>
          <w:szCs w:val="17"/>
          <w:color w:val="auto"/>
        </w:rPr>
        <w:t>. LFP batteries provide the benefit of being a maintenance-free option compared to lead-acid batteries.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ind w:left="680" w:right="80" w:hanging="321"/>
        <w:spacing w:after="0" w:line="253"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Recreational Vehicles</w:t>
      </w:r>
      <w:r>
        <w:rPr>
          <w:rFonts w:ascii="Times New Roman" w:cs="Times New Roman" w:eastAsia="Times New Roman" w:hAnsi="Times New Roman"/>
          <w:sz w:val="18"/>
          <w:szCs w:val="18"/>
          <w:color w:val="auto"/>
        </w:rPr>
        <w:t>. The growth of the RV market is expected to continue to drive demand for LFP storage batteries.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the RV 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there are over 11 million RVs on the road in America and 9.6 million households intend to purchase an RV within the next five years.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with RV shipments estimated to be over 549,900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185" w:lineRule="exact"/>
        <w:rPr>
          <w:rFonts w:ascii="Times New Roman" w:cs="Times New Roman" w:eastAsia="Times New Roman" w:hAnsi="Times New Roman"/>
          <w:sz w:val="18"/>
          <w:szCs w:val="18"/>
          <w:color w:val="auto"/>
        </w:rPr>
      </w:pPr>
    </w:p>
    <w:p>
      <w:pPr>
        <w:ind w:left="680" w:right="20" w:hanging="321"/>
        <w:spacing w:after="0" w:line="255"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Marine Vessels</w:t>
      </w:r>
      <w:r>
        <w:rPr>
          <w:rFonts w:ascii="Times New Roman" w:cs="Times New Roman" w:eastAsia="Times New Roman" w:hAnsi="Times New Roman"/>
          <w:sz w:val="18"/>
          <w:szCs w:val="18"/>
          <w:color w:val="auto"/>
        </w:rPr>
        <w:t>. As boating becomes more popular in North America, the need for a reliable, non-flammable energy storage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4"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Off-Grid Residences</w:t>
      </w:r>
      <w:r>
        <w:rPr>
          <w:rFonts w:ascii="Times New Roman" w:cs="Times New Roman" w:eastAsia="Times New Roman" w:hAnsi="Times New Roman"/>
          <w:sz w:val="18"/>
          <w:szCs w:val="18"/>
          <w:color w:val="auto"/>
        </w:rPr>
        <w:t>. Many people are turning to off-grid housing and, as individuals and governments become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Markets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ind w:left="680" w:right="40" w:hanging="321"/>
        <w:spacing w:after="0" w:line="25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Industrial / Material Handlings / Work Truck</w:t>
      </w:r>
      <w:r>
        <w:rPr>
          <w:rFonts w:ascii="Times New Roman" w:cs="Times New Roman" w:eastAsia="Times New Roman" w:hAnsi="Times New Roman"/>
          <w:sz w:val="18"/>
          <w:szCs w:val="18"/>
          <w:color w:val="auto"/>
        </w:rPr>
        <w:t>. The industrial vehicle market includes work trucks, material handling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20" w:hanging="321"/>
        <w:spacing w:after="0" w:line="25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Specialty Vehicles</w:t>
      </w:r>
      <w:r>
        <w:rPr>
          <w:rFonts w:ascii="Times New Roman" w:cs="Times New Roman" w:eastAsia="Times New Roman" w:hAnsi="Times New Roman"/>
          <w:sz w:val="18"/>
          <w:szCs w:val="18"/>
          <w:color w:val="auto"/>
        </w:rPr>
        <w:t>. According to Mordor Intelligence, as of 2019, approximately 40% of the specialty vehicle market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2"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Emergency and Standby Power</w:t>
      </w:r>
      <w:r>
        <w:rPr>
          <w:rFonts w:ascii="Times New Roman" w:cs="Times New Roman" w:eastAsia="Times New Roman" w:hAnsi="Times New Roman"/>
          <w:sz w:val="18"/>
          <w:szCs w:val="18"/>
          <w:color w:val="auto"/>
        </w:rPr>
        <w:t>. Demand for reliable emergency and standby power sources is expected to continue to drive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8"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Telecom</w:t>
      </w:r>
      <w:r>
        <w:rPr>
          <w:rFonts w:ascii="Times New Roman" w:cs="Times New Roman" w:eastAsia="Times New Roman" w:hAnsi="Times New Roman"/>
          <w:sz w:val="18"/>
          <w:szCs w:val="18"/>
          <w:color w:val="auto"/>
        </w:rPr>
        <w:t>. Demand for mobile data continues to increase and network providers are investing heavily in 5G networks,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8" w:lineRule="exact"/>
        <w:rPr>
          <w:rFonts w:ascii="Times New Roman" w:cs="Times New Roman" w:eastAsia="Times New Roman" w:hAnsi="Times New Roman"/>
          <w:sz w:val="18"/>
          <w:szCs w:val="18"/>
          <w:color w:val="auto"/>
        </w:rPr>
      </w:pPr>
    </w:p>
    <w:p>
      <w:pPr>
        <w:ind w:left="680" w:right="240" w:hanging="321"/>
        <w:spacing w:after="0" w:line="255"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Rail</w:t>
      </w:r>
      <w:r>
        <w:rPr>
          <w:rFonts w:ascii="Times New Roman" w:cs="Times New Roman" w:eastAsia="Times New Roman" w:hAnsi="Times New Roman"/>
          <w:sz w:val="18"/>
          <w:szCs w:val="18"/>
          <w:color w:val="auto"/>
        </w:rPr>
        <w:t>. Rail transportation is a large potential market, with an estimated market size of $98.6 billion in 2022, according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w:t>
      </w:r>
    </w:p>
    <w:p>
      <w:pPr>
        <w:spacing w:after="0" w:line="2" w:lineRule="exact"/>
        <w:rPr>
          <w:rFonts w:ascii="Times New Roman" w:cs="Times New Roman" w:eastAsia="Times New Roman" w:hAnsi="Times New Roman"/>
          <w:sz w:val="18"/>
          <w:szCs w:val="18"/>
          <w:color w:val="auto"/>
        </w:rPr>
      </w:pPr>
    </w:p>
    <w:p>
      <w:pPr>
        <w:ind w:left="6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ind w:left="680" w:right="120" w:hanging="321"/>
        <w:spacing w:after="0" w:line="254"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Centers</w:t>
      </w:r>
      <w:r>
        <w:rPr>
          <w:rFonts w:ascii="Times New Roman" w:cs="Times New Roman" w:eastAsia="Times New Roman" w:hAnsi="Times New Roman"/>
          <w:sz w:val="18"/>
          <w:szCs w:val="18"/>
          <w:color w:val="auto"/>
        </w:rPr>
        <w:t>. Data centers have seen strong growth in recent years, with over 2,750 data centers in the United States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5" w:lineRule="exact"/>
        <w:rPr>
          <w:rFonts w:ascii="Times New Roman" w:cs="Times New Roman" w:eastAsia="Times New Roman" w:hAnsi="Times New Roman"/>
          <w:sz w:val="18"/>
          <w:szCs w:val="18"/>
          <w:color w:val="auto"/>
        </w:rPr>
      </w:pPr>
    </w:p>
    <w:p>
      <w:pPr>
        <w:ind w:left="680" w:right="160" w:hanging="321"/>
        <w:spacing w:after="0" w:line="25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On-grid Storage</w:t>
      </w:r>
      <w:r>
        <w:rPr>
          <w:rFonts w:ascii="Times New Roman" w:cs="Times New Roman" w:eastAsia="Times New Roman" w:hAnsi="Times New Roman"/>
          <w:sz w:val="18"/>
          <w:szCs w:val="18"/>
          <w:color w:val="auto"/>
        </w:rPr>
        <w:t>. On-grid energy storage is used on a large-scale platform within an electrical power grid in conjunction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spacing w:after="0" w:line="261" w:lineRule="auto"/>
        <w:rPr>
          <w:sz w:val="20"/>
          <w:szCs w:val="20"/>
          <w:color w:val="auto"/>
        </w:rPr>
      </w:pPr>
      <w:r>
        <w:rPr>
          <w:rFonts w:ascii="Times New Roman" w:cs="Times New Roman" w:eastAsia="Times New Roman" w:hAnsi="Times New Roman"/>
          <w:sz w:val="18"/>
          <w:szCs w:val="18"/>
          <w:color w:val="auto"/>
        </w:rPr>
        <w:t>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36" w:lineRule="exact"/>
        <w:rPr>
          <w:sz w:val="20"/>
          <w:szCs w:val="20"/>
          <w:color w:val="auto"/>
        </w:rPr>
      </w:pPr>
    </w:p>
    <w:p>
      <w:pPr>
        <w:ind w:left="680" w:hanging="321"/>
        <w:spacing w:after="0" w:line="255"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Premier Lithium-Ion Battery Technology</w:t>
      </w:r>
      <w:r>
        <w:rPr>
          <w:rFonts w:ascii="Times New Roman" w:cs="Times New Roman" w:eastAsia="Times New Roman" w:hAnsi="Times New Roman"/>
          <w:sz w:val="18"/>
          <w:szCs w:val="18"/>
          <w:color w:val="auto"/>
        </w:rPr>
        <w:t>. Each of our innovative batteries features custom designed components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184" w:lineRule="exact"/>
        <w:rPr>
          <w:rFonts w:ascii="Times New Roman" w:cs="Times New Roman" w:eastAsia="Times New Roman" w:hAnsi="Times New Roman"/>
          <w:sz w:val="18"/>
          <w:szCs w:val="18"/>
          <w:color w:val="auto"/>
        </w:rPr>
      </w:pPr>
    </w:p>
    <w:p>
      <w:pPr>
        <w:ind w:left="680" w:right="20" w:hanging="321"/>
        <w:spacing w:after="0" w:line="268"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Growing Patent Portfolio</w:t>
      </w:r>
      <w:r>
        <w:rPr>
          <w:rFonts w:ascii="Times New Roman" w:cs="Times New Roman" w:eastAsia="Times New Roman" w:hAnsi="Times New Roman"/>
          <w:sz w:val="18"/>
          <w:szCs w:val="18"/>
          <w:color w:val="auto"/>
        </w:rPr>
        <w:t>. We have developed and filed patent applications on commercially relevant aspects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including chemical compositions systems and production processes. To date, we have possessed 24 issued patents, with an additional 20 patent applications pending, in the United States, China, Europe, Australia, Canada and other regions.</w:t>
      </w:r>
    </w:p>
    <w:p>
      <w:pPr>
        <w:spacing w:after="0" w:line="170" w:lineRule="exact"/>
        <w:rPr>
          <w:rFonts w:ascii="Times New Roman" w:cs="Times New Roman" w:eastAsia="Times New Roman" w:hAnsi="Times New Roman"/>
          <w:sz w:val="18"/>
          <w:szCs w:val="18"/>
          <w:color w:val="auto"/>
        </w:rPr>
      </w:pPr>
    </w:p>
    <w:p>
      <w:pPr>
        <w:ind w:left="680" w:right="80" w:hanging="321"/>
        <w:spacing w:after="0" w:line="25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Go-To-Market Strategy</w:t>
      </w:r>
      <w:r>
        <w:rPr>
          <w:rFonts w:ascii="Times New Roman" w:cs="Times New Roman" w:eastAsia="Times New Roman" w:hAnsi="Times New Roman"/>
          <w:sz w:val="18"/>
          <w:szCs w:val="18"/>
          <w:color w:val="auto"/>
        </w:rPr>
        <w:t>. We have successfully established a direct-to-consumer platform and have developed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relationships with major RV OEMs, custom designing products for new and existing applications as evidenced by 16 consecutive quarters of profitability, which we measure by positive EBITDA.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82" w:lineRule="exact"/>
        <w:rPr>
          <w:rFonts w:ascii="Times New Roman" w:cs="Times New Roman" w:eastAsia="Times New Roman" w:hAnsi="Times New Roman"/>
          <w:sz w:val="18"/>
          <w:szCs w:val="18"/>
          <w:color w:val="auto"/>
        </w:rPr>
      </w:pPr>
    </w:p>
    <w:p>
      <w:pPr>
        <w:ind w:left="680" w:right="120" w:hanging="321"/>
        <w:spacing w:after="0" w:line="259"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Established Customer Base with Brand Recognition</w:t>
      </w:r>
      <w:r>
        <w:rPr>
          <w:rFonts w:ascii="Times New Roman" w:cs="Times New Roman" w:eastAsia="Times New Roman" w:hAnsi="Times New Roman"/>
          <w:sz w:val="18"/>
          <w:szCs w:val="18"/>
          <w:color w:val="auto"/>
        </w:rPr>
        <w:t>. We have a growing customer base of over 13,500 customers featuring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179" w:lineRule="exact"/>
        <w:rPr>
          <w:rFonts w:ascii="Times New Roman" w:cs="Times New Roman" w:eastAsia="Times New Roman" w:hAnsi="Times New Roman"/>
          <w:sz w:val="18"/>
          <w:szCs w:val="18"/>
          <w:color w:val="auto"/>
        </w:rPr>
      </w:pPr>
    </w:p>
    <w:p>
      <w:pPr>
        <w:jc w:val="both"/>
        <w:ind w:left="680" w:right="440" w:hanging="321"/>
        <w:spacing w:after="0" w:line="268"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Quality Manufacturing Process</w:t>
      </w:r>
      <w:r>
        <w:rPr>
          <w:rFonts w:ascii="Times New Roman" w:cs="Times New Roman" w:eastAsia="Times New Roman" w:hAnsi="Times New Roman"/>
          <w:sz w:val="18"/>
          <w:szCs w:val="18"/>
          <w:color w:val="auto"/>
        </w:rPr>
        <w:t>. Unlike competitors that outsource their manufacturing processes, our batteries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assembled and tested in the United States, ensuring that our manufacturing process is thoroughly tested and our batteries are of the highest quality.</w:t>
      </w:r>
    </w:p>
    <w:p>
      <w:pPr>
        <w:spacing w:after="0" w:line="170"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Drop-in Replacement</w:t>
      </w:r>
      <w:r>
        <w:rPr>
          <w:rFonts w:ascii="Times New Roman" w:cs="Times New Roman" w:eastAsia="Times New Roman" w:hAnsi="Times New Roman"/>
          <w:sz w:val="18"/>
          <w:szCs w:val="18"/>
          <w:color w:val="auto"/>
        </w:rPr>
        <w:t>. Our battery modules are largely designed to be “drop-in replacements” for traditional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158" w:lineRule="exact"/>
        <w:rPr>
          <w:sz w:val="20"/>
          <w:szCs w:val="20"/>
          <w:color w:val="auto"/>
        </w:rPr>
      </w:pPr>
    </w:p>
    <w:p>
      <w:pPr>
        <w:ind w:left="680" w:right="180" w:hanging="321"/>
        <w:spacing w:after="0" w:line="257"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Product Offerings</w:t>
      </w:r>
      <w:r>
        <w:rPr>
          <w:rFonts w:ascii="Times New Roman" w:cs="Times New Roman" w:eastAsia="Times New Roman" w:hAnsi="Times New Roman"/>
          <w:sz w:val="18"/>
          <w:szCs w:val="18"/>
          <w:color w:val="auto"/>
        </w:rPr>
        <w:t>. In the short-term, our aim is to further diversify our product offerings to give consumers,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RV OEMs and distributors, more options for additional applications. This will be accelerated by the expansion of our production capacity in our new manufacturing facility. We intend to launch and scale production of additional 12 voltage and 24 voltage batteries and introduce 48 voltage batteries, which we believe will extend our market reach in each of our targeted end markets. We believe the natural evolution of our product offering is to become a system integrator for solar and other energy solutions.</w:t>
      </w:r>
    </w:p>
    <w:p>
      <w:pPr>
        <w:spacing w:after="0" w:line="182" w:lineRule="exact"/>
        <w:rPr>
          <w:rFonts w:ascii="Times New Roman" w:cs="Times New Roman" w:eastAsia="Times New Roman" w:hAnsi="Times New Roman"/>
          <w:sz w:val="18"/>
          <w:szCs w:val="18"/>
          <w:color w:val="auto"/>
        </w:rPr>
      </w:pPr>
    </w:p>
    <w:p>
      <w:pPr>
        <w:ind w:left="680" w:right="40" w:hanging="321"/>
        <w:spacing w:after="0" w:line="259"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End Markets</w:t>
      </w:r>
      <w:r>
        <w:rPr>
          <w:rFonts w:ascii="Times New Roman" w:cs="Times New Roman" w:eastAsia="Times New Roman" w:hAnsi="Times New Roman"/>
          <w:sz w:val="18"/>
          <w:szCs w:val="18"/>
          <w:color w:val="auto"/>
        </w:rPr>
        <w:t>. We have identified additional end markets that we believe in the medium- to longer-term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9" w:lineRule="exact"/>
        <w:rPr>
          <w:rFonts w:ascii="Times New Roman" w:cs="Times New Roman" w:eastAsia="Times New Roman" w:hAnsi="Times New Roman"/>
          <w:sz w:val="18"/>
          <w:szCs w:val="18"/>
          <w:color w:val="auto"/>
        </w:rPr>
      </w:pPr>
    </w:p>
    <w:p>
      <w:pPr>
        <w:ind w:left="680" w:right="220" w:hanging="321"/>
        <w:spacing w:after="0" w:line="259"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Commercialize Solid-State Technology</w:t>
      </w:r>
      <w:r>
        <w:rPr>
          <w:rFonts w:ascii="Times New Roman" w:cs="Times New Roman" w:eastAsia="Times New Roman" w:hAnsi="Times New Roman"/>
          <w:sz w:val="18"/>
          <w:szCs w:val="18"/>
          <w:color w:val="auto"/>
        </w:rPr>
        <w:t>. We believe solid-state technology presents a significant advantage to all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on the market, with the potential to be lighter, smaller, safer and cheaper. Once we have optimized the chemistry of our LFP solid-state batteries to enhance conductivity and power, we intend to use our first solid-state cells in our Battle Born batteries, after which we will scale up for mass production of separate solid-state batteries for various applications and use cases.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130810</wp:posOffset>
            </wp:positionV>
            <wp:extent cx="5109210" cy="13373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092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“Lithium and Cobalt: A tale of two commodities,” global forecasts for cobalt show supply shortages arising as early</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 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and 2022 we sold 37,226 and 41,976 batteries, respectively, and had $39.0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$39.9 million in sales, respectively. Net income for the six months ended June 30, 2021 was $4.2 million and net loss for the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2022 was $3.8 million, respectively, and Adjusted EBITDA was $5.8 million and $(0.4) million, respectively.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2020 and 2021 we sold 51,434 and 74,652 batteries, respectively, and had $47.2 million and $78.0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respectively. Net income for the years ended December 31, 2020 and 2021 was $6.9 million and $4.3 million, respectively,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$9.4 million and $8.7 million, respectively. For a reconciliation of Adjusted EBITDA to its most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GAAP measure, information on why we consider Adjusted EBITDA useful and a discussion of the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risks and limitations of this measure, please see the section entitled, “</w:t>
      </w:r>
      <w:r>
        <w:rPr>
          <w:rFonts w:ascii="Times New Roman" w:cs="Times New Roman" w:eastAsia="Times New Roman" w:hAnsi="Times New Roman"/>
          <w:sz w:val="18"/>
          <w:szCs w:val="18"/>
          <w:i w:val="1"/>
          <w:iCs w:val="1"/>
          <w:color w:val="auto"/>
        </w:rPr>
        <w:t>Dragonfly’s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Non-GAAP Financial Measures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123190</wp:posOffset>
            </wp:positionV>
            <wp:extent cx="5143500" cy="2082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114300</wp:posOffset>
            </wp:positionV>
            <wp:extent cx="5194935" cy="2108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49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114300</wp:posOffset>
            </wp:positionV>
            <wp:extent cx="5177790" cy="1920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777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80" w:right="64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between -4 degrees Fahrenheit and 135 degrees Fahrenheit, and is designed to cut off charging at 24 degrees Fahrenheit to protect cells;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158" w:lineRule="exact"/>
        <w:rPr>
          <w:sz w:val="20"/>
          <w:szCs w:val="20"/>
          <w:color w:val="auto"/>
        </w:rPr>
      </w:pPr>
    </w:p>
    <w:p>
      <w:pPr>
        <w:jc w:val="both"/>
        <w:ind w:left="680" w:right="40" w:hanging="321"/>
        <w:spacing w:after="0" w:line="26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Products</w:t>
      </w:r>
      <w:r>
        <w:rPr>
          <w:rFonts w:ascii="Times New Roman" w:cs="Times New Roman" w:eastAsia="Times New Roman" w:hAnsi="Times New Roman"/>
          <w:sz w:val="18"/>
          <w:szCs w:val="18"/>
          <w:color w:val="auto"/>
        </w:rPr>
        <w:t>. Our current offerings feature battery products that serve the RV, marine vessel and off-grid markets. Although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operations were previously capacity constrained the expansion into our new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83" w:lineRule="exact"/>
        <w:rPr>
          <w:rFonts w:ascii="Times New Roman" w:cs="Times New Roman" w:eastAsia="Times New Roman" w:hAnsi="Times New Roman"/>
          <w:sz w:val="18"/>
          <w:szCs w:val="18"/>
          <w:color w:val="auto"/>
        </w:rPr>
      </w:pPr>
    </w:p>
    <w:p>
      <w:pPr>
        <w:ind w:left="680" w:right="100" w:hanging="321"/>
        <w:spacing w:after="0" w:line="25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7"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75"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Integrator</w:t>
      </w:r>
      <w:r>
        <w:rPr>
          <w:rFonts w:ascii="Times New Roman" w:cs="Times New Roman" w:eastAsia="Times New Roman" w:hAnsi="Times New Roman"/>
          <w:sz w:val="18"/>
          <w:szCs w:val="18"/>
          <w:color w:val="auto"/>
        </w:rPr>
        <w:t>. A natural evolution of our business is to offer customers a system integration solution providing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power 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co-founder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2022.</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128270</wp:posOffset>
            </wp:positionV>
            <wp:extent cx="2726055" cy="1842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2605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 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114300</wp:posOffset>
            </wp:positionV>
            <wp:extent cx="3240405" cy="2339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4040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7"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intend to integrate our initial solid-state cells into Dragonfly Energy and Battle Born batteries exclusively and eventually scale to mass production of separate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6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154305</wp:posOffset>
            </wp:positionV>
            <wp:extent cx="5143500" cy="9690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9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 standing relationships with these suppliers, we are able to source LFP cells on favorable terms and within reasonable lead-times.</w:t>
      </w:r>
    </w:p>
    <w:p>
      <w:pPr>
        <w:spacing w:after="0" w:line="19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Memorandum of Understanding with a lithium mining company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currently serve over 13,500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six months ended June 30, 2022, OEM sales represented 26.1% of our total revenues and for the years ended December 31, 2020 and 2021, OEM sales represented 7.4% and 10.5% of our total revenues, respectively, which we expect to increase to approximately 37% of our total revenues by 2023 (including as a result of the strategic arrangements described below).</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approximately 24.0% of our revenue for the six months ended June 30, 2022. Our customers primarily utilize our products for RVs, marine vessels and off-grid residences. We work directly with OEMs to ensure compatibility with existing designs and also collaborate on custom designs for new applications.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In January 2022, we entered into a long-term supply arrangement with Keystone, a member of the THOR group and the largest towable RV OEM in North America. Under this supply arrangement we will be the exclusive supplier to Keystone for certain of its future LFP battery requirements, solidifying our long-standing relationship with Keystone.</w:t>
      </w:r>
    </w:p>
    <w:p>
      <w:pPr>
        <w:spacing w:after="0" w:line="187"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will be negotiated and agreed with THOR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 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May 10,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19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May 10, 2022, we own four trademark registrations to cover our house marks in the United States and we have seven pending trademark applications relating to our design logos and slogans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material management and transportation). We train our employees and conduct audits of our operations to assess our fulfillment of these policies.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have 181 employees; 165 full-time, 2 part-time and 14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8" w:lineRule="exact"/>
        <w:rPr>
          <w:sz w:val="20"/>
          <w:szCs w:val="20"/>
          <w:color w:val="auto"/>
        </w:rPr>
      </w:pPr>
    </w:p>
    <w:p>
      <w:pPr>
        <w:ind w:left="680" w:right="10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 Employees are regularly educated in safety around their workspaces, and employees participate in volunteer roles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safety committee, 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80" w:right="52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Equity &amp; Inclusion </w:t>
      </w:r>
      <w:r>
        <w:rPr>
          <w:rFonts w:ascii="Times New Roman" w:cs="Times New Roman" w:eastAsia="Times New Roman" w:hAnsi="Times New Roman"/>
          <w:sz w:val="18"/>
          <w:szCs w:val="18"/>
          <w:color w:val="auto"/>
        </w:rPr>
        <w:t>— Our culture has benefitted from the diversity of our workforce from the very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9" w:lineRule="exact"/>
        <w:rPr>
          <w:rFonts w:ascii="Times New Roman" w:cs="Times New Roman" w:eastAsia="Times New Roman" w:hAnsi="Times New Roman"/>
          <w:sz w:val="18"/>
          <w:szCs w:val="18"/>
          <w:color w:val="auto"/>
        </w:rPr>
      </w:pPr>
    </w:p>
    <w:p>
      <w:pPr>
        <w:ind w:left="680" w:right="18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 As we grow, opportunities for cross-functional collaboration are not as organic as they used to be.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responded to that change by staying mindful and acting intentionally to gather cross-functional input on new initiatives and continuous improvement efforts.</w:t>
      </w:r>
    </w:p>
    <w:p>
      <w:pPr>
        <w:spacing w:after="0" w:line="173" w:lineRule="exact"/>
        <w:rPr>
          <w:rFonts w:ascii="Times New Roman" w:cs="Times New Roman" w:eastAsia="Times New Roman" w:hAnsi="Times New Roman"/>
          <w:sz w:val="18"/>
          <w:szCs w:val="18"/>
          <w:color w:val="auto"/>
        </w:rPr>
      </w:pPr>
    </w:p>
    <w:p>
      <w:pPr>
        <w:ind w:left="680" w:right="40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Improvement </w:t>
      </w:r>
      <w:r>
        <w:rPr>
          <w:rFonts w:ascii="Times New Roman" w:cs="Times New Roman" w:eastAsia="Times New Roman" w:hAnsi="Times New Roman"/>
          <w:sz w:val="18"/>
          <w:szCs w:val="18"/>
          <w:color w:val="auto"/>
        </w:rPr>
        <w:t>— We apply continuous improvement measures to processes as well as people. We encourage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development of our employees, through ongoing learning, credentialing, and collaboration with their industry peers.</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 based compensation that rewards individual and organizational achievements.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DRAGONFLY’S 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Corp. and its consolidated subsidiaries prior to the Business Combination.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Holdings Corp. and its consolidated subsidiaries after giving effect to the Business Combination. The following discussion and analysis of our results of operations and financial condition should be read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financial statements and related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included elsewhere in this prospectus. This discussion contains forward-looking statements based upon our current expectations, estimates and projections that involve risks and uncertainties. Actual results could differ materially from those anticipated in these forward-looking statements due to, among other considerations, the matters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Since 2018, we have sold over 165,000 batteries. For the six months ended June 30, 2021 and 2022, we sold 37,226 and 41,976 batteries, respectively, and had $39.0 million and $39.9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increased total sales reflects a combination of: increasing direct-to-consumer and distributor sales of batteries for RV applications; expanding into the marine vessels and off-grid storage markets with related direct-to-consumer and distributor sales; increasing sales of batteries to RV OEMs; and reselling accessories for battery systems.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currently source the LFP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co-founder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October 7, 2022,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result of becoming a publicly traded company, we will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direct sales to 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(2) through OEMs, particularly in the RV market.</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also benefited from the increased adoption of the RV lifestyle and the demand for additional appliances and electronics in RVs during the COVID-19 pandemic. However, in recent months rising fuel costs and other macro-economic conditions have shifted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specialty and work vehicles, material handling, solar integration, and emergency and standby power, in the medium term, and data centers, telecom, rail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 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use the funds available to us following Closing to continue these research and development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and amortization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customer mix and production volumes.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and debt issuance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2022 and 2021</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six months ended June 30, 2022 and 2021. This data should be read together with our unaudited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5"/>
          </w:tcPr>
          <w:p>
            <w:pPr>
              <w:jc w:val="center"/>
              <w:ind w:left="2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Income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Provision for Income Tax</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7"/>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29,582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33,660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39,925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38,973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Net sales increased by $1.0 million, or 2.4%, to $39.9 million for the six months ended June 30, 2022, as compared to $39.0 million for the six months ended June 30, 2021. This increase was primarily due to an increase in battery sales to OEM customers, partially offset by a decline in DTC revenue. For the six months ended June 30, 2022, OEM revenue increased by $5.1 million as a result of increased customer adoption by OEM customers of the Company’s battery solutions leading to higher unit volumes and an increase in the total number of OEM customers. DTC revenue decreased by $4.2 million compared to the six months ended June 30, 2021, primarily due to lower unit volumes and reduced after-market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Cost of revenue increased by $4.5 million, or 19.5%, to $27.4 million for the six months ended June 30, 2022, as compared to $22.9 million for the six months ended June 30, 2021. This increase was primarily due to higher unit volumes, higher material and logistics expenses resulting from the increased unit volumes, as well as inflationary forces, higher headcount costs associated with increased production, higher material costs and rising logistics expenses, and higher overhead costs following the Company’s relocation into a new 99,000 sq. ft. facility in April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decreased by $3.5 million, or 21.9%, to $12.5 million for the six months ended June 30, 2022,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 million for the six months ended June 30, 2021. This decrease was primarily due to a shift in the sales mix associated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percentage of OEM revenue, which typically results in a lower gross margin, and an increase in the cost of goods sold,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an increase in total sales.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remained unchanged at $1.2 million for the six months ended June 30, 2022. While the Company experienced higher employee expenses due to the ongoing expansion of its R&amp;D staff, these were essentially offset by reductions in other research and development expenses associated with material purchases and equipment rentals.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$2.0 million, or 37.6%, to $7.4 million for the six months ended June 30, 2022, as compared to $5.4 million for the six months ended June 30, 2021. This increase was primarily due to increased headcount as we continue to expand our finance, legal and support teams, an increase in overhead costs associated with the Company’s larger manufacturing facility, and higher professional services fees arising from the Company’s business combination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$1.8 million, or 41.8%, to $6.0 million for the six months ended June 30, 2022, as compared to $4.2 million for the six months ended June 30, 2021. This increase was primarily due to higher headcount to support growth in existing markets and to drive growth in new targeted markets, an increase in overhead costs associated with the Company’s larger manufacturing facility, and advertising and sponsorship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Other expense totaled $2.5 million for the six months ended June 30, 2022 as compared to total other income of $0.1 million for the six months ended June 30, 2021. Other expense in 2022 is comprised primarily of interest expense related to $45 million in senior secured notes issued in November 2021 and a loss on the disposition of miscellaneous equipment. Following the completion of the Business Combination, interest expense will increase significantly as a result of approximately $75 million post-closing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2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Income tax benefit was $0.8 million for the six months ended June 30, 2022, as compared to a $1.1 million expense for the six months ended June 30, 2021. The income tax benefit reflects the Company’s expected use of losses in the period against future tax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Dragonfly experienced a net loss of $3.8 million for the six months ended June 30, 2022, as compared to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million for the six months ended June 30, 2021. As described above, this result was driven primarily by a decline in gross profit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higher costs only partially offset by an increase in sales, higher operating expenses as we continue to increase our support staff, invest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market opportunities and expand into our new, larger manufacturing facility, and interest costs associated with our senior secured notes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 This data should be read together with our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left="2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(Expense)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56"/>
        </w:trPr>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7"/>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33,314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43,695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47,187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increased by $30.8 million, or 65.3%, to $78.0 million for the years ended December 31, 2021, as compared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$47.2 million for the year ended December 31, 2020. This increase was primarily due to increased DTC sales and OEMs. For the year ended December 31, 2021, OEM revenue increased by $4.7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DTC revenue increased by $26.1 million as a result of increased customer demand for existing products and the introduction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by $21.8 million, or 82.0%, to $48.4 million for the year ended December 31, 2021, as compared to $26.6 million for the year ended December 31, 2020. This increase was primarily due to higher unit volumes and higher headcount associated with increased production, and higher overhead costs which increased due to the Company’s relocation into a new 99,000 sq. ft. facility in April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increased by $9.0 million, or 43.8%, to $29.6 million for the year ended December 31, 2021, as compared to</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$20.6 million for the year ended December 31, 2020. This increase was primarily due to the increase in revenue, partially offset by the increase in cost of goods sold.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$6.0 million, or 127.8%, to $10.6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decreased to other expense of $0.5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decreased by $0.3 million, or 14.6%, to $1.6 million for the year ended December 31, 2021, as compared to $1.9 million for the year ended December 31, 2020. This decrease was primarily due to lower income for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income decreased by $2.5 million, or 36.9%, to $4.3 million for the year ended December 31, 2021, as compared to $6.9 million for the year ended December 31, 2020. This decrease was primarily due to higher costs which more than offset the increase in revenue for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titled measure used by other companies. This non-GAAP measure excludes certain items required by U.S. GAAP and should not be considered as an alternative to information reported in accordance with U.S. GAAP.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income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16"/>
        </w:trPr>
        <w:tc>
          <w:tcPr>
            <w:tcW w:w="1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1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16"/>
        </w:trPr>
        <w:tc>
          <w:tcPr>
            <w:tcW w:w="1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Compensation(1)</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00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ERP Implementation(2)</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Transaction(3)</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Combination Expenses(4)</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72"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is comprised of costs associated with option grants made to our employees and consultants.</w:t>
      </w:r>
    </w:p>
    <w:p>
      <w:pPr>
        <w:spacing w:after="0" w:line="41" w:lineRule="exact"/>
        <w:rPr>
          <w:rFonts w:ascii="Times New Roman" w:cs="Times New Roman" w:eastAsia="Times New Roman" w:hAnsi="Times New Roman"/>
          <w:sz w:val="14"/>
          <w:szCs w:val="14"/>
          <w:color w:val="auto"/>
        </w:rPr>
      </w:pPr>
    </w:p>
    <w:p>
      <w:pPr>
        <w:ind w:left="340" w:right="300" w:hanging="332"/>
        <w:spacing w:after="0" w:line="261"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ERP Implementation is comprised of costs and expenses associated with our implementation of an ERP system in anticipation of the Business Combination and becoming a public company.</w:t>
      </w: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Transaction is comprised of costs and expenses associated with our issuance of $45 million fixed rate senior notes.</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 Expenses is comprised of fees and expense, including legal, accounting and other others, associated with the Business Combination.</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28"/>
        </w:trPr>
        <w:tc>
          <w:tcPr>
            <w:tcW w:w="4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Compensation(1)</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ERP Implementation(2)</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Transaction(3)</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Disposal of Assets(4)</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Combination Expenses(5)</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is comprised of costs associated with option grants made to our employees and consultants.</w:t>
      </w:r>
    </w:p>
    <w:p>
      <w:pPr>
        <w:spacing w:after="0" w:line="41" w:lineRule="exact"/>
        <w:rPr>
          <w:rFonts w:ascii="Times New Roman" w:cs="Times New Roman" w:eastAsia="Times New Roman" w:hAnsi="Times New Roman"/>
          <w:sz w:val="14"/>
          <w:szCs w:val="14"/>
          <w:color w:val="auto"/>
        </w:rPr>
      </w:pPr>
    </w:p>
    <w:p>
      <w:pPr>
        <w:ind w:left="340" w:right="300" w:hanging="332"/>
        <w:spacing w:after="0" w:line="261"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ERP Implementation is comprised of costs and expenses associated with our implementation of an ERP system in anticipation of the Business Combination and becoming a public company.</w:t>
      </w: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Transaction is comprised of costs and expenses associated with our issuance of $45 million fixed rate senior notes in November 2021.</w:t>
      </w:r>
    </w:p>
    <w:p>
      <w:pPr>
        <w:spacing w:after="0" w:line="41"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on Disposal of Assets is comprised of amounts in relation to leasehold improvements that were written off in April 2021 as part of the transfer of our operations to our new manufacturing facility.</w:t>
      </w: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 Expenses is comprised of fees and expense, including legal, accounting and other others, associated with the Business Combination.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2022, our principal source of liquidity was cash totaling $4.1 million.</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growth of our business and in anticipation of future needs and to protect against supply-chain and logistics related shortages, during the first half of 2022, we continued to increase our inventory purchasing activities. As a result, our inventory balance at June 30, 2022 increased by $15.1 million to $42.3 million, compared to $27.1 million at December 31, 2021.</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accelerate our research and development efforts (particularly those related to solid-state lithium- 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 that our cash on hand following the Closing will be sufficient to meet our working capital and capital expenditure requirements for a period of at least twelve months from the date of this prospectus and longer term. We may, however, need additional cash if there are material changes to our business conditions or other developments, including unanticipated delays in production, supply chain challenges, disruptions due to the COVID-19 pandemic, competitive pressures and regulatory developments.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For more information about risks related to our business, please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Existing Lithium-Ion Battery Operations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Risks Related to Our Solid-State Technology Development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Historically, we funded development of our solid-state and cell manufacturing technologies internally through operationally generated cash and, in recent periods, with proceeds from our secured borrowings in November 2021.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cash totaling $4.1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part of the Business Combination, we entered into a series of transactions that is expected to provide us additional cash to fund our capital and liquidity requirements in the short and long-term.</w:t>
      </w:r>
    </w:p>
    <w:p>
      <w:pPr>
        <w:spacing w:after="0" w:line="162"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The Term Loan proceeds were used to (i) to support the Business Combination, (ii) to prepay the fixed rate senior notes at closing of the Business Combination, (iii) to pay fees and expenses in connection with the foregoing, (iv) to provide additional growth capital and</w:t>
      </w:r>
    </w:p>
    <w:p>
      <w:pPr>
        <w:spacing w:after="0" w:line="1" w:lineRule="exact"/>
        <w:rPr>
          <w:sz w:val="20"/>
          <w:szCs w:val="20"/>
          <w:color w:val="auto"/>
        </w:rPr>
      </w:pPr>
    </w:p>
    <w:p>
      <w:pPr>
        <w:ind w:right="220" w:firstLine="8"/>
        <w:spacing w:after="0" w:line="260"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 corporate purposes. The Term Loan will mature four years from the Closing Date and will be subject to quarterly amortization of 5% per annum beginning 24 months after the Closing Date.</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The definitive documents for the Term Loan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5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Pursuant to the Term Loan Agreement, each of the Company and Legacy Dragonfly granted the Administrative Agent, a security interest in substantially all of its personal property, rights and assets to secure the payment of all amounts owed to lenders under the Term Loan Agreement. In addition, the Company entered into a Pledge Agreement pursuant to which the Company pledged to the Administrative Agent its equity interests in Legacy Dragonfly as further collateral security for the obligations under the Term Loan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Closing, we issued to the Term Loan Lenders (i) the Penny Warrants and (ii) the $10 Warrants.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the Company will have the right from time to time at its option to direct CCM to purchase up to a specified maximum amount of shares of common stock, up to a maximum aggregate purchase price of $150 million over the term of the ChEF Equity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Six months ended June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5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3"/>
          </w:tcPr>
          <w:p>
            <w:pPr>
              <w:jc w:val="right"/>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1"/>
                <w:szCs w:val="1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$19.9 million for the six months ended June 30, 2022 primarily due to a net loss in the period and an increase in purchased inventory to support future growth and mitigate potential future supply disruptions.</w:t>
      </w:r>
    </w:p>
    <w:p>
      <w:pPr>
        <w:spacing w:after="0" w:line="16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$0.4 million for the six months ended June 30, 2021 primarily due to an increase in working capital as a result of growth in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$4.8 million for the six months ended June 30, 2022, as compared to net cash used in investing activities of $2.3 million for the six months ended June 30, 2021. The increase in cash used in investing activities was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primarily due to an increase in capital expenditures to support our growing manufacturing base as well as our ongoing efforts to develop solid-state battery technology and manufacturing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$0.2 million for the six months ended June 30, 2022, as compared to net cash provided by financing activities of $0.0 million for the six months ended June 30, 2021, and was primarily due to proceeds from the exercise of employee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Six months ended June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29"/>
        </w:trPr>
        <w:tc>
          <w:tcPr>
            <w:tcW w:w="5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3"/>
          </w:tcPr>
          <w:p>
            <w:pPr>
              <w:jc w:val="center"/>
              <w:ind w:left="4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1"/>
                <w:szCs w:val="1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as compared to net cash provided by operating activities of $6.6 million for the year ended December 31, 2020. The increase in cash used by operations was primarily due to an increase in working capital as a result of growth in Legacy Dragonfly’s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year ended December 31, 2021, as compared to $1.4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and was primarily due to cash received from the issuance of fixed rate senior notes.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$0.01 million for the year ended December 31, 2020 and was primarily due to cash utilized from the Company’s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June 30, 2022, we had $1.1 million in short-term operating lease liabilities and $4.1 million in long-term operating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under different assumptions and conditions. We believe that the accounting policies discussed below are critical to understanding our historical and future performance as these policies involve a greater degree of judgment and complexity.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receive payments at the onset of the contract and before delivery of goods for customers in the retail channel. In such instances, we record a customer deposit liability. Payment terms for distributors and OEMs are due within 30-60 days after shipment. We recognize these contract liabilities as sales after the revenue criteria are met. As of June 30, 2022, the contract liability related to our customer deposits approximated $251 compared to approximately $434 as of December 31, 2021. The entire contract liability balance as of December 31, 2021 was recognized as revenue during the six months ended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straight-line method over the estimated useful lives for owned property, or, for leasehold improvements, over the shorter of the asset’s useful life or term of the lease. Depreciation expense for the six months ended June 30, 2022 and 2021 was $389 and $272, respectively. Depreciation expense for the years ended December 31, 2021 and 2020 was $617 and $198, respectively. The various classes of property and equipment and estimated useful lives are as follows: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7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we add to our production capabilities and make related capital expenditures (including with respect to our solid-state battery capabilities) we expect our depreciation expenses to increase.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and recently adopted accounting pronouncements, please see Note 2, Summary of Significant Accounting Policies, to our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Dragonfly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CNTQ’S MANAGEMENT’S DISCUSSION AND ANALYSIS OF</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Except where noted or the context otherwise requires, as used in this section, the terms “we,” “us,” “our,” “our company,” “our business” and similar terms refer to CNTQ before giving effect to the Business Combination. The following discussion and analysis of CNTQ’s results of operations and financial condition should be read in conjunction with CNTQ’s financial statements and related notes and other information included elsewhere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Closing, we were a blank check company formed under the laws of the State of Delaware on June 23, 2020, for the purpose of effecting a merger, capital stock exchange, asset acquisition, stock purchase, reorganization or other similar business combination with one or more businesses. We effectuated our initial business combination using cash from the proceeds of the CNTQ IPO and the sale of the private warrants, the proceeds of the sale of our securities in connection with our initial business combination (pursuant to forward purchase agreements or backstop agreements we may enter into following the consummation of the CNTQ IPO or otherwise), shares issued to the owners of the target, debt issued to bank or other lenders or the owners of the target, or a combination of the foregoing.</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Financial information included in this section are as of June 30, 2022 and for the year ended December 31, 2020 as in our December 31, 2021 Form 10-K filed with the SEC on March 29,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3"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color w:val="auto"/>
        </w:rPr>
        <w:t>On August 5, 2022, we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Special Meeting, the Stockholders approved the proposal to amend CNTQ’s Amended and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CNTQ’s officers, directors, initial stockholders and Warrant Holdings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CNTQ must complete a business combination up to three (3) times for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(1) month each time (for a maximum of three (3) one-month extensions) upon the deposit into the Trust Account by the Insiders,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affiliates or designees of $200,000 upon five days’ advance notice prior to August 13, 2022 (or such other applicable deadline)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CNTQ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CNTQ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CNTQ Common Stock, representing approximately 60.44% of the issued and outstanding shares of CNTQ Common Stock and 75.55% of the issued outstanding CNTQ Common Stock sold in the CNTQ IPO.</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CNTQ and Continental Stock Transfer &amp;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CNTQ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 to effectuate the Trust Amendment Proposal, the Board approved and adopted Amendment No. 1 to the Investment Management Trust Agreement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Amendment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227" w:lineRule="exact"/>
        <w:rPr>
          <w:sz w:val="20"/>
          <w:szCs w:val="20"/>
          <w:color w:val="auto"/>
        </w:rPr>
      </w:pPr>
    </w:p>
    <w:p>
      <w:pPr>
        <w:jc w:val="both"/>
        <w:ind w:right="3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the Insiders notified CNTQ on August 8, 2022 of the Insiders’ intention to extend the date by which CNTQ must complete a business combination for an additional one (1) month by depositing $200,000 into the Trust Account.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Also in connection with the Extension, CNTQ and Warrant Holdings entered into a promissory note on August 11, 2022 (the “</w:t>
      </w:r>
      <w:r>
        <w:rPr>
          <w:rFonts w:ascii="Times New Roman" w:cs="Times New Roman" w:eastAsia="Times New Roman" w:hAnsi="Times New Roman"/>
          <w:sz w:val="18"/>
          <w:szCs w:val="18"/>
          <w:b w:val="1"/>
          <w:bCs w:val="1"/>
          <w:color w:val="auto"/>
        </w:rPr>
        <w:t>Extension Note</w:t>
      </w:r>
      <w:r>
        <w:rPr>
          <w:rFonts w:ascii="Times New Roman" w:cs="Times New Roman" w:eastAsia="Times New Roman" w:hAnsi="Times New Roman"/>
          <w:sz w:val="18"/>
          <w:szCs w:val="18"/>
          <w:color w:val="auto"/>
        </w:rPr>
        <w:t>”), whereby CNTQ agreed to pay $200,000 to Warrant Holdings.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Insiders notified CNTQ on September 6, 2022 of the Insiders’ intention to extend the date by which CNTQ must complete a business combination for an additional one (1) month by depositing $200,000 into the Trust Account (the “</w:t>
      </w:r>
      <w:r>
        <w:rPr>
          <w:rFonts w:ascii="Times New Roman" w:cs="Times New Roman" w:eastAsia="Times New Roman" w:hAnsi="Times New Roman"/>
          <w:sz w:val="18"/>
          <w:szCs w:val="18"/>
          <w:b w:val="1"/>
          <w:bCs w:val="1"/>
          <w:color w:val="auto"/>
        </w:rPr>
        <w:t>Extension No.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No. 2, CNTQ and Warrant Holdings entered into a promissory note on September 8, 2022 (the “</w:t>
      </w:r>
      <w:r>
        <w:rPr>
          <w:rFonts w:ascii="Times New Roman" w:cs="Times New Roman" w:eastAsia="Times New Roman" w:hAnsi="Times New Roman"/>
          <w:sz w:val="18"/>
          <w:szCs w:val="18"/>
          <w:b w:val="1"/>
          <w:bCs w:val="1"/>
          <w:color w:val="auto"/>
        </w:rPr>
        <w:t>Extension Note 2</w:t>
      </w:r>
      <w:r>
        <w:rPr>
          <w:rFonts w:ascii="Times New Roman" w:cs="Times New Roman" w:eastAsia="Times New Roman" w:hAnsi="Times New Roman"/>
          <w:sz w:val="18"/>
          <w:szCs w:val="18"/>
          <w:color w:val="auto"/>
        </w:rPr>
        <w:t>”), whereby CNTQ agreed to pay $200,000 to Warrant Holdings.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w:t>
      </w:r>
    </w:p>
    <w:p>
      <w:pPr>
        <w:spacing w:after="0" w:line="22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2020-06, Debt - Debt with Conversion and Other Options (Subtopic 470-20) and Derivatives and Hedging - Contracts in Entity’s Own Equity (Subtopic 815-40) (“</w:t>
      </w:r>
      <w:r>
        <w:rPr>
          <w:rFonts w:ascii="Times New Roman" w:cs="Times New Roman" w:eastAsia="Times New Roman" w:hAnsi="Times New Roman"/>
          <w:sz w:val="18"/>
          <w:szCs w:val="18"/>
          <w:b w:val="1"/>
          <w:bCs w:val="1"/>
          <w:color w:val="auto"/>
        </w:rPr>
        <w:t>ASU 2020-06</w:t>
      </w:r>
      <w:r>
        <w:rPr>
          <w:rFonts w:ascii="Times New Roman" w:cs="Times New Roman" w:eastAsia="Times New Roman" w:hAnsi="Times New Roman"/>
          <w:sz w:val="18"/>
          <w:szCs w:val="18"/>
          <w:color w:val="auto"/>
        </w:rPr>
        <w:t>”)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with early adoption permitted beginning on January 1, 2021. We have adopted ASU 2020-06 effective January 1, 2021 using the full retrospective method of transition. We are currently assessing the impact, if any, that ASU 2020-06 would have on our financial position, results of operations or cash flows. The adoption of ASU 2020-06 did not have a material impact on the financial statements for the quarter ended June 30, 2022 or the fiscal year ended December 31, 2021.</w:t>
      </w:r>
    </w:p>
    <w:p>
      <w:pPr>
        <w:spacing w:after="0" w:line="19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the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for the six months ended June 30, 2022 and for the period from June 23, 2020 (inception) through June 30, 2022 were organizational activities, those necessary to prepare for the CNTQ IPO, described below, and, after the CNTQ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CNTQ IPO. We incur expenses as a result of being a public company (for legal, financial reporting, accounting and auditing compliance), as well as for due diligence expenses.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had a net loss of $570,333, which resulted from a net gain on marketable securities held in Trust Account in the amount of $173,416, which was partially offset by the change in fair value of warrant liabilities of $277,671, operating and formation costs of $416,078, and franchise tax expense of $50,000.</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had net income of $621,507, which resulted from a gain on change in the fair value of warrant liabilities of $1,156,965, and a net gain on investments held in Trust Account in the amount of $189,482, which was partially offset by operating and formation costs of $624,284, and franchise tax expense of $100,656.</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2021, we had a net loss of $834 which resulted entirely from formation and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we had $349,716 and $799,808 in cash held outside of the Trust Account, respectively, and a working capital surplus of $263,247 and $998,187, respectively.</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$450,092, which was due to the change in fair value of warrants of $1,156,965, changes in operating assets and liabilities of $274,848, and net gain on investments in the Trust Account of $189,482, partially offset by our net income of $621,507.</w:t>
      </w:r>
    </w:p>
    <w:p>
      <w:pPr>
        <w:sectPr>
          <w:pgSz w:w="11900" w:h="16838" w:orient="portrait"/>
          <w:cols w:equalWidth="0" w:num="1">
            <w:col w:w="9900"/>
          </w:cols>
          <w:pgMar w:left="980" w:top="12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$834, which was due to our net loss of $834.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cash flows from financing activities for the six months ended June 30, 2022.</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2021, net cash used in financing activities was $7,239, which was due to offering costs paid of $157,239, partially offset by proceeds from promissory note  -  related party of $150,000.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13, 2021, we consummated the CNTQ IPO of 11,000,000 units, at $10.00 per unit, generating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$110,000,000. Each unit consisted of one public share and three-quarters of one public warrant. Each public warrant entitles the holder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one share of common stock at an exercise price of $11.50 per whole share.</w:t>
      </w:r>
    </w:p>
    <w:p>
      <w:pPr>
        <w:spacing w:after="0" w:line="207"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CNTQ IPO, Warrant Holdings, an affiliate of the Sponsor, purchased an aggregate of 4,361,456 private warrants at a price of $0.93 per warrant ($4,052,000 in the aggregate). Each private warrant entitles the holder to purchase one share of common stock at an exercise price of $11.50 per share.</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June 30, 2022 or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we did not have any long-term debt, capital or operating lease obligations. We entered into an administrative services agreement pursuant to which we will pay our Sponsor for office space and secretarial and administrative services provided to members of our management team, in an amount not to exceed $10,000 per month.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Stockholder Rights Agreement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CNTQ, the Sponsor, Warrant Holdings, and the other parties thereto. The holders of a majority of these securities are entitled to make up to two demands that CNTQ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CNTQ consummates a business combination. In addition, the holders have certain “piggy-back” registration rights with respect to registration statements filed subsequent to the consummation of a business combination. CNTQ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granted the underwriters a 45-day option to purchase up to 1,650,000 additional units to cover over-allotments at the CNTQ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CNTQ IPO.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engaged CCM as an advisor in connection with the Business Combination to assist us in holding meetings with the stockholders to discuss the potential Business Combination and the target business’ attributes, introduce us to potential investors that would be interested in purchasing our securities, assist us in obtaining stockholder approval for the Business Combination and assist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us with press releases and public filings in connection with the Business Combination. CCM was entitled to a cash fee for such services upon the consummation of the initial Business Combination in an amount equal to, in the aggregate, $4,427,500, being 3.5% of the gross proceeds of the CNTQ IPO. CCM was not entitled to such fee unless we consummated the initial Business Combination. Mr. Grossman is the Chief Executive Officer of, and Mr. Weil is Managing Director and Co-Head of Fintech Investment Banking of, CCM, an affiliate of the Sponsor. Mr. Grossman and Mr. Propper are also members of the board of directors of CCM.</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CCM was also entitled to a cash fee of $1,170,000 for providing services for a private placement and for arranging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account for the Private Warrants issued concurrently in connection with the CNTQ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with changes in fair value recognized in the statements of operations in the period of change.</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7"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June 30, 2022 and December 31, 2021, 12,650,000 shares of common stock subject to possible redemption are presented as temporary equity, outside of the stockholders’ equity section of our balance sheet. Effective with the closing of the CNTQ IPO, we recognized the accretion from the initial book value to redemption amount, which resulted in charges against additional paid-in capital (to the extent available) and accumulated deficit.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 of Common Stock</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We have not considered the effect of the warrants sold in the CNTQ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30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Co-Founder, Chief Executive Officer and Chairman of the Board</w:t>
            </w:r>
          </w:p>
        </w:tc>
      </w:tr>
      <w:tr>
        <w:trPr>
          <w:trHeight w:val="3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 Chief Operating Officer</w:t>
            </w:r>
          </w:p>
        </w:tc>
      </w:tr>
      <w:tr>
        <w:trPr>
          <w:trHeight w:val="3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Compliance Officer and Corporate Secretary</w:t>
            </w:r>
          </w:p>
        </w:tc>
      </w:tr>
      <w:tr>
        <w:trPr>
          <w:trHeight w:val="3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Parod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Dragonfly’s Chief Executive Officer and Chairman of the Board since it was incorporated in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2005 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Dragonfly Board based on his substantial business, leadership, and management experience as the CEO and Chairman of the Board of Dragonfly.</w:t>
      </w:r>
    </w:p>
    <w:p>
      <w:pPr>
        <w:spacing w:after="0" w:line="18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Nichols </w:t>
      </w:r>
      <w:r>
        <w:rPr>
          <w:rFonts w:ascii="Times New Roman" w:cs="Times New Roman" w:eastAsia="Times New Roman" w:hAnsi="Times New Roman"/>
          <w:sz w:val="18"/>
          <w:szCs w:val="18"/>
          <w:color w:val="auto"/>
        </w:rPr>
        <w:t>has served as Dragonfly’s Chief Operating Officer since 2013. From 2008 until 2016, Mr. Nichols served as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Sales and Operations of AIMS Power, Inc., a power inverter company, focusing on off-grid power systems. From 2007 to 2009, Mr. Nichols served as Customer Relationship Manager of Metamation, Inc., a CAD/CAM manufacturing software provider. From 2004 to 2007, Mr. Nichols served as Vice President of Sales of 3rd Time LLC dba The Mobile Team, a mobile phone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Nichols holds a M.B.A. and a B.A. in Business from University of Nevada — Reno.</w:t>
      </w:r>
    </w:p>
    <w:p>
      <w:pPr>
        <w:spacing w:after="0" w:line="20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Dragonfly’s Chief Financial Officer since September 2021. Mr. Marchetti has over 20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Harvey </w:t>
      </w:r>
      <w:r>
        <w:rPr>
          <w:rFonts w:ascii="Times New Roman" w:cs="Times New Roman" w:eastAsia="Times New Roman" w:hAnsi="Times New Roman"/>
          <w:sz w:val="18"/>
          <w:szCs w:val="18"/>
          <w:color w:val="auto"/>
        </w:rPr>
        <w:t>has served as Dragonfly’s General Counsel and Compliance Officer since October 2021, and as Dragonfly’s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Secretary since April 2022. From 2017 through 2019, Ms. Harvey served Harley-Davidson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ind w:right="1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Dragonfly’s board of directors since August 5, 2021. Since 2017, Ms. Ingargiola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Avalon GlobalCare Corp., a publicly listed 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Ms. Ingargiola has served as a member of the Board of Directors and as Audit Committee Chair for Progress Acquisition Corporation since 2020, as a member of the Board of Directors and as Audit Committee Chair for AgEagle Aerial Systems since 2019, and as a member of the Board Directors and as Audit Committee Chair for Electra Meccanica since 2018. Ms. Ingargiola holds a M.B.A. in Health from the University of South Florida and a B.S. in Finance from Boston University. Ms. Ingargiola is qualified to serve on the Dragonfly Board based on her previous roles serving as Chief Financial Officer for multiple companies and extensive experience serving on multiple boards of directors for Nasdaq companies.</w:t>
      </w:r>
    </w:p>
    <w:p>
      <w:pPr>
        <w:spacing w:after="0" w:line="18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Dragonfly’s board of directors since April 18, 2022. Mr. Nelson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Dragonfly Board based on his years of business experience as President and Chief Executive Officer of Precision Surfacing Solutions Group and Lapmaster.</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Perry Boyle</w:t>
      </w:r>
      <w:r>
        <w:rPr>
          <w:rFonts w:ascii="Times New Roman" w:cs="Times New Roman" w:eastAsia="Times New Roman" w:hAnsi="Times New Roman"/>
          <w:sz w:val="18"/>
          <w:szCs w:val="18"/>
          <w:color w:val="auto"/>
        </w:rPr>
        <w:t>. Mr. Boyle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Boyle was with Point 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Mr. Boyle is qualified to serve on the Dragonfly Board based on his industry leadership and capital markets experience from research to fundraising.</w:t>
      </w:r>
    </w:p>
    <w:p>
      <w:pPr>
        <w:spacing w:after="0" w:line="188"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Jonathan Bellows</w:t>
      </w:r>
      <w:r>
        <w:rPr>
          <w:rFonts w:ascii="Times New Roman" w:cs="Times New Roman" w:eastAsia="Times New Roman" w:hAnsi="Times New Roman"/>
          <w:sz w:val="17"/>
          <w:szCs w:val="17"/>
          <w:color w:val="auto"/>
        </w:rPr>
        <w:t>. Mr. Bellows has served as a member of the Dragonfly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Mr. Bellows currently serves as President of KORE Power, which acquired Northern Reliability in March 2022. He has served as President and Chief Executive Officer of Northern Reliability since April 2015. KORE Power is a fully integrated energy storage manufacturer, combining Northern Reliability’s energy storage technology with KORE Power’s cell manufacturing capabilities. Mr. Bellows is also President and CEO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the Dragonfly Board based on his energy storage industry expertise and operating and leadership experience.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Rick Parod</w:t>
      </w:r>
      <w:r>
        <w:rPr>
          <w:rFonts w:ascii="Times New Roman" w:cs="Times New Roman" w:eastAsia="Times New Roman" w:hAnsi="Times New Roman"/>
          <w:sz w:val="18"/>
          <w:szCs w:val="18"/>
          <w:color w:val="auto"/>
        </w:rPr>
        <w:t>. Mr. Parod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of Alamo Group Inc., a designer, manufacturer, distributor, and servicer of equipment for infrastructure maintenance and agriculture, since 2017.</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Mr. Parod is qualified to serve on the Dragonfly Board based on his experience in manufacturing operations, product development and sales and marketing.</w:t>
      </w:r>
    </w:p>
    <w:p>
      <w:pPr>
        <w:spacing w:after="0" w:line="17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Karina Edmonds</w:t>
      </w:r>
      <w:r>
        <w:rPr>
          <w:rFonts w:ascii="Times New Roman" w:cs="Times New Roman" w:eastAsia="Times New Roman" w:hAnsi="Times New Roman"/>
          <w:sz w:val="18"/>
          <w:szCs w:val="18"/>
          <w:color w:val="auto"/>
        </w:rPr>
        <w:t>. Dr. Edmonds has served as a member of the Dragonfly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a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the Dragonfly Board based on her industry leadership and expertise in technology transfer and commercialization.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the Dragonfly Board. The Amended and Restated Charter provide for a staggered, or classified, Board consisting of three classes of directors, each serving a staggered three-year term and with one class being elected at each year’s annual meeting of stockholders, as follows:</w:t>
      </w:r>
    </w:p>
    <w:p>
      <w:pPr>
        <w:spacing w:after="0" w:line="176" w:lineRule="exact"/>
        <w:rPr>
          <w:sz w:val="20"/>
          <w:szCs w:val="20"/>
          <w:color w:val="auto"/>
        </w:rPr>
      </w:pPr>
    </w:p>
    <w:p>
      <w:pPr>
        <w:ind w:left="660" w:right="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first annual meeting of stockholders to be held after the consummation of the Business Combination;</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second annual meeting of stockholders to be held after the consummation of the Business Combination; and</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third annual meeting of stockholders to be held after the consummation of the Business Combination.</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the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Dragonfly Board may have the effect of delaying or preventing changes in Dragonfly’s control or management. Dragonfly’s directors may be removed for cause by the affirmative vote of the holders of at least two-thirds of Dragonfly’s voting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Dr. Denis Phares serves as the chairman of the Dragonfly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w:t>
      </w:r>
    </w:p>
    <w:p>
      <w:pPr>
        <w:sectPr>
          <w:pgSz w:w="11900" w:h="16838" w:orient="portrait"/>
          <w:cols w:equalWidth="0" w:num="1">
            <w:col w:w="9920"/>
          </w:cols>
          <w:pgMar w:left="980" w:top="12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delegate. Luisa Ingargiola also serves as the independent Lead Director of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Dragonfly Board has determined that each of the directors on the Dragonfly Board other than Denis Phares qualifies as independent directors, as defined under the rules of the Nasdaq, and the Dragonfly Board consists of a majority of “independent directors,” as defined under the rules of the SEC and the Nasdaq relating to director independence requirements. In addition, Dragonfly is subject to the rules of the SEC and the Nasdaq relating to the membership, qualifications, and operations of the audit committee, as discussed below. Luisa Ingargiola is the Dragonfly lead independent director under the Nasdaq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Dragonfly Board in Risk Oversight/Risk Committee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One of the key functions of the Dragonfly Board is informed oversight of Dragonfly’s risk management process. The Dragonfly Board does not anticipate having a standing risk management committee, but rather anticipates administering this oversight function directly through the Dragonfly Board as a whole, as well as through various standing committees of the Dragonfly Board that address risks inherent in their respective areas of oversight. In particular, the Dragonfly Board is responsible for monitoring and assessing strategic risk exposure and Dragonfly’s audit committee has the responsibility to consider and discuss Dragonfly’s major financial risk exposures and the steps our management will take to monitor and control such exposures, including guidelines and policies to govern the process by which risk assessment and management is undertaken.</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Dragonfly’s compensation committee also assess and monitors whether Dragonfly’s compensation plans, policies and programs comply with applicable legal and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Dragonfly Board has three standing committees — an audit committee, a compensation committee, and a nominating and corporate governance committee. Copies of the charters for each committee are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Luisa Ingargiola, Rick Parod and Perry Boyle. The Dragonfly Board determined that each of the members of the audit committee satisfy the independence requirements of the Nasdaq and Rule 10A-3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able to read and understand fundamental financial statements in accordance with the Nasdaq audit committee requirements. In arriving at this determination, the Dragonfly Board examined each audit committee member’s scope of experience and the nature of their prior and/or current employment.</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Dragonfly Board determined that Luisa Ingargiola qualifies as an audit committee financial expert within the meaning of SEC regulations and meets the financial sophistication requirements of the Nasdaq rules. In making this determination, the Dragonfly Board considered Luisa Ingargiola’s formal education and previous experience in financial roles. Both Dragonfly’s independent registered public accounting firm and management will periodically meet privately with Dragonfly’s audit committee.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right="140" w:hanging="321"/>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Dragonfly’s independent auditors and determining whether to retain Dragonfly’s existing independent auditors or engage new independent auditors;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Dragonfly’s independent auditors to perform audit services and any permissible non-audit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Dragonfly’s internal control policies and procedures;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Dragonfly;</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Dragonfly’s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Dragonfly’s independent auditors and consider regular rotation of the accounting firm serving as Dragonfly’s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annual and financial statements and reports and discussing the statements and reports with Dragonfly’s independent auditors and management;</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Dragonfly’s independent auditors and management significant issues that arise regarding accounting principles and financial statement presentation and matters concerning the scope, adequacy, and effectiveness of Dragonfly’s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Dragonfly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Dragonfly’s annual proxy statement;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significant risk exposures;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applicable U.S.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The Dragonfly Board determined that each of the members of the compensation committee are a non-employee director, as defined in Rule 16b-3 promulgated under the Exchange Act and satisfies the independence requirements of the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the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Dragonfly’s executive officers;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Dragonfly’s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assessing the CEO’s performance against these goals and objectives;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Dragonfly Board regarding the adoption, termination, amendment of equity and cash incentive plans and approving amendments to such plans to the extent authorized by the Dragonfly Board;</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CEO and other executives;</w:t>
      </w:r>
    </w:p>
    <w:p>
      <w:pPr>
        <w:spacing w:after="0" w:line="159" w:lineRule="exact"/>
        <w:rPr>
          <w:rFonts w:ascii="Times New Roman" w:cs="Times New Roman" w:eastAsia="Times New Roman" w:hAnsi="Times New Roman"/>
          <w:sz w:val="18"/>
          <w:szCs w:val="18"/>
          <w:color w:val="auto"/>
        </w:rPr>
      </w:pPr>
    </w:p>
    <w:p>
      <w:pPr>
        <w:ind w:left="680" w:right="100" w:hanging="321"/>
        <w:spacing w:after="0" w:line="267"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Dragonfly’s disclosures under the caption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in Dragonfly’s periodic reports or proxy statements to be filed with the SEC, to the extent such caption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report or proxy statement;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Dragonfly’s annual proxy statement; and</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Dragonfly Board for executive officer development and retention and corporate succession plans.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nominating committee consists of Brian Nelson, Jonathan Bellows and Karina Edmonds. Karina Edmonds serves as the chair of the nominating governance committee. The Dragonfly Board determined that each of the members of the nominating governance committee satisfies the independence requirements of the Nasdaq.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Dragonfly Board;</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the Dragonfly’s proxy statement;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the Dragonfly Board;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the Dragonfly Board’s committees and making recommendations to the Dragonfly Board for approvals;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Dragonfly Board any changes to such policies and principles;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Nasdaq rules and regulations. Dragonfly will comply with future requirements to the extent they become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the Dragonfly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225"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color w:val="auto"/>
        </w:rPr>
        <w:t>The Dragonfly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that applies to all of Dragonfly’s directors, officers and employees. The full text of the Code of Conduct and Code of Ethics is posted on the investor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relations page on our website at https://dragonflyenergy.com/investors/. We will disclose any amendments to our Code of Conduct and Code of Ethics, or waivers of its requirements on our website identified above, or in filings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76"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Dragonfly’s directors for monetary damages will be eliminated or limited to the fullest extent permitted by the DGCL, as so amended. Additionally, the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Further,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plan to maintain a directors’ and officers’ insurance policy pursuant to which our directors and officers are insured against liability for actions taken in their capacities as directors and officers. We believe these provisions in the Amended and Restated Charter and the Amended and Restated Bylaws and these indemnification agreements are necessary to attract and retain qualified persons as directors and officers.</w:t>
      </w:r>
    </w:p>
    <w:p>
      <w:pPr>
        <w:spacing w:after="0" w:line="180"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3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the long-term success of the company.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58"/>
              <w:spacing w:after="0" w:line="17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579,593</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362,137</w:t>
            </w: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22,234</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963,964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Sean Nichols</w:t>
            </w:r>
          </w:p>
        </w:tc>
        <w:tc>
          <w:tcPr>
            <w:tcW w:w="640" w:type="dxa"/>
            <w:vAlign w:val="bottom"/>
          </w:tcPr>
          <w:p>
            <w:pPr>
              <w:jc w:val="right"/>
              <w:ind w:right="35"/>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840" w:type="dxa"/>
            <w:vAlign w:val="bottom"/>
          </w:tcPr>
          <w:p>
            <w:pPr>
              <w:jc w:val="right"/>
              <w:ind w:right="37"/>
              <w:spacing w:after="0" w:line="195" w:lineRule="exact"/>
              <w:rPr>
                <w:sz w:val="20"/>
                <w:szCs w:val="20"/>
                <w:color w:val="auto"/>
              </w:rPr>
            </w:pPr>
            <w:r>
              <w:rPr>
                <w:rFonts w:ascii="Times New Roman" w:cs="Times New Roman" w:eastAsia="Times New Roman" w:hAnsi="Times New Roman"/>
                <w:sz w:val="18"/>
                <w:szCs w:val="18"/>
                <w:color w:val="auto"/>
              </w:rPr>
              <w:t>579,593</w:t>
            </w:r>
          </w:p>
        </w:tc>
        <w:tc>
          <w:tcPr>
            <w:tcW w:w="820" w:type="dxa"/>
            <w:vAlign w:val="bottom"/>
          </w:tcPr>
          <w:p>
            <w:pPr>
              <w:jc w:val="right"/>
              <w:ind w:right="18"/>
              <w:spacing w:after="0" w:line="195" w:lineRule="exact"/>
              <w:rPr>
                <w:sz w:val="20"/>
                <w:szCs w:val="20"/>
                <w:color w:val="auto"/>
              </w:rPr>
            </w:pPr>
            <w:r>
              <w:rPr>
                <w:rFonts w:ascii="Times New Roman" w:cs="Times New Roman" w:eastAsia="Times New Roman" w:hAnsi="Times New Roman"/>
                <w:sz w:val="18"/>
                <w:szCs w:val="18"/>
                <w:color w:val="auto"/>
              </w:rPr>
              <w:t>362,137</w:t>
            </w:r>
          </w:p>
        </w:tc>
        <w:tc>
          <w:tcPr>
            <w:tcW w:w="6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20,244</w:t>
            </w:r>
          </w:p>
        </w:tc>
        <w:tc>
          <w:tcPr>
            <w:tcW w:w="7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961,974</w:t>
            </w:r>
          </w:p>
        </w:tc>
        <w:tc>
          <w:tcPr>
            <w:tcW w:w="0" w:type="dxa"/>
            <w:vAlign w:val="bottom"/>
          </w:tcPr>
          <w:p>
            <w:pPr>
              <w:spacing w:after="0"/>
              <w:rPr>
                <w:sz w:val="1"/>
                <w:szCs w:val="1"/>
                <w:color w:val="auto"/>
              </w:rPr>
            </w:pPr>
          </w:p>
        </w:tc>
      </w:tr>
      <w:tr>
        <w:trPr>
          <w:trHeight w:val="23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Marchietti</w:t>
            </w:r>
            <w:r>
              <w:rPr>
                <w:rFonts w:ascii="Times New Roman" w:cs="Times New Roman" w:eastAsia="Times New Roman" w:hAnsi="Times New Roman"/>
                <w:sz w:val="25"/>
                <w:szCs w:val="25"/>
                <w:color w:val="auto"/>
                <w:vertAlign w:val="superscript"/>
              </w:rPr>
              <w:t>(4)</w:t>
            </w:r>
          </w:p>
        </w:tc>
        <w:tc>
          <w:tcPr>
            <w:tcW w:w="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91,154</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82,000</w:t>
            </w:r>
          </w:p>
        </w:tc>
        <w:tc>
          <w:tcPr>
            <w:tcW w:w="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682,000</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41" w:lineRule="exact"/>
        <w:rPr>
          <w:sz w:val="20"/>
          <w:szCs w:val="20"/>
          <w:color w:val="auto"/>
        </w:rPr>
      </w:pPr>
    </w:p>
    <w:p>
      <w:pPr>
        <w:ind w:left="340" w:right="28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$75,000 per quarter for the first four quarters of his employment.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the Dragonfly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F-55 of Dragonfly’s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Dragonfly’s matching contribution to the executive’s account under the Dragonfly’s 401(k) plan.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Dragonfly’s Chief Financial Officer on September 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8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Dragonfly common stock held by each of the NEOs as of December 31, 2021, including the vesting dates for the portions of these awards that had not vested as of that date. The NEOs did not hold any other outstanding equity awards as of that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6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250,000 </w:t>
            </w:r>
            <w:r>
              <w:rPr>
                <w:rFonts w:ascii="Times New Roman" w:cs="Times New Roman" w:eastAsia="Times New Roman" w:hAnsi="Times New Roman"/>
                <w:sz w:val="25"/>
                <w:szCs w:val="25"/>
                <w:color w:val="auto"/>
                <w:vertAlign w:val="superscript"/>
              </w:rPr>
              <w:t>(1)</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200,000 </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9/12/31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6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Grants</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2021, Mr. Marchetti received an option to purchase 200,000 shares of our common stock at a price of $3.41 per share. This option was granted under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3,222,729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1,507,812 shares and were unvested with respect to 1,714,917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Stock Incentive Plans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these plans,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 of the Business Combination</w:t>
      </w:r>
    </w:p>
    <w:p>
      <w:pPr>
        <w:spacing w:after="0" w:line="18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compensation committee administers the 2022 Plan. The compensation committee has broad authority to (without limitation):</w:t>
      </w:r>
    </w:p>
    <w:p>
      <w:pPr>
        <w:spacing w:after="0" w:line="175"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161"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total 2,785,950 shares of our common stock are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the date of this prospectus, no awards have been granted under the 2022 Plan, and the full number of shares authorized under the 2022 Plan is available for award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will initially be available for issuance under the ESPP. The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8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 an offering period on the start date of that period. Employees may participate in only one offering period at a time.</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we are acquired by merger or sale of all or substantially all of our assets or more than 50% of 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3"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of directors may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suspend or discontinue the 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The Company has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7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are also party to an employment agreement with Mr. Nichols, dated January 1, 2022, and amended as of May 15, 2022. The employment agreement provides for a one-year initial employment term, with automatic one-year renewal terms thereafter, subject to 90 days’ notice of non-renewal by either party. The employment agreement provides a base salary for Mr. Nichols of $600,000, and an annual target bonus equal to 100% of his annual base salary. The agreement also provides that Mr. Nichols will receive annual equity awards, which shall vest over twelve months. Upon a termination of employment by the Company without “cause” or resignation by Mr. Nichols for “good reason” (as defined in the employment agreement), Mr. Nichols is entitled to the following severance benefits, contingent on his execution of an irrevocable release of claims: a base salary continuation equal to four times his base salary (payable in accordance with our normal payroll practices over a two year period), a prorated portion of the annual target bonus for the year of termination, as well as reimbursement of monthly COBRA premiums paid by Mr. Nichols for himself and his dependents until the earliest of (i) the 18 month anniversary of the applicable termination date, (ii) the date he is no longer eligible to receive COBRA continuation coverage, and (iii) the date on which he receives substantially similar coverage from another employer or other source. Mr. Nichols’ right to receive these severance benefits is subject to his providing a release of claims to the Company and his continued compliance with certain restrictive covenants in favor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part of our overall compensation program, Dragonfly provides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2021</w:t>
      </w:r>
    </w:p>
    <w:p>
      <w:pPr>
        <w:spacing w:after="0" w:line="2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Dragonfly is currently evaluating the compensation to be provided to its non-employee directors following the closing with Compensia Inc.’s assistance and has not yet determined the terms of its director compensation policy.</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 The other members of our board did not serve on the Dragonfly board during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gridSpan w:val="2"/>
            <w:vMerge w:val="continue"/>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4560" w:type="dxa"/>
            <w:vAlign w:val="bottom"/>
            <w:gridSpan w:val="3"/>
            <w:vMerge w:val="continue"/>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900" w:type="dxa"/>
            <w:vAlign w:val="bottom"/>
          </w:tcPr>
          <w:p>
            <w:pPr>
              <w:ind w:lef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180" w:hanging="332"/>
        <w:spacing w:after="0" w:line="236" w:lineRule="auto"/>
        <w:tabs>
          <w:tab w:leader="none" w:pos="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Ingargiola was granted an option to purchase 82,500 shares of Dragonfly common stock in August 2021 with an exercise price of $3.41 per share and that was scheduled to vest in monthly installments over a three-year period after the grant date. The option has a five-year term and will fully vest and be exercisable if a change in control of Dragonfly or an initial public offering of 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14" w:lineRule="exact"/>
        <w:rPr>
          <w:rFonts w:ascii="Times New Roman" w:cs="Times New Roman" w:eastAsia="Times New Roman" w:hAnsi="Times New Roman"/>
          <w:sz w:val="14"/>
          <w:szCs w:val="14"/>
          <w:color w:val="auto"/>
        </w:rPr>
      </w:pPr>
    </w:p>
    <w:p>
      <w:pPr>
        <w:ind w:left="340" w:right="40" w:hanging="332"/>
        <w:spacing w:after="0" w:line="236" w:lineRule="auto"/>
        <w:tabs>
          <w:tab w:leader="none" w:pos="3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beginning on page F-55 of Dragonfly’s Notes to Consolidated Financial Statements included elsewhere in this prospectus for a discussion of the relevant assumptions used in calculating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Arrangements with Dragonfly’s Executive Officers, Directors, 5% or more holders or their Immediate Family Members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Amended and Restated Charter and the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believes that these charter provisions and indemnification agreements are necessary to attract and retain qualified persons as directors and officers.</w:t>
      </w:r>
    </w:p>
    <w:p>
      <w:pPr>
        <w:spacing w:after="0" w:line="187"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CNTQ Related Party Transactions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Subscription Agreement, the Sponsor agreed to purchase, and CNTQ agreed to sell to the Sponsor, an aggregate of 500,000 shares of CNTQ Common Stock for gross proceeds to CNTQ of $5 million in a private placement. On September 28, 2022, the Sponsor and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entered into an assignment, assumption and joinder agreement, pursuant to which the Sponsor assigned all of the Sponsor’s rights, benefits and obligations under the Subscription Agreement to CCM.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LLC pursuant to the terms of the Subscription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The Chardan Lender backstopped its commitment under the Debt Commitment Letter by entering into the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In addition, the Company entered into the Pledge Agreement pursuant to which the Company pledged to the Administrative Agent its equity interests in Legacy Dragonfly as further collateral security for the obligations under the Term Loan Agreement.</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Warrants and (ii) the $10 Warrants. The $10 Warrants were exercised on a cashless basis on October 10, 2022, with the</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agreeing to issue 457,142 shares of Common Stock in connection with such exercise. The additional shares of common stock will dilute the pro forma ownership of the other Company stockholders of proportionately.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$10 Warrants have an exercise period of five years from the date of issuance and have customary cashless exercise provisions.</w:t>
      </w:r>
    </w:p>
    <w:p>
      <w:pPr>
        <w:spacing w:after="0" w:line="22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$10 Warrants and Penny Warrants have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shares issuable upon exercise of the Warrants have customary registration rights, which are contained in the respective forms of the Warrants, requiring the Company to file and keep effective a resale registration statement registering the resale of the shares of common stock underlying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The Dragonfly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w:t>
      </w:r>
    </w:p>
    <w:p>
      <w:pPr>
        <w:spacing w:after="0" w:line="2" w:lineRule="exact"/>
        <w:rPr>
          <w:sz w:val="20"/>
          <w:szCs w:val="20"/>
          <w:color w:val="auto"/>
        </w:rPr>
      </w:pPr>
    </w:p>
    <w:p>
      <w:pPr>
        <w:ind w:right="280" w:firstLine="8"/>
        <w:spacing w:after="0" w:line="260"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(including any of our subsidiaries, if any) was, is or will be a participant, (ii) the aggregate amount involved exceeds or may be expected to exceed $120,000, and (iii) a related person has or will have a direct or indirect material interest.</w:t>
      </w:r>
    </w:p>
    <w:p>
      <w:pPr>
        <w:spacing w:after="0" w:line="18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3"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You are encouraged to read the applicable provisions of the DGCL, the Amended and Restated Charter and Bylaws in their entirety for a complete description of the rights and preferences of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170,000,000 shares of common stock, par value $0.0001 per share, and 5,000,000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170,000,000 shares of Dragonfly common stock, par value $0.0001 per share.</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Dragonfly common stock are entitled to receive proportionately any dividends as may be declared by the Dragonfly Board, subject to any preferential dividend rights of any series of preferred stock that we may designate and issue in the future.</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Dragonfly common stock have no preemptive, subscription, redemption or conversion rights. The rights, preferences and privileges of holders of Dragonfly common stock are subject to and may be adversely affected by the rights of the holders of shares of any series of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whole redeemable warrant entitles the registered holder to purchase one share of common stock at a price of $11.50 per share, subject to adjustment as discussed below, at any time commencing 30 days after the completion of the Business Combination. Pursuant to the amended and restated warrant agreement, a warrant holder may exercise its warrants only for a whole number of shares of common stock. The warrants will expire five years after the completion of the Business Combination, at 5:00 p.m., New York City time, or earlier upon redemption or liquidation.</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9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amended and restated warrant agreement, we have agreed that as soon as practicable, but in no event later than 15 business days after the closing of the Business Combination, we will use our best efforts to file with the SEC a registration statement for the registration under the Securities Act of the offer and sale of the shares of common stock issuable upon exercise of the warrants and thereafter will use our best efforts to cause the same to become effective within 60 business days following the Business Combination and to maintain a current prospectus relating to the common stock issuable upon exercise of the warrants, until the</w:t>
      </w:r>
    </w:p>
    <w:p>
      <w:pPr>
        <w:sectPr>
          <w:pgSz w:w="11900" w:h="16838" w:orient="portrait"/>
          <w:cols w:equalWidth="0" w:num="1">
            <w:col w:w="9900"/>
          </w:cols>
          <w:pgMar w:left="980" w:top="121"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expiration of the warrants in accordance with the provisions of the amended and restated warrant agreement. If we do not maintain in 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9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162"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CNTQ IPO. However, there may be instances in which registered holders of our public warrants may be unable to exercise such public warrants but registered holders of our private warrants may be able to exercise such private warrants.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warrants have certain anti-dilution and adjustment rights upon certain events.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will not be transferable, assignable or salable until 30 days after the completion of the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7"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holders of our private warrants are entitled to certain registration rights and any private warrants purchased by Warrant Holdings will not be exercisable more than five years from August 10, 2021, the effective date of the registration statement on Form S-1 for the Business Combination, in accordance with FINRA Rule 5110(g), as long as CNTQ or any of its related persons beneficially own these private warrants.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the Business Combination, except (a) to our officers or directors, any affiliates or family members of any of our officers or directors, any members of Warrant Holdings,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the Business Combination; or (g) by virtue of the laws of Delaware or the applicable limited liability company agreement upon dissolution of Warrant Holdings,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Warrant Holdings, our sponsor, officers, and directors of the Company, as the case may be, with respect to such securities (including provisions relating to voting, the trust account and liquidation distributions described in the prospectus relating to the CNTQ IPO).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and are exercisable for 5.6% of fully-diluted outstanding shares of common stock post closing. The calculation of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83"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auto"/>
        </w:rPr>
        <w:t>The Penny Warrants have specified weighted average anti-dilution protection against subsequent equity sales or distributions,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the Company’s planned $150 million equity line of credit (or replacement thereof) sold at a per share price above $5.00. The shares issuable upon exercise of the Penny Warrants have customary registration rights requiring the Company to file and keep effective a resale registration statement registering the resale of the shares of common stock underlying the Penny Warrants.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5,000,000 shares of preferred stock, par value $0.0001 per share.</w:t>
      </w:r>
    </w:p>
    <w:p>
      <w:pPr>
        <w:spacing w:after="0" w:line="162"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auto"/>
        </w:rPr>
        <w:t>Under the terms of the amended and restated certificate of incorporation, the Dragonfly board of directors is authorized to issue shares of preferred stock in one or more series without stockholder approval. The Dragonfly board of directors has the discretion to</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determine the terms, rights, preferences, privileges and restrictions, including voting rights, dividend rights, conversion rights, redemption privileges and liquidation preferences, of each series of preferred stock.</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unless Dragonfly consents in writing to the selection of an alternative forum, (A) (i) any derivative action or proceeding brought on behalf of Dragonfly, (ii) any action asserting a claim of breach of a fiduciary duty owed by any current or former director, officer, other employee or stockholder of Dragonfly to Dragonfly or Dragonfly’s stockholders, (iii) any action asserting a claim arising pursuant to any provision of the DGCL, the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Amended and Restated Certificate of Incorporation, the Amended and Restated Bylaws and Delaware Law</w:t>
      </w:r>
    </w:p>
    <w:p>
      <w:pPr>
        <w:spacing w:after="0" w:line="15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80" w:right="82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61"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a sale of more than 10% of our assets. However, the above provisions of Section 203 do not apply if:</w:t>
      </w:r>
    </w:p>
    <w:p>
      <w:pPr>
        <w:spacing w:after="0" w:line="161"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either the business combination or transaction that made the stockholder an “interested stockholder,” prior to the date of such business combination;</w:t>
      </w:r>
    </w:p>
    <w:p>
      <w:pPr>
        <w:spacing w:after="0" w:line="161" w:lineRule="exact"/>
        <w:rPr>
          <w:rFonts w:ascii="Times New Roman" w:cs="Times New Roman" w:eastAsia="Times New Roman" w:hAnsi="Times New Roman"/>
          <w:sz w:val="18"/>
          <w:szCs w:val="18"/>
          <w:color w:val="auto"/>
        </w:rPr>
      </w:pPr>
    </w:p>
    <w:p>
      <w:pPr>
        <w:jc w:val="both"/>
        <w:ind w:left="680" w:right="360" w:hanging="321"/>
        <w:spacing w:after="0" w:line="266"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7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amended and</w:t>
      </w:r>
    </w:p>
    <w:p>
      <w:pPr>
        <w:sectPr>
          <w:pgSz w:w="11900" w:h="16838" w:orient="portrait"/>
          <w:cols w:equalWidth="0" w:num="1">
            <w:col w:w="9900"/>
          </w:cols>
          <w:pgMar w:left="980" w:top="121" w:right="101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restated certificate of incorporation provides otherwise. The amended and restated certificate of incorporation precludes stockholder action by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October 7, 2022, except as otherwise set forth below, by:</w:t>
      </w:r>
    </w:p>
    <w:p>
      <w:pPr>
        <w:spacing w:after="0" w:line="121" w:lineRule="exact"/>
        <w:rPr>
          <w:sz w:val="20"/>
          <w:szCs w:val="20"/>
          <w:color w:val="auto"/>
        </w:rPr>
      </w:pPr>
    </w:p>
    <w:p>
      <w:pPr>
        <w:ind w:left="680" w:right="640" w:hanging="321"/>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the Company to be the beneficial owner of more than 5% of the outstanding shares of the Company’s common stock;</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8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the Company’s common stock beneficially owned by a person or entity and the percentage ownership, the Company deemed outstanding shares of its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have not deemed any of the Purchased Shares to be outstanding because the issuance of such shares is solely at our discretion and is subject to certain conditions, the satisfaction of all of which are outside of CCM’s control.</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other equity securities.</w:t>
      </w:r>
    </w:p>
    <w:p>
      <w:pPr>
        <w:spacing w:after="0" w:line="13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of the Company’s common stock is based on 44,848,686 shares of the Company’s common stock issued and outstanding immediately following consummation of the Transactions, including the redemption of public shares of the Company’s common stock as described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20" w:type="dxa"/>
            <w:vAlign w:val="bottom"/>
            <w:gridSpan w:val="4"/>
            <w:vMerge w:val="continue"/>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Jonas Grossman</w:t>
            </w:r>
            <w:r>
              <w:rPr>
                <w:rFonts w:ascii="Times New Roman" w:cs="Times New Roman" w:eastAsia="Times New Roman" w:hAnsi="Times New Roman"/>
                <w:sz w:val="25"/>
                <w:szCs w:val="25"/>
                <w:color w:val="auto"/>
                <w:vertAlign w:val="superscript"/>
              </w:rPr>
              <w:t>(1)(2)(3)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Chardan NexTech Investments 2 LLC</w:t>
            </w:r>
            <w:r>
              <w:rPr>
                <w:rFonts w:ascii="Times New Roman" w:cs="Times New Roman" w:eastAsia="Times New Roman" w:hAnsi="Times New Roman"/>
                <w:sz w:val="25"/>
                <w:szCs w:val="25"/>
                <w:color w:val="auto"/>
                <w:vertAlign w:val="superscript"/>
              </w:rPr>
              <w:t>(1)(2)(3)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2,364,180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5"/>
                <w:szCs w:val="25"/>
                <w:color w:val="auto"/>
                <w:vertAlign w:val="superscript"/>
              </w:rPr>
              <w:t>(4)(5)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(4)(6)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Rick Parod</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one percent.</w:t>
      </w:r>
    </w:p>
    <w:p>
      <w:pPr>
        <w:spacing w:after="0" w:line="204" w:lineRule="exact"/>
        <w:rPr>
          <w:sz w:val="20"/>
          <w:szCs w:val="20"/>
          <w:color w:val="auto"/>
        </w:rPr>
      </w:pPr>
    </w:p>
    <w:p>
      <w:pPr>
        <w:ind w:left="660" w:right="160" w:hanging="652"/>
        <w:spacing w:after="0" w:line="261" w:lineRule="auto"/>
        <w:tabs>
          <w:tab w:leader="none" w:pos="6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4"/>
          <w:szCs w:val="14"/>
          <w:color w:val="auto"/>
        </w:rPr>
        <w:t>therein, directly or indirectly. Certain other employees of CCM or its affiliates, have direct or indirect membership interests in Sponsor, and thus have pecuniary interests in certain of the reported shares. The business address of Sponsor and Mr. Grossman is 17 State Street,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Floor, New York, NY 10004.</w:t>
      </w:r>
    </w:p>
    <w:p>
      <w:pPr>
        <w:ind w:left="660" w:right="60" w:hanging="652"/>
        <w:spacing w:after="0" w:line="227" w:lineRule="auto"/>
        <w:tabs>
          <w:tab w:leader="none" w:pos="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the Sponsor on October 12, 2022, which excludes 485,000 shares purchased by CCM, in the open market in satisfaction of a portion of its purchase commitment under the Subscription Agreement and 15,000 shares issued to CCM pursuant to the Subscription Agreement.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500,000 shares held by CCM was delegated to Mr. Urbach. The business address of CCM is 17 State Street, Suite 2130, New York, NY 10004.</w:t>
      </w:r>
    </w:p>
    <w:p>
      <w:pPr>
        <w:spacing w:after="0" w:line="55" w:lineRule="exact"/>
        <w:rPr>
          <w:rFonts w:ascii="Times New Roman" w:cs="Times New Roman" w:eastAsia="Times New Roman" w:hAnsi="Times New Roman"/>
          <w:sz w:val="14"/>
          <w:szCs w:val="14"/>
          <w:color w:val="auto"/>
        </w:rPr>
      </w:pPr>
    </w:p>
    <w:p>
      <w:pPr>
        <w:jc w:val="both"/>
        <w:ind w:left="660" w:right="100" w:hanging="652"/>
        <w:spacing w:after="0" w:line="236" w:lineRule="auto"/>
        <w:tabs>
          <w:tab w:leader="none" w:pos="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Floor, New York, NY 10004.</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40,000,000 Earnout Shares of common stock as the earnout contingencies have not yet been met.</w:t>
      </w:r>
    </w:p>
    <w:p>
      <w:pPr>
        <w:spacing w:after="0" w:line="66"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1,217,906 shares held on behalf of the Phares 2021 GRAT dated July 9, 2021, of which Dr. Phares is trustee.</w:t>
      </w:r>
    </w:p>
    <w:p>
      <w:pPr>
        <w:spacing w:after="0" w:line="82" w:lineRule="exact"/>
        <w:rPr>
          <w:rFonts w:ascii="Times New Roman" w:cs="Times New Roman" w:eastAsia="Times New Roman" w:hAnsi="Times New Roman"/>
          <w:sz w:val="14"/>
          <w:szCs w:val="14"/>
          <w:color w:val="auto"/>
        </w:rPr>
      </w:pPr>
    </w:p>
    <w:p>
      <w:pPr>
        <w:ind w:left="660" w:right="340" w:hanging="652"/>
        <w:spacing w:after="0" w:line="261" w:lineRule="auto"/>
        <w:tabs>
          <w:tab w:leader="none" w:pos="6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54,393 shares held on behalf of the Nichols GRAT I dated June 14, 2021, and 3,383,142 held on behalf of the Nichols Living Trust 2015, each of which Mr. Nichols is trustee.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selling stockholder and the shares that it may offer and sell from time to time under this prospectus. The percentage of ownership in the table below is based on 44,848,686 shares of common stock outstanding immediately following the Closing on October 7, 2022. The table is prepared based on information supplied to us by the selling stockholder, and reflects its holdings as of October 18, 2022. Beneficial ownership is determined in accordance with Section 13(d) of the Exchange Act and Rule 13d-3 thereunder.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Shares to be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Assuming the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Company issues</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60" w:type="dxa"/>
            <w:vAlign w:val="bottom"/>
            <w:gridSpan w:val="2"/>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the Maximum</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104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the Purchase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0" w:type="dxa"/>
            <w:vAlign w:val="bottom"/>
          </w:tcPr>
          <w:p>
            <w:pPr>
              <w:spacing w:after="0"/>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104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16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Chardan Capital Markets LLC</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90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21,512,027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86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 of the outstanding shares and/or assumes all shares registered hereunder have been resold by CCM.</w:t>
      </w:r>
    </w:p>
    <w:p>
      <w:pPr>
        <w:spacing w:after="0" w:line="42" w:lineRule="exact"/>
        <w:rPr>
          <w:sz w:val="20"/>
          <w:szCs w:val="20"/>
          <w:color w:val="auto"/>
        </w:rPr>
      </w:pPr>
    </w:p>
    <w:p>
      <w:pPr>
        <w:ind w:left="340" w:right="20" w:hanging="332"/>
        <w:spacing w:after="0" w:line="241" w:lineRule="auto"/>
        <w:tabs>
          <w:tab w:leader="none" w:pos="3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CCM is 17 State Street, Suite 2130, New York, NY 10004. CCM, an affiliate of the Sponsor, is a broker-dealer and a member of the Financial Industry Regulatory Authority, Inc. Mr. Kerry Propper, Mr. Steven Urbach and Mr. Jonas Grossman, are Chardan’s Chairman, Chief Executive Officer and President, respectively, and are each Members and Managers of Chardan Securities LLC, which holds a controlling interest in CCM.</w:t>
      </w:r>
    </w:p>
    <w:p>
      <w:pPr>
        <w:spacing w:after="0" w:line="14" w:lineRule="exact"/>
        <w:rPr>
          <w:rFonts w:ascii="Times New Roman" w:cs="Times New Roman" w:eastAsia="Times New Roman" w:hAnsi="Times New Roman"/>
          <w:sz w:val="14"/>
          <w:szCs w:val="14"/>
          <w:color w:val="auto"/>
        </w:rPr>
      </w:pPr>
    </w:p>
    <w:p>
      <w:pPr>
        <w:ind w:left="340" w:hanging="332"/>
        <w:spacing w:after="0" w:line="227" w:lineRule="auto"/>
        <w:tabs>
          <w:tab w:leader="none" w:pos="3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485,000 shares purchased by CCM in the open market in satisfaction of a portion of its purchase commitment under the Subscription Agreement and 15,000 shares issued pursuant to the Subscription Agreement. Following the Closing, all investment and voting power over the 500,000 shares held by CCM was delegated to Mr. Urbach.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20" w:lineRule="exact"/>
        <w:rPr>
          <w:rFonts w:ascii="Times New Roman" w:cs="Times New Roman" w:eastAsia="Times New Roman" w:hAnsi="Times New Roman"/>
          <w:sz w:val="14"/>
          <w:szCs w:val="14"/>
          <w:color w:val="auto"/>
        </w:rPr>
      </w:pPr>
    </w:p>
    <w:p>
      <w:pPr>
        <w:ind w:left="340" w:right="380" w:hanging="332"/>
        <w:spacing w:after="0" w:line="261" w:lineRule="auto"/>
        <w:tabs>
          <w:tab w:leader="none" w:pos="3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all shares being offered pursuant to this prospectus. The actual number of shares of common stock issuable will vary depending on the then current market price of shares of common stock sold to CCM under the ChEF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stockholders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162" w:lineRule="exact"/>
        <w:rPr>
          <w:sz w:val="20"/>
          <w:szCs w:val="20"/>
          <w:color w:val="auto"/>
        </w:rPr>
      </w:pPr>
    </w:p>
    <w:p>
      <w:pPr>
        <w:ind w:left="680" w:right="52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 — 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Our Common Stock</w:t>
      </w:r>
      <w:r>
        <w:rPr>
          <w:rFonts w:ascii="Times New Roman" w:cs="Times New Roman" w:eastAsia="Times New Roman" w:hAnsi="Times New Roman"/>
          <w:sz w:val="18"/>
          <w:szCs w:val="18"/>
          <w:color w:val="auto"/>
        </w:rPr>
        <w:t>” below. In addition, if we determine that we are likely to be classified as a “United States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80" w:right="120" w:hanging="321"/>
        <w:spacing w:after="0" w:line="266"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75" w:lineRule="exact"/>
        <w:rPr>
          <w:rFonts w:ascii="Times New Roman" w:cs="Times New Roman" w:eastAsia="Times New Roman" w:hAnsi="Times New Roman"/>
          <w:sz w:val="18"/>
          <w:szCs w:val="18"/>
          <w:color w:val="auto"/>
        </w:rPr>
      </w:pPr>
    </w:p>
    <w:p>
      <w:pPr>
        <w:ind w:left="680" w:hanging="321"/>
        <w:spacing w:after="0" w:line="274" w:lineRule="auto"/>
        <w:tabs>
          <w:tab w:leader="none" w:pos="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CHEF EQUITY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7, 2022, we entered into the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do not have the right to commence any sales of our common stock to CCM under the Purchase Agreement until all of the conditions set forth in the Purchase Agreement have been satisfied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including that the SEC has declared effective the registration statement that includes this prospectus registering the shares that will be issued and sold to CCM. After the Commencement Date, we will have the right, but not the obligation, from time to time at the Company’s sole discretion, during the term of the Purchase Agreement, to direct CCM to purchase up to a specified maximum amount of shares of common stock as set forth in the Purchase Agreement by delivering written notice to CCM on any trading day, so long as all shares of common stock subject to all prior purchases by CCM under the Purchase Agreement have theretofore been received by CCM electronically as set forth in the Purchase Agreement. The purchase price of the shares of common stock that the Company elects to sell to CCM pursuant to the Purchase Agreement will be determined by reference to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the common stock during the applicable purchase date on which the Company has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payable by way of an additional 3.0% discount to such VWAP until the Commitment Fee has been paid in full.</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by us at any time after the Commencement Date, at our sole discretion, without any cost or penalty, but subject to the full payment of the Commitment Fee, payable by the Company to CCM pursuant to the conditions set forth in the Purchase Agreement, by giving five trading days written notice to CCM to terminate the Purchase Agreement.</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Purchase Date of such purchase.</w:t>
      </w:r>
    </w:p>
    <w:p>
      <w:pPr>
        <w:spacing w:after="0" w:line="19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Immediately following the closing of the Business Combination on October 7, 2022, there were 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less than 47.9% of the total number of shares of our common stock outstanding as of October 7, 2022. If we elect to issue and sell more than the 21,512,027 shares offered under this prospectus to CCM, which we may have 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spacing w:after="0" w:line="19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number of shares of common stock that our existing stockholders own will not decrease, the shares owned by our existing stockholders will represent a smaller percentage of our total outstanding shares after any such issuance to CCM.</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If CCM provides any such additional services, we will enter into separate agreements with CCM in connection with such additional services,containing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Other than the limitations described above, and subject to the conditions precedent in the Purchase Agreement, we will control the timing and amount of any sales of our common stock to CCM.</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sole discretion to terminate the Purchase Agreement, CCM may terminate effective upon ten (10) Trading Days’ prior written notice to the Company, upon the occurrence of certain events, including:</w:t>
      </w:r>
    </w:p>
    <w:p>
      <w:pPr>
        <w:spacing w:after="0" w:line="162" w:lineRule="exact"/>
        <w:rPr>
          <w:sz w:val="20"/>
          <w:szCs w:val="20"/>
          <w:color w:val="auto"/>
        </w:rPr>
      </w:pPr>
    </w:p>
    <w:p>
      <w:pPr>
        <w:ind w:left="680" w:right="6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occurrence, state of facts or event constituting a Material Adverse Effect (as defined in the Purchase Agreement) has occurred and is continuing;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transactions shall have occurred; or</w:t>
      </w:r>
    </w:p>
    <w:p>
      <w:pPr>
        <w:spacing w:after="0" w:line="225" w:lineRule="exact"/>
        <w:rPr>
          <w:rFonts w:ascii="Times New Roman" w:cs="Times New Roman" w:eastAsia="Times New Roman" w:hAnsi="Times New Roman"/>
          <w:sz w:val="18"/>
          <w:szCs w:val="18"/>
          <w:color w:val="auto"/>
        </w:rPr>
      </w:pPr>
    </w:p>
    <w:p>
      <w:pPr>
        <w:ind w:left="680" w:right="26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breach or default in any material respect of any of its covenants and agreements in the ChEF RRA, and, if such breach or default is capable of being cured, such breach or default is not cured within fifteen (15) Trading Days after notice of such breach or default is delivered to the Company.</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Unless earlier terminated, the Purchase Agreement will remain in effect until the earliest to occur of (i) 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 Selling or Hedging by CCM</w:t>
      </w:r>
    </w:p>
    <w:p>
      <w:pPr>
        <w:spacing w:after="0" w:line="225" w:lineRule="exact"/>
        <w:rPr>
          <w:sz w:val="20"/>
          <w:szCs w:val="20"/>
          <w:color w:val="auto"/>
        </w:rPr>
      </w:pPr>
    </w:p>
    <w:p>
      <w:pPr>
        <w:ind w:right="40" w:firstLine="324"/>
        <w:spacing w:after="0" w:line="291" w:lineRule="auto"/>
        <w:rPr>
          <w:sz w:val="20"/>
          <w:szCs w:val="20"/>
          <w:color w:val="auto"/>
        </w:rPr>
      </w:pPr>
      <w:r>
        <w:rPr>
          <w:rFonts w:ascii="Times New Roman" w:cs="Times New Roman" w:eastAsia="Times New Roman" w:hAnsi="Times New Roman"/>
          <w:sz w:val="17"/>
          <w:szCs w:val="17"/>
          <w:color w:val="auto"/>
        </w:rPr>
        <w:t>CCM has agreed that neither it nor any entity managed or controlled by CCM (the “</w:t>
      </w:r>
      <w:r>
        <w:rPr>
          <w:rFonts w:ascii="Times New Roman" w:cs="Times New Roman" w:eastAsia="Times New Roman" w:hAnsi="Times New Roman"/>
          <w:sz w:val="17"/>
          <w:szCs w:val="17"/>
          <w:b w:val="1"/>
          <w:bCs w:val="1"/>
          <w:color w:val="auto"/>
        </w:rPr>
        <w:t>Restricted Persons</w:t>
      </w:r>
      <w:r>
        <w:rPr>
          <w:rFonts w:ascii="Times New Roman" w:cs="Times New Roman" w:eastAsia="Times New Roman" w:hAnsi="Times New Roman"/>
          <w:sz w:val="17"/>
          <w:szCs w:val="17"/>
          <w:color w:val="auto"/>
        </w:rPr>
        <w:t>”) shall directly or indirectly, engage in any short sales or hedging of our common stock during any time prior to the termination of the Purchase Agreement, which establishes a new short position with respect to our common stock, taking into account the holdings of all Restricted Persons.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Certain Specified Transactions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Subject to our right to terminate as described above and for such time the Purchase Agreement is in effect, the Company shall not effect or enter into an agreement to effect any issuance by the Company or any of its subsidiaries of common stock or common stock equivalents (or a combination of units thereof) involving certain specified transactions. Such restrictions do not include follow-on offerings or follow-on public offerings, in each case where the Company issues or sells any securities with a fixed price. Furthermore, the Company may enter into certain exempt issuances under the Purchase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Performance of the Purchase Agreement on Our Stockholders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commencing on the Commencement Date. The sale by CCM of a significant amount of shares registered in this offering at any given time could cause the market price of our common stock to decline and to be highly volatile. Sales of our common stock to CCM, if any, will depend upon market conditions and other factors to be determined by us. We may ultimately decide to sell to CCM all, some or none of the additional shares of our common stock that may be available for us to sell pursuant to the Purchase Agreement.</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CCM from our sale of shares to CCM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at varying purchase prices: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Sale of</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CCM</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Giving Effect to</w:t>
            </w:r>
          </w:p>
        </w:tc>
        <w:tc>
          <w:tcPr>
            <w:tcW w:w="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6"/>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 Average Purchase Price Per Share</w:t>
            </w:r>
          </w:p>
        </w:tc>
        <w:tc>
          <w:tcPr>
            <w:tcW w:w="10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Issued if Full</w:t>
            </w:r>
          </w:p>
        </w:tc>
        <w:tc>
          <w:tcPr>
            <w:tcW w:w="1180" w:type="dxa"/>
            <w:vAlign w:val="bottom"/>
            <w:gridSpan w:val="2"/>
          </w:tcPr>
          <w:p>
            <w:pPr>
              <w:jc w:val="center"/>
              <w:ind w:right="110"/>
              <w:spacing w:after="0" w:line="146" w:lineRule="exact"/>
              <w:rPr>
                <w:sz w:val="20"/>
                <w:szCs w:val="20"/>
                <w:color w:val="auto"/>
              </w:rPr>
            </w:pPr>
            <w:r>
              <w:rPr>
                <w:rFonts w:ascii="Times New Roman" w:cs="Times New Roman" w:eastAsia="Times New Roman" w:hAnsi="Times New Roman"/>
                <w:sz w:val="14"/>
                <w:szCs w:val="14"/>
                <w:b w:val="1"/>
                <w:bCs w:val="1"/>
                <w:color w:val="auto"/>
              </w:rPr>
              <w:t>the Issuance to</w:t>
            </w:r>
          </w:p>
        </w:tc>
        <w:tc>
          <w:tcPr>
            <w:tcW w:w="4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5"/>
        </w:trPr>
        <w:tc>
          <w:tcPr>
            <w:tcW w:w="6520" w:type="dxa"/>
            <w:vAlign w:val="bottom"/>
            <w:gridSpan w:val="2"/>
            <w:vMerge w:val="continue"/>
          </w:tcPr>
          <w:p>
            <w:pPr>
              <w:spacing w:after="0"/>
              <w:rPr>
                <w:sz w:val="15"/>
                <w:szCs w:val="15"/>
                <w:color w:val="auto"/>
              </w:rPr>
            </w:pPr>
          </w:p>
        </w:tc>
        <w:tc>
          <w:tcPr>
            <w:tcW w:w="10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6"/>
              </w:rPr>
              <w:t>Purchase</w:t>
            </w:r>
            <w:r>
              <w:rPr>
                <w:rFonts w:ascii="Times New Roman" w:cs="Times New Roman" w:eastAsia="Times New Roman" w:hAnsi="Times New Roman"/>
                <w:sz w:val="20"/>
                <w:szCs w:val="20"/>
                <w:b w:val="1"/>
                <w:bCs w:val="1"/>
                <w:color w:val="auto"/>
                <w:w w:val="96"/>
                <w:vertAlign w:val="superscript"/>
              </w:rPr>
              <w:t>(1)</w:t>
            </w:r>
          </w:p>
        </w:tc>
        <w:tc>
          <w:tcPr>
            <w:tcW w:w="1180" w:type="dxa"/>
            <w:vAlign w:val="bottom"/>
            <w:gridSpan w:val="2"/>
          </w:tcPr>
          <w:p>
            <w:pPr>
              <w:jc w:val="center"/>
              <w:ind w:right="110"/>
              <w:spacing w:after="0" w:line="176" w:lineRule="exact"/>
              <w:rPr>
                <w:sz w:val="20"/>
                <w:szCs w:val="20"/>
                <w:color w:val="auto"/>
              </w:rPr>
            </w:pPr>
            <w:r>
              <w:rPr>
                <w:rFonts w:ascii="Times New Roman" w:cs="Times New Roman" w:eastAsia="Times New Roman" w:hAnsi="Times New Roman"/>
                <w:sz w:val="14"/>
                <w:szCs w:val="14"/>
                <w:b w:val="1"/>
                <w:bCs w:val="1"/>
                <w:color w:val="auto"/>
                <w:w w:val="93"/>
              </w:rPr>
              <w:t>CCM</w:t>
            </w:r>
            <w:r>
              <w:rPr>
                <w:rFonts w:ascii="Times New Roman" w:cs="Times New Roman" w:eastAsia="Times New Roman" w:hAnsi="Times New Roman"/>
                <w:sz w:val="20"/>
                <w:szCs w:val="20"/>
                <w:b w:val="1"/>
                <w:bCs w:val="1"/>
                <w:color w:val="auto"/>
                <w:w w:val="93"/>
                <w:vertAlign w:val="superscript"/>
              </w:rPr>
              <w:t>(2)</w:t>
            </w:r>
          </w:p>
        </w:tc>
        <w:tc>
          <w:tcPr>
            <w:tcW w:w="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21,512,027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$ 107,560,135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21,512,027</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$ 129,072,162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21,428,571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$ 149,999,997</w:t>
            </w:r>
          </w:p>
        </w:tc>
        <w:tc>
          <w:tcPr>
            <w:tcW w:w="0" w:type="dxa"/>
            <w:vAlign w:val="bottom"/>
          </w:tcPr>
          <w:p>
            <w:pPr>
              <w:spacing w:after="0"/>
              <w:rPr>
                <w:sz w:val="1"/>
                <w:szCs w:val="1"/>
                <w:color w:val="auto"/>
              </w:rPr>
            </w:pP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$7.40</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20,270,270</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$ 149,999,998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18,750,000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$ 150,000,000</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16,666,666</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$ 149,999,994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5" w:lineRule="exact"/>
        <w:rPr>
          <w:sz w:val="20"/>
          <w:szCs w:val="20"/>
          <w:color w:val="auto"/>
        </w:rPr>
      </w:pPr>
    </w:p>
    <w:p>
      <w:pPr>
        <w:ind w:left="340" w:right="140" w:hanging="332"/>
        <w:spacing w:after="0" w:line="236" w:lineRule="auto"/>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Purchase Agreement provides that we may sell up to $150 million of our common stock to CCM, we are only registering 21,512,027 shares under this prospectus.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p>
      <w:pPr>
        <w:spacing w:after="0" w:line="68" w:lineRule="exact"/>
        <w:rPr>
          <w:rFonts w:ascii="Times New Roman" w:cs="Times New Roman" w:eastAsia="Times New Roman" w:hAnsi="Times New Roman"/>
          <w:sz w:val="14"/>
          <w:szCs w:val="14"/>
          <w:color w:val="auto"/>
        </w:rPr>
      </w:pPr>
    </w:p>
    <w:p>
      <w:pPr>
        <w:ind w:left="340" w:right="40" w:hanging="332"/>
        <w:spacing w:after="0" w:line="233" w:lineRule="auto"/>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is based on the number of shares issuable at the corresponding assumed purchase price as set forth in the adjacent column. The denominator is based on 44,848,686 shares of our common stock outstanding immediately following the closing of the Business Combination on October 7, 2022 adjusted to include the number of shares of our common stock set forth in the adjacent column which we would have sold to CCM, assuming the 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p>
      <w:pPr>
        <w:spacing w:after="0" w:line="6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sale price of our shares on October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 of common stock offered by this prospectus could be effected in one or more of the following methods:</w:t>
      </w:r>
    </w:p>
    <w:p>
      <w:pPr>
        <w:spacing w:after="0" w:line="185" w:lineRule="exact"/>
        <w:rPr>
          <w:sz w:val="20"/>
          <w:szCs w:val="20"/>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common stock;</w:t>
      </w:r>
    </w:p>
    <w:p>
      <w:pPr>
        <w:spacing w:after="0" w:line="198"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85"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spacing w:after="0" w:line="14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CCM is a selling securityholder and is an “underwriter” within the meaning of Section 2(a)(11) of the Securities Act.</w:t>
      </w:r>
    </w:p>
    <w:p>
      <w:pPr>
        <w:spacing w:after="0" w:line="18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 purchase price under the terms of the Purchase Agreement. The foregoing 3.5% discount and commitment fee will be deemed to be underwriting compensation in connection with sales of the shares of common stock by CCM to the public.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pursuant to the Purchase Agreement we have agreed to pay a structuring fee of $50,000 to CCM and to reimburse CCM up to $125,000 for the fees and disbursements of its counsel in connection with the transactions contemplated by the Purchase Agreement and up to $25,000 per fiscal quarter thereafter for up to 36 months, or up to $425,000 in the aggregate, in connection with CCM’s ongoing due diligence review. These fees and reimbursed expenses will be deemed to be underwriting compensation in connection with sales of shares of common stock by CCM to the public.</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spacing w:after="0" w:line="10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spacing w:after="0" w:line="108"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spacing w:after="0" w:line="10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spacing w:after="0" w:line="9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spacing w:after="0" w:line="11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advised CCM that the anti-manipulation rules of Regulation M under the Exchange Act may apply to sales of shares in the market and to the activities of CCM and its affiliates.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agreed, subject to entering into separate agreements containing customary terms and conditions, for a period of thirty months from the closing date of our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CCM, an affiliate of the Sponsor, is a member of FINRA and is expected to act as an executing broker for the resale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in this offering. The receipt by CCM of all the proceeds from resales of common stock results in a “conflict of interest”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Rule 5121. Accordingly, such resales will be conducted in compliance with FINRA Rule 5121. To the extent that the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do not have a “bona fide public market,” as defined in FINRA Rule 5121, a qualified independent underwriter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 in the preparation of, and exercise the usual standards of “due diligence” with respect to, the registration statement. LifeSci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LLC has agreed to act as qualified independent underwriter for this offering and will receive an upfront fee of $100,000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one year after the date of the Purchase Agreement until its termination, quarterly fees of $25,000 for doing so, 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 in the aggregate. Pursuant to FINRA Rule 5121, CCM will not confirm resales of common stock to any account over which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exercises discretionary authority without the prior written approval of the customer.</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quoted on the Nasdaq under the trading symbol “DFLI.”</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O’Melveny &amp; Myers LLP has passed upon the validity of the securities offered by this prospectus and certain other legal matters related 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Dragonfly and its subsidiaries as of December 31, 2021 and December 31, 2020, and for the years then ended, included in this prospectus and in this Registration Statement, have been so included in reliance on the reports of BDO USA, LLP, an independent registered public accounting firm, given on the authority of said firms as experts in auditing and accounting.</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CNTQ as of December 31, 2021 and 2020, and for the year ended December 31, 2021 and for the period from June 23, 2020 (inception) through December 31, 2020 included in this prospectus have been audited by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an independent registered public accounting firm, as set forth in their report thereon, appearing elsewhere in this prospectus, and are included in reliance on such report given upon such firm as experts in auditing and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October 7, 2022, the Audit Committee informed Withum, the Company’s independent registered public accounting firm prior to the Transactions, that Withum will be dismissed effective following the completion of the Company’s review for the nine month period ended September 30, 2022, which consists only of the pre-Transactions accounts of CNTQ.</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 (v) of Regulation S-K under the Exchange Act other than the previously disclosed material weakness over financial reporting.</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provided Withum with a copy of the foregoing disclosures prior to the filing of this prospectus and requested that Withum furnish a letter addressed to the SEC, which is attached hereto as Exhibit 16.1, stating whether it agrees with such disclosures, and, if not, stating the respects in which is does not agree.</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Legacy Dragonfly did not consult with BDO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concluded was an important factor considered by BDO in reaching a decision as to any accounting, auditing or financial reporting issue, or (ii) any other matter that was the subject of a disagreement or a reportable event (each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9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00" w:type="dxa"/>
            <w:vAlign w:val="bottom"/>
            <w:gridSpan w:val="1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9"/>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60" w:type="dxa"/>
            <w:vAlign w:val="bottom"/>
            <w:tcBorders>
              <w:bottom w:val="single" w:sz="8" w:color="CCEEFF"/>
            </w:tcBorders>
            <w:gridSpan w:val="1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862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2021 and for the period from June 23, 2020 (inception)</w:t>
            </w:r>
          </w:p>
        </w:tc>
        <w:tc>
          <w:tcPr>
            <w:tcW w:w="560" w:type="dxa"/>
            <w:vAlign w:val="bottom"/>
            <w:gridSpan w:val="5"/>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 ended December 31, 2021 and for the period from</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4080" w:type="dxa"/>
            <w:vAlign w:val="bottom"/>
            <w:tcBorders>
              <w:top w:val="single" w:sz="8" w:color="0000EE"/>
              <w:bottom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June 23, 2020 (inception) through December 31, 2020</w:t>
            </w:r>
          </w:p>
        </w:tc>
        <w:tc>
          <w:tcPr>
            <w:tcW w:w="492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868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2021 and for the period from June 23, 2020 (inception)</w:t>
            </w:r>
          </w:p>
        </w:tc>
        <w:tc>
          <w:tcPr>
            <w:tcW w:w="500" w:type="dxa"/>
            <w:vAlign w:val="bottom"/>
            <w:gridSpan w:val="4"/>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June 30, 2022 (unaudited) and December 31, 2021</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six months ended June 30, 2022 and 2021</w:t>
            </w:r>
          </w:p>
        </w:tc>
        <w:tc>
          <w:tcPr>
            <w:tcW w:w="1820" w:type="dxa"/>
            <w:vAlign w:val="bottom"/>
            <w:tcBorders>
              <w:bottom w:val="single" w:sz="8" w:color="CCEEFF"/>
            </w:tcBorders>
            <w:gridSpan w:val="9"/>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898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Equity for the six months ended June 30, 2022</w:t>
            </w:r>
          </w:p>
        </w:tc>
        <w:tc>
          <w:tcPr>
            <w:tcW w:w="200" w:type="dxa"/>
            <w:vAlign w:val="bottom"/>
            <w:gridSpan w:val="3"/>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Cash Flows for the six months ended June 30, 2022 and 2021</w:t>
            </w:r>
          </w:p>
        </w:tc>
        <w:tc>
          <w:tcPr>
            <w:tcW w:w="1760" w:type="dxa"/>
            <w:vAlign w:val="bottom"/>
            <w:tcBorders>
              <w:bottom w:val="single" w:sz="8" w:color="CCEEFF"/>
            </w:tcBorders>
            <w:gridSpan w:val="8"/>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5220" w:type="dxa"/>
            <w:vAlign w:val="bottom"/>
            <w:gridSpan w:val="17"/>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00" w:type="dxa"/>
            <w:vAlign w:val="bottom"/>
            <w:gridSpan w:val="18"/>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60" w:type="dxa"/>
            <w:vAlign w:val="bottom"/>
            <w:tcBorders>
              <w:bottom w:val="single" w:sz="8" w:color="CCEEFF"/>
            </w:tcBorders>
            <w:gridSpan w:val="14"/>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December 31, 2020</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years ended December 31, 2021 and December 31, 2020</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December 31, 2020</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at June 30, 2022 and December 31, 2021 (unaudited)</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Six Months Ended June 30, 2022 and 2021 (unaudited)</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8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Six Months Ended June 30, 2022 and 2021 (unaudited)</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2022 and 2021 (unaudited)</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3080" w:type="dxa"/>
            <w:vAlign w:val="bottom"/>
            <w:tcBorders>
              <w:top w:val="single" w:sz="8" w:color="0000EE"/>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4500" w:type="dxa"/>
            <w:vAlign w:val="bottom"/>
            <w:tcBorders>
              <w:top w:val="single" w:sz="8" w:color="0000EE"/>
            </w:tcBorders>
            <w:gridSpan w:val="12"/>
          </w:tcPr>
          <w:p>
            <w:pPr>
              <w:spacing w:after="0"/>
              <w:rPr>
                <w:sz w:val="15"/>
                <w:szCs w:val="15"/>
                <w:color w:val="auto"/>
              </w:rPr>
            </w:pPr>
          </w:p>
        </w:tc>
        <w:tc>
          <w:tcPr>
            <w:tcW w:w="1600" w:type="dxa"/>
            <w:vAlign w:val="bottom"/>
            <w:tcBorders>
              <w:top w:val="single" w:sz="8" w:color="CCEEFF"/>
            </w:tcBorders>
            <w:gridSpan w:val="6"/>
          </w:tcPr>
          <w:p>
            <w:pPr>
              <w:spacing w:after="0"/>
              <w:rPr>
                <w:sz w:val="15"/>
                <w:szCs w:val="15"/>
                <w:color w:val="auto"/>
              </w:rPr>
            </w:pPr>
          </w:p>
        </w:tc>
        <w:tc>
          <w:tcPr>
            <w:tcW w:w="7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12,650,000 and 0 shares at redemption value of $10.15 at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(excluding 12,650,000 and 12,650,000 shares subject to possible redemption) at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(1,024,673)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w:t>
            </w:r>
          </w:p>
        </w:tc>
        <w:tc>
          <w:tcPr>
            <w:tcW w:w="4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Pr>
          <w:p>
            <w:pPr>
              <w:spacing w:after="0"/>
              <w:rPr>
                <w:sz w:val="15"/>
                <w:szCs w:val="15"/>
                <w:color w:val="auto"/>
              </w:rPr>
            </w:pPr>
          </w:p>
        </w:tc>
        <w:tc>
          <w:tcPr>
            <w:tcW w:w="420" w:type="dxa"/>
            <w:vAlign w:val="bottom"/>
            <w:gridSpan w:val="2"/>
            <w:vMerge w:val="restart"/>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4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2"/>
                <w:szCs w:val="12"/>
                <w:color w:val="auto"/>
              </w:rPr>
            </w:pPr>
          </w:p>
        </w:tc>
        <w:tc>
          <w:tcPr>
            <w:tcW w:w="13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8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(1,253,928)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7,991,952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STATEMENTS OF CHANGES IN STOCKHOLDERS’ EQUITY (DEFICIT) FOR THE YEAR ENDED DECEMBER 31, 2021 AND THE PERIOD FROM JUNE 23, 2020 (INCEPTION) THROUGH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Issuance of common stock to Sponsor</w:t>
            </w:r>
            <w:r>
              <w:rPr>
                <w:rFonts w:ascii="Times New Roman" w:cs="Times New Roman" w:eastAsia="Times New Roman" w:hAnsi="Times New Roman"/>
                <w:sz w:val="23"/>
                <w:szCs w:val="23"/>
                <w:color w:val="auto"/>
                <w:vertAlign w:val="superscript"/>
              </w:rPr>
              <w:t>(1)(2)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Initial Public Offering Costs allocated to Public</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(net of offering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Accretion of common stock to redemption 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(15,077,329)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(2,934,160)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(18,011,489)</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(1,024,673)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80" w:hanging="332"/>
        <w:spacing w:after="0" w:line="266"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94"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1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(302,590)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(128,397,500)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Proceeds from promissory note</w:t>
            </w: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45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Founder Shares to Sponsor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129,719,360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799,808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with a maturity of 185 days or in money market funds meeting certain conditions under Rule 2a-7 promulgated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 xml:space="preserve">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9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w:t>
      </w:r>
    </w:p>
    <w:p>
      <w:pPr>
        <w:spacing w:after="0" w:line="27"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with a maturity of 185 days or less, or investments in money market funds that invest in U.S.</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 common stock reflected in the balance sheet is reconciled in the following table:</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4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complies with the requirements of ASC 340-10-S99-1 and SEC Staff Accounting Bulletin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with changes in fair value recognized in the statements of operations in the period of change.</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 taxable. The Company had a loss from operations during the year ended December 31, 2021. The Company is subject to income tax examinations by major taxing authorities since inception.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from June 23,</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320" w:type="dxa"/>
            <w:vAlign w:val="bottom"/>
            <w:gridSpan w:val="3"/>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 for current assets and current liabilities approximate fair value due to their short-term nature.</w:t>
      </w:r>
    </w:p>
    <w:p>
      <w:pPr>
        <w:spacing w:after="0" w:line="162"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9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6"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6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9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December 31, 2021 and December 31, 2020, there was no outstanding balance under the note. The Company cannot make any additional draws under this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8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0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1"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December 31, 2021 and December 31, 2020, the Company had no issued or outstanding shares of preferred stock.</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stock —</w:t>
      </w:r>
      <w:r>
        <w:rPr>
          <w:rFonts w:ascii="Times New Roman" w:cs="Times New Roman" w:eastAsia="Times New Roman" w:hAnsi="Times New Roman"/>
          <w:sz w:val="18"/>
          <w:szCs w:val="18"/>
          <w:color w:val="auto"/>
        </w:rPr>
        <w:t>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INCOME TAX</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vMerge w:val="restart"/>
          </w:tcPr>
          <w:p>
            <w:pPr>
              <w:spacing w:after="0"/>
              <w:rPr>
                <w:sz w:val="19"/>
                <w:szCs w:val="19"/>
                <w:color w:val="auto"/>
              </w:rPr>
            </w:pPr>
          </w:p>
        </w:tc>
        <w:tc>
          <w:tcPr>
            <w:tcW w:w="63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7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63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74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63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$357,674 that may be carried forward indefinitely.</w:t>
      </w:r>
    </w:p>
    <w:p>
      <w:pPr>
        <w:spacing w:after="0" w:line="162" w:lineRule="exact"/>
        <w:rPr>
          <w:sz w:val="20"/>
          <w:szCs w:val="20"/>
          <w:color w:val="auto"/>
        </w:rPr>
      </w:pPr>
    </w:p>
    <w:p>
      <w:pPr>
        <w:jc w:val="both"/>
        <w:ind w:right="200" w:firstLine="324"/>
        <w:spacing w:after="0" w:line="257"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2020.</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Pr>
          <w:p>
            <w:pPr>
              <w:spacing w:after="0"/>
              <w:rPr>
                <w:sz w:val="13"/>
                <w:szCs w:val="13"/>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3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0.81 %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5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73"/>
        </w:trPr>
        <w:tc>
          <w:tcPr>
            <w:tcW w:w="1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5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9"/>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27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5,553,429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980" w:type="dxa"/>
            <w:vAlign w:val="bottom"/>
          </w:tcPr>
          <w:p>
            <w:pPr>
              <w:spacing w:after="0"/>
              <w:rPr>
                <w:sz w:val="18"/>
                <w:szCs w:val="18"/>
                <w:color w:val="auto"/>
              </w:rPr>
            </w:pPr>
          </w:p>
        </w:tc>
      </w:tr>
      <w:tr>
        <w:trPr>
          <w:trHeight w:val="210"/>
        </w:trPr>
        <w:tc>
          <w:tcPr>
            <w:tcW w:w="46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7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F-20</w:t>
            </w:r>
          </w:p>
        </w:tc>
      </w:tr>
      <w:tr>
        <w:trPr>
          <w:trHeight w:val="547"/>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349,716</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128,610,697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129,191,164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50,470</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1,196,513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12,650,000 and 12,650,000 shares at redemption value of</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 at June 30, 2022 and December 31,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(excluding 12,650,000 and 12,650,000 shares subject to possible redemption) at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(1,024,356)</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129,191,164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(466,078)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(724,940)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(277,671)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(570,333)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621,507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15,812,500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15,812,500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 (DEFICIT)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0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6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2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(1,024,673)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1,191,840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1,191,840</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 (unaudited)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167,167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167,484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(570,333)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(570,333)</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(403,166)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(402,849)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580" w:type="dxa"/>
            <w:vAlign w:val="bottom"/>
          </w:tcPr>
          <w:p>
            <w:pPr>
              <w:spacing w:after="0"/>
              <w:rPr>
                <w:sz w:val="24"/>
                <w:szCs w:val="24"/>
                <w:color w:val="auto"/>
              </w:rPr>
            </w:pPr>
          </w:p>
        </w:tc>
        <w:tc>
          <w:tcPr>
            <w:tcW w:w="1600" w:type="dxa"/>
            <w:vAlign w:val="bottom"/>
            <w:gridSpan w:val="4"/>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6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2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 (unaudited)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23,166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621,507</w:t>
            </w:r>
          </w:p>
        </w:tc>
        <w:tc>
          <w:tcPr>
            <w:tcW w:w="22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(189,482)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(1,156,965)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promissory note —related party</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(450,092)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7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799,808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349,716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not yet commenced any operations. All activity for the period from June 23, 2020 (Inception) through June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3"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w:t>
      </w:r>
    </w:p>
    <w:p>
      <w:pPr>
        <w:spacing w:after="0" w:line="18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subject to the Sponsor or its affiliates or designees, upon five days advance notice prior to the applicable deadline, depositing $1,265,000 (or $0.10 per share) into the Trust Account for each of the available three months extensions (totaling $2,530,000 in aggregate)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9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80" w:lineRule="exact"/>
        <w:rPr>
          <w:sz w:val="20"/>
          <w:szCs w:val="20"/>
          <w:color w:val="auto"/>
        </w:rPr>
      </w:pPr>
    </w:p>
    <w:p>
      <w:pPr>
        <w:ind w:left="680" w:right="20" w:hanging="321"/>
        <w:spacing w:after="0" w:line="258"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will cease and Dragonfly will be the surviving corporation and a wholly owned subsidiary of Chardan (the “Merger”);</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Chardan will be renamed “Dragonfly Energy Holdings Corp.” and is referred to herein as “New Dragonfly”;</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among other things, all shares of capital stock of Dragonfly outstanding as of immediately prior to the effective time of the Merger will be canceled in exchange for the right to receive shares of common stock, par value $0.0001 per share, of New Dragonfly (“New Dragonfly Common Stock”);</w:t>
      </w:r>
    </w:p>
    <w:p>
      <w:pPr>
        <w:spacing w:after="0" w:line="17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each Dragonfly option outstanding as of immediately prior to the effective time of the Merger will be converted into the right to receive a New Dragonfly option, subject to certain exceptions and conditions as set forth in the Merger Agreement;</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40,000,000 shares of New Dragonfly Common Stock shall be issuable to existing holders of Dragonfly capital stock or pursuant to the aforementioned converted options;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existing holders of Dragonfly capital stock will have the right to receive up to an aggregate of</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additional shares of New Dragonfly Common Stock in three tranches as follows:</w:t>
      </w:r>
    </w:p>
    <w:p>
      <w:pPr>
        <w:spacing w:after="0" w:line="206"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pacing w:after="0" w:line="183"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pacing w:after="0" w:line="18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any 30 consecutive Trading Day period is greater than or equal to $32.50 per share of New Dragonfly common stock (the “Third Milestone”).</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will be composed of seven members, five of whom will be designated by Dragonfly and two of whom will be designated by Chardan.</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&amp; Certain Restrictions on Transfer</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contemplates that, at the Closing, New Dragonfly, Chardan NexTech Investments 2 LLC, a Delaware limited liability company (the “Sponsor”), Chardan’s initial stockholders, certain shareholders of Dragonfly and certain of each of their respective affiliates, as applicable, and the other 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280" w:hanging="272"/>
        <w:spacing w:after="0"/>
        <w:tabs>
          <w:tab w:leader="none" w:pos="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Earnout Shares (as defined in the Merger Agreement) issued within six (6) months of the closing date and any shares of New</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 Common Stock issued with respect to or in exchange for such Earnout Shares (the “Lock-up Shares”). Such restrictions begin at the Closing and end on the date that is six months after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set forth in the Subscription Agreement, the PIPE Investor may purchase shares of the Chardan common stock, par value $0.0001 per share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PIPE Investment will be consummated substantially concurrently with the Closing.</w:t>
      </w:r>
    </w:p>
    <w:p>
      <w:pPr>
        <w:spacing w:after="0" w:line="22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87"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spacing w:after="0" w:line="1" w:lineRule="exact"/>
        <w:rPr>
          <w:sz w:val="20"/>
          <w:szCs w:val="20"/>
          <w:color w:val="auto"/>
        </w:rPr>
      </w:pPr>
    </w:p>
    <w:p>
      <w:pPr>
        <w:ind w:right="200" w:firstLine="8"/>
        <w:spacing w:after="0" w:line="255" w:lineRule="auto"/>
        <w:tabs>
          <w:tab w:leader="none" w:pos="2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Facility Letter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this Current Report on Form 8-K, and the terms of which are incorporated by reference herein.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$349,716 in cash held outside of the Trust Account and working capital surplus of $263,247. The Company has incurred and expects to continue to incur significant costs in pursuit of its acquisition plans. These conditions raise substantial doubt about the Company’s ability to continue as a going concern through February 13, 2023, the date at which the Company must consummate a business combination after taking into the effect of both extensions being filed, as described below. Management plans to address the uncertainty through a Business Combination, which is not guaranteed.</w:t>
      </w:r>
    </w:p>
    <w:p>
      <w:pPr>
        <w:spacing w:after="0" w:line="183"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FASB ASC Topic 205-40, “Presentation of Financial Statements — Going Concern,” the Company will have 12 months, or August 13, 2022, from the closing of the Initial Public Offering to consummate an initial Business Combination. However, if the Company anticipates that it may not be able to consummate an initial Business Combination within 12 months, the Company’s Sponsor or their affiliates or designees may, but are not obligated to, extend the period of time to consummate a Business Combination up to two times by an additional three months each time (for a total of up to 18 months, or February 13, 2023, to complete a Business Combination), by depositing into the Trust Account $1,265,000 for each extension ($0.10 per share or $2,530,000 in aggregate), on or prior to date of applicable deadline. If a Business Combination is not consummated by this date, there will be a mandatory liquidation and subsequent dissolution of the Company. Although the Company plans to complete a Business Combination before the date of liquidation, the Company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condensed financial statements. The specific impact on the Company’s financial condition, results of operations, and cash flows is also not determinable as of the date of these condensed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condensed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condensed financial statements include all adjustments, consisting of a normal recurring nature, which are necessary for a fair presentation of the financial position, operating results and cash flows for the periods presented. The accompanying condensed financial statements should be read in conjunction with the Company’s annual report on Form 10-K as filed with the SEC on March 29, 2022. The interim results for the three and six months ended June 30, 2022 are not necessarily indicative of the results to be expected for the year ending December 31, 2022 or for any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periods.</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w:t>
      </w:r>
    </w:p>
    <w:p>
      <w:pPr>
        <w:spacing w:after="0" w:line="27" w:lineRule="exact"/>
        <w:rPr>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with a maturity of 185 days or less, or investments in money market funds that invest in U.S.</w:t>
      </w:r>
    </w:p>
    <w:p>
      <w:pPr>
        <w:spacing w:after="0" w:line="9" w:lineRule="exact"/>
        <w:rPr>
          <w:rFonts w:ascii="Times New Roman" w:cs="Times New Roman" w:eastAsia="Times New Roman" w:hAnsi="Times New Roman"/>
          <w:sz w:val="18"/>
          <w:szCs w:val="18"/>
          <w:color w:val="auto"/>
        </w:rPr>
      </w:pPr>
    </w:p>
    <w:p>
      <w:pPr>
        <w:ind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June 30, 2022 and December 31, 2021, the assets held in the Trust Account were $128,610,697 and $128,421,215,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right="240" w:firstLine="324"/>
        <w:spacing w:after="0" w:line="277"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w:t>
      </w:r>
    </w:p>
    <w:p>
      <w:pPr>
        <w:sectPr>
          <w:pgSz w:w="11900" w:h="16838" w:orient="portrait"/>
          <w:cols w:equalWidth="0" w:num="1">
            <w:col w:w="9900"/>
          </w:cols>
          <w:pgMar w:left="980" w:top="513"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common stock feature certain redemption rights that is considered to be outside of the Company’s control and subject to the occurrence of uncertain future events. Accordingly, as of June 30, 2022 and December 31, 2021, 12,650,000 shares of common stock subject to possible redemption is presented as temporary equity, outside of the stockholders’ equity section of the Company’s condensed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common stock reflected in the condensed balance sheets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4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statements of operations.</w:t>
      </w:r>
    </w:p>
    <w:p>
      <w:pPr>
        <w:spacing w:after="0" w:line="183"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w:t>
      </w:r>
    </w:p>
    <w:p>
      <w:pPr>
        <w:sectPr>
          <w:pgSz w:w="11900" w:h="16838" w:orient="portrait"/>
          <w:cols w:equalWidth="0" w:num="1">
            <w:col w:w="9900"/>
          </w:cols>
          <w:pgMar w:left="980" w:top="513" w:right="101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statements of operations in the period of change.</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condensed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condensed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income taxes was deemed to be de minimis for the three and six months ended June 30,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accounting and disclosure requirements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8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Pr>
          <w:p>
            <w:pPr>
              <w:spacing w:after="0"/>
              <w:rPr>
                <w:sz w:val="13"/>
                <w:szCs w:val="13"/>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(570,333)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846"/>
        </w:trPr>
        <w:tc>
          <w:tcPr>
            <w:tcW w:w="4040" w:type="dxa"/>
            <w:vAlign w:val="bottom"/>
          </w:tcPr>
          <w:p>
            <w:pPr>
              <w:spacing w:after="0"/>
              <w:rPr>
                <w:sz w:val="24"/>
                <w:szCs w:val="24"/>
                <w:color w:val="auto"/>
              </w:rPr>
            </w:pP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F-35</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condensed balance sheet for current assets and current liabilities approximate fair value due to their short-term nature.</w:t>
      </w:r>
    </w:p>
    <w:p>
      <w:pPr>
        <w:spacing w:after="0" w:line="162" w:lineRule="exact"/>
        <w:rPr>
          <w:sz w:val="20"/>
          <w:szCs w:val="20"/>
          <w:color w:val="auto"/>
        </w:rPr>
      </w:pPr>
    </w:p>
    <w:p>
      <w:pPr>
        <w:ind w:left="340" w:right="84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condensed balance sheet in accordance with the guidance contained in ASC 815-40.</w:t>
      </w:r>
    </w:p>
    <w:p>
      <w:pPr>
        <w:spacing w:after="0" w:line="18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condensed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9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June 30, 2022 and December 31, 2021, there was no outstanding balance under the note. The Promissory Note is no longer available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June 30, 2022, the Company has not exercised its option to use such services.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June 30, 2022 and December 31, 2021, the Company had no working capital loans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stockholders and their affiliates or designees are not obligated to fund the Trust Account to extend the time for the Company to complete an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2022 and December 31, 2021 there was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 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8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June 30, 2022 and December 31, 2021, the Company had no issued or outstanding shares of preferred stock.</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30, 2022 and December 31, 2021,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2022 was 0.0%. The effective tax rate for the three and six months ended June 30, 2021 was 0.0%. 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six months ended June 30, 2022. The Company believes that, at this time, the use of the discrete method for the three and six months ended June 30, 2022 is more appropriate than the estimated annual effective tax rate method as the estimated annual effective tax rate method is not reliable due to a high degree of uncertainty in estimating annual pretax earnings.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June 30, 2022 and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128,610,697</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128,610,697</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879,293</w:t>
            </w:r>
          </w:p>
        </w:tc>
        <w:tc>
          <w:tcPr>
            <w:tcW w:w="0" w:type="dxa"/>
            <w:vAlign w:val="bottom"/>
          </w:tcPr>
          <w:p>
            <w:pPr>
              <w:spacing w:after="0"/>
              <w:rPr>
                <w:sz w:val="1"/>
                <w:szCs w:val="1"/>
                <w:color w:val="auto"/>
              </w:rPr>
            </w:pPr>
          </w:p>
        </w:tc>
      </w:tr>
      <w:tr>
        <w:trPr>
          <w:trHeight w:val="335"/>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13"/>
                <w:szCs w:val="13"/>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1000" w:type="dxa"/>
            <w:vAlign w:val="bottom"/>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980" w:type="dxa"/>
            <w:vAlign w:val="bottom"/>
          </w:tcPr>
          <w:p>
            <w:pPr>
              <w:spacing w:after="0"/>
              <w:rPr>
                <w:sz w:val="15"/>
                <w:szCs w:val="15"/>
                <w:color w:val="auto"/>
              </w:rPr>
            </w:pPr>
          </w:p>
        </w:tc>
      </w:tr>
      <w:tr>
        <w:trPr>
          <w:trHeight w:val="210"/>
        </w:trPr>
        <w:tc>
          <w:tcPr>
            <w:tcW w:w="10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3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Term to Business Combination (years)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864"/>
        </w:trPr>
        <w:tc>
          <w:tcPr>
            <w:tcW w:w="1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8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F-41</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42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5,553,429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r>
      <w:tr>
        <w:trPr>
          <w:trHeight w:val="250"/>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r>
      <w:tr>
        <w:trPr>
          <w:trHeight w:val="197"/>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1,434,636</w:t>
            </w:r>
          </w:p>
        </w:tc>
      </w:tr>
      <w:tr>
        <w:trPr>
          <w:trHeight w:val="209"/>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March 31, 2022</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601,622</w:t>
            </w: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(277,671)</w:t>
            </w: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June 30, 2022</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879,293</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a loss in connection with changes in the fair value of warrant liabilities of $277,671 within change in fair value of warrant liabilities in the unaudited condensed statement of operations for the three months ended June 30, 2022. The Company recognized a gain in connection with changes in the fair value of warrant liabilities of $1,156,965 within change in fair value of warrant liabilities in the unaudited condensed statement of operations for the six months ended June 30, 2022. For the three and six months ended June 30, 2021, there were no warrants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financial statements were issued. Based upon this review, except as noted below, the Company did not identify any subsequent events that would have required adjustment or disclosure in the unaudited condensed financial statements.</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July 12, 2022, the Company, Dragonfly and Merger Sub entered into that certain Amendment to the Agreement and Plan of Merger, between the Company, Dragonfly and Merger Sub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which amended the Merger Agreement to, among other things, reflect a $15 million increase in the consideration to be issued in the business combination in connection with Dragonfly entering into a Stock Purchase Agreement with THOR Industries, Inc.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dated as of July 12, 2022, whereby for $15 million in cash, THOR purchased 1,267,502 shares of Dragonfly common stock (the “</w:t>
      </w:r>
      <w:r>
        <w:rPr>
          <w:rFonts w:ascii="Times New Roman" w:cs="Times New Roman" w:eastAsia="Times New Roman" w:hAnsi="Times New Roman"/>
          <w:sz w:val="18"/>
          <w:szCs w:val="18"/>
          <w:b w:val="1"/>
          <w:bCs w:val="1"/>
          <w:color w:val="auto"/>
        </w:rPr>
        <w:t>THOR Investment</w:t>
      </w:r>
      <w:r>
        <w:rPr>
          <w:rFonts w:ascii="Times New Roman" w:cs="Times New Roman" w:eastAsia="Times New Roman" w:hAnsi="Times New Roman"/>
          <w:sz w:val="18"/>
          <w:szCs w:val="18"/>
          <w:color w:val="auto"/>
        </w:rPr>
        <w: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than as expressly modified by the Amendment, the Merger Agreement remains in full force and effect.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On August 5, 2022, Chardan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common stock of Chardan, par value $0.0001 per share (“</w:t>
      </w:r>
      <w:r>
        <w:rPr>
          <w:rFonts w:ascii="Times New Roman" w:cs="Times New Roman" w:eastAsia="Times New Roman" w:hAnsi="Times New Roman"/>
          <w:sz w:val="18"/>
          <w:szCs w:val="18"/>
          <w:b w:val="1"/>
          <w:bCs w:val="1"/>
          <w:color w:val="auto"/>
        </w:rPr>
        <w:t>Chardan Common Stock</w:t>
      </w:r>
      <w:r>
        <w:rPr>
          <w:rFonts w:ascii="Times New Roman" w:cs="Times New Roman" w:eastAsia="Times New Roman" w:hAnsi="Times New Roman"/>
          <w:sz w:val="18"/>
          <w:szCs w:val="18"/>
          <w:color w:val="auto"/>
        </w:rPr>
        <w:t>”), were present in person or by proxy, representing approximately 71.66% of the voting power of the 15,812,500 shares of Chardan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the Company’s officers, directors, initial stockholders and Chardan NexTech 2 Warrant Holdings, LLC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the Company must complete a business combination up to three (3) times for an additional one (1) month each time (for a maximum of three (3) one-month extensions) upon the deposit into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by the Insiders, their affiliates or designees of $200,000 upon five days’ advance notice prior to August 13, 2022 (or such other applicable deadline)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the Company (the “</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 The foregoing description of the Second A&amp;R Charter does not purport to be complete and is qualified in its entirety by the terms of the Second A&amp;R Charter, a copy of which is attached hereto as Exhibit 3.1 and incorporated herein by reference.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the Company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effectuate the Trust Amendment Proposal, the Board approved and adopted Amendment No. 1 to the Investment Management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Trust Agreement Amendment</w:t>
      </w:r>
      <w:r>
        <w:rPr>
          <w:rFonts w:ascii="Times New Roman" w:cs="Times New Roman" w:eastAsia="Times New Roman" w:hAnsi="Times New Roman"/>
          <w:sz w:val="18"/>
          <w:szCs w:val="18"/>
          <w:color w:val="auto"/>
        </w:rPr>
        <w:t>”). The foregoing description of the Trust Agreement Amendment does not purport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complete and is qualified in its entirety by the terms of the Trust Agreement Amendment, a copy of which is attached hereto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10.6 and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Extension, the Insiders notified the Company on August 8, 2022 of the Insiders’ intention to extend the date by which the Company must complete a business combination for an additional one (1) month by depositing $200,000 into the Trust Account.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Also in connection with the Extension, the Company and Chardan NexTech 2 Warrant Holdings, LLC (“CNTQ Warrant Holdings”) entered into a promissory note on August 11, 2022 (the “Extension Note”), whereby the Company agreed to pay $200,000 to CNTQ Warrant Holdings.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Insiders notified the Company on September 6, 2022 of the Insiders’ intention to extend the date by which the Company must complete a business combination for an additional one (1) month by depositing $200,000 into the Trust Account (the “Extension No. 2”).</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No. 2, the Company and CNTQ Warrant Holdings entered into a promissory note on September 8, 2022 (the “Extension Note 2”), whereby the Company agreed to pay $200,000 to CNTQ Warrant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26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FINANCIAL STATEMENT FOR THE YEARS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420" w:type="dxa"/>
            <w:vAlign w:val="bottom"/>
            <w:tcBorders>
              <w:top w:val="single" w:sz="8" w:color="CCEEFF"/>
            </w:tcBorders>
          </w:tcPr>
          <w:p>
            <w:pPr>
              <w:spacing w:after="0"/>
              <w:rPr>
                <w:sz w:val="15"/>
                <w:szCs w:val="15"/>
                <w:color w:val="auto"/>
              </w:rPr>
            </w:pPr>
          </w:p>
        </w:tc>
        <w:tc>
          <w:tcPr>
            <w:tcW w:w="7240" w:type="dxa"/>
            <w:vAlign w:val="bottom"/>
            <w:tcBorders>
              <w:top w:val="single" w:sz="8" w:color="CCEEFF"/>
            </w:tcBorders>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Income</w:t>
            </w:r>
          </w:p>
        </w:tc>
        <w:tc>
          <w:tcPr>
            <w:tcW w:w="1020" w:type="dxa"/>
            <w:vAlign w:val="bottom"/>
            <w:tcBorders>
              <w:bottom w:val="single" w:sz="8" w:color="CCEEFF"/>
            </w:tcBorders>
            <w:gridSpan w:val="3"/>
            <w:shd w:val="clear" w:color="auto" w:fill="CCEEFF"/>
          </w:tcPr>
          <w:p>
            <w:pPr>
              <w:spacing w:after="0"/>
              <w:rPr>
                <w:sz w:val="17"/>
                <w:szCs w:val="17"/>
                <w:color w:val="auto"/>
              </w:rPr>
            </w:pPr>
          </w:p>
        </w:tc>
        <w:tc>
          <w:tcPr>
            <w:tcW w:w="7240" w:type="dxa"/>
            <w:vAlign w:val="bottom"/>
            <w:tcBorders>
              <w:bottom w:val="single" w:sz="8" w:color="CCEEFF"/>
            </w:tcBorders>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Statements of Shareholders’ Equity</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$ 25,586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 10,000,000 shares issued and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40,000,000 shares at $0.0002 par value, authorized, 20,875,475 shares issued and outstanding as</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December 31, 2021, 20,040,470 shares issued and outstanding as of December 31,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197"/>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0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tcBorders>
              <w:bottom w:val="single" w:sz="8" w:color="CCEEFF"/>
            </w:tcBorders>
            <w:vMerge w:val="continue"/>
          </w:tcPr>
          <w:p>
            <w:pPr>
              <w:spacing w:after="0"/>
              <w:rPr>
                <w:sz w:val="20"/>
                <w:szCs w:val="20"/>
                <w:color w:val="auto"/>
              </w:rPr>
            </w:pPr>
          </w:p>
        </w:tc>
        <w:tc>
          <w:tcPr>
            <w:tcW w:w="20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21,931,108</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21,388,785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0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60" w:type="dxa"/>
            <w:vAlign w:val="bottom"/>
          </w:tcPr>
          <w:p>
            <w:pPr>
              <w:spacing w:after="0"/>
              <w:rPr>
                <w:sz w:val="15"/>
                <w:szCs w:val="15"/>
                <w:color w:val="auto"/>
              </w:rPr>
            </w:pPr>
          </w:p>
        </w:tc>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09"/>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5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196"/>
        </w:trPr>
        <w:tc>
          <w:tcPr>
            <w:tcW w:w="7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bl>
    <w:p>
      <w:pPr>
        <w:spacing w:after="0" w:line="19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disclosed in prior period financial statements have been reclassified to conform to the current period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effect on reported income, cash flows, total assets, or shareholders’ equity as previously reported.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right="160" w:firstLine="324"/>
        <w:spacing w:after="0" w:line="272" w:lineRule="auto"/>
        <w:rPr>
          <w:sz w:val="20"/>
          <w:szCs w:val="20"/>
          <w:color w:val="auto"/>
        </w:rPr>
      </w:pPr>
      <w:r>
        <w:rPr>
          <w:rFonts w:ascii="Times New Roman" w:cs="Times New Roman" w:eastAsia="Times New Roman" w:hAnsi="Times New Roman"/>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$617 and $198, respectively. The various classes of property and equipment and estimated useful lives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62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2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 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$1,779, respectively. The entire contract liability balance as of December 31, 2020 was recognized as revenue during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47,187</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Sales Allowances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years ended December 31, 2021 and 2020.</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$1,690 and $1,069 for the years ending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pacing w:after="0" w:line="180"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available for distribution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6,878</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 Net</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0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4"/>
        </w:trPr>
        <w:tc>
          <w:tcPr>
            <w:tcW w:w="5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1,829,979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1,348,315</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21,388,785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all periods presented, there were no outstanding shares that were potentially anti-dilutive.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consists of the following as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1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As of December 31, 2020, the Company had a main office, warehouse space, research and development lab, engineering office, and sales office all located in Reno, Nevada that required annual escalating monthly payments ranging from $4 to $11. In December of 2020, the Company entered a fourth amendment lease and effective April 30, 2021, the Company moved its main office, warehouse, and sales office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32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6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5"/>
                <w:szCs w:val="15"/>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0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0" w:type="dxa"/>
            <w:vAlign w:val="bottom"/>
            <w:shd w:val="clear" w:color="auto" w:fill="CCEEFF"/>
          </w:tcPr>
          <w:p>
            <w:pPr>
              <w:spacing w:after="0"/>
              <w:rPr>
                <w:sz w:val="18"/>
                <w:szCs w:val="18"/>
                <w:color w:val="auto"/>
              </w:rPr>
            </w:pPr>
          </w:p>
        </w:tc>
      </w:tr>
      <w:tr>
        <w:trPr>
          <w:trHeight w:val="249"/>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4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00" w:type="dxa"/>
            <w:vAlign w:val="bottom"/>
            <w:tcBorders>
              <w:bottom w:val="single" w:sz="8" w:color="CCEEFF"/>
            </w:tcBorders>
          </w:tcPr>
          <w:p>
            <w:pPr>
              <w:spacing w:after="0"/>
              <w:rPr>
                <w:sz w:val="21"/>
                <w:szCs w:val="21"/>
                <w:color w:val="auto"/>
              </w:rPr>
            </w:pPr>
          </w:p>
        </w:tc>
      </w:tr>
      <w:tr>
        <w:trPr>
          <w:trHeight w:val="197"/>
        </w:trPr>
        <w:tc>
          <w:tcPr>
            <w:tcW w:w="5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c>
          <w:tcPr>
            <w:tcW w:w="200" w:type="dxa"/>
            <w:vAlign w:val="bottom"/>
          </w:tcPr>
          <w:p>
            <w:pPr>
              <w:spacing w:after="0"/>
              <w:rPr>
                <w:sz w:val="20"/>
                <w:szCs w:val="20"/>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6.0 %</w:t>
            </w:r>
          </w:p>
        </w:tc>
      </w:tr>
    </w:tbl>
    <w:p>
      <w:pPr>
        <w:spacing w:after="0" w:line="17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$952 and $148 for the years ended December 31, 2021 and 2020, respectively. These amounts are included in operating cash flows.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minimum lease payments under these operating leases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lease payments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6,524</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Less imputed interest</w:t>
            </w:r>
          </w:p>
        </w:tc>
        <w:tc>
          <w:tcPr>
            <w:tcW w:w="2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748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Total operating lease liabilities</w:t>
            </w: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5,776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20" w:type="dxa"/>
            <w:vAlign w:val="bottom"/>
          </w:tcPr>
          <w:p>
            <w:pPr>
              <w:spacing w:after="0"/>
              <w:rPr>
                <w:sz w:val="24"/>
                <w:szCs w:val="24"/>
                <w:color w:val="auto"/>
              </w:rPr>
            </w:pPr>
          </w:p>
        </w:tc>
        <w:tc>
          <w:tcPr>
            <w:tcW w:w="2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0" w:type="dxa"/>
            <w:vAlign w:val="bottom"/>
            <w:tcBorders>
              <w:bottom w:val="single" w:sz="8" w:color="auto"/>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 lease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included in debt issuance costs, and $1,553 in other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pacing w:after="0" w:line="18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6"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a total of $390 of interest expense was incurred under the debt. Amortization of the debt issuance costs under the interest method amounted to $77 during the year ended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Reserve Accounts</w:t>
            </w: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21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7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8"/>
          <w:szCs w:val="18"/>
          <w:i w:val="1"/>
          <w:iCs w:val="1"/>
          <w:color w:val="auto"/>
        </w:rPr>
        <w:t>Special Redemptions</w:t>
      </w:r>
      <w:r>
        <w:rPr>
          <w:rFonts w:ascii="Times New Roman" w:cs="Times New Roman" w:eastAsia="Times New Roman" w:hAnsi="Times New Roman"/>
          <w:sz w:val="18"/>
          <w:szCs w:val="18"/>
          <w:color w:val="auto"/>
        </w:rPr>
        <w:t xml:space="preserve"> below).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8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Redemptions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all substantially all of the assets of the Company.</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Monitoring Fees</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debt maturities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r>
      <w:tr>
        <w:trPr>
          <w:trHeight w:val="196"/>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r>
      <w:tr>
        <w:trPr>
          <w:trHeight w:val="19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38,928</w:t>
            </w:r>
          </w:p>
        </w:tc>
      </w:tr>
      <w:tr>
        <w:trPr>
          <w:trHeight w:val="19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196"/>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37,053</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1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gridSpan w:val="2"/>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Tax</w:t>
            </w:r>
          </w:p>
        </w:tc>
        <w:tc>
          <w:tcPr>
            <w:tcW w:w="11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2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3.16 %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0.94 %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0.15 %</w:t>
            </w:r>
          </w:p>
        </w:tc>
      </w:tr>
      <w:tr>
        <w:trPr>
          <w:trHeight w:val="209"/>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27.08 %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Tax</w:t>
            </w:r>
          </w:p>
        </w:tc>
        <w:tc>
          <w:tcPr>
            <w:tcW w:w="11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2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0.99 %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0.22 %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0.11 %</w:t>
            </w:r>
          </w:p>
        </w:tc>
      </w:tr>
      <w:tr>
        <w:trPr>
          <w:trHeight w:val="210"/>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2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21.52 %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2018, 2019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8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Average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 for options totaling $734 and $324 was recognized in our statements of income for the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2021 and 2020, respectively. Of the $734 of share-based compensation incurred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$252 is allocated to cost of goods sold, $95 to research and development, $156 to selling and marketing, and $231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Of the $324 of share-based compensation incurred during the year ended December 31, 2020, $48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allocated to cost of goods sold, $23 to research and development, $61 to selling and marketing, and $192 to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The Company did not receive payment for 615,124 of the 835,005 options exercised during the period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accordingly a receivable of $250 was recognized and included in other current assets on the balance sheet. This payment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on January 4,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there were 10,327 shares of unissued authorized and available for future awards under the plans.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stock-based compensation expense of $3,646, related to unvested stock options not yet recognized that are expected to be recognized over an estimated weighted average period of 2.9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w:t>
      </w:r>
    </w:p>
    <w:p>
      <w:pPr>
        <w:spacing w:after="0" w:line="5" w:lineRule="exact"/>
        <w:rPr>
          <w:sz w:val="20"/>
          <w:szCs w:val="20"/>
          <w:color w:val="auto"/>
        </w:rPr>
      </w:pPr>
    </w:p>
    <w:p>
      <w:pPr>
        <w:ind w:right="40" w:firstLine="8"/>
        <w:spacing w:after="0" w:line="253" w:lineRule="auto"/>
        <w:tabs>
          <w:tab w:leader="none" w:pos="2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30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0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 – 2.18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$ 1.30 – 2.39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0.46 %</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common stock with $0.0002 par value. At December 31, 2021 and 2020, there were 20,875,475 and 20,040,470 shares issued and outstanding.</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2,563,080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404,650</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33,008,200</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November of 2020, the board of directors approved and granted 8,200 common shares to consultants for historical services provided. The shares were fair valued at $3.41 per share for total compensation of $27. The amount was expensed immediately and is included in selling, general and administrative expenses.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DRAGONFLY ENERGY CORP.</w:t>
      </w: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6020" w:type="dxa"/>
            <w:vAlign w:val="bottom"/>
            <w:gridSpan w:val="5"/>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20" w:type="dxa"/>
            <w:vAlign w:val="bottom"/>
            <w:gridSpan w:val="5"/>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4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at June 30, 2022 and December 31, 2021 (unaudited)</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F-69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Six Months Ended June 30, 2022 and 2021 (unaudited)</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F-70</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8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Equity for the Six Months Ended June 30, 2022 and 2021 (unaudited)</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2022 and 2021 (unaudited)</w:t>
            </w: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F-73-F-84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25,586</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Prepaid income tax</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(1,147)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Accrued payroll and other liabilities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0" w:type="dxa"/>
            <w:vAlign w:val="bottom"/>
          </w:tcPr>
          <w:p>
            <w:pPr>
              <w:spacing w:after="0"/>
              <w:rPr>
                <w:sz w:val="1"/>
                <w:szCs w:val="1"/>
                <w:color w:val="auto"/>
              </w:rPr>
            </w:pPr>
          </w:p>
        </w:tc>
      </w:tr>
      <w:tr>
        <w:trPr>
          <w:trHeight w:val="196"/>
        </w:trPr>
        <w:tc>
          <w:tcPr>
            <w:tcW w:w="7100" w:type="dxa"/>
            <w:vAlign w:val="bottom"/>
          </w:tcPr>
          <w:p>
            <w:pPr>
              <w:spacing w:after="0" w:line="184" w:lineRule="exact"/>
              <w:rPr>
                <w:sz w:val="20"/>
                <w:szCs w:val="20"/>
                <w:color w:val="auto"/>
              </w:rPr>
            </w:pPr>
            <w:r>
              <w:rPr>
                <w:rFonts w:ascii="Times New Roman" w:cs="Times New Roman" w:eastAsia="Times New Roman" w:hAnsi="Times New Roman"/>
                <w:sz w:val="16"/>
                <w:szCs w:val="16"/>
                <w:b w:val="1"/>
                <w:bCs w:val="1"/>
                <w:color w:val="auto"/>
              </w:rPr>
              <w:t>Long</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Term Liabilities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Notes payable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noncurrent, net of debt issuance costs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w:t>
            </w: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6"/>
                <w:szCs w:val="16"/>
                <w:color w:val="auto"/>
              </w:rPr>
              <w:t>Total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39,028</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42,200</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60,939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60,190</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2)</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Preferred Stock</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10,000,000 shares at $0.0002 par value, authorized, 10,000,000 shares issued and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40,000,000 shares at $0.0002 par value, authorized, 21,090,876 shares issued and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as of June 30, 2022, 20,875,475 shares issued and outstanding as of December 31, 2021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8,671</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Redeemable Preferred Stock and Shareholders' Equity</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74,154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both"/>
        <w:ind w:left="2460" w:right="2440" w:hanging="13"/>
        <w:spacing w:after="0" w:line="317" w:lineRule="auto"/>
        <w:rPr>
          <w:sz w:val="20"/>
          <w:szCs w:val="20"/>
          <w:color w:val="auto"/>
        </w:rPr>
      </w:pPr>
      <w:r>
        <w:rPr>
          <w:rFonts w:ascii="Times New Roman" w:cs="Times New Roman" w:eastAsia="Times New Roman" w:hAnsi="Times New Roman"/>
          <w:sz w:val="17"/>
          <w:szCs w:val="17"/>
          <w:b w:val="1"/>
          <w:bCs w:val="1"/>
          <w:color w:val="auto"/>
        </w:rPr>
        <w:t>UNAUDITED CONDENSED STATEMENTS OF OPERATIONS (IN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39,925</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22,939</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(2,450)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 Income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 Income Before Taxes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(Benefit) 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Basic</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Basic</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20,952,757</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20,053,843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20,952,757</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21,643,596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SHAREHOLDERS’ EQUITY FOR THE SIX MONTHS ENDED JUNE 30, 2022 AND 2021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3020" w:type="dxa"/>
            <w:vAlign w:val="bottom"/>
          </w:tcPr>
          <w:p>
            <w:pPr>
              <w:spacing w:after="0"/>
              <w:rPr>
                <w:sz w:val="3"/>
                <w:szCs w:val="3"/>
                <w:color w:val="auto"/>
              </w:rPr>
            </w:pPr>
          </w:p>
        </w:tc>
        <w:tc>
          <w:tcPr>
            <w:tcW w:w="19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3020" w:type="dxa"/>
            <w:vAlign w:val="bottom"/>
          </w:tcPr>
          <w:p>
            <w:pPr>
              <w:spacing w:after="0"/>
              <w:rPr>
                <w:sz w:val="10"/>
                <w:szCs w:val="10"/>
                <w:color w:val="auto"/>
              </w:rPr>
            </w:pPr>
          </w:p>
        </w:tc>
        <w:tc>
          <w:tcPr>
            <w:tcW w:w="19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180" w:type="dxa"/>
            <w:vAlign w:val="bottom"/>
            <w:gridSpan w:val="3"/>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2"/>
                <w:szCs w:val="2"/>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13"/>
                <w:szCs w:val="13"/>
                <w:color w:val="auto"/>
              </w:rPr>
            </w:pPr>
          </w:p>
        </w:tc>
        <w:tc>
          <w:tcPr>
            <w:tcW w:w="920" w:type="dxa"/>
            <w:vAlign w:val="bottom"/>
            <w:tcBorders>
              <w:top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June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20,072,728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12,927</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2022</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1,619</w:t>
            </w:r>
          </w:p>
        </w:tc>
        <w:tc>
          <w:tcPr>
            <w:tcW w:w="1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12,438</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197"/>
        </w:trPr>
        <w:tc>
          <w:tcPr>
            <w:tcW w:w="3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0"/>
        </w:trPr>
        <w:tc>
          <w:tcPr>
            <w:tcW w:w="302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June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21,090,876</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CASH FLOWS FOR THE SIX MONTHS ENDED JUNE 30, 2022 AND 2021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(15,141)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2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(16,145)</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(24,531)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58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1,254</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Items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2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 04 are effective January 1, 2022. This ASU shall be applied on a prospective basis. The adoption of this guidance did not have a material impact on the accompanying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2022, with early application permitted. This ASU is applicable to the Company’s fiscal year beginning in the first quarter of fiscal 2024. The Company is currently evaluating the impact the adoption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(Continued):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 Debt with Conversion and Other Options (Subtopic 470-20) and Derivatives and Hedging — Contracts in Entity’s Own Equity (Subtopic 815-40) </w:t>
      </w:r>
      <w:r>
        <w:rPr>
          <w:rFonts w:ascii="Times New Roman" w:cs="Times New Roman" w:eastAsia="Times New Roman" w:hAnsi="Times New Roman"/>
          <w:sz w:val="18"/>
          <w:szCs w:val="18"/>
          <w:color w:val="auto"/>
        </w:rPr>
        <w:t>(“ASU 2020-06”) to simplify accounting for certain financial instruments. ASU 2020-06 eliminates the current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22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June 30, 2022 and December 31, 2021.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June 30, 2022 and December 31, 2021 of $54 and $50,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June 30, 2022 and December 31, 2021, no such reserves were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six months ended June 30, 2022 and 2021 was $389 and $272, respectively. The various classes of property and equipment and estimated useful lives are as follows: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2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2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2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Remaining Term of Lease</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(Continued)</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June 30, 2022 and December 31, 2021, the contract liability related to the Company’s customer deposits approximated $251 and $434, respectively. The entire contract liability balance as of December 31, 2021 was recognized as revenue during the six months ended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5"/>
                <w:szCs w:val="15"/>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0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$2,534 and $2,558 for the six months ended June 30,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18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Receivables from one customer comprised approximately 57% of accounts receivable as of June 30, 2022. Receivables from two customers comprised approximately 42% and 16%, respectively, of accounts receivable as of December 31, 2021.</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one customer accounted for approximately 11% of the Company’s total revenue. There are no significant revenue concentrations for the six months ended June 30, 2021.</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one vendor accounted for approximately 26% of the Company’s total purchases. For the six months ended June 30, 2022, two vendors accounted for approximately 20% and 13% of the Company’s total purchases.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$1,262 and $630 for the six months ended June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 employee consultants using a fair value method which requires the recognition of compensation expense for costs related to all stock based payments, including stock options (Note 6). The fair value method requires the Company to estimate the fair value of stock-based payment awards to employees and non employees on the date of grant using an option pricing model.</w:t>
      </w:r>
    </w:p>
    <w:p>
      <w:pPr>
        <w:spacing w:after="0" w:line="180"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480" w:type="dxa"/>
            <w:vAlign w:val="bottom"/>
            <w:tcBorders>
              <w:bottom w:val="single" w:sz="8" w:color="CCEEFF"/>
            </w:tcBorders>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197"/>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available for distribution</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(3,767)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4,177</w:t>
            </w:r>
          </w:p>
        </w:tc>
      </w:tr>
      <w:tr>
        <w:trPr>
          <w:trHeight w:val="216"/>
        </w:trPr>
        <w:tc>
          <w:tcPr>
            <w:tcW w:w="6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Income allocated to participating securities </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09"/>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0"/>
        </w:trPr>
        <w:tc>
          <w:tcPr>
            <w:tcW w:w="2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9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Preferred Series A holders do not have a contractual obligation to share in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0"/>
        </w:trPr>
        <w:tc>
          <w:tcPr>
            <w:tcW w:w="24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480" w:type="dxa"/>
            <w:vAlign w:val="bottom"/>
            <w:tcBorders>
              <w:bottom w:val="single" w:sz="8" w:color="CCEEFF"/>
            </w:tcBorders>
          </w:tcPr>
          <w:p>
            <w:pPr>
              <w:spacing w:after="0"/>
              <w:rPr>
                <w:sz w:val="15"/>
                <w:szCs w:val="15"/>
                <w:color w:val="auto"/>
              </w:rPr>
            </w:pPr>
          </w:p>
        </w:tc>
        <w:tc>
          <w:tcPr>
            <w:tcW w:w="4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9"/>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197"/>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20,053,843</w:t>
            </w: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197"/>
        </w:trPr>
        <w:tc>
          <w:tcPr>
            <w:tcW w:w="6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(3,767)</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16"/>
        </w:trPr>
        <w:tc>
          <w:tcPr>
            <w:tcW w:w="670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20,053,843</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1,589,753</w:t>
            </w: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20,952,757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21,643,596</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7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24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per share net (loss) income per share because their effect was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7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2,675,378</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2,675,378</w:t>
            </w:r>
          </w:p>
        </w:tc>
        <w:tc>
          <w:tcPr>
            <w:tcW w:w="200" w:type="dxa"/>
            <w:vAlign w:val="bottom"/>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162"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varying degrees, the COVID-19 pandemic continues to affect our operating businesses. Significant government and private sector actions have been taken since 2020 to control the spread and mitigate the economic effects of the virus. Actions in the latter part of 2021 and during 2022 included temporary business closures or restrictions of business activities in various parts of the world in response to the emergence of variants of the virus. Notwithstanding these efforts, significant disruptions of supply chains and higher costs have persisted in 2022. Further, the development of geopolitical conflicts in 2022 have contributed to disruptions of supply chains, resulting in cost increases for commodities, goods and services in many parts of the world. The economic effects from these events over longer terms cannot be reasonably estimated at this time. Accordingly, significant estimates used in the preparation of our financial statements, including those associated with evaluations of certain long-lived assets, expected credit losses on amounts owed to us, may be subject to significant adjustments in future periods.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June 30, 2022 and December 31, 2021 inventory consists of the following: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31,407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10,861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42,268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20" w:type="dxa"/>
            <w:vAlign w:val="bottom"/>
          </w:tcPr>
          <w:p>
            <w:pPr>
              <w:spacing w:after="0"/>
              <w:rPr>
                <w:sz w:val="15"/>
                <w:szCs w:val="15"/>
                <w:color w:val="auto"/>
              </w:rPr>
            </w:pPr>
          </w:p>
        </w:tc>
        <w:tc>
          <w:tcPr>
            <w:tcW w:w="2000" w:type="dxa"/>
            <w:vAlign w:val="bottom"/>
            <w:gridSpan w:val="2"/>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5"/>
                <w:szCs w:val="15"/>
                <w:color w:val="auto"/>
              </w:rPr>
            </w:pPr>
          </w:p>
        </w:tc>
      </w:tr>
      <w:tr>
        <w:trPr>
          <w:trHeight w:val="210"/>
        </w:trPr>
        <w:tc>
          <w:tcPr>
            <w:tcW w:w="422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w:t>
            </w:r>
          </w:p>
        </w:tc>
        <w:tc>
          <w:tcPr>
            <w:tcW w:w="1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$ 5,158</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00" w:type="dxa"/>
            <w:vAlign w:val="bottom"/>
            <w:tcBorders>
              <w:top w:val="single" w:sz="8" w:color="CCEEFF"/>
            </w:tcBorders>
            <w:shd w:val="clear" w:color="auto" w:fill="CCEEFF"/>
          </w:tcPr>
          <w:p>
            <w:pPr>
              <w:spacing w:after="0"/>
              <w:rPr>
                <w:sz w:val="18"/>
                <w:szCs w:val="18"/>
                <w:color w:val="auto"/>
              </w:rPr>
            </w:pPr>
          </w:p>
        </w:tc>
      </w:tr>
      <w:tr>
        <w:trPr>
          <w:trHeight w:val="209"/>
        </w:trPr>
        <w:tc>
          <w:tcPr>
            <w:tcW w:w="42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operating lease liabilities</w:t>
            </w: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operating lease liabilities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00" w:type="dxa"/>
            <w:vAlign w:val="bottom"/>
            <w:shd w:val="clear" w:color="auto" w:fill="CCEEFF"/>
          </w:tcPr>
          <w:p>
            <w:pPr>
              <w:spacing w:after="0"/>
              <w:rPr>
                <w:sz w:val="18"/>
                <w:szCs w:val="18"/>
                <w:color w:val="auto"/>
              </w:rPr>
            </w:pPr>
          </w:p>
        </w:tc>
      </w:tr>
      <w:tr>
        <w:trPr>
          <w:trHeight w:val="24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$ 5,247</w:t>
            </w:r>
          </w:p>
        </w:tc>
        <w:tc>
          <w:tcPr>
            <w:tcW w:w="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400" w:type="dxa"/>
            <w:vAlign w:val="bottom"/>
            <w:tcBorders>
              <w:bottom w:val="single" w:sz="8" w:color="CCEEFF"/>
            </w:tcBorders>
          </w:tcPr>
          <w:p>
            <w:pPr>
              <w:spacing w:after="0"/>
              <w:rPr>
                <w:sz w:val="21"/>
                <w:szCs w:val="21"/>
                <w:color w:val="auto"/>
              </w:rPr>
            </w:pPr>
          </w:p>
        </w:tc>
      </w:tr>
      <w:tr>
        <w:trPr>
          <w:trHeight w:val="197"/>
        </w:trPr>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5.2 %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5.2 %</w:t>
            </w:r>
          </w:p>
        </w:tc>
      </w:tr>
    </w:tbl>
    <w:p>
      <w:pPr>
        <w:spacing w:after="0" w:line="17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June 30, 2022, the future minimum lease payments under these operating leases are as follows: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09"/>
        </w:trPr>
        <w:tc>
          <w:tcPr>
            <w:tcW w:w="7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a prepaid loan monitoring fee of $60 and $1,553 in debt issuance costs.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17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 total of $1,254, respectively, of interest expense was incurred under the debt. Amortization of the debt issuance costs under the interest method amounted to $1,197 during the six months ended June 30, 2022. The net balance of $40,124 at June 30, 2022 consists of $45,000 in principal less $4,876 in unamortized debt discount.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Accounts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Initial deposits into the reserve accounts consisted of the following items: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1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June 30, 2022 remained at $3,044.</w:t>
      </w:r>
    </w:p>
    <w:p>
      <w:pPr>
        <w:spacing w:after="0" w:line="133"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June 30, 2022 was $0.</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June 30, 2022 or December 31,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financial covenants which include maintaining minimum adjusted EBITDA, Capital Expenditures and Minimum Fixed Charge Coverage Ratio requirements.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financial covenants as of June 30, 2022 and December 31,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 Term Debt Maturities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June 30, 2022, the future debt maturities are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 noncurrent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 net of debt discount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9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513" w:right="1019"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ttprime rate announced by Bank from time to time, as and when such rate changes. The revolving credit amount is collateralized by all assets of the Corporation. In October of 2021, the Company drew an initial amount of $5,000 under the facility, which it subsequently re-paid and the revolving note was terminated as a closing condition of the senior note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June 30, 2022 and December 31, 2021, no dividends on common stock had been declared by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reserved shares of common stock for issuance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54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spacing w:after="0"/>
              <w:rPr>
                <w:sz w:val="15"/>
                <w:szCs w:val="15"/>
                <w:color w:val="auto"/>
              </w:rPr>
            </w:pPr>
          </w:p>
        </w:tc>
      </w:tr>
      <w:tr>
        <w:trPr>
          <w:trHeight w:val="210"/>
        </w:trPr>
        <w:tc>
          <w:tcPr>
            <w:tcW w:w="100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2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3,390,722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21,090,876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526,602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35,008,200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F-82</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vMerge w:val="restart"/>
          </w:tcPr>
          <w:p>
            <w:pPr>
              <w:jc w:val="right"/>
              <w:ind w:right="18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28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(246,814)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2,489,996</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2022</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721,719</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2,669,003</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 for options totaling $719 and $178 was recognized in our statements of income for the</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six months ended June 30, 2022 and 2021, respectively. Of the $719 of share-based compensation incurred during the six months ended June 30, 2022, $143 is allocated to cost of goods sold, $171 to research and development, $192 to selling and marketing, and $213 to general and administrative expenses. Of the $178 of share-based compensation incurred during the three months ended June 30, 2021, $55 is allocated to cost of goods sold, $24 to research and development, $33 to selling and marketing, and $66 to general and administrative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there were 526,602 shares of unissued authorized and available for future awards under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PLAN OF MERGER</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May 15, 2022, the Company entered into an agreement and plan of merger with Chardan NexTech Acquisition Corp. (“CNTQ”), which, among other things, provides for CNTQ to be merged with and into the Company with the Company being the surviving company in the merger. The aggregated consideration to be paid to the equity holders of the company will be equal to the sum of (a) the aggregate merger consideration plus (b) the earnout consideration, if any. As a result of the Merger, CNTQ, will immediately be renamed Dragonfly Energy (“New Dragonfly”). Immediately prior to the consummation of the Merger, the Company’s outstanding preferred stock will automatically convert into shares of the Company’s common stock at the then-effective conversion ratio. Concurrent with the agreement and plan of merger, the Company and CCM Investments 5 LLC, an affiliate of Chardan Capital Markets (the “Equity Facility Investor”), entered into an equity facility letter agreement (the “Equity Facility”), pursuant to which New Dragonfly will have the right from time to time at its option to direct the Equity Facility Investor to purchase up to a specified maximum amount of shares of New Dragonfly’s common stock, up to a maximum aggregate purchase price of $150,000,000 over the 36-month term of the Equity Facility. The Equity Facility will be structured to allow New Dragonfly, on the terms and subject to the conditions thereof, to raise funds from the issuance of equity on a periodic basis outside the context of a traditional underwritten follow-on offering. The boards of directors of both CNTQ and the Company have approved the proposed Merger. Completion of the Merger is subject to approval of CNTQ’s shareholders and the satisfaction or waiver of certain other customary closing conditions.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NOTES TO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through August 31,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5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12, 2022, Dragonfly entered into a certain Stock Purchase Agreement with THOR Industries, whereby THOR purchased 1,267,502 shares of Dragonfly common stock for $15,000,000 in cash. The Company entered into a commercial agreement with THOR, however, the terms have not been finalized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17,246.30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23,975.00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3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wp:posOffset>
            </wp:positionV>
            <wp:extent cx="15684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01"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defined at this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76"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Charter provides for indemnification of our directors, officers, employees and other agents to the maximum extent permitted by the Delaware General Corporation Law, and the Bylaws provide for indemnification of our directors, officers, employees and other agents to the maximum extent permitted by the Delaware General Corporation Law.</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entered or will enter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August 13, 2021, simultaneously with the closing of the CNTQ IPO, CNTQ completed the private sale of an aggregate of 4,361,456 Private Placement Warrants to Warrant Holdings at a purchase price of approximately $0.93 per Private Placement Warrant, generating gross proceeds to CNTQ of $4,052,000. The Private Placement Warrants are identical to the warrants sold in the IPO except that the Private Placement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Placement Warrants was made pursuant to the exemption from registration contained in Section 4(a)(2) of the Securities Act of 1933, as amended.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 the Closing, the Company issued an additional 15,000 shares to CCM pursuant to the terms of the Subscription Agreement. See “</w:t>
      </w:r>
      <w:r>
        <w:rPr>
          <w:rFonts w:ascii="Times New Roman" w:cs="Times New Roman" w:eastAsia="Times New Roman" w:hAnsi="Times New Roman"/>
          <w:sz w:val="18"/>
          <w:szCs w:val="18"/>
          <w:i w:val="1"/>
          <w:iCs w:val="1"/>
          <w:color w:val="auto"/>
        </w:rPr>
        <w:t>Unaudited Pro Forma Condensed Combined Financial Information—Description of the Business Combination—PIPE Investment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At Closing, in connection with the entry into the Term Loan Agreement, the Company entered into (i) the Penny Warrants and (ii) the $10 Warrants. See “</w:t>
      </w:r>
      <w:r>
        <w:rPr>
          <w:rFonts w:ascii="Times New Roman" w:cs="Times New Roman" w:eastAsia="Times New Roman" w:hAnsi="Times New Roman"/>
          <w:sz w:val="18"/>
          <w:szCs w:val="18"/>
          <w:i w:val="1"/>
          <w:iCs w:val="1"/>
          <w:color w:val="auto"/>
        </w:rPr>
        <w:t>Certain Relationships and Related Person Transactions — Debt Financing— Warrant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3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20"/>
        <w:spacing w:after="0"/>
        <w:tabs>
          <w:tab w:leader="none" w:pos="34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3719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ind w:left="800" w:right="20" w:hanging="782"/>
        <w:spacing w:after="0" w:line="264"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243">
        <w:r>
          <w:rPr>
            <w:rFonts w:ascii="Times New Roman" w:cs="Times New Roman" w:eastAsia="Times New Roman" w:hAnsi="Times New Roman"/>
            <w:sz w:val="17"/>
            <w:szCs w:val="17"/>
            <w:u w:val="single" w:color="auto"/>
            <w:color w:val="0000EE"/>
          </w:rPr>
          <w:t>Agreement and Plan of Merger, dated as of May 15, 2022, by and among Chardan</w:t>
        </w:r>
      </w:hyperlink>
      <w:r>
        <w:rPr>
          <w:rFonts w:ascii="Times New Roman" w:cs="Times New Roman" w:eastAsia="Times New Roman" w:hAnsi="Times New Roman"/>
          <w:sz w:val="17"/>
          <w:szCs w:val="17"/>
          <w:u w:val="single" w:color="auto"/>
          <w:color w:val="0000EE"/>
        </w:rPr>
        <w:t xml:space="preserve"> </w:t>
      </w:r>
      <w:hyperlink r:id="rId243">
        <w:r>
          <w:rPr>
            <w:rFonts w:ascii="Times New Roman" w:cs="Times New Roman" w:eastAsia="Times New Roman" w:hAnsi="Times New Roman"/>
            <w:sz w:val="17"/>
            <w:szCs w:val="17"/>
            <w:u w:val="single" w:color="auto"/>
            <w:color w:val="0000EE"/>
          </w:rPr>
          <w:t>NexTech Acquisition 2 Corp., Bronco Merger Sub, Inc. and Dragonfly Energy Corp.</w:t>
        </w:r>
      </w:hyperlink>
    </w:p>
    <w:p>
      <w:pPr>
        <w:ind w:left="800" w:right="3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2.1(a)</w:t>
      </w:r>
      <w:r>
        <w:rPr>
          <w:sz w:val="20"/>
          <w:szCs w:val="20"/>
          <w:color w:val="auto"/>
        </w:rPr>
        <w:tab/>
      </w:r>
      <w:hyperlink r:id="rId244">
        <w:r>
          <w:rPr>
            <w:rFonts w:ascii="Times New Roman" w:cs="Times New Roman" w:eastAsia="Times New Roman" w:hAnsi="Times New Roman"/>
            <w:sz w:val="18"/>
            <w:szCs w:val="18"/>
            <w:u w:val="single" w:color="auto"/>
            <w:color w:val="0000EE"/>
          </w:rPr>
          <w:t>Amendment to Agreement and Plan of Merger, dated as of July 12, 2022, by and</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among Chardan NexTech Acquisition 2 Corp., Bronco Merger Sub, Inc. and</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Dragonfly Energy Corp.</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45">
        <w:r>
          <w:rPr>
            <w:rFonts w:ascii="Times New Roman" w:cs="Times New Roman" w:eastAsia="Times New Roman" w:hAnsi="Times New Roman"/>
            <w:sz w:val="17"/>
            <w:szCs w:val="17"/>
            <w:u w:val="single" w:color="auto"/>
            <w:color w:val="0000EE"/>
          </w:rPr>
          <w:t>Amended and Restated Certificate of Incorporation.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46">
        <w:r>
          <w:rPr>
            <w:rFonts w:ascii="Times New Roman" w:cs="Times New Roman" w:eastAsia="Times New Roman" w:hAnsi="Times New Roman"/>
            <w:sz w:val="17"/>
            <w:szCs w:val="17"/>
            <w:u w:val="single" w:color="auto"/>
            <w:color w:val="0000EE"/>
          </w:rPr>
          <w:t>Amended and Restated Bylaws.</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47">
        <w:r>
          <w:rPr>
            <w:rFonts w:ascii="Times New Roman" w:cs="Times New Roman" w:eastAsia="Times New Roman" w:hAnsi="Times New Roman"/>
            <w:sz w:val="17"/>
            <w:szCs w:val="17"/>
            <w:u w:val="single" w:color="auto"/>
            <w:color w:val="0000EE"/>
          </w:rPr>
          <w:t>Specimen Common Share Certificate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48">
        <w:r>
          <w:rPr>
            <w:rFonts w:ascii="Times New Roman" w:cs="Times New Roman" w:eastAsia="Times New Roman" w:hAnsi="Times New Roman"/>
            <w:sz w:val="17"/>
            <w:szCs w:val="17"/>
            <w:u w:val="single" w:color="auto"/>
            <w:color w:val="0000EE"/>
          </w:rPr>
          <w:t>Form of $10 Warrant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49">
        <w:r>
          <w:rPr>
            <w:rFonts w:ascii="Times New Roman" w:cs="Times New Roman" w:eastAsia="Times New Roman" w:hAnsi="Times New Roman"/>
            <w:sz w:val="17"/>
            <w:szCs w:val="17"/>
            <w:u w:val="single" w:color="auto"/>
            <w:color w:val="0000EE"/>
          </w:rPr>
          <w:t>Form of Penny Warrant of the Company.</w:t>
        </w:r>
      </w:hyperlink>
    </w:p>
    <w:p>
      <w:pPr>
        <w:spacing w:after="0" w:line="9" w:lineRule="exact"/>
        <w:rPr>
          <w:rFonts w:ascii="Times New Roman" w:cs="Times New Roman" w:eastAsia="Times New Roman" w:hAnsi="Times New Roman"/>
          <w:sz w:val="18"/>
          <w:szCs w:val="18"/>
          <w:u w:val="single" w:color="auto"/>
          <w:color w:val="0000EE"/>
        </w:rPr>
      </w:pPr>
    </w:p>
    <w:p>
      <w:pPr>
        <w:ind w:left="800" w:right="480" w:hanging="782"/>
        <w:spacing w:after="0" w:line="265" w:lineRule="auto"/>
        <w:tabs>
          <w:tab w:leader="none" w:pos="7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0000EE"/>
        </w:rPr>
        <w:t>Warrant Agreement, dated as of October 19, 2022, between Dragonfly Energy Holdings Corp. and American Stock Transfer &amp; Trust Company, LLC.</w:t>
      </w: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250">
        <w:r>
          <w:rPr>
            <w:rFonts w:ascii="Times New Roman" w:cs="Times New Roman" w:eastAsia="Times New Roman" w:hAnsi="Times New Roman"/>
            <w:sz w:val="17"/>
            <w:szCs w:val="17"/>
            <w:u w:val="single" w:color="auto"/>
            <w:color w:val="0000EE"/>
          </w:rPr>
          <w:t>Specimen Warrant Certificate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O’Melveny &amp; Myers LLP.</w:t>
      </w:r>
    </w:p>
    <w:p>
      <w:pPr>
        <w:spacing w:after="0" w:line="9" w:lineRule="exact"/>
        <w:rPr>
          <w:rFonts w:ascii="Times New Roman" w:cs="Times New Roman" w:eastAsia="Times New Roman" w:hAnsi="Times New Roman"/>
          <w:sz w:val="18"/>
          <w:szCs w:val="18"/>
          <w:u w:val="single" w:color="auto"/>
          <w:color w:val="0000EE"/>
        </w:rPr>
      </w:pPr>
    </w:p>
    <w:p>
      <w:pPr>
        <w:ind w:left="800" w:right="3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51">
        <w:r>
          <w:rPr>
            <w:rFonts w:ascii="Times New Roman" w:cs="Times New Roman" w:eastAsia="Times New Roman" w:hAnsi="Times New Roman"/>
            <w:sz w:val="17"/>
            <w:szCs w:val="17"/>
            <w:u w:val="single" w:color="auto"/>
            <w:color w:val="0000EE"/>
          </w:rPr>
          <w:t>Sponsor Support Agreement, dated as of May 15, 2022, by and among Chardan</w:t>
        </w:r>
      </w:hyperlink>
      <w:r>
        <w:rPr>
          <w:rFonts w:ascii="Times New Roman" w:cs="Times New Roman" w:eastAsia="Times New Roman" w:hAnsi="Times New Roman"/>
          <w:sz w:val="17"/>
          <w:szCs w:val="17"/>
          <w:u w:val="single" w:color="auto"/>
          <w:color w:val="0000EE"/>
        </w:rPr>
        <w:t xml:space="preserve"> </w:t>
      </w:r>
      <w:hyperlink r:id="rId251">
        <w:r>
          <w:rPr>
            <w:rFonts w:ascii="Times New Roman" w:cs="Times New Roman" w:eastAsia="Times New Roman" w:hAnsi="Times New Roman"/>
            <w:sz w:val="17"/>
            <w:szCs w:val="17"/>
            <w:u w:val="single" w:color="auto"/>
            <w:color w:val="0000EE"/>
          </w:rPr>
          <w:t>NexTech Investments 2 LLC, Dragonfly Energy Corp. and Chardan NexTech</w:t>
        </w:r>
      </w:hyperlink>
      <w:r>
        <w:rPr>
          <w:rFonts w:ascii="Times New Roman" w:cs="Times New Roman" w:eastAsia="Times New Roman" w:hAnsi="Times New Roman"/>
          <w:sz w:val="17"/>
          <w:szCs w:val="17"/>
          <w:u w:val="single" w:color="auto"/>
          <w:color w:val="0000EE"/>
        </w:rPr>
        <w:t xml:space="preserve"> </w:t>
      </w:r>
      <w:hyperlink r:id="rId251">
        <w:r>
          <w:rPr>
            <w:rFonts w:ascii="Times New Roman" w:cs="Times New Roman" w:eastAsia="Times New Roman" w:hAnsi="Times New Roman"/>
            <w:sz w:val="17"/>
            <w:szCs w:val="17"/>
            <w:u w:val="single" w:color="auto"/>
            <w:color w:val="0000EE"/>
          </w:rPr>
          <w:t>Investments 2 LLC (included as Annex E to the proxy statement/prospectus).</w:t>
        </w:r>
      </w:hyperlink>
    </w:p>
    <w:p>
      <w:pPr>
        <w:ind w:left="800" w:right="18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252">
        <w:r>
          <w:rPr>
            <w:rFonts w:ascii="Times New Roman" w:cs="Times New Roman" w:eastAsia="Times New Roman" w:hAnsi="Times New Roman"/>
            <w:sz w:val="18"/>
            <w:szCs w:val="18"/>
            <w:u w:val="single" w:color="auto"/>
            <w:color w:val="0000EE"/>
          </w:rPr>
          <w:t>Commitment Letter, dated as of May 15, 2022, by and among Chardan NexTech</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Acquisition 2 Corp., Dragonfly Energy Corp., CCM Investments 5 LLC and EICF</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Agent LLC (included as Annex J to the proxy statement/prospectus).</w:t>
        </w:r>
      </w:hyperlink>
    </w:p>
    <w:p>
      <w:pPr>
        <w:spacing w:after="0" w:line="1" w:lineRule="exact"/>
        <w:rPr>
          <w:rFonts w:ascii="Times New Roman" w:cs="Times New Roman" w:eastAsia="Times New Roman" w:hAnsi="Times New Roman"/>
          <w:sz w:val="18"/>
          <w:szCs w:val="18"/>
          <w:u w:val="single" w:color="auto"/>
          <w:color w:val="0000EE"/>
        </w:rPr>
      </w:pPr>
    </w:p>
    <w:p>
      <w:pPr>
        <w:ind w:left="800" w:right="52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253">
        <w:r>
          <w:rPr>
            <w:rFonts w:ascii="Times New Roman" w:cs="Times New Roman" w:eastAsia="Times New Roman" w:hAnsi="Times New Roman"/>
            <w:sz w:val="17"/>
            <w:szCs w:val="17"/>
            <w:u w:val="single" w:color="auto"/>
            <w:color w:val="0000EE"/>
          </w:rPr>
          <w:t>Equity Facility Letter Agreement, dated as of May 15, 2022, by and among</w:t>
        </w:r>
      </w:hyperlink>
      <w:r>
        <w:rPr>
          <w:rFonts w:ascii="Times New Roman" w:cs="Times New Roman" w:eastAsia="Times New Roman" w:hAnsi="Times New Roman"/>
          <w:sz w:val="17"/>
          <w:szCs w:val="17"/>
          <w:u w:val="single" w:color="auto"/>
          <w:color w:val="0000EE"/>
        </w:rPr>
        <w:t xml:space="preserve"> </w:t>
      </w:r>
      <w:hyperlink r:id="rId253">
        <w:r>
          <w:rPr>
            <w:rFonts w:ascii="Times New Roman" w:cs="Times New Roman" w:eastAsia="Times New Roman" w:hAnsi="Times New Roman"/>
            <w:sz w:val="17"/>
            <w:szCs w:val="17"/>
            <w:u w:val="single" w:color="auto"/>
            <w:color w:val="0000EE"/>
          </w:rPr>
          <w:t>Dragonfly Energy Corp., Chardan NexTech Acquisition 2 Corp. and CCM</w:t>
        </w:r>
      </w:hyperlink>
      <w:r>
        <w:rPr>
          <w:rFonts w:ascii="Times New Roman" w:cs="Times New Roman" w:eastAsia="Times New Roman" w:hAnsi="Times New Roman"/>
          <w:sz w:val="17"/>
          <w:szCs w:val="17"/>
          <w:u w:val="single" w:color="auto"/>
          <w:color w:val="0000EE"/>
        </w:rPr>
        <w:t xml:space="preserve"> </w:t>
      </w:r>
      <w:hyperlink r:id="rId253">
        <w:r>
          <w:rPr>
            <w:rFonts w:ascii="Times New Roman" w:cs="Times New Roman" w:eastAsia="Times New Roman" w:hAnsi="Times New Roman"/>
            <w:sz w:val="17"/>
            <w:szCs w:val="17"/>
            <w:u w:val="single" w:color="auto"/>
            <w:color w:val="0000EE"/>
          </w:rPr>
          <w:t>Investments 5 LLC (included as Annex K to the proxy statement/prospectus).</w:t>
        </w:r>
      </w:hyperlink>
    </w:p>
    <w:p>
      <w:pPr>
        <w:ind w:left="8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254">
        <w:r>
          <w:rPr>
            <w:rFonts w:ascii="Times New Roman" w:cs="Times New Roman" w:eastAsia="Times New Roman" w:hAnsi="Times New Roman"/>
            <w:sz w:val="18"/>
            <w:szCs w:val="18"/>
            <w:u w:val="single" w:color="auto"/>
            <w:color w:val="0000EE"/>
          </w:rPr>
          <w:t>Subscription Agreement, dated as of May 15, 2022, between Chardan NexTech</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Acquisition 2 Corp. and Chardan NexTech Investments 2 LLC (included as Annex F</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to the proxy statement/prospectus).</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255">
        <w:r>
          <w:rPr>
            <w:rFonts w:ascii="Times New Roman" w:cs="Times New Roman" w:eastAsia="Times New Roman" w:hAnsi="Times New Roman"/>
            <w:sz w:val="17"/>
            <w:szCs w:val="17"/>
            <w:u w:val="single" w:color="auto"/>
            <w:color w:val="0000EE"/>
          </w:rPr>
          <w:t>Dragonfly Energy Holdings Corp.’s 2022 Equity Incentive Plan.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56">
        <w:r>
          <w:rPr>
            <w:rFonts w:ascii="Times New Roman" w:cs="Times New Roman" w:eastAsia="Times New Roman" w:hAnsi="Times New Roman"/>
            <w:sz w:val="17"/>
            <w:szCs w:val="17"/>
            <w:u w:val="single" w:color="auto"/>
            <w:color w:val="0000EE"/>
          </w:rPr>
          <w:t>Dragonfly Energy Holdings Corp.’s Employee Stock Purchase Plan.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57">
        <w:r>
          <w:rPr>
            <w:rFonts w:ascii="Times New Roman" w:cs="Times New Roman" w:eastAsia="Times New Roman" w:hAnsi="Times New Roman"/>
            <w:sz w:val="17"/>
            <w:szCs w:val="17"/>
            <w:u w:val="single" w:color="auto"/>
            <w:color w:val="0000EE"/>
          </w:rPr>
          <w:t>Form of Director Indemnification Agreement.</w:t>
        </w:r>
      </w:hyperlink>
    </w:p>
    <w:p>
      <w:pPr>
        <w:spacing w:after="0" w:line="9" w:lineRule="exact"/>
        <w:rPr>
          <w:rFonts w:ascii="Times New Roman" w:cs="Times New Roman" w:eastAsia="Times New Roman" w:hAnsi="Times New Roman"/>
          <w:sz w:val="18"/>
          <w:szCs w:val="18"/>
          <w:u w:val="single" w:color="auto"/>
          <w:color w:val="0000EE"/>
        </w:rPr>
      </w:pPr>
    </w:p>
    <w:p>
      <w:pPr>
        <w:ind w:left="800" w:right="4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58">
        <w:r>
          <w:rPr>
            <w:rFonts w:ascii="Times New Roman" w:cs="Times New Roman" w:eastAsia="Times New Roman" w:hAnsi="Times New Roman"/>
            <w:sz w:val="17"/>
            <w:szCs w:val="17"/>
            <w:u w:val="single" w:color="auto"/>
            <w:color w:val="0000EE"/>
          </w:rPr>
          <w:t>Multi-tenant Industrial Triple Net Lease, dated as of March 1, 2021, between</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Dragonfly Energy Corp. and Icon Reno Property Owner Pool 3 Nevada, LLC.</w:t>
        </w:r>
      </w:hyperlink>
    </w:p>
    <w:p>
      <w:pPr>
        <w:ind w:left="800" w:right="6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59">
        <w:r>
          <w:rPr>
            <w:rFonts w:ascii="Times New Roman" w:cs="Times New Roman" w:eastAsia="Times New Roman" w:hAnsi="Times New Roman"/>
            <w:sz w:val="18"/>
            <w:szCs w:val="18"/>
            <w:u w:val="single" w:color="auto"/>
            <w:color w:val="0000EE"/>
          </w:rPr>
          <w:t>Lease, dated as of February 8, 2022, between Dragonfly Energy Corp. and Prologis,</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L.P.</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60">
        <w:r>
          <w:rPr>
            <w:rFonts w:ascii="Times New Roman" w:cs="Times New Roman" w:eastAsia="Times New Roman" w:hAnsi="Times New Roman"/>
            <w:sz w:val="17"/>
            <w:szCs w:val="17"/>
            <w:u w:val="single" w:color="auto"/>
            <w:color w:val="0000EE"/>
          </w:rPr>
          <w:t>Purchase Agreement, dated as of October 7, 2022, between the Company and CCM.</w:t>
        </w:r>
      </w:hyperlink>
    </w:p>
    <w:p>
      <w:pPr>
        <w:spacing w:after="0" w:line="9" w:lineRule="exact"/>
        <w:rPr>
          <w:sz w:val="20"/>
          <w:szCs w:val="20"/>
          <w:color w:val="auto"/>
        </w:rPr>
      </w:pPr>
    </w:p>
    <w:p>
      <w:pPr>
        <w:ind w:left="800" w:right="1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61">
        <w:r>
          <w:rPr>
            <w:rFonts w:ascii="Times New Roman" w:cs="Times New Roman" w:eastAsia="Times New Roman" w:hAnsi="Times New Roman"/>
            <w:sz w:val="18"/>
            <w:szCs w:val="18"/>
            <w:u w:val="single" w:color="auto"/>
            <w:color w:val="0000EE"/>
          </w:rPr>
          <w:t>Registration Rights Agreement, dated as of October 7, 2022, between the Company</w:t>
        </w:r>
      </w:hyperlink>
      <w:r>
        <w:rPr>
          <w:rFonts w:ascii="Times New Roman" w:cs="Times New Roman" w:eastAsia="Times New Roman" w:hAnsi="Times New Roman"/>
          <w:sz w:val="18"/>
          <w:szCs w:val="18"/>
          <w:u w:val="single" w:color="auto"/>
          <w:color w:val="0000EE"/>
        </w:rPr>
        <w:t xml:space="preserve"> </w:t>
      </w:r>
      <w:hyperlink r:id="rId261">
        <w:r>
          <w:rPr>
            <w:rFonts w:ascii="Times New Roman" w:cs="Times New Roman" w:eastAsia="Times New Roman" w:hAnsi="Times New Roman"/>
            <w:sz w:val="18"/>
            <w:szCs w:val="18"/>
            <w:u w:val="single" w:color="auto"/>
            <w:color w:val="0000EE"/>
          </w:rPr>
          <w:t>and CCM.</w:t>
        </w:r>
      </w:hyperlink>
    </w:p>
    <w:p>
      <w:pPr>
        <w:spacing w:after="0" w:line="1" w:lineRule="exact"/>
        <w:rPr>
          <w:sz w:val="20"/>
          <w:szCs w:val="20"/>
          <w:color w:val="auto"/>
        </w:rPr>
      </w:pPr>
    </w:p>
    <w:p>
      <w:pPr>
        <w:ind w:left="800" w:right="24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62">
        <w:r>
          <w:rPr>
            <w:rFonts w:ascii="Times New Roman" w:cs="Times New Roman" w:eastAsia="Times New Roman" w:hAnsi="Times New Roman"/>
            <w:sz w:val="18"/>
            <w:szCs w:val="18"/>
            <w:u w:val="single" w:color="auto"/>
            <w:color w:val="0000EE"/>
          </w:rPr>
          <w:t>Term Loan Agreement, dated as of October 7, 2022, by and among the Company,</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Dragonfly Energy Corp., the lenders from time to time party thereto and Alter</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Domus (US) LLC.</w:t>
        </w:r>
      </w:hyperlink>
    </w:p>
    <w:p>
      <w:pPr>
        <w:spacing w:after="0" w:line="1" w:lineRule="exact"/>
        <w:rPr>
          <w:rFonts w:ascii="Times New Roman" w:cs="Times New Roman" w:eastAsia="Times New Roman" w:hAnsi="Times New Roman"/>
          <w:sz w:val="18"/>
          <w:szCs w:val="18"/>
          <w:u w:val="single" w:color="auto"/>
          <w:color w:val="0000EE"/>
        </w:rPr>
      </w:pPr>
    </w:p>
    <w:p>
      <w:pPr>
        <w:ind w:left="800" w:right="28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63">
        <w:r>
          <w:rPr>
            <w:rFonts w:ascii="Times New Roman" w:cs="Times New Roman" w:eastAsia="Times New Roman" w:hAnsi="Times New Roman"/>
            <w:sz w:val="18"/>
            <w:szCs w:val="18"/>
            <w:u w:val="single" w:color="auto"/>
            <w:color w:val="0000EE"/>
          </w:rPr>
          <w:t>Pledge Agreement, dated as of October 7, 2022, by and among the Company and</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Alter Domus (US) LLC.</w:t>
        </w:r>
      </w:hyperlink>
    </w:p>
    <w:p>
      <w:pPr>
        <w:spacing w:after="0" w:line="1" w:lineRule="exact"/>
        <w:rPr>
          <w:sz w:val="20"/>
          <w:szCs w:val="20"/>
          <w:color w:val="auto"/>
        </w:rPr>
      </w:pPr>
    </w:p>
    <w:p>
      <w:pPr>
        <w:ind w:left="800" w:right="480" w:hanging="782"/>
        <w:spacing w:after="0" w:line="26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64">
        <w:r>
          <w:rPr>
            <w:rFonts w:ascii="Times New Roman" w:cs="Times New Roman" w:eastAsia="Times New Roman" w:hAnsi="Times New Roman"/>
            <w:sz w:val="18"/>
            <w:szCs w:val="18"/>
            <w:u w:val="single" w:color="auto"/>
            <w:color w:val="0000EE"/>
          </w:rPr>
          <w:t>Employment Agreement, dated as of January 1, 2022, by and between Legacy</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Dragonfly and Denis Phares.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256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42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2.1(a)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08/05/2021</w:t>
            </w:r>
          </w:p>
        </w:tc>
      </w:tr>
      <w:tr>
        <w:trPr>
          <w:trHeight w:val="8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6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09/14/2022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07/22/2022</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10/7/2022</w:t>
            </w:r>
          </w:p>
        </w:tc>
      </w:tr>
    </w:tbl>
    <w:p>
      <w:pPr>
        <w:sectPr>
          <w:pgSz w:w="11900" w:h="16838" w:orient="portrait"/>
          <w:cols w:equalWidth="0" w:num="2">
            <w:col w:w="6900" w:space="140"/>
            <w:col w:w="288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380" w:type="dxa"/>
            <w:vAlign w:val="bottom"/>
            <w:gridSpan w:val="1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9"/>
                <w:szCs w:val="9"/>
                <w:color w:val="auto"/>
              </w:rPr>
            </w:pP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9"/>
                <w:szCs w:val="9"/>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15"/>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auto"/>
            </w:tcBorders>
            <w:gridSpan w:val="21"/>
          </w:tcPr>
          <w:p>
            <w:pPr>
              <w:spacing w:after="0" w:line="169"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Amendment to Employment Agreement, dated as of May 15, 2022, by and</w:t>
              </w:r>
            </w:hyperlink>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between Legacy Dragonfly and DenisPhares.</w:t>
              </w:r>
            </w:hyperlink>
          </w:p>
        </w:tc>
        <w:tc>
          <w:tcPr>
            <w:tcW w:w="480" w:type="dxa"/>
            <w:vAlign w:val="bottom"/>
            <w:gridSpan w:val="4"/>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5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68">
              <w:r>
                <w:rPr>
                  <w:rFonts w:ascii="Times New Roman" w:cs="Times New Roman" w:eastAsia="Times New Roman" w:hAnsi="Times New Roman"/>
                  <w:sz w:val="18"/>
                  <w:szCs w:val="18"/>
                  <w:color w:val="0000EE"/>
                  <w:w w:val="99"/>
                </w:rPr>
                <w:t>Employment Agreement, dated as of January 1, 2022, by and between Legacy</w:t>
              </w:r>
            </w:hyperlink>
          </w:p>
        </w:tc>
        <w:tc>
          <w:tcPr>
            <w:tcW w:w="24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Dragonfly and Sean Nichols.</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Amendment to Employment Agreement, dated as of May 15, 2022, by and</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between Legacy Dragonfly and SeanNichols.</w:t>
              </w:r>
            </w:hyperlink>
          </w:p>
        </w:tc>
        <w:tc>
          <w:tcPr>
            <w:tcW w:w="2120" w:type="dxa"/>
            <w:vAlign w:val="bottom"/>
            <w:tcBorders>
              <w:top w:val="single" w:sz="8" w:color="0000EE"/>
            </w:tcBorders>
            <w:gridSpan w:val="8"/>
          </w:tcPr>
          <w:p>
            <w:pPr>
              <w:spacing w:after="0"/>
              <w:rPr>
                <w:sz w:val="17"/>
                <w:szCs w:val="17"/>
                <w:color w:val="auto"/>
              </w:rPr>
            </w:pPr>
          </w:p>
        </w:tc>
        <w:tc>
          <w:tcPr>
            <w:tcW w:w="480" w:type="dxa"/>
            <w:vAlign w:val="bottom"/>
            <w:gridSpan w:val="4"/>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Employment Agreement, dated as of August 17, 2021, by and between Legacy</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Dragonfly and John Marchetti.</w:t>
              </w:r>
            </w:hyperlink>
          </w:p>
        </w:tc>
        <w:tc>
          <w:tcPr>
            <w:tcW w:w="3440" w:type="dxa"/>
            <w:vAlign w:val="bottom"/>
            <w:tcBorders>
              <w:top w:val="single" w:sz="8" w:color="0000EE"/>
            </w:tcBorders>
            <w:gridSpan w:val="14"/>
          </w:tcPr>
          <w:p>
            <w:pPr>
              <w:spacing w:after="0"/>
              <w:rPr>
                <w:sz w:val="17"/>
                <w:szCs w:val="17"/>
                <w:color w:val="auto"/>
              </w:rPr>
            </w:pPr>
          </w:p>
        </w:tc>
        <w:tc>
          <w:tcPr>
            <w:tcW w:w="200" w:type="dxa"/>
            <w:vAlign w:val="bottom"/>
            <w:gridSpan w:val="2"/>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Dragonfly Energy Corp.’s 2019 Stock Incentive Plan.</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Dragonfly Energy Corp.’s 2021 Stock Incentive Plan.</w:t>
              </w:r>
            </w:hyperlink>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Amended and Restated Registration Rights Agreement, by and among the</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Company and each of the stockholders thereto.</w:t>
              </w:r>
            </w:hyperlink>
          </w:p>
        </w:tc>
        <w:tc>
          <w:tcPr>
            <w:tcW w:w="1940" w:type="dxa"/>
            <w:vAlign w:val="bottom"/>
            <w:tcBorders>
              <w:top w:val="single" w:sz="8" w:color="0000EE"/>
            </w:tcBorders>
            <w:gridSpan w:val="6"/>
          </w:tcPr>
          <w:p>
            <w:pPr>
              <w:spacing w:after="0"/>
              <w:rPr>
                <w:sz w:val="17"/>
                <w:szCs w:val="17"/>
                <w:color w:val="auto"/>
              </w:rPr>
            </w:pPr>
          </w:p>
        </w:tc>
        <w:tc>
          <w:tcPr>
            <w:tcW w:w="540" w:type="dxa"/>
            <w:vAlign w:val="bottom"/>
            <w:gridSpan w:val="5"/>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Dragonfly Energy Holdings Corp. Code of Conduct</w:t>
              </w:r>
            </w:hyperlink>
            <w:r>
              <w:rPr>
                <w:rFonts w:ascii="Times New Roman" w:cs="Times New Roman" w:eastAsia="Times New Roman" w:hAnsi="Times New Roman"/>
                <w:sz w:val="18"/>
                <w:szCs w:val="18"/>
                <w:color w:val="000000"/>
              </w:rPr>
              <w:t>.</w:t>
            </w: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7"/>
                <w:szCs w:val="17"/>
                <w:color w:val="auto"/>
              </w:rPr>
            </w:pPr>
          </w:p>
        </w:tc>
        <w:tc>
          <w:tcPr>
            <w:tcW w:w="37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Dragonfly Energy Holdings Corp. Code of Ethics</w:t>
              </w:r>
            </w:hyperlink>
            <w:r>
              <w:rPr>
                <w:rFonts w:ascii="Times New Roman" w:cs="Times New Roman" w:eastAsia="Times New Roman" w:hAnsi="Times New Roman"/>
                <w:sz w:val="18"/>
                <w:szCs w:val="18"/>
                <w:color w:val="000000"/>
              </w:rPr>
              <w:t>.</w:t>
            </w:r>
          </w:p>
        </w:tc>
        <w:tc>
          <w:tcPr>
            <w:tcW w:w="2140" w:type="dxa"/>
            <w:vAlign w:val="bottom"/>
            <w:gridSpan w:val="8"/>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Letter from WithumSmith+Brown, PC to the SEC</w:t>
              </w:r>
            </w:hyperlink>
            <w:r>
              <w:rPr>
                <w:rFonts w:ascii="Times New Roman" w:cs="Times New Roman" w:eastAsia="Times New Roman" w:hAnsi="Times New Roman"/>
                <w:sz w:val="18"/>
                <w:szCs w:val="18"/>
                <w:color w:val="000000"/>
              </w:rPr>
              <w:t>.</w:t>
            </w: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77">
              <w:r>
                <w:rPr>
                  <w:rFonts w:ascii="Times New Roman" w:cs="Times New Roman" w:eastAsia="Times New Roman" w:hAnsi="Times New Roman"/>
                  <w:sz w:val="18"/>
                  <w:szCs w:val="18"/>
                  <w:color w:val="0000EE"/>
                  <w:w w:val="98"/>
                </w:rPr>
                <w:t>List of Subsidiaries.</w:t>
              </w:r>
            </w:hyperlink>
          </w:p>
        </w:tc>
        <w:tc>
          <w:tcPr>
            <w:tcW w:w="2160" w:type="dxa"/>
            <w:vAlign w:val="bottom"/>
            <w:tcBorders>
              <w:top w:val="single" w:sz="8" w:color="0000EE"/>
            </w:tcBorders>
            <w:gridSpan w:val="10"/>
          </w:tcPr>
          <w:p>
            <w:pPr>
              <w:spacing w:after="0"/>
              <w:rPr>
                <w:sz w:val="17"/>
                <w:szCs w:val="17"/>
                <w:color w:val="auto"/>
              </w:rPr>
            </w:pPr>
          </w:p>
        </w:tc>
        <w:tc>
          <w:tcPr>
            <w:tcW w:w="2260" w:type="dxa"/>
            <w:vAlign w:val="bottom"/>
            <w:gridSpan w:val="9"/>
          </w:tcPr>
          <w:p>
            <w:pPr>
              <w:spacing w:after="0"/>
              <w:rPr>
                <w:sz w:val="17"/>
                <w:szCs w:val="17"/>
                <w:color w:val="auto"/>
              </w:rPr>
            </w:pPr>
          </w:p>
        </w:tc>
        <w:tc>
          <w:tcPr>
            <w:tcW w:w="10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8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WithumSmith+Brown, PC.</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7"/>
                <w:szCs w:val="17"/>
                <w:color w:val="auto"/>
              </w:rPr>
            </w:pPr>
          </w:p>
        </w:tc>
        <w:tc>
          <w:tcPr>
            <w:tcW w:w="27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LLP.</w:t>
            </w:r>
          </w:p>
        </w:tc>
        <w:tc>
          <w:tcPr>
            <w:tcW w:w="308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Consent of O’Melveny &amp; Myers LLP (included in Exhibit 5.1 hereto).</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7"/>
                <w:szCs w:val="17"/>
                <w:color w:val="auto"/>
              </w:rPr>
            </w:pPr>
          </w:p>
        </w:tc>
        <w:tc>
          <w:tcPr>
            <w:tcW w:w="58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to the prospectus which forms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part of this registration statement).</w:t>
            </w:r>
          </w:p>
        </w:tc>
        <w:tc>
          <w:tcPr>
            <w:tcW w:w="33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58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6"/>
                <w:szCs w:val="16"/>
                <w:color w:val="auto"/>
              </w:rPr>
            </w:pPr>
          </w:p>
        </w:tc>
        <w:tc>
          <w:tcPr>
            <w:tcW w:w="58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Filing Fee Exhibit.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1320" w:type="dxa"/>
            <w:vAlign w:val="bottom"/>
            <w:tcBorders>
              <w:top w:val="single" w:sz="8" w:color="0000EE"/>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Portions of exhibit have been omitted.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115" w:lineRule="exact"/>
        <w:rPr>
          <w:sz w:val="20"/>
          <w:szCs w:val="20"/>
          <w:color w:val="auto"/>
        </w:rPr>
      </w:pPr>
    </w:p>
    <w:p>
      <w:pPr>
        <w:ind w:left="660" w:right="20" w:hanging="652"/>
        <w:spacing w:after="0" w:line="267"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filed as a part of this registration statement are listed in the index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immediately preceding such financial statements, which index to the financial statements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Securities Act</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1960" w:right="120" w:hanging="656"/>
        <w:spacing w:after="0" w:line="266" w:lineRule="auto"/>
        <w:tabs>
          <w:tab w:leader="none" w:pos="19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960" w:right="60"/>
        <w:spacing w:after="0" w:line="260" w:lineRule="auto"/>
        <w:rPr>
          <w:sz w:val="20"/>
          <w:szCs w:val="20"/>
          <w:color w:val="auto"/>
        </w:rPr>
      </w:pPr>
      <w:r>
        <w:rPr>
          <w:rFonts w:ascii="Times New Roman" w:cs="Times New Roman" w:eastAsia="Times New Roman" w:hAnsi="Times New Roman"/>
          <w:sz w:val="18"/>
          <w:szCs w:val="18"/>
          <w:color w:val="auto"/>
        </w:rPr>
        <w:t xml:space="preserve">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Calculation of Registration Fee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table in the effective registration statement; and</w:t>
      </w:r>
    </w:p>
    <w:p>
      <w:pPr>
        <w:spacing w:after="0" w:line="180" w:lineRule="exact"/>
        <w:rPr>
          <w:sz w:val="20"/>
          <w:szCs w:val="20"/>
          <w:color w:val="auto"/>
        </w:rPr>
      </w:pPr>
    </w:p>
    <w:p>
      <w:pPr>
        <w:ind w:left="1960" w:right="300" w:hanging="656"/>
        <w:spacing w:after="0" w:line="282" w:lineRule="auto"/>
        <w:tabs>
          <w:tab w:leader="none" w:pos="196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4" w:lineRule="exact"/>
        <w:rPr>
          <w:rFonts w:ascii="Times New Roman" w:cs="Times New Roman" w:eastAsia="Times New Roman" w:hAnsi="Times New Roman"/>
          <w:sz w:val="18"/>
          <w:szCs w:val="18"/>
          <w:color w:val="auto"/>
        </w:rPr>
      </w:pPr>
    </w:p>
    <w:p>
      <w:pPr>
        <w:ind w:left="1300" w:right="20" w:hanging="644"/>
        <w:spacing w:after="0" w:line="25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660" w:hanging="652"/>
        <w:spacing w:after="0" w:line="254"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the 21st day of October 2022.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Name:Denis Phares</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Denis Phares and Nicole Harvey, each acting alone or together with another attorney-in-fact, as his or her true and lawful attorney-in-fact, with full power of substitution and resubstitution, for such person and in his or her name, place and stead, in any and all capacities, to sign any and all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31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5"/>
                <w:szCs w:val="15"/>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3180" w:type="dxa"/>
            <w:vAlign w:val="bottom"/>
          </w:tcPr>
          <w:p>
            <w:pPr>
              <w:spacing w:after="0"/>
              <w:rPr>
                <w:sz w:val="24"/>
                <w:szCs w:val="24"/>
                <w:color w:val="auto"/>
              </w:rPr>
            </w:pP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President and Chief Executive</w:t>
            </w:r>
          </w:p>
        </w:tc>
        <w:tc>
          <w:tcPr>
            <w:tcW w:w="316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Denis Phares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Marchetti</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Luisa Ingargiola</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Nelson</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Perry Boyle</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Bellows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Rick Parod</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Rick Parod</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Karina Edmonds</w:t>
            </w:r>
          </w:p>
        </w:tc>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2022</w:t>
            </w:r>
          </w:p>
        </w:tc>
      </w:t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 AGREEMENT</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This Warrant Agreement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is entered into on October 19, 2022, and effective as of October 7, 2022, by and between Dragonfly Energy Holdings Corp. (f/k/a Chardan NexTech Acquisition 2 Corp.),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American Stock Transfer &amp; Trust Company, LLC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WHEREAS, as part of its initial public offering (the “</w:t>
      </w:r>
      <w:r>
        <w:rPr>
          <w:rFonts w:ascii="Times New Roman" w:cs="Times New Roman" w:eastAsia="Times New Roman" w:hAnsi="Times New Roman"/>
          <w:sz w:val="22"/>
          <w:szCs w:val="22"/>
          <w:b w:val="1"/>
          <w:bCs w:val="1"/>
          <w:color w:val="auto"/>
        </w:rPr>
        <w:t>Public Offering</w:t>
      </w:r>
      <w:r>
        <w:rPr>
          <w:rFonts w:ascii="Times New Roman" w:cs="Times New Roman" w:eastAsia="Times New Roman" w:hAnsi="Times New Roman"/>
          <w:sz w:val="22"/>
          <w:szCs w:val="22"/>
          <w:color w:val="auto"/>
        </w:rPr>
        <w:t>”), Chardan NexTech Acquisition 2 Corp. (“</w:t>
      </w:r>
      <w:r>
        <w:rPr>
          <w:rFonts w:ascii="Times New Roman" w:cs="Times New Roman" w:eastAsia="Times New Roman" w:hAnsi="Times New Roman"/>
          <w:sz w:val="22"/>
          <w:szCs w:val="22"/>
          <w:b w:val="1"/>
          <w:bCs w:val="1"/>
          <w:color w:val="auto"/>
        </w:rPr>
        <w:t>Chardan</w:t>
      </w:r>
      <w:r>
        <w:rPr>
          <w:rFonts w:ascii="Times New Roman" w:cs="Times New Roman" w:eastAsia="Times New Roman" w:hAnsi="Times New Roman"/>
          <w:sz w:val="22"/>
          <w:szCs w:val="22"/>
          <w:color w:val="auto"/>
        </w:rPr>
        <w:t>”) issued 12,650,000 units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of the Company (including 1,650,000 Units issued pursuant to the underwriters’ full exercise of their over-allotment option), each Unit consisting of one share of common stock, par value $0.0001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and three-quarters of one warrant (each whole warrant, a “</w:t>
      </w:r>
      <w:r>
        <w:rPr>
          <w:rFonts w:ascii="Times New Roman" w:cs="Times New Roman" w:eastAsia="Times New Roman" w:hAnsi="Times New Roman"/>
          <w:sz w:val="22"/>
          <w:szCs w:val="22"/>
          <w:b w:val="1"/>
          <w:bCs w:val="1"/>
          <w:color w:val="auto"/>
        </w:rPr>
        <w:t>Public Warrant</w:t>
      </w:r>
      <w:r>
        <w:rPr>
          <w:rFonts w:ascii="Times New Roman" w:cs="Times New Roman" w:eastAsia="Times New Roman" w:hAnsi="Times New Roman"/>
          <w:sz w:val="22"/>
          <w:szCs w:val="22"/>
          <w:color w:val="auto"/>
        </w:rPr>
        <w:t>”), each Public Warrant entitling its holder to purchase one share of Common Stock (the “</w:t>
      </w:r>
      <w:r>
        <w:rPr>
          <w:rFonts w:ascii="Times New Roman" w:cs="Times New Roman" w:eastAsia="Times New Roman" w:hAnsi="Times New Roman"/>
          <w:sz w:val="22"/>
          <w:szCs w:val="22"/>
          <w:b w:val="1"/>
          <w:bCs w:val="1"/>
          <w:color w:val="auto"/>
        </w:rPr>
        <w:t>Public Warrant Shares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the Company completed the private sale of 4,627,858 private placement warrants (including 266,402 issued pursuant to the underwriters’ full exercise of their over-allotment option) to Chardan NexTech 2 Warrant Holdings LLC (“</w:t>
      </w:r>
      <w:r>
        <w:rPr>
          <w:rFonts w:ascii="Times New Roman" w:cs="Times New Roman" w:eastAsia="Times New Roman" w:hAnsi="Times New Roman"/>
          <w:sz w:val="22"/>
          <w:szCs w:val="22"/>
          <w:b w:val="1"/>
          <w:bCs w:val="1"/>
          <w:color w:val="auto"/>
        </w:rPr>
        <w:t>Holdings</w:t>
      </w:r>
      <w:r>
        <w:rPr>
          <w:rFonts w:ascii="Times New Roman" w:cs="Times New Roman" w:eastAsia="Times New Roman" w:hAnsi="Times New Roman"/>
          <w:sz w:val="22"/>
          <w:szCs w:val="22"/>
          <w:color w:val="auto"/>
        </w:rPr>
        <w:t>”), pursuant to the Subscription Agreement, dated as of August 10, 2021 (the “</w:t>
      </w:r>
      <w:r>
        <w:rPr>
          <w:rFonts w:ascii="Times New Roman" w:cs="Times New Roman" w:eastAsia="Times New Roman" w:hAnsi="Times New Roman"/>
          <w:sz w:val="22"/>
          <w:szCs w:val="22"/>
          <w:b w:val="1"/>
          <w:bCs w:val="1"/>
          <w:color w:val="auto"/>
        </w:rPr>
        <w:t>Private Warrants</w:t>
      </w:r>
      <w:r>
        <w:rPr>
          <w:rFonts w:ascii="Times New Roman" w:cs="Times New Roman" w:eastAsia="Times New Roman" w:hAnsi="Times New Roman"/>
          <w:sz w:val="22"/>
          <w:szCs w:val="22"/>
          <w:color w:val="auto"/>
        </w:rPr>
        <w:t>”), each whole Private Warrant entitling its holder to purchase one share of Common Stock (together with the Public Warrant Shares,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may issue additional warrants to purchase shares of Common Stock hereunder from time to time (the “</w:t>
      </w:r>
      <w:r>
        <w:rPr>
          <w:rFonts w:ascii="Times New Roman" w:cs="Times New Roman" w:eastAsia="Times New Roman" w:hAnsi="Times New Roman"/>
          <w:sz w:val="22"/>
          <w:szCs w:val="22"/>
          <w:b w:val="1"/>
          <w:bCs w:val="1"/>
          <w:color w:val="auto"/>
        </w:rPr>
        <w:t>Additional Warrants</w:t>
      </w:r>
      <w:r>
        <w:rPr>
          <w:rFonts w:ascii="Times New Roman" w:cs="Times New Roman" w:eastAsia="Times New Roman" w:hAnsi="Times New Roman"/>
          <w:sz w:val="22"/>
          <w:szCs w:val="22"/>
          <w:color w:val="auto"/>
        </w:rPr>
        <w:t>”, and together with the Public Warrants and Private Warrants, the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which shall have the same terms and be in the same form as the Private Warrants;</w:t>
      </w:r>
    </w:p>
    <w:p>
      <w:pPr>
        <w:spacing w:after="0" w:line="16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WHEREAS, the Company has filed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 Registration Statement on Form S-1, No. 333-254010, as amended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for the registration, under the Securities Act of 1933, as amended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among other securities, the Public Warrants;</w:t>
      </w:r>
    </w:p>
    <w:p>
      <w:pPr>
        <w:spacing w:after="0" w:line="17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Chardan entered into that certain Business Combination Agreement dated as of May 15, 2022, as amended on July 12, 2022 (the “</w:t>
      </w:r>
      <w:r>
        <w:rPr>
          <w:rFonts w:ascii="Times New Roman" w:cs="Times New Roman" w:eastAsia="Times New Roman" w:hAnsi="Times New Roman"/>
          <w:sz w:val="22"/>
          <w:szCs w:val="22"/>
          <w:b w:val="1"/>
          <w:bCs w:val="1"/>
          <w:color w:val="auto"/>
        </w:rPr>
        <w:t>Business Combination Agreement</w:t>
      </w:r>
      <w:r>
        <w:rPr>
          <w:rFonts w:ascii="Times New Roman" w:cs="Times New Roman" w:eastAsia="Times New Roman" w:hAnsi="Times New Roman"/>
          <w:sz w:val="22"/>
          <w:szCs w:val="22"/>
          <w:color w:val="auto"/>
        </w:rPr>
        <w:t>”), by and among Chardan, Bronco Merger Sub Inc., a Nevada corporation and wholly owned subsidiary of Chardan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and Dragonfly Energy Corp., a Nevada corporation (“</w:t>
      </w:r>
      <w:r>
        <w:rPr>
          <w:rFonts w:ascii="Times New Roman" w:cs="Times New Roman" w:eastAsia="Times New Roman" w:hAnsi="Times New Roman"/>
          <w:sz w:val="22"/>
          <w:szCs w:val="22"/>
          <w:b w:val="1"/>
          <w:bCs w:val="1"/>
          <w:color w:val="auto"/>
        </w:rPr>
        <w:t>Dragonfly</w:t>
      </w:r>
      <w:r>
        <w:rPr>
          <w:rFonts w:ascii="Times New Roman" w:cs="Times New Roman" w:eastAsia="Times New Roman" w:hAnsi="Times New Roman"/>
          <w:sz w:val="22"/>
          <w:szCs w:val="22"/>
          <w:color w:val="auto"/>
        </w:rPr>
        <w:t>”), pursuant to which (i) Merger Sub merged with and into Dragonfly, with Dragonfly surviving the merger as a wholly owned subsidiary of Chardan (the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and (ii) Chardan changed its name to “Dragonfly Energy Holdings Corp.”;</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Merger closed on October 7, 2022 and the transactions contemplated by the Business Combination Agreement were duly consummated;</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15" w:name="page216"/>
    <w:bookmarkEnd w:id="215"/>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7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herein contained, the parties hereto agree as follows:</w:t>
      </w:r>
    </w:p>
    <w:p>
      <w:pPr>
        <w:spacing w:after="0" w:line="158" w:lineRule="exact"/>
        <w:rPr>
          <w:sz w:val="20"/>
          <w:szCs w:val="20"/>
          <w:color w:val="auto"/>
        </w:rPr>
      </w:pPr>
    </w:p>
    <w:p>
      <w:pPr>
        <w:jc w:val="both"/>
        <w:ind w:firstLine="8"/>
        <w:spacing w:after="0" w:line="244" w:lineRule="auto"/>
        <w:tabs>
          <w:tab w:leader="none" w:pos="6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 of Warrant Agent</w:t>
      </w:r>
      <w:r>
        <w:rPr>
          <w:rFonts w:ascii="Times New Roman" w:cs="Times New Roman" w:eastAsia="Times New Roman" w:hAnsi="Times New Roman"/>
          <w:sz w:val="22"/>
          <w:szCs w:val="22"/>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Form of Warrant</w:t>
      </w:r>
      <w:r>
        <w:rPr>
          <w:rFonts w:ascii="Times New Roman" w:cs="Times New Roman" w:eastAsia="Times New Roman" w:hAnsi="Times New Roman"/>
          <w:sz w:val="22"/>
          <w:szCs w:val="22"/>
          <w:color w:val="auto"/>
        </w:rPr>
        <w:t xml:space="preserve">. Each Public Warrant shall be: (a) issued in registered form only, (b)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Effect of Countersignature</w:t>
      </w:r>
      <w:r>
        <w:rPr>
          <w:rFonts w:ascii="Times New Roman" w:cs="Times New Roman" w:eastAsia="Times New Roman" w:hAnsi="Times New Roman"/>
          <w:sz w:val="22"/>
          <w:szCs w:val="22"/>
          <w:color w:val="auto"/>
        </w:rPr>
        <w:t>. Unless and until countersigned by the Warrant Agent pursuant to this Agreement, a Warrant shall be invalid and of no effect and may not be exercised by the holder thereof.</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Registration</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Warrant Agent shall maintain books (the “</w:t>
      </w:r>
      <w:r>
        <w:rPr>
          <w:rFonts w:ascii="Times New Roman" w:cs="Times New Roman" w:eastAsia="Times New Roman" w:hAnsi="Times New Roman"/>
          <w:sz w:val="22"/>
          <w:szCs w:val="22"/>
          <w:b w:val="1"/>
          <w:bCs w:val="1"/>
          <w:color w:val="auto"/>
        </w:rPr>
        <w:t>Warrant Register</w:t>
      </w:r>
      <w:r>
        <w:rPr>
          <w:rFonts w:ascii="Times New Roman" w:cs="Times New Roman" w:eastAsia="Times New Roman" w:hAnsi="Times New Roman"/>
          <w:sz w:val="22"/>
          <w:szCs w:val="22"/>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2.3.2 </w:t>
      </w:r>
      <w:r>
        <w:rPr>
          <w:rFonts w:ascii="Times New Roman" w:cs="Times New Roman" w:eastAsia="Times New Roman" w:hAnsi="Times New Roman"/>
          <w:sz w:val="21"/>
          <w:szCs w:val="21"/>
          <w:u w:val="single" w:color="auto"/>
          <w:color w:val="auto"/>
        </w:rPr>
        <w:t>Registered Holder</w:t>
      </w:r>
      <w:r>
        <w:rPr>
          <w:rFonts w:ascii="Times New Roman" w:cs="Times New Roman" w:eastAsia="Times New Roman" w:hAnsi="Times New Roman"/>
          <w:sz w:val="21"/>
          <w:szCs w:val="21"/>
          <w:color w:val="auto"/>
        </w:rPr>
        <w:t>. Prior to due presentment for registration of transfer of any Warrant, the Company and the Warrant Agent may deem and treat the person in whose name such Warrant shall be registered upon the Warrant Register (“</w:t>
      </w:r>
      <w:r>
        <w:rPr>
          <w:rFonts w:ascii="Times New Roman" w:cs="Times New Roman" w:eastAsia="Times New Roman" w:hAnsi="Times New Roman"/>
          <w:sz w:val="21"/>
          <w:szCs w:val="21"/>
          <w:b w:val="1"/>
          <w:bCs w:val="1"/>
          <w:color w:val="auto"/>
        </w:rPr>
        <w:t>Registered Holder</w:t>
      </w:r>
      <w:r>
        <w:rPr>
          <w:rFonts w:ascii="Times New Roman" w:cs="Times New Roman" w:eastAsia="Times New Roman" w:hAnsi="Times New Roman"/>
          <w:sz w:val="21"/>
          <w:szCs w:val="21"/>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6" w:name="page217"/>
    <w:bookmarkEnd w:id="216"/>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Detachability of Warrants</w:t>
      </w:r>
      <w:r>
        <w:rPr>
          <w:rFonts w:ascii="Times New Roman" w:cs="Times New Roman" w:eastAsia="Times New Roman" w:hAnsi="Times New Roman"/>
          <w:sz w:val="22"/>
          <w:szCs w:val="22"/>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shall determine is acceptable (such date, the “</w:t>
      </w:r>
      <w:r>
        <w:rPr>
          <w:rFonts w:ascii="Times New Roman" w:cs="Times New Roman" w:eastAsia="Times New Roman" w:hAnsi="Times New Roman"/>
          <w:sz w:val="22"/>
          <w:szCs w:val="22"/>
          <w:b w:val="1"/>
          <w:bCs w:val="1"/>
          <w:color w:val="auto"/>
        </w:rPr>
        <w:t>Detachment Date</w:t>
      </w:r>
      <w:r>
        <w:rPr>
          <w:rFonts w:ascii="Times New Roman" w:cs="Times New Roman" w:eastAsia="Times New Roman" w:hAnsi="Times New Roman"/>
          <w:sz w:val="22"/>
          <w:szCs w:val="22"/>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8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Private Warrants</w:t>
      </w:r>
      <w:r>
        <w:rPr>
          <w:rFonts w:ascii="Times New Roman" w:cs="Times New Roman" w:eastAsia="Times New Roman" w:hAnsi="Times New Roman"/>
          <w:sz w:val="22"/>
          <w:szCs w:val="22"/>
          <w:color w:val="auto"/>
        </w:rPr>
        <w:t xml:space="preserve">. The Private Warrants will be issued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they (i) will be exercisable either for cash or on a cashless basis at the holder’s option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180 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79"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Exercise of Warrants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Warrant Price</w:t>
      </w:r>
      <w:r>
        <w:rPr>
          <w:rFonts w:ascii="Times New Roman" w:cs="Times New Roman" w:eastAsia="Times New Roman" w:hAnsi="Times New Roman"/>
          <w:sz w:val="22"/>
          <w:szCs w:val="22"/>
          <w:color w:val="auto"/>
        </w:rPr>
        <w:t xml:space="preserve">. Each Warrant shall, when countersigned by the Warrant Agent, entitle the Registered Holder thereof, subject to the provisions of such Warrant and of this Agreement, to purchase from the Company the number of shares of Common Stock stated therein, at $11.50 per whole share, subject to the adjustments provided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The term “</w:t>
      </w:r>
      <w:r>
        <w:rPr>
          <w:rFonts w:ascii="Times New Roman" w:cs="Times New Roman" w:eastAsia="Times New Roman" w:hAnsi="Times New Roman"/>
          <w:sz w:val="22"/>
          <w:szCs w:val="22"/>
          <w:b w:val="1"/>
          <w:bCs w:val="1"/>
          <w:color w:val="auto"/>
        </w:rPr>
        <w:t>Warrant Price</w:t>
      </w:r>
      <w:r>
        <w:rPr>
          <w:rFonts w:ascii="Times New Roman" w:cs="Times New Roman" w:eastAsia="Times New Roman" w:hAnsi="Times New Roman"/>
          <w:sz w:val="22"/>
          <w:szCs w:val="22"/>
          <w:color w:val="auto"/>
        </w:rPr>
        <w:t>” as used in this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Duration of Warrants</w:t>
      </w:r>
      <w:r>
        <w:rPr>
          <w:rFonts w:ascii="Times New Roman" w:cs="Times New Roman" w:eastAsia="Times New Roman" w:hAnsi="Times New Roman"/>
          <w:sz w:val="22"/>
          <w:szCs w:val="22"/>
          <w:color w:val="auto"/>
        </w:rPr>
        <w:t>. A Warrant may be exercised only during the period (“</w:t>
      </w:r>
      <w:r>
        <w:rPr>
          <w:rFonts w:ascii="Times New Roman" w:cs="Times New Roman" w:eastAsia="Times New Roman" w:hAnsi="Times New Roman"/>
          <w:sz w:val="22"/>
          <w:szCs w:val="22"/>
          <w:b w:val="1"/>
          <w:bCs w:val="1"/>
          <w:color w:val="auto"/>
        </w:rPr>
        <w:t>Exercise Period</w:t>
      </w:r>
      <w:r>
        <w:rPr>
          <w:rFonts w:ascii="Times New Roman" w:cs="Times New Roman" w:eastAsia="Times New Roman" w:hAnsi="Times New Roman"/>
          <w:sz w:val="22"/>
          <w:szCs w:val="22"/>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Holdings,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xml:space="preserve">”). Except with respect to the right to receive the Redemption Price (as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hereunder), each Warrant not exercised on or before the Expiration Date shall become void, and all rights thereunder and all rights in respect thereof under this Agreement shall cease at the close of business on the Expiration Date. The Company may extend the duration of the Warrants by delaying the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7" w:name="page218"/>
    <w:bookmarkEnd w:id="217"/>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Exercise of Warrants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Subject to the provisions of the Warrant and this Agreement, a Warrant, when countersigned by the Company, may be exercised by the Registered Holder thereof by surrendering it at the office of the Warrant Agent, or at the office of its successor as Warrant Agent, currently being:</w:t>
      </w:r>
    </w:p>
    <w:p>
      <w:pPr>
        <w:spacing w:after="0" w:line="1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American Stock Transfer &amp; Trust Company, LLC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6201 15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Avenue</w:t>
      </w:r>
    </w:p>
    <w:p>
      <w:pPr>
        <w:ind w:left="1960"/>
        <w:spacing w:after="0" w:line="230" w:lineRule="auto"/>
        <w:rPr>
          <w:sz w:val="20"/>
          <w:szCs w:val="20"/>
          <w:color w:val="auto"/>
        </w:rPr>
      </w:pPr>
      <w:r>
        <w:rPr>
          <w:rFonts w:ascii="Times New Roman" w:cs="Times New Roman" w:eastAsia="Times New Roman" w:hAnsi="Times New Roman"/>
          <w:sz w:val="22"/>
          <w:szCs w:val="22"/>
          <w:color w:val="auto"/>
        </w:rPr>
        <w:t>Brooklyn, NY 11219</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Reorg Department</w:t>
      </w:r>
    </w:p>
    <w:p>
      <w:pPr>
        <w:spacing w:after="0" w:line="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A Cash Exercise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available to the Registered Holder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 = Y [(A-B)/A]</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 = the number of Warrant Shares to be issued to the Registered Holder.</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Y = the number of Warrant Shares with respect to which this Warrant is being exercised.</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 = the fair market value of one share of Common Stock.</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 = the Warrant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218" w:name="page219"/>
    <w:bookmarkEnd w:id="21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Registered Holder may not exercise any Warrants in the absence of a registration statement except pursuant to this </w:t>
      </w:r>
      <w:r>
        <w:rPr>
          <w:rFonts w:ascii="Times New Roman" w:cs="Times New Roman" w:eastAsia="Times New Roman" w:hAnsi="Times New Roman"/>
          <w:sz w:val="22"/>
          <w:szCs w:val="22"/>
          <w:u w:val="single" w:color="auto"/>
          <w:color w:val="auto"/>
        </w:rPr>
        <w:t>Section 3.3.2</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3.3.2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the fair market value of one share of Common Stock is defined as follows:</w:t>
      </w:r>
    </w:p>
    <w:p>
      <w:pPr>
        <w:spacing w:after="0" w:line="174" w:lineRule="exact"/>
        <w:rPr>
          <w:sz w:val="20"/>
          <w:szCs w:val="20"/>
          <w:color w:val="auto"/>
        </w:rPr>
      </w:pPr>
    </w:p>
    <w:p>
      <w:pPr>
        <w:jc w:val="both"/>
        <w:ind w:left="660" w:firstLine="1811"/>
        <w:spacing w:after="0" w:line="238" w:lineRule="auto"/>
        <w:tabs>
          <w:tab w:leader="none" w:pos="273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of Common Stock are listed and traded on the NASDAQ Capital Market (the “</w:t>
      </w:r>
      <w:r>
        <w:rPr>
          <w:rFonts w:ascii="Times New Roman" w:cs="Times New Roman" w:eastAsia="Times New Roman" w:hAnsi="Times New Roman"/>
          <w:sz w:val="22"/>
          <w:szCs w:val="22"/>
          <w:b w:val="1"/>
          <w:bCs w:val="1"/>
          <w:color w:val="auto"/>
        </w:rPr>
        <w:t>Trading Market</w:t>
      </w:r>
      <w:r>
        <w:rPr>
          <w:rFonts w:ascii="Times New Roman" w:cs="Times New Roman" w:eastAsia="Times New Roman" w:hAnsi="Times New Roman"/>
          <w:sz w:val="22"/>
          <w:szCs w:val="22"/>
          <w:color w:val="auto"/>
        </w:rPr>
        <w:t>”), the fair market value shall be deemed to be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176" w:lineRule="exact"/>
        <w:rPr>
          <w:rFonts w:ascii="Times New Roman" w:cs="Times New Roman" w:eastAsia="Times New Roman" w:hAnsi="Times New Roman"/>
          <w:sz w:val="22"/>
          <w:szCs w:val="22"/>
          <w:color w:val="auto"/>
        </w:rPr>
      </w:pPr>
    </w:p>
    <w:p>
      <w:pPr>
        <w:jc w:val="both"/>
        <w:ind w:left="660" w:firstLine="1811"/>
        <w:spacing w:after="0" w:line="238" w:lineRule="auto"/>
        <w:tabs>
          <w:tab w:leader="none" w:pos="32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76" w:lineRule="exact"/>
        <w:rPr>
          <w:rFonts w:ascii="Times New Roman" w:cs="Times New Roman" w:eastAsia="Times New Roman" w:hAnsi="Times New Roman"/>
          <w:sz w:val="22"/>
          <w:szCs w:val="22"/>
          <w:color w:val="auto"/>
        </w:rPr>
      </w:pPr>
    </w:p>
    <w:p>
      <w:pPr>
        <w:jc w:val="both"/>
        <w:ind w:left="660" w:firstLine="1811"/>
        <w:spacing w:after="0" w:line="244" w:lineRule="auto"/>
        <w:tabs>
          <w:tab w:leader="none" w:pos="325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active public market for the Company’s shares of Common Stock, the fair market value of the shares of Common Stock shall be determined in good faith by the Company’s board of directors.</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3.3.3 </w:t>
      </w: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xml:space="preserve">. Notwithstanding any provision to the contrary contained in this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3.3.4 </w:t>
      </w:r>
      <w:r>
        <w:rPr>
          <w:rFonts w:ascii="Times New Roman" w:cs="Times New Roman" w:eastAsia="Times New Roman" w:hAnsi="Times New Roman"/>
          <w:sz w:val="21"/>
          <w:szCs w:val="21"/>
          <w:u w:val="single" w:color="auto"/>
          <w:color w:val="auto"/>
        </w:rPr>
        <w:t>Issuance of Certificates</w:t>
      </w:r>
      <w:r>
        <w:rPr>
          <w:rFonts w:ascii="Times New Roman" w:cs="Times New Roman" w:eastAsia="Times New Roman" w:hAnsi="Times New Roman"/>
          <w:sz w:val="21"/>
          <w:szCs w:val="21"/>
          <w:color w:val="auto"/>
        </w:rPr>
        <w:t xml:space="preserve">. No later than three (3) business days following the exercise of any Warrant and the clearance of the funds in payment of the Warrant Price pursuant to </w:t>
      </w:r>
      <w:r>
        <w:rPr>
          <w:rFonts w:ascii="Times New Roman" w:cs="Times New Roman" w:eastAsia="Times New Roman" w:hAnsi="Times New Roman"/>
          <w:sz w:val="21"/>
          <w:szCs w:val="21"/>
          <w:u w:val="single" w:color="auto"/>
          <w:color w:val="auto"/>
        </w:rPr>
        <w:t>Section 3.3.1</w:t>
      </w:r>
      <w:r>
        <w:rPr>
          <w:rFonts w:ascii="Times New Roman" w:cs="Times New Roman" w:eastAsia="Times New Roman" w:hAnsi="Times New Roman"/>
          <w:sz w:val="21"/>
          <w:szCs w:val="21"/>
          <w:color w:val="auto"/>
        </w:rPr>
        <w:t xml:space="preserve"> or cashless exercise pursuant to </w:t>
      </w:r>
      <w:r>
        <w:rPr>
          <w:rFonts w:ascii="Times New Roman" w:cs="Times New Roman" w:eastAsia="Times New Roman" w:hAnsi="Times New Roman"/>
          <w:sz w:val="21"/>
          <w:szCs w:val="21"/>
          <w:u w:val="single" w:color="auto"/>
          <w:color w:val="auto"/>
        </w:rPr>
        <w:t>Section 3.3.2</w:t>
      </w:r>
      <w:r>
        <w:rPr>
          <w:rFonts w:ascii="Times New Roman" w:cs="Times New Roman" w:eastAsia="Times New Roman" w:hAnsi="Times New Roman"/>
          <w:sz w:val="21"/>
          <w:szCs w:val="21"/>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9" w:name="page220"/>
    <w:bookmarkEnd w:id="219"/>
    <w:p>
      <w:pPr>
        <w:jc w:val="both"/>
        <w:spacing w:after="0" w:line="236" w:lineRule="auto"/>
        <w:rPr>
          <w:sz w:val="20"/>
          <w:szCs w:val="20"/>
          <w:color w:val="auto"/>
        </w:rPr>
      </w:pPr>
      <w:r>
        <w:rPr>
          <w:rFonts w:ascii="Times New Roman" w:cs="Times New Roman" w:eastAsia="Times New Roman" w:hAnsi="Times New Roman"/>
          <w:sz w:val="22"/>
          <w:szCs w:val="22"/>
          <w:color w:val="auto"/>
        </w:rPr>
        <w:t>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3.3.5 </w:t>
      </w:r>
      <w:r>
        <w:rPr>
          <w:rFonts w:ascii="Times New Roman" w:cs="Times New Roman" w:eastAsia="Times New Roman" w:hAnsi="Times New Roman"/>
          <w:sz w:val="22"/>
          <w:szCs w:val="22"/>
          <w:u w:val="single" w:color="auto"/>
          <w:color w:val="auto"/>
        </w:rPr>
        <w:t>Valid Issuance</w:t>
      </w:r>
      <w:r>
        <w:rPr>
          <w:rFonts w:ascii="Times New Roman" w:cs="Times New Roman" w:eastAsia="Times New Roman" w:hAnsi="Times New Roman"/>
          <w:sz w:val="22"/>
          <w:szCs w:val="22"/>
          <w:color w:val="auto"/>
        </w:rPr>
        <w:t>. All shares of Common Stock issued upon the proper exercise or surrender of a Warrant in conformity with this Agreement shall be validly issued, fully paid and non-assessable.</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3.3.6 </w:t>
      </w:r>
      <w:r>
        <w:rPr>
          <w:rFonts w:ascii="Times New Roman" w:cs="Times New Roman" w:eastAsia="Times New Roman" w:hAnsi="Times New Roman"/>
          <w:sz w:val="22"/>
          <w:szCs w:val="22"/>
          <w:u w:val="single" w:color="auto"/>
          <w:color w:val="auto"/>
        </w:rPr>
        <w:t>Date of Issuance</w:t>
      </w:r>
      <w:r>
        <w:rPr>
          <w:rFonts w:ascii="Times New Roman" w:cs="Times New Roman" w:eastAsia="Times New Roman" w:hAnsi="Times New Roman"/>
          <w:sz w:val="22"/>
          <w:szCs w:val="22"/>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1"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3.3.7 </w:t>
      </w:r>
      <w:r>
        <w:rPr>
          <w:rFonts w:ascii="Times New Roman" w:cs="Times New Roman" w:eastAsia="Times New Roman" w:hAnsi="Times New Roman"/>
          <w:sz w:val="22"/>
          <w:szCs w:val="22"/>
          <w:u w:val="single" w:color="auto"/>
          <w:color w:val="auto"/>
        </w:rPr>
        <w:t>Maximum Percentage</w:t>
      </w:r>
      <w:r>
        <w:rPr>
          <w:rFonts w:ascii="Times New Roman" w:cs="Times New Roman" w:eastAsia="Times New Roman" w:hAnsi="Times New Roman"/>
          <w:sz w:val="22"/>
          <w:szCs w:val="22"/>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22"/>
          <w:szCs w:val="22"/>
          <w:u w:val="single" w:color="auto"/>
          <w:color w:val="auto"/>
        </w:rPr>
        <w:t>Section 3.3.7</w:t>
      </w:r>
      <w:r>
        <w:rPr>
          <w:rFonts w:ascii="Times New Roman" w:cs="Times New Roman" w:eastAsia="Times New Roman" w:hAnsi="Times New Roman"/>
          <w:sz w:val="22"/>
          <w:szCs w:val="22"/>
          <w:color w:val="auto"/>
        </w:rPr>
        <w:t xml:space="preserve">; however, no holder of a Warrant shall be subject to this </w:t>
      </w:r>
      <w:r>
        <w:rPr>
          <w:rFonts w:ascii="Times New Roman" w:cs="Times New Roman" w:eastAsia="Times New Roman" w:hAnsi="Times New Roman"/>
          <w:sz w:val="22"/>
          <w:szCs w:val="22"/>
          <w:u w:val="single" w:color="auto"/>
          <w:color w:val="auto"/>
        </w:rPr>
        <w:t>Section 3.3.7</w:t>
      </w:r>
      <w:r>
        <w:rPr>
          <w:rFonts w:ascii="Times New Roman" w:cs="Times New Roman" w:eastAsia="Times New Roman" w:hAnsi="Times New Roman"/>
          <w:sz w:val="22"/>
          <w:szCs w:val="22"/>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Times New Roman" w:cs="Times New Roman" w:eastAsia="Times New Roman" w:hAnsi="Times New Roman"/>
          <w:sz w:val="22"/>
          <w:szCs w:val="22"/>
          <w:b w:val="1"/>
          <w:bCs w:val="1"/>
          <w:color w:val="auto"/>
        </w:rPr>
        <w:t>Maximum Percentage</w:t>
      </w:r>
      <w:r>
        <w:rPr>
          <w:rFonts w:ascii="Times New Roman" w:cs="Times New Roman" w:eastAsia="Times New Roman" w:hAnsi="Times New Roman"/>
          <w:sz w:val="22"/>
          <w:szCs w:val="22"/>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0" w:name="page221"/>
    <w:bookmarkEnd w:id="22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such increase shall not be effective until the sixty-first (61st) day after such notice is delivered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Company.</w:t>
      </w:r>
    </w:p>
    <w:p>
      <w:pPr>
        <w:spacing w:after="0" w:line="184"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Stock Dividends, Splits</w:t>
      </w:r>
      <w:r>
        <w:rPr>
          <w:rFonts w:ascii="Times New Roman" w:cs="Times New Roman" w:eastAsia="Times New Roman" w:hAnsi="Times New Roman"/>
          <w:sz w:val="21"/>
          <w:szCs w:val="21"/>
          <w:color w:val="auto"/>
        </w:rPr>
        <w:t xml:space="preserve">. If, after the date hereof, and subject to the provisions of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w:t>
      </w:r>
    </w:p>
    <w:p>
      <w:pPr>
        <w:spacing w:after="0" w:line="9" w:lineRule="exact"/>
        <w:rPr>
          <w:sz w:val="20"/>
          <w:szCs w:val="20"/>
          <w:color w:val="auto"/>
        </w:rPr>
      </w:pPr>
    </w:p>
    <w:p>
      <w:pPr>
        <w:jc w:val="both"/>
        <w:ind w:firstLine="8"/>
        <w:spacing w:after="0" w:line="233" w:lineRule="auto"/>
        <w:tabs>
          <w:tab w:leader="none" w:pos="32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price per share of Common Stock paid in such rights offering divided by (y) the fair market value. For purposes of this </w:t>
      </w:r>
      <w:r>
        <w:rPr>
          <w:rFonts w:ascii="Times New Roman" w:cs="Times New Roman" w:eastAsia="Times New Roman" w:hAnsi="Times New Roman"/>
          <w:sz w:val="22"/>
          <w:szCs w:val="22"/>
          <w:u w:val="single" w:color="auto"/>
          <w:color w:val="auto"/>
        </w:rPr>
        <w:t>subsection 4.1</w:t>
      </w:r>
      <w:r>
        <w:rPr>
          <w:rFonts w:ascii="Times New Roman" w:cs="Times New Roman" w:eastAsia="Times New Roman" w:hAnsi="Times New Roman"/>
          <w:sz w:val="22"/>
          <w:szCs w:val="22"/>
          <w:color w:val="auto"/>
        </w:rPr>
        <w:t>,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Aggregation of Shares</w:t>
      </w:r>
      <w:r>
        <w:rPr>
          <w:rFonts w:ascii="Times New Roman" w:cs="Times New Roman" w:eastAsia="Times New Roman" w:hAnsi="Times New Roman"/>
          <w:sz w:val="22"/>
          <w:szCs w:val="22"/>
          <w:color w:val="auto"/>
        </w:rPr>
        <w:t xml:space="preserve">. If, after the date hereof, and subject to the provisions of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Extraordinary Dividends</w:t>
      </w:r>
      <w:r>
        <w:rPr>
          <w:rFonts w:ascii="Times New Roman" w:cs="Times New Roman" w:eastAsia="Times New Roman" w:hAnsi="Times New Roman"/>
          <w:sz w:val="22"/>
          <w:szCs w:val="22"/>
          <w:color w:val="auto"/>
        </w:rPr>
        <w:t xml:space="preserve">.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1" w:name="page222"/>
    <w:bookmarkEnd w:id="221"/>
    <w:p>
      <w:pPr>
        <w:jc w:val="both"/>
        <w:spacing w:after="0" w:line="233" w:lineRule="auto"/>
        <w:rPr>
          <w:sz w:val="20"/>
          <w:szCs w:val="20"/>
          <w:color w:val="auto"/>
        </w:rPr>
      </w:pPr>
      <w:r>
        <w:rPr>
          <w:rFonts w:ascii="Times New Roman" w:cs="Times New Roman" w:eastAsia="Times New Roman" w:hAnsi="Times New Roman"/>
          <w:sz w:val="22"/>
          <w:szCs w:val="22"/>
          <w:color w:val="auto"/>
        </w:rPr>
        <w:t>assets upon its failure to consummate a business combination (any such non-excluded event being referred to herein as an “</w:t>
      </w:r>
      <w:r>
        <w:rPr>
          <w:rFonts w:ascii="Times New Roman" w:cs="Times New Roman" w:eastAsia="Times New Roman" w:hAnsi="Times New Roman"/>
          <w:sz w:val="22"/>
          <w:szCs w:val="22"/>
          <w:b w:val="1"/>
          <w:bCs w:val="1"/>
          <w:color w:val="auto"/>
        </w:rPr>
        <w:t>Extraordinary Dividend</w:t>
      </w:r>
      <w:r>
        <w:rPr>
          <w:rFonts w:ascii="Times New Roman" w:cs="Times New Roman" w:eastAsia="Times New Roman" w:hAnsi="Times New Roman"/>
          <w:sz w:val="22"/>
          <w:szCs w:val="22"/>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Ordinary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means any cash dividend or cash distribution which, when combined on a per share basis with the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Further, the holders of the Private Warrants that are beneficially owned by Chardan Capital Markets, LLC or any of its related persons may not receive or accrue any cash dividends prior to the exercise or conversion of such Private Warrants, as required by FINRA Rule 5110(g)(8)(F).</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Adjustments in Exercise Price</w:t>
      </w:r>
      <w:r>
        <w:rPr>
          <w:rFonts w:ascii="Times New Roman" w:cs="Times New Roman" w:eastAsia="Times New Roman" w:hAnsi="Times New Roman"/>
          <w:sz w:val="22"/>
          <w:szCs w:val="22"/>
          <w:color w:val="auto"/>
        </w:rPr>
        <w:t xml:space="preserve">. Whenever the number of shares of Common Stock purchasable upon the exercise of the Warrants is adjusted, as provided in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Replacement of Securities upon Reorganization, etc</w:t>
      </w:r>
      <w:r>
        <w:rPr>
          <w:rFonts w:ascii="Times New Roman" w:cs="Times New Roman" w:eastAsia="Times New Roman" w:hAnsi="Times New Roman"/>
          <w:sz w:val="22"/>
          <w:szCs w:val="22"/>
          <w:color w:val="auto"/>
        </w:rPr>
        <w:t xml:space="preserve">. In case of any reclassification or reorganization of the outstanding shares of Common Stock (other than a change covered by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then such adjustment shall be made pursuant to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shall similarly apply to successive reclassifications, reorganizations, mergers or consolidations, sales or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2" w:name="page223"/>
    <w:bookmarkEnd w:id="222"/>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Notices of Changes in Warrant</w:t>
      </w:r>
      <w:r>
        <w:rPr>
          <w:rFonts w:ascii="Times New Roman" w:cs="Times New Roman" w:eastAsia="Times New Roman" w:hAnsi="Times New Roman"/>
          <w:sz w:val="22"/>
          <w:szCs w:val="22"/>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Form of Warrant</w:t>
      </w:r>
      <w:r>
        <w:rPr>
          <w:rFonts w:ascii="Times New Roman" w:cs="Times New Roman" w:eastAsia="Times New Roman" w:hAnsi="Times New Roman"/>
          <w:sz w:val="21"/>
          <w:szCs w:val="21"/>
          <w:color w:val="auto"/>
        </w:rPr>
        <w:t xml:space="preserve">. The form of Warrant need not be changed because of any adjustment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Notice of Certain Transactions</w:t>
      </w:r>
      <w:r>
        <w:rPr>
          <w:rFonts w:ascii="Times New Roman" w:cs="Times New Roman" w:eastAsia="Times New Roman" w:hAnsi="Times New Roman"/>
          <w:sz w:val="21"/>
          <w:szCs w:val="21"/>
          <w:color w:val="auto"/>
        </w:rPr>
        <w:t xml:space="preserve">.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which would be required as a result of such action. Such notice shall be given as promptly as practicable after the Company has taken any such action.</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Issuance in Connection with a Business Combination</w:t>
      </w:r>
      <w:r>
        <w:rPr>
          <w:rFonts w:ascii="Times New Roman" w:cs="Times New Roman" w:eastAsia="Times New Roman" w:hAnsi="Times New Roman"/>
          <w:sz w:val="22"/>
          <w:szCs w:val="22"/>
          <w:color w:val="auto"/>
        </w:rPr>
        <w:t>. If, in connection with an initial business Combination, the Company (a) issues additional shares of Common Stock or equity-linked securities for capital raising purposes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(as defined in the Company’s Registration Statement on Form S-1, No. 33-254010, as amended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initial stockholders (as defined in the Registration Statement) or their affiliates, without taking into account any founder shares (as defined in the Registration Statement) held by them prior to such issuance)) (the “</w:t>
      </w:r>
      <w:r>
        <w:rPr>
          <w:rFonts w:ascii="Times New Roman" w:cs="Times New Roman" w:eastAsia="Times New Roman" w:hAnsi="Times New Roman"/>
          <w:sz w:val="22"/>
          <w:szCs w:val="22"/>
          <w:b w:val="1"/>
          <w:bCs w:val="1"/>
          <w:color w:val="auto"/>
        </w:rPr>
        <w:t>Newly Issued Price</w:t>
      </w:r>
      <w:r>
        <w:rPr>
          <w:rFonts w:ascii="Times New Roman" w:cs="Times New Roman" w:eastAsia="Times New Roman" w:hAnsi="Times New Roman"/>
          <w:sz w:val="22"/>
          <w:szCs w:val="22"/>
          <w:color w:val="auto"/>
        </w:rPr>
        <w:t>”)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3" w:name="page224"/>
    <w:bookmarkEnd w:id="22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aggregate gross proceeds from such issuances represent more than 60% of the total equity proceeds, and interest thereon, available for the funding of the initial business combination on the date of the consummation of such initial business combination (net of redemptions), and (c) the Market Price (as defined below) is below $9.20 per share, the Warrant Price shall be adjusted (to the nearest cent) to be equal to 115% of the higher of (i) the Market Price and (ii) the Newly Issued Price, and the Redemption Trigger Price (as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shall be adjusted (to the nearest cent) to be equal to 160% of the higher of (i) the Market Price and the Newly Issued Price. The “</w:t>
      </w:r>
      <w:r>
        <w:rPr>
          <w:rFonts w:ascii="Times New Roman" w:cs="Times New Roman" w:eastAsia="Times New Roman" w:hAnsi="Times New Roman"/>
          <w:sz w:val="22"/>
          <w:szCs w:val="22"/>
          <w:b w:val="1"/>
          <w:bCs w:val="1"/>
          <w:color w:val="auto"/>
        </w:rPr>
        <w:t>Market Price</w:t>
      </w:r>
      <w:r>
        <w:rPr>
          <w:rFonts w:ascii="Times New Roman" w:cs="Times New Roman" w:eastAsia="Times New Roman" w:hAnsi="Times New Roman"/>
          <w:sz w:val="22"/>
          <w:szCs w:val="22"/>
          <w:color w:val="auto"/>
        </w:rPr>
        <w:t>” shall mean the volume weighted average reported last sale price of the shares of Common Stock for the 10 trading days ending on the trading day prior to the date of the completion of the initial business combination.</w:t>
      </w:r>
    </w:p>
    <w:p>
      <w:pPr>
        <w:spacing w:after="0" w:line="184"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Warrants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Transfer of Warrants</w:t>
      </w:r>
      <w:r>
        <w:rPr>
          <w:rFonts w:ascii="Times New Roman" w:cs="Times New Roman" w:eastAsia="Times New Roman" w:hAnsi="Times New Roman"/>
          <w:sz w:val="22"/>
          <w:szCs w:val="22"/>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will have no further force and effect.</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Registration of Transfer</w:t>
      </w:r>
      <w:r>
        <w:rPr>
          <w:rFonts w:ascii="Times New Roman" w:cs="Times New Roman" w:eastAsia="Times New Roman" w:hAnsi="Times New Roman"/>
          <w:sz w:val="22"/>
          <w:szCs w:val="22"/>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Procedure for Surrender of Warrants</w:t>
      </w:r>
      <w:r>
        <w:rPr>
          <w:rFonts w:ascii="Times New Roman" w:cs="Times New Roman" w:eastAsia="Times New Roman" w:hAnsi="Times New Roman"/>
          <w:sz w:val="21"/>
          <w:szCs w:val="21"/>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Fractional Warrants</w:t>
      </w:r>
      <w:r>
        <w:rPr>
          <w:rFonts w:ascii="Times New Roman" w:cs="Times New Roman" w:eastAsia="Times New Roman" w:hAnsi="Times New Roman"/>
          <w:sz w:val="22"/>
          <w:szCs w:val="22"/>
          <w:color w:val="auto"/>
        </w:rPr>
        <w:t>. The Warrant Agent shall not be required to effect any registration of transfer or exchange that will result in the issuance of a Warrant certificate for a fraction of a Warrant.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Service Charges</w:t>
      </w:r>
      <w:r>
        <w:rPr>
          <w:rFonts w:ascii="Times New Roman" w:cs="Times New Roman" w:eastAsia="Times New Roman" w:hAnsi="Times New Roman"/>
          <w:sz w:val="22"/>
          <w:szCs w:val="22"/>
          <w:color w:val="auto"/>
        </w:rPr>
        <w:t>. No service charge shall be made for any exchange or registration of transfer of Warrants.</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Warrant Execution and Countersignature</w:t>
      </w:r>
      <w:r>
        <w:rPr>
          <w:rFonts w:ascii="Times New Roman" w:cs="Times New Roman" w:eastAsia="Times New Roman" w:hAnsi="Times New Roman"/>
          <w:sz w:val="22"/>
          <w:szCs w:val="22"/>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and the Company, whenever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4" w:name="page225"/>
    <w:bookmarkEnd w:id="224"/>
    <w:p>
      <w:pPr>
        <w:ind w:right="20"/>
        <w:spacing w:after="0" w:line="259" w:lineRule="auto"/>
        <w:rPr>
          <w:sz w:val="20"/>
          <w:szCs w:val="20"/>
          <w:color w:val="auto"/>
        </w:rPr>
      </w:pPr>
      <w:r>
        <w:rPr>
          <w:rFonts w:ascii="Times New Roman" w:cs="Times New Roman" w:eastAsia="Times New Roman" w:hAnsi="Times New Roman"/>
          <w:sz w:val="22"/>
          <w:szCs w:val="22"/>
          <w:color w:val="auto"/>
        </w:rPr>
        <w:t>required by the Warrant Agent, will supply the Warrant Agent with Warrants duly executed on behalf of the Company for such purpose.</w:t>
      </w:r>
    </w:p>
    <w:p>
      <w:pPr>
        <w:spacing w:after="0" w:line="157"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Redemption</w:t>
      </w:r>
      <w:r>
        <w:rPr>
          <w:rFonts w:ascii="Times New Roman" w:cs="Times New Roman" w:eastAsia="Times New Roman" w:hAnsi="Times New Roman"/>
          <w:sz w:val="21"/>
          <w:szCs w:val="21"/>
          <w:color w:val="auto"/>
        </w:rPr>
        <w:t xml:space="preserve">. Subject to the second sentence of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all (and not less than all) of the outstanding Warrants (excluding the Private Warrants) may be redeemed, in whole and not in part, at the option of the Company, at any time from and after the time that the Warrants become exercisable, and prior to their expiration, at the office of the Warrant Agent, upon the notice referred to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at the price of $0.01 per Warrant (“</w:t>
      </w:r>
      <w:r>
        <w:rPr>
          <w:rFonts w:ascii="Times New Roman" w:cs="Times New Roman" w:eastAsia="Times New Roman" w:hAnsi="Times New Roman"/>
          <w:sz w:val="21"/>
          <w:szCs w:val="21"/>
          <w:b w:val="1"/>
          <w:bCs w:val="1"/>
          <w:color w:val="auto"/>
        </w:rPr>
        <w:t>Redemption Price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last reported sales price of the Common Stock has been equal to or greater than $16.00 per share (subject to adjustment for splits, dividends, recapitalizations and other similar events) (the “</w:t>
      </w:r>
      <w:r>
        <w:rPr>
          <w:rFonts w:ascii="Times New Roman" w:cs="Times New Roman" w:eastAsia="Times New Roman" w:hAnsi="Times New Roman"/>
          <w:sz w:val="21"/>
          <w:szCs w:val="21"/>
          <w:b w:val="1"/>
          <w:bCs w:val="1"/>
          <w:color w:val="auto"/>
        </w:rPr>
        <w:t>Redemption Trigger Price</w:t>
      </w:r>
      <w:r>
        <w:rPr>
          <w:rFonts w:ascii="Times New Roman" w:cs="Times New Roman" w:eastAsia="Times New Roman" w:hAnsi="Times New Roman"/>
          <w:sz w:val="21"/>
          <w:szCs w:val="21"/>
          <w:color w:val="auto"/>
        </w:rPr>
        <w:t xml:space="preserve">”), for any ten (10) trading days within a thirty (30) trading day period ending on the third business day prior to the date on which notice of redemption is given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(excluding the Private Warrants) become redeemable by the Company under this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the Company may exercise its redemption right, even if it is unable to register or qualify the Warrant Shares for sale under all applicable state securities laws.</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Date Fixed for, and Notice of, Redemption</w:t>
      </w:r>
      <w:r>
        <w:rPr>
          <w:rFonts w:ascii="Times New Roman" w:cs="Times New Roman" w:eastAsia="Times New Roman" w:hAnsi="Times New Roman"/>
          <w:sz w:val="22"/>
          <w:szCs w:val="22"/>
          <w:color w:val="auto"/>
        </w:rPr>
        <w:t>. In the event the Company shall elect to redeem all of the Warrants, the Company shall fix a date for the redemption (the “</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Exercise After Notice of Redemption</w:t>
      </w:r>
      <w:r>
        <w:rPr>
          <w:rFonts w:ascii="Times New Roman" w:cs="Times New Roman" w:eastAsia="Times New Roman" w:hAnsi="Times New Roman"/>
          <w:sz w:val="22"/>
          <w:szCs w:val="22"/>
          <w:color w:val="auto"/>
        </w:rPr>
        <w:t xml:space="preserve">. The Warrants may be exercised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at any time after notice of redemption shall have been given by the Company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hereof and prior to the Redemption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require the Registered Holder who desires to exercise the Warrant to elect cashless exercise as set forth under </w:t>
      </w:r>
      <w:r>
        <w:rPr>
          <w:rFonts w:ascii="Times New Roman" w:cs="Times New Roman" w:eastAsia="Times New Roman" w:hAnsi="Times New Roman"/>
          <w:sz w:val="22"/>
          <w:szCs w:val="22"/>
          <w:u w:val="single" w:color="auto"/>
          <w:color w:val="auto"/>
        </w:rPr>
        <w:t>Section 3.3.2</w:t>
      </w:r>
      <w:r>
        <w:rPr>
          <w:rFonts w:ascii="Times New Roman" w:cs="Times New Roman" w:eastAsia="Times New Roman" w:hAnsi="Times New Roman"/>
          <w:sz w:val="22"/>
          <w:szCs w:val="22"/>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No Other Rights to Cash Payment</w:t>
      </w:r>
      <w:r>
        <w:rPr>
          <w:rFonts w:ascii="Times New Roman" w:cs="Times New Roman" w:eastAsia="Times New Roman" w:hAnsi="Times New Roman"/>
          <w:sz w:val="22"/>
          <w:szCs w:val="22"/>
          <w:color w:val="auto"/>
        </w:rPr>
        <w:t xml:space="preserve">. Except for a redemption in accordance with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no Registered Holder of any Warrant shall be entitled to any cash payment whatsoever from the Company in connection with the ownership, exercise or surrender of any Warrant under this Agreement.</w:t>
      </w:r>
    </w:p>
    <w:p>
      <w:pPr>
        <w:spacing w:after="0" w:line="173"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 Relating to Rights of Registered Holders of Warrants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No Rights as Stockholder</w:t>
      </w:r>
      <w:r>
        <w:rPr>
          <w:rFonts w:ascii="Times New Roman" w:cs="Times New Roman" w:eastAsia="Times New Roman" w:hAnsi="Times New Roman"/>
          <w:sz w:val="22"/>
          <w:szCs w:val="22"/>
          <w:color w:val="auto"/>
        </w:rPr>
        <w:t>. A Warrant does not entitle the Registered Holder thereof to any of the rights of a stockholder of the Company, including, without limitation,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5" w:name="page226"/>
    <w:bookmarkEnd w:id="225"/>
    <w:p>
      <w:pPr>
        <w:jc w:val="both"/>
        <w:spacing w:after="0" w:line="244" w:lineRule="auto"/>
        <w:rPr>
          <w:sz w:val="20"/>
          <w:szCs w:val="20"/>
          <w:color w:val="auto"/>
        </w:rPr>
      </w:pPr>
      <w:r>
        <w:rPr>
          <w:rFonts w:ascii="Times New Roman" w:cs="Times New Roman" w:eastAsia="Times New Roman" w:hAnsi="Times New Roman"/>
          <w:sz w:val="22"/>
          <w:szCs w:val="22"/>
          <w:color w:val="auto"/>
        </w:rPr>
        <w:t>receive dividends, or other distributions, exercise any preemptive rights to vote or to consent or to receive notice as stockholders in respect of the meetings of stockholders or the election of directors of the Company or any other matter.</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Lost, Stolen Mutilated or Destroyed Warrants</w:t>
      </w:r>
      <w:r>
        <w:rPr>
          <w:rFonts w:ascii="Times New Roman" w:cs="Times New Roman" w:eastAsia="Times New Roman" w:hAnsi="Times New Roman"/>
          <w:sz w:val="22"/>
          <w:szCs w:val="22"/>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Reservation of shares of Common Stock</w:t>
      </w:r>
      <w:r>
        <w:rPr>
          <w:rFonts w:ascii="Times New Roman" w:cs="Times New Roman" w:eastAsia="Times New Roman" w:hAnsi="Times New Roman"/>
          <w:sz w:val="22"/>
          <w:szCs w:val="22"/>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Registration of shares of Common Stock</w:t>
      </w:r>
      <w:r>
        <w:rPr>
          <w:rFonts w:ascii="Times New Roman" w:cs="Times New Roman" w:eastAsia="Times New Roman" w:hAnsi="Times New Roman"/>
          <w:sz w:val="22"/>
          <w:szCs w:val="22"/>
          <w:color w:val="auto"/>
        </w:rPr>
        <w:t>. The Company agrees that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81"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Concerning the Warrant Agent and Other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Payment of Taxes</w:t>
      </w:r>
      <w:r>
        <w:rPr>
          <w:rFonts w:ascii="Times New Roman" w:cs="Times New Roman" w:eastAsia="Times New Roman" w:hAnsi="Times New Roman"/>
          <w:sz w:val="22"/>
          <w:szCs w:val="22"/>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Resignation, Consolidation, or Merger of Warrant Agent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8.2.1 </w:t>
      </w:r>
      <w:r>
        <w:rPr>
          <w:rFonts w:ascii="Times New Roman" w:cs="Times New Roman" w:eastAsia="Times New Roman" w:hAnsi="Times New Roman"/>
          <w:sz w:val="22"/>
          <w:szCs w:val="22"/>
          <w:u w:val="single" w:color="auto"/>
          <w:color w:val="auto"/>
        </w:rPr>
        <w:t>Appointment of Successor Warrant Agent</w:t>
      </w:r>
      <w:r>
        <w:rPr>
          <w:rFonts w:ascii="Times New Roman" w:cs="Times New Roman" w:eastAsia="Times New Roman" w:hAnsi="Times New Roman"/>
          <w:sz w:val="22"/>
          <w:szCs w:val="22"/>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6" w:name="page227"/>
    <w:bookmarkEnd w:id="226"/>
    <w:p>
      <w:pPr>
        <w:jc w:val="both"/>
        <w:spacing w:after="0" w:line="246" w:lineRule="auto"/>
        <w:rPr>
          <w:sz w:val="20"/>
          <w:szCs w:val="20"/>
          <w:color w:val="auto"/>
        </w:rPr>
      </w:pPr>
      <w:r>
        <w:rPr>
          <w:rFonts w:ascii="Times New Roman" w:cs="Times New Roman" w:eastAsia="Times New Roman" w:hAnsi="Times New Roman"/>
          <w:sz w:val="21"/>
          <w:szCs w:val="21"/>
          <w:color w:val="auto"/>
        </w:rPr>
        <w:t>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7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8.2.2 </w:t>
      </w:r>
      <w:r>
        <w:rPr>
          <w:rFonts w:ascii="Times New Roman" w:cs="Times New Roman" w:eastAsia="Times New Roman" w:hAnsi="Times New Roman"/>
          <w:sz w:val="22"/>
          <w:szCs w:val="22"/>
          <w:u w:val="single" w:color="auto"/>
          <w:color w:val="auto"/>
        </w:rPr>
        <w:t>Notice of Successor Warrant Agent</w:t>
      </w:r>
      <w:r>
        <w:rPr>
          <w:rFonts w:ascii="Times New Roman" w:cs="Times New Roman" w:eastAsia="Times New Roman" w:hAnsi="Times New Roman"/>
          <w:sz w:val="22"/>
          <w:szCs w:val="22"/>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8.2.3 </w:t>
      </w:r>
      <w:r>
        <w:rPr>
          <w:rFonts w:ascii="Times New Roman" w:cs="Times New Roman" w:eastAsia="Times New Roman" w:hAnsi="Times New Roman"/>
          <w:sz w:val="22"/>
          <w:szCs w:val="22"/>
          <w:u w:val="single" w:color="auto"/>
          <w:color w:val="auto"/>
        </w:rPr>
        <w:t>Merger or Consolidation of Warrant Agent</w:t>
      </w:r>
      <w:r>
        <w:rPr>
          <w:rFonts w:ascii="Times New Roman" w:cs="Times New Roman" w:eastAsia="Times New Roman" w:hAnsi="Times New Roman"/>
          <w:sz w:val="22"/>
          <w:szCs w:val="22"/>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 on the part of the Company or the Warrant Agent.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Fees and Expenses of Warrant Agent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8.3.1 </w:t>
      </w:r>
      <w:r>
        <w:rPr>
          <w:rFonts w:ascii="Times New Roman" w:cs="Times New Roman" w:eastAsia="Times New Roman" w:hAnsi="Times New Roman"/>
          <w:sz w:val="22"/>
          <w:szCs w:val="22"/>
          <w:u w:val="single" w:color="auto"/>
          <w:color w:val="auto"/>
        </w:rPr>
        <w:t>Remuneration</w:t>
      </w:r>
      <w:r>
        <w:rPr>
          <w:rFonts w:ascii="Times New Roman" w:cs="Times New Roman" w:eastAsia="Times New Roman" w:hAnsi="Times New Roman"/>
          <w:sz w:val="22"/>
          <w:szCs w:val="22"/>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8.3.2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Liability of Warrant Agent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8.4.1 </w:t>
      </w:r>
      <w:r>
        <w:rPr>
          <w:rFonts w:ascii="Times New Roman" w:cs="Times New Roman" w:eastAsia="Times New Roman" w:hAnsi="Times New Roman"/>
          <w:sz w:val="22"/>
          <w:szCs w:val="22"/>
          <w:u w:val="single" w:color="auto"/>
          <w:color w:val="auto"/>
        </w:rPr>
        <w:t>Reliance on Company Statement</w:t>
      </w:r>
      <w:r>
        <w:rPr>
          <w:rFonts w:ascii="Times New Roman" w:cs="Times New Roman" w:eastAsia="Times New Roman" w:hAnsi="Times New Roman"/>
          <w:sz w:val="22"/>
          <w:szCs w:val="22"/>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Agreement.</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8.4.2 </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The Warrant Agent shall be liable hereunder only for its own gross negligence, willful misconduct or bad faith (as determined by a court of competent jurisdiction in a final and non-appealable judgment). The Company agrees to indemnify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7" w:name="page228"/>
    <w:bookmarkEnd w:id="227"/>
    <w:p>
      <w:pPr>
        <w:jc w:val="both"/>
        <w:spacing w:after="0"/>
        <w:rPr>
          <w:sz w:val="20"/>
          <w:szCs w:val="20"/>
          <w:color w:val="auto"/>
        </w:rPr>
      </w:pPr>
      <w:r>
        <w:rPr>
          <w:rFonts w:ascii="Times New Roman" w:cs="Times New Roman" w:eastAsia="Times New Roman" w:hAnsi="Times New Roman"/>
          <w:sz w:val="22"/>
          <w:szCs w:val="22"/>
          <w:color w:val="auto"/>
        </w:rPr>
        <w:t>Warrant Agent and hold it harmless against any and all liabilities, including judgments, costs and reasonable counsel fees, for anything done or omitted by the Warrant Agent in the execution of this Agreement, except as a result of the Warrant Agent’s gross negligence, willful misconduct or bad faith (as determined by a court of competent jurisdiction in a final and non-appealable judgment).</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8.4.3 </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xml:space="preserve">.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Acceptance of Agency</w:t>
      </w:r>
      <w:r>
        <w:rPr>
          <w:rFonts w:ascii="Times New Roman" w:cs="Times New Roman" w:eastAsia="Times New Roman" w:hAnsi="Times New Roman"/>
          <w:sz w:val="22"/>
          <w:szCs w:val="22"/>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Warrant Agent hereby waives any right of set-off or any other right, title, interest or claim of any kind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77"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the covenants and provisions of this Agreement by or for the benefit of the Company or the Warrant Agent shall bind and inure to the benefit of their respective successors and assigns.</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statement or demand authorized by this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1190 Trademark Drive, Suite 108</w:t>
      </w:r>
    </w:p>
    <w:p>
      <w:pPr>
        <w:ind w:left="1960"/>
        <w:spacing w:after="0"/>
        <w:rPr>
          <w:sz w:val="20"/>
          <w:szCs w:val="20"/>
          <w:color w:val="auto"/>
        </w:rPr>
      </w:pPr>
      <w:r>
        <w:rPr>
          <w:rFonts w:ascii="Times New Roman" w:cs="Times New Roman" w:eastAsia="Times New Roman" w:hAnsi="Times New Roman"/>
          <w:sz w:val="22"/>
          <w:szCs w:val="22"/>
          <w:color w:val="auto"/>
        </w:rPr>
        <w:t>Reno, Nevada 89521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8" w:name="page229"/>
    <w:bookmarkEnd w:id="228"/>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9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O’Melveny &amp; Myers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7 Times Square</w:t>
      </w:r>
    </w:p>
    <w:p>
      <w:pPr>
        <w:ind w:left="1960"/>
        <w:spacing w:after="0" w:line="230" w:lineRule="auto"/>
        <w:rPr>
          <w:sz w:val="20"/>
          <w:szCs w:val="20"/>
          <w:color w:val="auto"/>
        </w:rPr>
      </w:pPr>
      <w:r>
        <w:rPr>
          <w:rFonts w:ascii="Times New Roman" w:cs="Times New Roman" w:eastAsia="Times New Roman" w:hAnsi="Times New Roman"/>
          <w:sz w:val="22"/>
          <w:szCs w:val="22"/>
          <w:color w:val="auto"/>
        </w:rPr>
        <w:t>New York, New York 10036</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Jeeho Lee</w:t>
      </w:r>
    </w:p>
    <w:p>
      <w:pPr>
        <w:spacing w:after="0" w:line="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Any notice, statement or demand authorized by this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American Stock Transfer &amp; Trust Company, LLC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6201 15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Avenue</w:t>
      </w:r>
    </w:p>
    <w:p>
      <w:pPr>
        <w:ind w:left="1960"/>
        <w:spacing w:after="0" w:line="230" w:lineRule="auto"/>
        <w:rPr>
          <w:sz w:val="20"/>
          <w:szCs w:val="20"/>
          <w:color w:val="auto"/>
        </w:rPr>
      </w:pPr>
      <w:r>
        <w:rPr>
          <w:rFonts w:ascii="Times New Roman" w:cs="Times New Roman" w:eastAsia="Times New Roman" w:hAnsi="Times New Roman"/>
          <w:sz w:val="22"/>
          <w:szCs w:val="22"/>
          <w:color w:val="auto"/>
        </w:rPr>
        <w:t>Brooklyn, NY 11219</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Reorg Department</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notice, sent pursuant to this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u w:val="single" w:color="auto"/>
          <w:color w:val="auto"/>
        </w:rPr>
        <w:t>Applicable Law and Exclusive Forum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9.3.1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8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9.3.2 Any person or entity purchasing or otherwise acquiring any interest in the Warrants shall be deemed to have notice of and to have consented to the forum provisions in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21"/>
          <w:szCs w:val="21"/>
          <w:b w:val="1"/>
          <w:bCs w:val="1"/>
          <w:color w:val="auto"/>
        </w:rPr>
        <w:t>foreign action</w:t>
      </w:r>
      <w:r>
        <w:rPr>
          <w:rFonts w:ascii="Times New Roman" w:cs="Times New Roman" w:eastAsia="Times New Roman" w:hAnsi="Times New Roman"/>
          <w:sz w:val="21"/>
          <w:szCs w:val="21"/>
          <w:color w:val="auto"/>
        </w:rPr>
        <w:t>”) in the name of any Warrant holder, such Warrant holder shall be deemed to have consented to:</w:t>
      </w:r>
    </w:p>
    <w:p>
      <w:pPr>
        <w:spacing w:after="0" w:line="1" w:lineRule="exact"/>
        <w:rPr>
          <w:sz w:val="20"/>
          <w:szCs w:val="20"/>
          <w:color w:val="auto"/>
        </w:rPr>
      </w:pPr>
    </w:p>
    <w:p>
      <w:pPr>
        <w:jc w:val="both"/>
        <w:ind w:firstLine="8"/>
        <w:spacing w:after="0" w:line="235" w:lineRule="auto"/>
        <w:tabs>
          <w:tab w:leader="none" w:pos="33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22"/>
          <w:szCs w:val="22"/>
          <w:b w:val="1"/>
          <w:bCs w:val="1"/>
          <w:color w:val="auto"/>
        </w:rPr>
        <w:t>enforcement action</w:t>
      </w:r>
      <w:r>
        <w:rPr>
          <w:rFonts w:ascii="Times New Roman" w:cs="Times New Roman" w:eastAsia="Times New Roman" w:hAnsi="Times New Roman"/>
          <w:sz w:val="22"/>
          <w:szCs w:val="22"/>
          <w:color w:val="auto"/>
        </w:rPr>
        <w:t>”), and (y)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29" w:name="page230"/>
    <w:bookmarkEnd w:id="229"/>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service of process made upon such Warrant holder in any such enforcement action by service upon such Warrant holder’s counsel in the foreign action as agent for such Warrant holder.</w:t>
      </w:r>
    </w:p>
    <w:p>
      <w:pPr>
        <w:spacing w:after="0" w:line="15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hereof. Such mailing shall be deemed personal service and shall be legal and binding upon the party receiving such service in any action, proceeding, or claim.</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Persons Having Rights under this Agreement</w:t>
      </w:r>
      <w:r>
        <w:rPr>
          <w:rFonts w:ascii="Times New Roman" w:cs="Times New Roman" w:eastAsia="Times New Roman" w:hAnsi="Times New Roman"/>
          <w:sz w:val="21"/>
          <w:szCs w:val="21"/>
          <w:color w:val="auto"/>
        </w:rPr>
        <w:t xml:space="preserve">.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Times New Roman" w:cs="Times New Roman" w:eastAsia="Times New Roman" w:hAnsi="Times New Roman"/>
          <w:sz w:val="21"/>
          <w:szCs w:val="21"/>
          <w:u w:val="single" w:color="auto"/>
          <w:color w:val="auto"/>
        </w:rPr>
        <w:t>Sections 2.5</w:t>
      </w:r>
      <w:r>
        <w:rPr>
          <w:rFonts w:ascii="Times New Roman" w:cs="Times New Roman" w:eastAsia="Times New Roman" w:hAnsi="Times New Roman"/>
          <w:sz w:val="21"/>
          <w:szCs w:val="21"/>
          <w:color w:val="auto"/>
        </w:rPr>
        <w:t xml:space="preserve"> hereof, the Representative and the underwriters,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7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Examination of the Agreement</w:t>
      </w:r>
      <w:r>
        <w:rPr>
          <w:rFonts w:ascii="Times New Roman" w:cs="Times New Roman" w:eastAsia="Times New Roman" w:hAnsi="Times New Roman"/>
          <w:sz w:val="22"/>
          <w:szCs w:val="22"/>
          <w:color w:val="auto"/>
        </w:rPr>
        <w:t>. A copy of this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are not part of this Agreement and shall not affect the interpretation thereof.</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Agreement that is not inconsistent with the provisions of this Agreement or the Warrant certificates, (ii) evidencing the succession of another corporation to the Company and the assumption by any such successor of the covenants of the Company contained in this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Agreement, or (v) amending this Agreement and the Warrants in any manner that the Company may deem to be necessary or desirable and that will not adversely affect the interests of the Registered Holders in any material respect. All other modifications or amendments to this Agreement, including any amendment to increase the Warrant Price or shorten the Exercise Period, shall require the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30" w:name="page231"/>
    <w:bookmarkEnd w:id="230"/>
    <w:p>
      <w:pPr>
        <w:jc w:val="both"/>
        <w:spacing w:after="0"/>
        <w:rPr>
          <w:sz w:val="20"/>
          <w:szCs w:val="20"/>
          <w:color w:val="auto"/>
        </w:rPr>
      </w:pPr>
      <w:r>
        <w:rPr>
          <w:rFonts w:ascii="Times New Roman" w:cs="Times New Roman" w:eastAsia="Times New Roman" w:hAnsi="Times New Roman"/>
          <w:sz w:val="22"/>
          <w:szCs w:val="22"/>
          <w:color w:val="auto"/>
        </w:rPr>
        <w:t xml:space="preserve">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without such consent.</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31" w:name="page232"/>
    <w:bookmarkEnd w:id="231"/>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Agreement has been duly executed by the parties hereto as of the day and year first above written.</w:t>
      </w:r>
    </w:p>
    <w:p>
      <w:pPr>
        <w:spacing w:after="0" w:line="15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2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5320"/>
        <w:spacing w:after="0"/>
        <w:tabs>
          <w:tab w:leader="none" w:pos="59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Denis Phares</w:t>
      </w:r>
    </w:p>
    <w:p>
      <w:pPr>
        <w:spacing w:after="0" w:line="23" w:lineRule="exact"/>
        <w:rPr>
          <w:sz w:val="20"/>
          <w:szCs w:val="20"/>
          <w:color w:val="auto"/>
        </w:rPr>
      </w:pPr>
    </w:p>
    <w:p>
      <w:pPr>
        <w:ind w:left="532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19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AMERICAN STOCK TRANSFER &amp; TRUST</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COMPANY, LLC</w:t>
      </w:r>
    </w:p>
    <w:p>
      <w:pPr>
        <w:spacing w:after="0" w:line="19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5320"/>
        <w:spacing w:after="0"/>
        <w:tabs>
          <w:tab w:leader="none" w:pos="59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Michael Legregin</w:t>
      </w:r>
    </w:p>
    <w:p>
      <w:pPr>
        <w:spacing w:after="0" w:line="23" w:lineRule="exact"/>
        <w:rPr>
          <w:sz w:val="20"/>
          <w:szCs w:val="20"/>
          <w:color w:val="auto"/>
        </w:rPr>
      </w:pPr>
    </w:p>
    <w:p>
      <w:pPr>
        <w:jc w:val="both"/>
        <w:ind w:left="532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tab/>
        <w:t>Senior Vice President, Corporate Actions</w:t>
      </w:r>
    </w:p>
    <w:p>
      <w:pPr>
        <w:spacing w:after="0" w:line="9"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8"/>
          <w:szCs w:val="18"/>
          <w:color w:val="auto"/>
        </w:rPr>
        <w:t>Relationship Management &amp;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2980" w:type="dxa"/>
            <w:vAlign w:val="bottom"/>
          </w:tcPr>
          <w:p>
            <w:pPr>
              <w:spacing w:after="0"/>
              <w:rPr>
                <w:sz w:val="22"/>
                <w:szCs w:val="22"/>
                <w:color w:val="auto"/>
              </w:rPr>
            </w:pPr>
          </w:p>
        </w:tc>
      </w:tr>
      <w:tr>
        <w:trPr>
          <w:trHeight w:val="491"/>
        </w:trPr>
        <w:tc>
          <w:tcPr>
            <w:tcW w:w="2160" w:type="dxa"/>
            <w:vAlign w:val="bottom"/>
          </w:tcPr>
          <w:p>
            <w:pPr>
              <w:spacing w:after="0"/>
              <w:rPr>
                <w:sz w:val="24"/>
                <w:szCs w:val="24"/>
                <w:color w:val="auto"/>
              </w:rPr>
            </w:pPr>
          </w:p>
        </w:tc>
        <w:tc>
          <w:tcPr>
            <w:tcW w:w="6240" w:type="dxa"/>
            <w:vAlign w:val="bottom"/>
            <w:gridSpan w:val="3"/>
          </w:tcPr>
          <w:p>
            <w:pPr>
              <w:jc w:val="center"/>
              <w:ind w:right="532"/>
              <w:spacing w:after="0"/>
              <w:rPr>
                <w:sz w:val="20"/>
                <w:szCs w:val="20"/>
                <w:color w:val="auto"/>
              </w:rPr>
            </w:pPr>
            <w:r>
              <w:rPr>
                <w:rFonts w:ascii="Times New Roman" w:cs="Times New Roman" w:eastAsia="Times New Roman" w:hAnsi="Times New Roman"/>
                <w:sz w:val="22"/>
                <w:szCs w:val="22"/>
                <w:b w:val="1"/>
                <w:bCs w:val="1"/>
                <w:color w:val="auto"/>
                <w:w w:val="96"/>
              </w:rPr>
              <w:t>SPECIMEN WARRANT CERTIFICATE</w:t>
            </w:r>
          </w:p>
        </w:tc>
      </w:tr>
      <w:tr>
        <w:trPr>
          <w:trHeight w:val="42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NUMBER</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8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5"/>
              </w:rPr>
              <w:t>_____ WARRANTS</w:t>
            </w:r>
          </w:p>
        </w:tc>
      </w:tr>
      <w:tr>
        <w:trPr>
          <w:trHeight w:val="282"/>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WA-________</w:t>
            </w:r>
          </w:p>
        </w:tc>
        <w:tc>
          <w:tcPr>
            <w:tcW w:w="2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69" w:lineRule="exact"/>
        <w:rPr>
          <w:sz w:val="20"/>
          <w:szCs w:val="20"/>
          <w:color w:val="auto"/>
        </w:rPr>
      </w:pPr>
    </w:p>
    <w:p>
      <w:pPr>
        <w:jc w:val="center"/>
        <w:ind w:left="1000" w:right="1360"/>
        <w:spacing w:after="0" w:line="238" w:lineRule="auto"/>
        <w:rPr>
          <w:sz w:val="20"/>
          <w:szCs w:val="20"/>
          <w:color w:val="auto"/>
        </w:rPr>
      </w:pPr>
      <w:r>
        <w:rPr>
          <w:rFonts w:ascii="Times New Roman" w:cs="Times New Roman" w:eastAsia="Times New Roman" w:hAnsi="Times New Roman"/>
          <w:sz w:val="22"/>
          <w:szCs w:val="22"/>
          <w:color w:val="auto"/>
        </w:rPr>
        <w:t>(THIS WARRANT WILL BE VOID IF NOT EXERCISED PRIOR TO 5:00 P.M. NEW YORK CITY TIME, FIVE YEARS FROM THE CLOSING DATE OF THE COMPANY’S INITIAL BUSINESS COMBINATION)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CUSIP 26145B 114</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WARRANT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THIS WARRANT CERTIFIES THAT</w:t>
      </w:r>
      <w:r>
        <w:rPr>
          <w:rFonts w:ascii="Times New Roman" w:cs="Times New Roman" w:eastAsia="Times New Roman" w:hAnsi="Times New Roman"/>
          <w:sz w:val="22"/>
          <w:szCs w:val="22"/>
          <w:color w:val="auto"/>
        </w:rPr>
        <w:t>, for value received ________, or registered agents, is the</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registered holder of a Warrant or Warrants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expiring on a date which is five (5) years from the completion of the Company’s initial business combination, to purchase one fully paid and non-assessable share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 of common stock, par value $0.0001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of Chardan NexTech Acquisition 2 Corp.,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for each Warrant evidenced by this Warrant Certificate. This Warrant Certificate is subject to and shall be interpreted under the terms and conditions of the Warrant Agreement (as defined below).</w:t>
      </w:r>
    </w:p>
    <w:p>
      <w:pPr>
        <w:spacing w:after="0" w:line="18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Warrant entitles the holder thereof to purchase from the Company, from time to time, in whole or in part, commencing 30 days after the completion of the Company’s initial business combination, such number of Warrant Shares at the price of $11.50 per share (the “</w:t>
      </w:r>
      <w:r>
        <w:rPr>
          <w:rFonts w:ascii="Times New Roman" w:cs="Times New Roman" w:eastAsia="Times New Roman" w:hAnsi="Times New Roman"/>
          <w:sz w:val="22"/>
          <w:szCs w:val="22"/>
          <w:b w:val="1"/>
          <w:bCs w:val="1"/>
          <w:color w:val="auto"/>
        </w:rPr>
        <w:t>Warrant Price</w:t>
      </w:r>
      <w:r>
        <w:rPr>
          <w:rFonts w:ascii="Times New Roman" w:cs="Times New Roman" w:eastAsia="Times New Roman" w:hAnsi="Times New Roman"/>
          <w:sz w:val="22"/>
          <w:szCs w:val="22"/>
          <w:color w:val="auto"/>
        </w:rPr>
        <w:t>”), upon surrender of this Warrant Certificate and payment of the Warrant Price at the office or agency of American Stock Transfer &amp; Trust Company, LLC (the “</w:t>
      </w:r>
      <w:r>
        <w:rPr>
          <w:rFonts w:ascii="Times New Roman" w:cs="Times New Roman" w:eastAsia="Times New Roman" w:hAnsi="Times New Roman"/>
          <w:sz w:val="22"/>
          <w:szCs w:val="22"/>
          <w:b w:val="1"/>
          <w:bCs w:val="1"/>
          <w:color w:val="auto"/>
        </w:rPr>
        <w:t>Warrant Agent</w:t>
      </w:r>
      <w:r>
        <w:rPr>
          <w:rFonts w:ascii="Times New Roman" w:cs="Times New Roman" w:eastAsia="Times New Roman" w:hAnsi="Times New Roman"/>
          <w:sz w:val="22"/>
          <w:szCs w:val="22"/>
          <w:color w:val="auto"/>
        </w:rPr>
        <w:t>”), such payment to be made subject to the conditions set forth herein and in the Warrant Agreement, dated October 19, 2022, between the Company and the Warrant Agent (the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8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 fraction of a Warrant Share will be issued upon any exercise of a Warrant. If, upon exercise of a Warrant, a holder would be entitled to receive a fractional interest in a Warrant Share, the Company will, upon exercise, issue or cause to be issued only the largest whole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9" w:right="9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Warrant Shares issuable on such exercise (and such fraction of a Warrant Share will be disregarded).</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Warrant does not entitle the registered holder(s) to any of the rights of a stockholder of the Company.</w:t>
      </w:r>
    </w:p>
    <w:p>
      <w:pPr>
        <w:spacing w:after="0" w:line="2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After the Warrant becomes exercisable and prior to its expiration date, the Company reserves the right to call the Warrant at any time, with a notice of call in writing to the holder(s) of record of the Warrant, giving thirty</w:t>
      </w:r>
    </w:p>
    <w:p>
      <w:pPr>
        <w:spacing w:after="0" w:line="1" w:lineRule="exact"/>
        <w:rPr>
          <w:sz w:val="20"/>
          <w:szCs w:val="20"/>
          <w:color w:val="auto"/>
        </w:rPr>
      </w:pPr>
    </w:p>
    <w:p>
      <w:pPr>
        <w:jc w:val="both"/>
        <w:ind w:firstLine="8"/>
        <w:spacing w:after="0" w:line="232" w:lineRule="auto"/>
        <w:tabs>
          <w:tab w:leader="none" w:pos="43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written notice of such call if the last reported sale price of the Common Stock has been equal to or greater than $16.00 per share for any ten (10) trading days within a thirty (30) trading day period ending on the third (3rd) trading day prior to the date on which notice of such call is given,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 registration statement under the Securities Act of 1933, as amended (the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If, in connection with an initial business Combination, the Company (a) issues additional shares of Common Stock or equity-linked securities for capital raising purposes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(as defined in the Company’s Registration Statement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34" w:name="page235"/>
    <w:bookmarkEnd w:id="234"/>
    <w:p>
      <w:pPr>
        <w:jc w:val="both"/>
        <w:spacing w:after="0" w:line="245" w:lineRule="auto"/>
        <w:rPr>
          <w:sz w:val="20"/>
          <w:szCs w:val="20"/>
          <w:color w:val="auto"/>
        </w:rPr>
      </w:pPr>
      <w:r>
        <w:rPr>
          <w:rFonts w:ascii="Times New Roman" w:cs="Times New Roman" w:eastAsia="Times New Roman" w:hAnsi="Times New Roman"/>
          <w:sz w:val="21"/>
          <w:szCs w:val="21"/>
          <w:color w:val="auto"/>
        </w:rPr>
        <w:t>Form S-1, No. 33-254010, as amended (the “</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initial stockholders (as defined in the Registration Statement) or their affiliates, without taking into account any founder shares (as defined in the Registration Statement) held by them prior to such issuance)) (the “</w:t>
      </w:r>
      <w:r>
        <w:rPr>
          <w:rFonts w:ascii="Times New Roman" w:cs="Times New Roman" w:eastAsia="Times New Roman" w:hAnsi="Times New Roman"/>
          <w:sz w:val="21"/>
          <w:szCs w:val="21"/>
          <w:b w:val="1"/>
          <w:bCs w:val="1"/>
          <w:color w:val="auto"/>
        </w:rPr>
        <w:t>Newly Issued Price</w:t>
      </w:r>
      <w:r>
        <w:rPr>
          <w:rFonts w:ascii="Times New Roman" w:cs="Times New Roman" w:eastAsia="Times New Roman" w:hAnsi="Times New Roman"/>
          <w:sz w:val="21"/>
          <w:szCs w:val="21"/>
          <w:color w:val="auto"/>
        </w:rPr>
        <w:t>”) (b) the aggregate gross proceeds from such issuances represent more than 60% of the total equity proceeds, and interest thereon, available for the funding of the initial business combination on the date of the consummation of such initial business combination (net of redemptions), and (c) the Market Price (as defined below) is below $9.20 per share, the Warrant Price shall be adjusted (to the nearest cent) to be equal to 115% of the higher of (i) the Market Price and</w:t>
      </w:r>
    </w:p>
    <w:p>
      <w:pPr>
        <w:spacing w:after="0" w:line="4" w:lineRule="exact"/>
        <w:rPr>
          <w:sz w:val="20"/>
          <w:szCs w:val="20"/>
          <w:color w:val="auto"/>
        </w:rPr>
      </w:pPr>
    </w:p>
    <w:p>
      <w:pPr>
        <w:jc w:val="both"/>
        <w:ind w:firstLine="8"/>
        <w:spacing w:after="0" w:line="233" w:lineRule="auto"/>
        <w:tabs>
          <w:tab w:leader="none" w:pos="37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Newly Issued Price, and the Redemption Trigger Price (as defined in Section 6.1 of the Warrant Agreement) shall be adjusted (to the nearest cent) to be equal to 160% of the higher of (i) the Market Price and the Newly Issued Price. The “</w:t>
      </w:r>
      <w:r>
        <w:rPr>
          <w:rFonts w:ascii="Times New Roman" w:cs="Times New Roman" w:eastAsia="Times New Roman" w:hAnsi="Times New Roman"/>
          <w:sz w:val="22"/>
          <w:szCs w:val="22"/>
          <w:b w:val="1"/>
          <w:bCs w:val="1"/>
          <w:color w:val="auto"/>
        </w:rPr>
        <w:t>Market Price</w:t>
      </w:r>
      <w:r>
        <w:rPr>
          <w:rFonts w:ascii="Times New Roman" w:cs="Times New Roman" w:eastAsia="Times New Roman" w:hAnsi="Times New Roman"/>
          <w:sz w:val="22"/>
          <w:szCs w:val="22"/>
          <w:color w:val="auto"/>
        </w:rPr>
        <w:t>” shall mean the volume weighted average reported last sale price of the shares of Common Stock for the 10 trading days ending on the trading day prior to the date of the completion of the initial business combination.</w:t>
      </w:r>
    </w:p>
    <w:p>
      <w:pPr>
        <w:spacing w:after="0" w:line="17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If the foregoing conditions are satisfied and the Company calls the Warrant for redemption, each holder will then be entitled to exercise his, her or its Warrant prior to the date scheduled for redemption;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COUNTERSIGNED:</w:t>
      </w:r>
    </w:p>
    <w:p>
      <w:pPr>
        <w:spacing w:after="0" w:line="14" w:lineRule="exact"/>
        <w:rPr>
          <w:sz w:val="20"/>
          <w:szCs w:val="20"/>
          <w:color w:val="auto"/>
        </w:rPr>
      </w:pPr>
    </w:p>
    <w:p>
      <w:pPr>
        <w:ind w:right="4220"/>
        <w:spacing w:after="0" w:line="237" w:lineRule="auto"/>
        <w:rPr>
          <w:sz w:val="20"/>
          <w:szCs w:val="20"/>
          <w:color w:val="auto"/>
        </w:rPr>
      </w:pPr>
      <w:r>
        <w:rPr>
          <w:rFonts w:ascii="Times New Roman" w:cs="Times New Roman" w:eastAsia="Times New Roman" w:hAnsi="Times New Roman"/>
          <w:sz w:val="22"/>
          <w:szCs w:val="22"/>
          <w:color w:val="auto"/>
        </w:rPr>
        <w:t>AMERICAN STOCK TRANSFER &amp; TRUST COMPANY, LLC, WARRANT AGENT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17145</wp:posOffset>
            </wp:positionV>
            <wp:extent cx="26485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5715</wp:posOffset>
            </wp:positionV>
            <wp:extent cx="26485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(Seal)</w:t>
      </w:r>
    </w:p>
    <w:p>
      <w:pPr>
        <w:spacing w:after="0" w:line="231" w:lineRule="auto"/>
        <w:rPr>
          <w:sz w:val="20"/>
          <w:szCs w:val="20"/>
          <w:color w:val="auto"/>
        </w:rPr>
      </w:pPr>
      <w:r>
        <w:rPr>
          <w:rFonts w:ascii="Times New Roman" w:cs="Times New Roman" w:eastAsia="Times New Roman" w:hAnsi="Times New Roman"/>
          <w:sz w:val="22"/>
          <w:szCs w:val="22"/>
          <w:color w:val="auto"/>
        </w:rPr>
        <w:t>(Signature)</w:t>
      </w:r>
    </w:p>
    <w:p>
      <w:pPr>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35" w:name="page236"/>
    <w:bookmarkEnd w:id="235"/>
    <w:p>
      <w:pPr>
        <w:ind w:left="3540"/>
        <w:spacing w:after="0"/>
        <w:rPr>
          <w:sz w:val="20"/>
          <w:szCs w:val="20"/>
          <w:color w:val="auto"/>
        </w:rPr>
      </w:pPr>
      <w:r>
        <w:rPr>
          <w:rFonts w:ascii="Times New Roman" w:cs="Times New Roman" w:eastAsia="Times New Roman" w:hAnsi="Times New Roman"/>
          <w:sz w:val="22"/>
          <w:szCs w:val="22"/>
          <w:color w:val="auto"/>
        </w:rPr>
        <w:t>[REVERSE OF CERTIFICATE]</w:t>
      </w:r>
    </w:p>
    <w:p>
      <w:pPr>
        <w:spacing w:after="0" w:line="20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SUBSCRIPTION FORM</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Be Executed by the Registered Holder(s) in Order to Exercise Warrants</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80" w:lineRule="exact"/>
        <w:rPr>
          <w:sz w:val="20"/>
          <w:szCs w:val="20"/>
          <w:color w:val="auto"/>
        </w:rPr>
      </w:pPr>
    </w:p>
    <w:p>
      <w:pPr>
        <w:ind w:left="1300" w:hanging="644"/>
        <w:spacing w:after="0"/>
        <w:tabs>
          <w:tab w:leader="none" w:pos="1300" w:val="left"/>
        </w:tabs>
        <w:numPr>
          <w:ilvl w:val="0"/>
          <w:numId w:val="10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Cash Exercise</w:t>
      </w:r>
      <w:r>
        <w:rPr>
          <w:rFonts w:ascii="Times New Roman" w:cs="Times New Roman" w:eastAsia="Times New Roman" w:hAnsi="Times New Roman"/>
          <w:sz w:val="22"/>
          <w:szCs w:val="22"/>
          <w:color w:val="auto"/>
        </w:rPr>
        <w:t>” with respect to Warrant Shares; and/or</w:t>
      </w:r>
    </w:p>
    <w:p>
      <w:pPr>
        <w:spacing w:after="0" w:line="219" w:lineRule="exact"/>
        <w:rPr>
          <w:rFonts w:ascii="MS PGothic" w:cs="MS PGothic" w:eastAsia="MS PGothic" w:hAnsi="MS PGothic"/>
          <w:sz w:val="22"/>
          <w:szCs w:val="22"/>
          <w:color w:val="auto"/>
        </w:rPr>
      </w:pPr>
    </w:p>
    <w:p>
      <w:pPr>
        <w:jc w:val="both"/>
        <w:ind w:left="1300" w:hanging="644"/>
        <w:spacing w:after="0" w:line="238" w:lineRule="auto"/>
        <w:tabs>
          <w:tab w:leader="none" w:pos="1300" w:val="left"/>
        </w:tabs>
        <w:numPr>
          <w:ilvl w:val="0"/>
          <w:numId w:val="10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Section 3.3.2 of the Warrant Agreement.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requests that a certificate for such shares be registered in the name(s) of:</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574675</wp:posOffset>
            </wp:positionV>
            <wp:extent cx="62922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17145</wp:posOffset>
            </wp:positionV>
            <wp:extent cx="53574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(PLEASE PRINT OR TYPE NAME(S) AND ADDRESS)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22"/>
          <w:szCs w:val="22"/>
          <w:color w:val="auto"/>
        </w:rPr>
        <w:t>ASSIGNMENT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Be Executed by the Registered Holder in Order to Assign Warrants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Value Received, hereby sell(s), assign(s), and transfer(s) unto</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574675</wp:posOffset>
            </wp:positionV>
            <wp:extent cx="62922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17145</wp:posOffset>
            </wp:positionV>
            <wp:extent cx="53574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(PLEASE PRINT OR TYPE NAME(S) AND ADDRESS)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NOTICE: THE SIGNATURE(S) TO THIS ASSIGNMENT MUST CORRESPOND WITH THE NAME AS WRITTEN UPON THE FACE OF THE CERTIFICATE IN EVERY PARTICULAR, WITHOUT ALTERATION OR ENLARGEMENT OR ANY CHANGE WHATEVER.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61290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5269230</wp:posOffset>
            </wp:positionH>
            <wp:positionV relativeFrom="paragraph">
              <wp:posOffset>162560</wp:posOffset>
            </wp:positionV>
            <wp:extent cx="1028700" cy="205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O’Melveny &amp; Myers LLP</w:t>
            </w:r>
          </w:p>
        </w:tc>
        <w:tc>
          <w:tcPr>
            <w:tcW w:w="77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 +1-212-326-2000</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7 Times Square Tower</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 +1-212-326-2061</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omm.com</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Dragonfly Energy Holdings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1190 Trademark Drive #108</w:t>
      </w:r>
    </w:p>
    <w:p>
      <w:pPr>
        <w:spacing w:after="0"/>
        <w:rPr>
          <w:sz w:val="20"/>
          <w:szCs w:val="20"/>
          <w:color w:val="auto"/>
        </w:rPr>
      </w:pPr>
      <w:r>
        <w:rPr>
          <w:rFonts w:ascii="Times New Roman" w:cs="Times New Roman" w:eastAsia="Times New Roman" w:hAnsi="Times New Roman"/>
          <w:sz w:val="20"/>
          <w:szCs w:val="20"/>
          <w:color w:val="auto"/>
        </w:rPr>
        <w:t>Reno, Nevada 89521</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i w:val="1"/>
          <w:iCs w:val="1"/>
          <w:u w:val="single" w:color="auto"/>
          <w:color w:val="auto"/>
        </w:rPr>
        <w:t>Dragonfly Energy Holdings Corp. – Registration Statement on Form S-1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acted as special counsel to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connection with its filing on the date hereof with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of a Registration Statement on Form S-1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under the Securities Act of 1933, as amended (the “</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including a related prospectus filed with the Registration Statement (the “</w:t>
      </w:r>
      <w:r>
        <w:rPr>
          <w:rFonts w:ascii="Times New Roman" w:cs="Times New Roman" w:eastAsia="Times New Roman" w:hAnsi="Times New Roman"/>
          <w:sz w:val="20"/>
          <w:szCs w:val="20"/>
          <w:u w:val="single" w:color="auto"/>
          <w:color w:val="auto"/>
        </w:rPr>
        <w:t>Prospectus</w:t>
      </w:r>
      <w:r>
        <w:rPr>
          <w:rFonts w:ascii="Times New Roman" w:cs="Times New Roman" w:eastAsia="Times New Roman" w:hAnsi="Times New Roman"/>
          <w:sz w:val="20"/>
          <w:szCs w:val="20"/>
          <w:color w:val="auto"/>
        </w:rPr>
        <w:t>”), relating to the registration of the proposed resale, from time to time in one or more offerings, of up to 21,512,027 shares (the “</w:t>
      </w:r>
      <w:r>
        <w:rPr>
          <w:rFonts w:ascii="Times New Roman" w:cs="Times New Roman" w:eastAsia="Times New Roman" w:hAnsi="Times New Roman"/>
          <w:sz w:val="20"/>
          <w:szCs w:val="20"/>
          <w:u w:val="single" w:color="auto"/>
          <w:color w:val="auto"/>
        </w:rPr>
        <w:t>Resale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of common stock, par value $0.0001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of the Company. The Resale Shares are being registered on behalf of the selling stockholder named in the Prospectus (the “</w:t>
      </w:r>
      <w:r>
        <w:rPr>
          <w:rFonts w:ascii="Times New Roman" w:cs="Times New Roman" w:eastAsia="Times New Roman" w:hAnsi="Times New Roman"/>
          <w:sz w:val="20"/>
          <w:szCs w:val="20"/>
          <w:u w:val="single" w:color="auto"/>
          <w:color w:val="auto"/>
        </w:rPr>
        <w:t>Selling Stockholder</w:t>
      </w:r>
      <w:r>
        <w:rPr>
          <w:rFonts w:ascii="Times New Roman" w:cs="Times New Roman" w:eastAsia="Times New Roman" w:hAnsi="Times New Roman"/>
          <w:sz w:val="20"/>
          <w:szCs w:val="20"/>
          <w:color w:val="auto"/>
        </w:rPr>
        <w:t>”) pursuant to a purchase agreement, dated as of October 7, 2022, by and among the Company and the Selling Stockholder and the other parties thereto (the “</w:t>
      </w:r>
      <w:r>
        <w:rPr>
          <w:rFonts w:ascii="Times New Roman" w:cs="Times New Roman" w:eastAsia="Times New Roman" w:hAnsi="Times New Roman"/>
          <w:sz w:val="20"/>
          <w:szCs w:val="20"/>
          <w:u w:val="single" w:color="auto"/>
          <w:color w:val="auto"/>
        </w:rPr>
        <w:t>Purchase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connection with the opinions expressed herein, we have examined originals or copies, certified or otherwise identified to our satisfaction, of such documents, records and matters of law as we have deemed relevant or necessary for purposes of this opinion. In our examination, we have assumed the legal capacity of all natural persons, the genuineness of all signatures, the authenticity of all documents submitted to us as originals, the conformity to original documents of all documents submitted to us as copies and the authenticity of the originals of such copies. To the extent the Company’s obligations depend on the enforceability of any agreement against the other parties to such agreement, we have assumed that such agreement is enforceable against such other parties. As to any facts material to the opinions expressed herein which were not independently established or verified, we have relied upon oral or written statements and representations of officers and other representatives of the Company. In addition, we have obtained and relied upon those certificates of public officials we considered appropriate.</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In connection with each of the opinions expressed below, we have assumed that, at or prior to the time of delivery of any Resale Shares: (i) the Registration Statement has become effective and such effectiveness has not been terminated or rescinded; (ii) upon issuance of any Resale Shares, the total number of shares of Common Stock issued and outstanding will not exceed the total number of shares of Common Stock that the Company is then authorized to issue under the Company’s Amended and Restated Certificate of Incorporation; and (iii) there has not occurred any change in law or further action by the Company’s board of directors, in any case affecting the validity of such Resale Shares or enforceability of such Purchase Agreement. We have also assumed that neither the issuance, sale and delivery of such Resale Shares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1032510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329565</wp:posOffset>
            </wp:positionV>
            <wp:extent cx="62922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477520</wp:posOffset>
            </wp:positionH>
            <wp:positionV relativeFrom="paragraph">
              <wp:posOffset>432435</wp:posOffset>
            </wp:positionV>
            <wp:extent cx="5349240" cy="2571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5349240" cy="257175"/>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238" w:name="page239"/>
    <w:bookmarkEnd w:id="238"/>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6292215" cy="8890"/>
                    </a:xfrm>
                    <a:prstGeom prst="rect">
                      <a:avLst/>
                    </a:prstGeom>
                    <a:noFill/>
                  </pic:spPr>
                </pic:pic>
              </a:graphicData>
            </a:graphic>
          </wp:anchor>
        </w:drawing>
        <w:t>the compliance by the Company with the terms of the Purchase Agreement will violate any applicable law or public policy or result in a violation of any provision of any instrument or agreement then binding upon the Company or any restriction imposed by any court or governmental body having jurisdiction over the Company.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the basis of such examination, our reliance upon the assumptions in this opinion and our consideration of those questions of law we considered relevant, and subject to the limitations and qualifications in this opinion, we are of the opinion that:</w:t>
      </w:r>
    </w:p>
    <w:p>
      <w:pPr>
        <w:spacing w:after="0" w:line="174" w:lineRule="exact"/>
        <w:rPr>
          <w:sz w:val="20"/>
          <w:szCs w:val="20"/>
          <w:color w:val="auto"/>
        </w:rPr>
      </w:pPr>
    </w:p>
    <w:p>
      <w:pPr>
        <w:jc w:val="both"/>
        <w:ind w:left="660" w:hanging="328"/>
        <w:spacing w:after="0" w:line="249" w:lineRule="auto"/>
        <w:tabs>
          <w:tab w:leader="none" w:pos="6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Resale Shares have been duly authorized by all necessary corporate action on the part of the Company and upon the issuance, delivery and payment therefor in accordance with the terms of the Purchase Agreement and in an amount not less than the par value thereof and in the manner contemplated by the Registration Statement and such corporate action, such Resale Shares will be validly issued, fully paid and nonassessable.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law covered by this opinion is limited to the current General Corporation Law of the State of Delaware. We express no opinion as to the laws of any other jurisdiction and no opinion regarding the statutes, administrative decisions, rules, regulations or requirements of any county, municipality, subdivision or local authority of any jurisdiction.</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opinion is being furnished in accordance with the requirements of Item 601(b)(5) of Regulation S-K promulgated under the Securities Act, as amended, or the rules and regulations of the Commission promulgated thereunder, and no opinion is expressed herein as to any matter pertaining to the contents of the Registration Statement, the Prospectus included in the Registration Statement or any prospectus supplement, other than as expressly stated herein with respect to the issue of the Resale Shares.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hereby consent to the filing of this opinion as Exhibit 5.1 to the Registration Statement, and to the reference to O’Melveny &amp; Myers LLP under the heading “Legal Matters” in the Prospectus. In giving such consent, we do not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Respectfully submitted,</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O’Melveny &amp; Myers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48" w:right="999" w:bottom="1440" w:gutter="0" w:footer="0" w:header="0"/>
        </w:sectPr>
      </w:pPr>
    </w:p>
    <w:bookmarkStart w:id="239" w:name="page240"/>
    <w:bookmarkEnd w:id="2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on Form S-1, of our report dated March 28, 2022, relating to the financial statements of Chardan NexTech Acquisition 2 Corp. which is contained in that Registration Statement. We also consent to the reference to us under the caption “Experts” in the Prospectus.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20, 2022, relating to the financial statements of Dragonfly Energy Corp.,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1" w:name="page242"/>
    <w:bookmarkEnd w:id="241"/>
    <w:p>
      <w:pPr>
        <w:ind w:left="904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Type)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DRAGONFLY ENERGY HOLDINGS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 Newly Registered Securities</w:t>
      </w: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120" w:type="dxa"/>
            <w:vAlign w:val="bottom"/>
            <w:tcBorders>
              <w:top w:val="single" w:sz="8" w:color="auto"/>
              <w:left w:val="single" w:sz="8" w:color="auto"/>
              <w:right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40" w:type="dxa"/>
            <w:vAlign w:val="bottom"/>
            <w:tcBorders>
              <w:top w:val="single" w:sz="8" w:color="auto"/>
              <w:right w:val="single" w:sz="8" w:color="auto"/>
            </w:tcBorders>
          </w:tcPr>
          <w:p>
            <w:pPr>
              <w:spacing w:after="0"/>
              <w:rPr>
                <w:sz w:val="14"/>
                <w:szCs w:val="14"/>
                <w:color w:val="auto"/>
              </w:rPr>
            </w:pPr>
          </w:p>
        </w:tc>
        <w:tc>
          <w:tcPr>
            <w:tcW w:w="148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149"/>
        </w:trPr>
        <w:tc>
          <w:tcPr>
            <w:tcW w:w="11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3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9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04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12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380" w:type="dxa"/>
            <w:vAlign w:val="bottom"/>
            <w:tcBorders>
              <w:right w:val="single" w:sz="8" w:color="auto"/>
            </w:tcBorders>
            <w:vMerge w:val="continue"/>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 Rule</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Per Unit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8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120" w:type="dxa"/>
            <w:vAlign w:val="bottom"/>
            <w:tcBorders>
              <w:left w:val="single" w:sz="8" w:color="auto"/>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Fees to be Paid</w:t>
            </w:r>
          </w:p>
        </w:tc>
        <w:tc>
          <w:tcPr>
            <w:tcW w:w="56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Common Stock, par</w:t>
            </w:r>
          </w:p>
        </w:tc>
        <w:tc>
          <w:tcPr>
            <w:tcW w:w="9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Rule 457(c)</w:t>
            </w:r>
          </w:p>
        </w:tc>
        <w:tc>
          <w:tcPr>
            <w:tcW w:w="10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21,512,027</w:t>
            </w:r>
          </w:p>
        </w:tc>
        <w:tc>
          <w:tcPr>
            <w:tcW w:w="148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$7.275</w:t>
            </w:r>
            <w:r>
              <w:rPr>
                <w:rFonts w:ascii="Times New Roman" w:cs="Times New Roman" w:eastAsia="Times New Roman" w:hAnsi="Times New Roman"/>
                <w:sz w:val="10"/>
                <w:szCs w:val="10"/>
                <w:color w:val="auto"/>
              </w:rPr>
              <w:t>(1)</w:t>
            </w:r>
          </w:p>
        </w:tc>
        <w:tc>
          <w:tcPr>
            <w:tcW w:w="14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$156,500,000</w:t>
            </w:r>
          </w:p>
        </w:tc>
        <w:tc>
          <w:tcPr>
            <w:tcW w:w="980" w:type="dxa"/>
            <w:vAlign w:val="bottom"/>
            <w:tcBorders>
              <w:right w:val="single" w:sz="8" w:color="auto"/>
            </w:tcBorders>
          </w:tcPr>
          <w:p>
            <w:pPr>
              <w:jc w:val="right"/>
              <w:ind w:right="68"/>
              <w:spacing w:after="0" w:line="147" w:lineRule="exact"/>
              <w:rPr>
                <w:sz w:val="20"/>
                <w:szCs w:val="20"/>
                <w:color w:val="auto"/>
              </w:rPr>
            </w:pPr>
            <w:r>
              <w:rPr>
                <w:rFonts w:ascii="Times New Roman" w:cs="Times New Roman" w:eastAsia="Times New Roman" w:hAnsi="Times New Roman"/>
                <w:sz w:val="14"/>
                <w:szCs w:val="14"/>
                <w:color w:val="auto"/>
              </w:rPr>
              <w:t>0.000110200</w:t>
            </w:r>
          </w:p>
        </w:tc>
        <w:tc>
          <w:tcPr>
            <w:tcW w:w="10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$17,246.30</w:t>
            </w:r>
          </w:p>
        </w:tc>
        <w:tc>
          <w:tcPr>
            <w:tcW w:w="0" w:type="dxa"/>
            <w:vAlign w:val="bottom"/>
          </w:tcPr>
          <w:p>
            <w:pPr>
              <w:spacing w:after="0"/>
              <w:rPr>
                <w:sz w:val="1"/>
                <w:szCs w:val="1"/>
                <w:color w:val="auto"/>
              </w:rPr>
            </w:pPr>
          </w:p>
        </w:tc>
      </w:tr>
      <w:tr>
        <w:trPr>
          <w:trHeight w:val="149"/>
        </w:trPr>
        <w:tc>
          <w:tcPr>
            <w:tcW w:w="112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value $0.0001 per</w:t>
            </w:r>
          </w:p>
        </w:tc>
        <w:tc>
          <w:tcPr>
            <w:tcW w:w="9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Borders>
              <w:left w:val="single" w:sz="8" w:color="auto"/>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w:t>
            </w:r>
          </w:p>
        </w:tc>
        <w:tc>
          <w:tcPr>
            <w:tcW w:w="9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right w:val="single" w:sz="8" w:color="auto"/>
            </w:tcBorders>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9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$156,500,000</w:t>
            </w: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$17,246.30</w:t>
            </w: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120" w:type="dxa"/>
            <w:vAlign w:val="bottom"/>
            <w:tcBorders>
              <w:left w:val="single" w:sz="8" w:color="auto"/>
              <w:right w:val="single" w:sz="8" w:color="auto"/>
            </w:tcBorders>
          </w:tcPr>
          <w:p>
            <w:pPr>
              <w:spacing w:after="0"/>
              <w:rPr>
                <w:sz w:val="22"/>
                <w:szCs w:val="22"/>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92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120" w:type="dxa"/>
            <w:vAlign w:val="bottom"/>
            <w:tcBorders>
              <w:left w:val="single" w:sz="8" w:color="auto"/>
              <w:right w:val="single" w:sz="8" w:color="auto"/>
            </w:tcBorders>
          </w:tcPr>
          <w:p>
            <w:pPr>
              <w:spacing w:after="0"/>
              <w:rPr>
                <w:sz w:val="21"/>
                <w:szCs w:val="21"/>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92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0"/>
        </w:trPr>
        <w:tc>
          <w:tcPr>
            <w:tcW w:w="1120" w:type="dxa"/>
            <w:vAlign w:val="bottom"/>
            <w:tcBorders>
              <w:left w:val="single" w:sz="8" w:color="auto"/>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right w:val="single" w:sz="8" w:color="auto"/>
            </w:tcBorders>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9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$17,246.30</w:t>
            </w:r>
          </w:p>
        </w:tc>
        <w:tc>
          <w:tcPr>
            <w:tcW w:w="0" w:type="dxa"/>
            <w:vAlign w:val="bottom"/>
          </w:tcPr>
          <w:p>
            <w:pPr>
              <w:spacing w:after="0"/>
              <w:rPr>
                <w:sz w:val="1"/>
                <w:szCs w:val="1"/>
                <w:color w:val="auto"/>
              </w:rPr>
            </w:pPr>
          </w:p>
        </w:tc>
      </w:tr>
      <w:tr>
        <w:trPr>
          <w:trHeight w:val="104"/>
        </w:trPr>
        <w:tc>
          <w:tcPr>
            <w:tcW w:w="1120" w:type="dxa"/>
            <w:vAlign w:val="bottom"/>
            <w:tcBorders>
              <w:left w:val="single" w:sz="8" w:color="auto"/>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right="360" w:hanging="332"/>
        <w:spacing w:after="0" w:line="241" w:lineRule="auto"/>
        <w:tabs>
          <w:tab w:leader="none" w:pos="3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based on the average of the high and low prices of the common stock on the Nasdaq Global Market on October 19, 2022 (such date being within five business days of the date that this registration statement was filed with the United States Securities and Exchange Commission). This calculation is in accordance with Rule 457(c)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lowerRoman"/>
      <w:start w:val="2"/>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1)"/>
      <w:numFmt w:val="lowerLetter"/>
      <w:start w:val="2"/>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1)"/>
      <w:numFmt w:val="lowerRoman"/>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1."/>
      <w:numFmt w:val="upperLetter"/>
      <w:start w:val="1"/>
    </w:lvl>
  </w:abstractNum>
  <w:abstractNum w:abstractNumId="32">
    <w:nsid w:val="42C296BD"/>
    <w:multiLevelType w:val="hybridMultilevel"/>
    <w:lvl w:ilvl="0">
      <w:lvlJc w:val="left"/>
      <w:lvlText w:val="%1."/>
      <w:numFmt w:val="upperLetter"/>
      <w:start w:val="2"/>
    </w:lvl>
  </w:abstractNum>
  <w:abstractNum w:abstractNumId="33">
    <w:nsid w:val="168E121F"/>
    <w:multiLevelType w:val="hybridMultilevel"/>
    <w:lvl w:ilvl="0">
      <w:lvlJc w:val="left"/>
      <w:lvlText w:val="%1."/>
      <w:numFmt w:val="upperLetter"/>
      <w:start w:val="5"/>
    </w:lvl>
  </w:abstractNum>
  <w:abstractNum w:abstractNumId="34">
    <w:nsid w:val="1EBA5D23"/>
    <w:multiLevelType w:val="hybridMultilevel"/>
    <w:lvl w:ilvl="0">
      <w:lvlJc w:val="left"/>
      <w:lvlText w:val="%1."/>
      <w:numFmt w:val="upperLetter"/>
      <w:start w:val="27"/>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decimal"/>
      <w:start w:val="3"/>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lowerRoman"/>
      <w:start w:val="5"/>
    </w:lvl>
  </w:abstractNum>
  <w:abstractNum w:abstractNumId="50">
    <w:nsid w:val="60B6DF70"/>
    <w:multiLevelType w:val="hybridMultilevel"/>
    <w:lvl w:ilvl="0">
      <w:lvlJc w:val="left"/>
      <w:lvlText w:val="●"/>
      <w:numFmt w:val="bullet"/>
      <w:start w:val="1"/>
    </w:lvl>
    <w:lvl w:ilvl="1">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decimal"/>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lowerRoman"/>
      <w:start w:val="1"/>
    </w:lvl>
  </w:abstractNum>
  <w:abstractNum w:abstractNumId="62">
    <w:nsid w:val="76272110"/>
    <w:multiLevelType w:val="hybridMultilevel"/>
    <w:lvl w:ilvl="0">
      <w:lvlJc w:val="left"/>
      <w:lvlText w:val="(%1)"/>
      <w:numFmt w:val="lowerRoman"/>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decimal"/>
      <w:start w:val="2"/>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1)"/>
      <w:numFmt w:val="decimal"/>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1)"/>
      <w:numFmt w:val="decimal"/>
      <w:start w:val="1"/>
    </w:lvl>
  </w:abstractNum>
  <w:abstractNum w:abstractNumId="78">
    <w:nsid w:val="7F01579B"/>
    <w:multiLevelType w:val="hybridMultilevel"/>
    <w:lvl w:ilvl="0">
      <w:lvlJc w:val="left"/>
      <w:lvlText w:val="%1)"/>
      <w:numFmt w:val="decimal"/>
      <w:start w:val="5"/>
    </w:lvl>
  </w:abstractNum>
  <w:abstractNum w:abstractNumId="79">
    <w:nsid w:val="49DA307D"/>
    <w:multiLevelType w:val="hybridMultilevel"/>
    <w:lvl w:ilvl="0">
      <w:lvlJc w:val="left"/>
      <w:lvlText w:val="(%1)"/>
      <w:numFmt w:val="decimal"/>
      <w:start w:val="16"/>
    </w:lvl>
  </w:abstractNum>
  <w:abstractNum w:abstractNumId="80">
    <w:nsid w:val="7055A5F5"/>
    <w:multiLevelType w:val="hybridMultilevel"/>
    <w:lvl w:ilvl="0">
      <w:lvlJc w:val="left"/>
      <w:lvlText w:val="\emdash "/>
      <w:numFmt w:val="bullet"/>
      <w:start w:val="1"/>
    </w:lvl>
  </w:abstractNum>
  <w:abstractNum w:abstractNumId="81">
    <w:nsid w:val="5FB8370B"/>
    <w:multiLevelType w:val="hybridMultilevel"/>
    <w:lvl w:ilvl="0">
      <w:lvlJc w:val="left"/>
      <w:lvlText w:val="%1)"/>
      <w:numFmt w:val="decimal"/>
      <w:start w:val="5"/>
    </w:lvl>
  </w:abstractNum>
  <w:abstractNum w:abstractNumId="82">
    <w:nsid w:val="50801EE1"/>
    <w:multiLevelType w:val="hybridMultilevel"/>
    <w:lvl w:ilvl="0">
      <w:lvlJc w:val="left"/>
      <w:lvlText w:val="(%1)"/>
      <w:numFmt w:val="lowerRoman"/>
      <w:start w:val="1"/>
    </w:lvl>
    <w:lvl w:ilvl="1">
      <w:lvlJc w:val="left"/>
      <w:lvlText w:val="(%2)"/>
      <w:numFmt w:val="upperLetter"/>
      <w:start w:val="1"/>
    </w:lvl>
  </w:abstractNum>
  <w:abstractNum w:abstractNumId="83">
    <w:nsid w:val="488AC1A"/>
    <w:multiLevelType w:val="hybridMultilevel"/>
    <w:lvl w:ilvl="0">
      <w:lvlJc w:val="left"/>
      <w:lvlText w:val="(%1)"/>
      <w:numFmt w:val="lowerRoman"/>
      <w:start w:val="2"/>
    </w:lvl>
  </w:abstractNum>
  <w:abstractNum w:abstractNumId="84">
    <w:nsid w:val="5FB8011C"/>
    <w:multiLevelType w:val="hybridMultilevel"/>
    <w:lvl w:ilvl="0">
      <w:lvlJc w:val="left"/>
      <w:lvlText w:val="(%1)"/>
      <w:numFmt w:val="lowerRoman"/>
      <w:start w:val="5"/>
    </w:lvl>
  </w:abstractNum>
  <w:abstractNum w:abstractNumId="85">
    <w:nsid w:val="6AA78F7F"/>
    <w:multiLevelType w:val="hybridMultilevel"/>
    <w:lvl w:ilvl="0">
      <w:lvlJc w:val="left"/>
      <w:lvlText w:val="(%1)"/>
      <w:numFmt w:val="decimal"/>
      <w:start w:val="16"/>
    </w:lvl>
  </w:abstractNum>
  <w:abstractNum w:abstractNumId="86">
    <w:nsid w:val="7672BD23"/>
    <w:multiLevelType w:val="hybridMultilevel"/>
    <w:lvl w:ilvl="0">
      <w:lvlJc w:val="left"/>
      <w:lvlText w:val="(%1)"/>
      <w:numFmt w:val="lowerRoman"/>
      <w:start w:val="2"/>
    </w:lvl>
  </w:abstractNum>
  <w:abstractNum w:abstractNumId="87">
    <w:nsid w:val="6FC75AF8"/>
    <w:multiLevelType w:val="hybridMultilevel"/>
    <w:lvl w:ilvl="0">
      <w:lvlJc w:val="left"/>
      <w:lvlText w:val="\emdash "/>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1)"/>
      <w:numFmt w:val="lowerLetter"/>
      <w:start w:val="2"/>
    </w:lvl>
  </w:abstractNum>
  <w:abstractNum w:abstractNumId="91">
    <w:nsid w:val="73A182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2">
    <w:nsid w:val="7DE6771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93">
    <w:nsid w:val="555C55B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4">
    <w:nsid w:val="3FA62AC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5">
    <w:nsid w:val="14FCE74E"/>
    <w:multiLevelType w:val="hybridMultilevel"/>
    <w:lvl w:ilvl="0">
      <w:lvlJc w:val="left"/>
      <w:lvlText w:val="%1."/>
      <w:numFmt w:val="decimal"/>
      <w:start w:val="1"/>
    </w:lvl>
  </w:abstractNum>
  <w:abstractNum w:abstractNumId="96">
    <w:nsid w:val="6A3DD3E8"/>
    <w:multiLevelType w:val="hybridMultilevel"/>
    <w:lvl w:ilvl="0">
      <w:lvlJc w:val="left"/>
      <w:lvlText w:val="%1."/>
      <w:numFmt w:val="decimal"/>
      <w:start w:val="3"/>
    </w:lvl>
  </w:abstractNum>
  <w:abstractNum w:abstractNumId="97">
    <w:nsid w:val="71C91298"/>
    <w:multiLevelType w:val="hybridMultilevel"/>
    <w:lvl w:ilvl="0">
      <w:lvlJc w:val="left"/>
      <w:lvlText w:val="(%1)"/>
      <w:numFmt w:val="lowerRoman"/>
      <w:start w:val="1"/>
    </w:lvl>
  </w:abstractNum>
  <w:abstractNum w:abstractNumId="98">
    <w:nsid w:val="9DAF632"/>
    <w:multiLevelType w:val="hybridMultilevel"/>
    <w:lvl w:ilvl="0">
      <w:lvlJc w:val="left"/>
      <w:lvlText w:val="%1."/>
      <w:numFmt w:val="decimal"/>
      <w:start w:val="4"/>
    </w:lvl>
  </w:abstractNum>
  <w:abstractNum w:abstractNumId="99">
    <w:nsid w:val="53299938"/>
    <w:multiLevelType w:val="hybridMultilevel"/>
    <w:lvl w:ilvl="0">
      <w:lvlJc w:val="left"/>
      <w:lvlText w:val="(%1)"/>
      <w:numFmt w:val="lowerRoman"/>
      <w:start w:val="10"/>
    </w:lvl>
  </w:abstractNum>
  <w:abstractNum w:abstractNumId="100">
    <w:nsid w:val="1FBFE8E0"/>
    <w:multiLevelType w:val="hybridMultilevel"/>
    <w:lvl w:ilvl="0">
      <w:lvlJc w:val="left"/>
      <w:lvlText w:val="%1."/>
      <w:numFmt w:val="decimal"/>
      <w:start w:val="5"/>
    </w:lvl>
  </w:abstractNum>
  <w:abstractNum w:abstractNumId="101">
    <w:nsid w:val="5092CA79"/>
    <w:multiLevelType w:val="hybridMultilevel"/>
    <w:lvl w:ilvl="0">
      <w:lvlJc w:val="left"/>
      <w:lvlText w:val="%1."/>
      <w:numFmt w:val="decimal"/>
      <w:start w:val="6"/>
    </w:lvl>
  </w:abstractNum>
  <w:abstractNum w:abstractNumId="102">
    <w:nsid w:val="1D545C4D"/>
    <w:multiLevelType w:val="hybridMultilevel"/>
    <w:lvl w:ilvl="0">
      <w:lvlJc w:val="left"/>
      <w:lvlText w:val="%1."/>
      <w:numFmt w:val="decimal"/>
      <w:start w:val="7"/>
    </w:lvl>
  </w:abstractNum>
  <w:abstractNum w:abstractNumId="103">
    <w:nsid w:val="59ADEA3D"/>
    <w:multiLevelType w:val="hybridMultilevel"/>
    <w:lvl w:ilvl="0">
      <w:lvlJc w:val="left"/>
      <w:lvlText w:val="%1."/>
      <w:numFmt w:val="decimal"/>
      <w:start w:val="8"/>
    </w:lvl>
  </w:abstractNum>
  <w:abstractNum w:abstractNumId="104">
    <w:nsid w:val="288F1A34"/>
    <w:multiLevelType w:val="hybridMultilevel"/>
    <w:lvl w:ilvl="0">
      <w:lvlJc w:val="left"/>
      <w:lvlText w:val="%1."/>
      <w:numFmt w:val="decimal"/>
      <w:start w:val="9"/>
    </w:lvl>
  </w:abstractNum>
  <w:abstractNum w:abstractNumId="105">
    <w:nsid w:val="2A155DBC"/>
    <w:multiLevelType w:val="hybridMultilevel"/>
    <w:lvl w:ilvl="0">
      <w:lvlJc w:val="left"/>
      <w:lvlText w:val="(%1)"/>
      <w:numFmt w:val="lowerRoman"/>
      <w:start w:val="10"/>
    </w:lvl>
  </w:abstractNum>
  <w:abstractNum w:abstractNumId="106">
    <w:nsid w:val="1D9F6E5F"/>
    <w:multiLevelType w:val="hybridMultilevel"/>
    <w:lvl w:ilvl="0">
      <w:lvlJc w:val="left"/>
      <w:lvlText w:val="(%1)"/>
      <w:numFmt w:val="decimal"/>
      <w:start w:val="30"/>
    </w:lvl>
  </w:abstractNum>
  <w:abstractNum w:abstractNumId="107">
    <w:nsid w:val="97E1B4E"/>
    <w:multiLevelType w:val="hybridMultilevel"/>
    <w:lvl w:ilvl="0">
      <w:lvlJc w:val="left"/>
      <w:lvlText w:val="(%1)"/>
      <w:numFmt w:val="lowerRoman"/>
      <w:start w:val="2"/>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jpe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jpe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243" Type="http://schemas.openxmlformats.org/officeDocument/2006/relationships/hyperlink" Target="https://www.sec.gov/Archives/edgar/data/1847986/000110465922100022/tm2218377-26_s4a.htm#tANNA" TargetMode="External"/><Relationship Id="rId244" Type="http://schemas.openxmlformats.org/officeDocument/2006/relationships/hyperlink" Target="https://www.sec.gov/Archives/edgar/data/1847986/000110465922081684/cntq-20210630xex2d1a.htm" TargetMode="External"/><Relationship Id="rId245" Type="http://schemas.openxmlformats.org/officeDocument/2006/relationships/hyperlink" Target="https://www.sec.gov/Archives/edgar/data/1847986/000110465922107212/tm2222125d3_ex3-1.htm" TargetMode="External"/><Relationship Id="rId246" Type="http://schemas.openxmlformats.org/officeDocument/2006/relationships/hyperlink" Target="https://www.sec.gov/Archives/edgar/data/1847986/000110465922107212/tm2222125d3_ex3-2.htm" TargetMode="External"/><Relationship Id="rId247" Type="http://schemas.openxmlformats.org/officeDocument/2006/relationships/hyperlink" Target="https://www.sec.gov/Archives/edgar/data/1847986/000110465922107212/tm2222125d3_ex4-1.htm" TargetMode="External"/><Relationship Id="rId248" Type="http://schemas.openxmlformats.org/officeDocument/2006/relationships/hyperlink" Target="https://www.sec.gov/Archives/edgar/data/1847986/000110465922107212/tm2222125d3_ex4-2.htm" TargetMode="External"/><Relationship Id="rId249" Type="http://schemas.openxmlformats.org/officeDocument/2006/relationships/hyperlink" Target="https://www.sec.gov/Archives/edgar/data/1847986/000110465922107212/tm2222125d3_ex4-3.htm" TargetMode="External"/><Relationship Id="rId250" Type="http://schemas.openxmlformats.org/officeDocument/2006/relationships/hyperlink" Target="https://www.sec.gov/Archives/edgar/data/1847986/000110465921091769/tm2118460d2_ex4-3.htm" TargetMode="External"/><Relationship Id="rId251" Type="http://schemas.openxmlformats.org/officeDocument/2006/relationships/hyperlink" Target="https://www.sec.gov/Archives/edgar/data/1847986/000110465922100022/tm2218377-26_s4a.htm#tANNE" TargetMode="External"/><Relationship Id="rId252" Type="http://schemas.openxmlformats.org/officeDocument/2006/relationships/hyperlink" Target="https://www.sec.gov/Archives/edgar/data/1847986/000110465922100022/tm2218377-26_s4a.htm#tANNJ" TargetMode="External"/><Relationship Id="rId253" Type="http://schemas.openxmlformats.org/officeDocument/2006/relationships/hyperlink" Target="https://www.sec.gov/Archives/edgar/data/1847986/000110465922100022/tm2218377-26_s4a.htm#tANNK" TargetMode="External"/><Relationship Id="rId254" Type="http://schemas.openxmlformats.org/officeDocument/2006/relationships/hyperlink" Target="https://www.sec.gov/Archives/edgar/data/1847986/000110465922100022/tm2218377-26_s4a.htm#tANNF" TargetMode="External"/><Relationship Id="rId255" Type="http://schemas.openxmlformats.org/officeDocument/2006/relationships/hyperlink" Target="https://www.sec.gov/Archives/edgar/data/1847986/000110465922107212/tm2222125d3_ex10-5.htm" TargetMode="External"/><Relationship Id="rId256" Type="http://schemas.openxmlformats.org/officeDocument/2006/relationships/hyperlink" Target="https://www.sec.gov/Archives/edgar/data/1847986/000110465922107212/tm2222125d3_ex10-6.htm" TargetMode="External"/><Relationship Id="rId257" Type="http://schemas.openxmlformats.org/officeDocument/2006/relationships/hyperlink" Target="https://www.sec.gov/Archives/edgar/data/1847986/000110465922099731/tm2218377d21_ex10-10.htm" TargetMode="External"/><Relationship Id="rId258" Type="http://schemas.openxmlformats.org/officeDocument/2006/relationships/hyperlink" Target="https://www.sec.gov/Archives/edgar/data/1847986/000110465922081684/cntq-20210630xex10d11.htm" TargetMode="External"/><Relationship Id="rId259" Type="http://schemas.openxmlformats.org/officeDocument/2006/relationships/hyperlink" Target="https://www.sec.gov/Archives/edgar/data/1847986/000110465922081684/cntq-20210630xex10d12.htm" TargetMode="External"/><Relationship Id="rId260" Type="http://schemas.openxmlformats.org/officeDocument/2006/relationships/hyperlink" Target="https://www.sec.gov/Archives/edgar/data/1847986/000110465922107212/tm2222125d3_ex10-10.htm" TargetMode="External"/><Relationship Id="rId261" Type="http://schemas.openxmlformats.org/officeDocument/2006/relationships/hyperlink" Target="https://www.sec.gov/Archives/edgar/data/1847986/000110465922107212/tm2222125d3_ex10-11.htm" TargetMode="External"/><Relationship Id="rId262" Type="http://schemas.openxmlformats.org/officeDocument/2006/relationships/hyperlink" Target="https://www.sec.gov/Archives/edgar/data/1847986/000110465922107212/tm2222125d3_ex10-12.htm" TargetMode="External"/><Relationship Id="rId263" Type="http://schemas.openxmlformats.org/officeDocument/2006/relationships/hyperlink" Target="https://www.sec.gov/Archives/edgar/data/1847986/000110465922107212/tm2222125d3_ex10-13.htm" TargetMode="External"/><Relationship Id="rId264" Type="http://schemas.openxmlformats.org/officeDocument/2006/relationships/hyperlink" Target="https://www.sec.gov/Archives/edgar/data/1847986/000110465922107212/tm2222125d3_ex10-14.htm" TargetMode="External"/><Relationship Id="rId267" Type="http://schemas.openxmlformats.org/officeDocument/2006/relationships/hyperlink" Target="https://www.sec.gov/Archives/edgar/data/1847986/000110465922107212/tm2222125d3_ex10-15.htm" TargetMode="External"/><Relationship Id="rId268" Type="http://schemas.openxmlformats.org/officeDocument/2006/relationships/hyperlink" Target="https://www.sec.gov/Archives/edgar/data/1847986/000110465922107212/tm2222125d3_ex10-16.htm" TargetMode="External"/><Relationship Id="rId269" Type="http://schemas.openxmlformats.org/officeDocument/2006/relationships/hyperlink" Target="https://www.sec.gov/Archives/edgar/data/1847986/000110465922107212/tm2222125d3_ex10-17.htm" TargetMode="External"/><Relationship Id="rId270" Type="http://schemas.openxmlformats.org/officeDocument/2006/relationships/hyperlink" Target="https://www.sec.gov/Archives/edgar/data/1847986/000110465922107212/tm2222125d3_ex10-18.htm" TargetMode="External"/><Relationship Id="rId271" Type="http://schemas.openxmlformats.org/officeDocument/2006/relationships/hyperlink" Target="https://www.sec.gov/Archives/edgar/data/1847986/000110465922107212/tm2222125d3_ex10-19.htm" TargetMode="External"/><Relationship Id="rId272" Type="http://schemas.openxmlformats.org/officeDocument/2006/relationships/hyperlink" Target="https://www.sec.gov/Archives/edgar/data/1847986/000110465922107212/tm2222125d3_ex10-20.htm" TargetMode="External"/><Relationship Id="rId273" Type="http://schemas.openxmlformats.org/officeDocument/2006/relationships/hyperlink" Target="https://www.sec.gov/Archives/edgar/data/1847986/000110465922107212/tm2222125d3_ex10-21.htm" TargetMode="External"/><Relationship Id="rId274" Type="http://schemas.openxmlformats.org/officeDocument/2006/relationships/hyperlink" Target="https://www.sec.gov/Archives/edgar/data/1847986/000110465922107212/tm2222125d3_ex14-1.htm" TargetMode="External"/><Relationship Id="rId275" Type="http://schemas.openxmlformats.org/officeDocument/2006/relationships/hyperlink" Target="https://www.sec.gov/Archives/edgar/data/1847986/000110465922107212/tm2222125d3_ex14-2.htm" TargetMode="External"/><Relationship Id="rId276" Type="http://schemas.openxmlformats.org/officeDocument/2006/relationships/hyperlink" Target="https://www.sec.gov/Archives/edgar/data/1847986/000110465922107212/tm2222125d3_ex16-1.htm" TargetMode="External"/><Relationship Id="rId277" Type="http://schemas.openxmlformats.org/officeDocument/2006/relationships/hyperlink" Target="https://www.sec.gov/Archives/edgar/data/1847986/000110465922107212/tm2222125d3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2022-10-21T16:41:20Z</dcterms:created>
  <dcterms:modified xsi:type="dcterms:W3CDTF">2022-10-21T16:41:20Z</dcterms:modified>
</cp:coreProperties>
</file>