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Marchetti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1190 Trademark Drive #108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Nevada 89521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333-268185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Marchetti: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11/4/2022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In light of the significant number of redemptions and the unlikelihood that the company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receive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proceeds from exercises of the warrants because of the disparity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between the exercise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price of the warrants and the current trading price of the common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stock, expand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discussion of capital resources to address any changes in the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liquidity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position since the business combination. If the company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likely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have to seek additional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capital, discuss the effect of this offering on the company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capital.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raise additional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expand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discussion here to reflect the fact that this offering involves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potential sale of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substantial portion of shares for resale and discuss how such sales could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John Marchetti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Dragonfly Energy Holdings Corp.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November 29, 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stock. Your discussion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ind w:left="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impact the market price of the company   s common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 fact that holders of a significant percentage of your outstanding shares will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able to sell all of their shares for so long as the registration statement of which this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forms a part is available for use.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979" w:firstLine="8"/>
        <w:spacing w:after="0" w:line="346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prospectus to disclose the price that each selling securityholder paid for the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97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and warrants being registered for resale. Highlight any differences in the current</w:t>
      </w: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price, the prices that the selling securityholders acquired their shares and warrants,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price that the public securityholders acquired their shares and warrants. Disclose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while the other selling securityholders may experience a positive rate of return based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current trading price, the public securityholders may not experience a similar rate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return on the securities they purchased due to differences in the purchase prices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trading price. Please also disclose the potential profit the selling securityholders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earn based on the current trading price.</w:t>
      </w:r>
    </w:p>
    <w:p>
      <w:pPr>
        <w:ind w:right="1819" w:firstLine="8"/>
        <w:spacing w:after="0" w:line="238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projected revenues for 2022 and 2023 disclosed beginning on page 220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Form S-4 filed in connection with the Business Combination. We also note that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actual revenues for the six months ended June 30, 2022. It appears that you will miss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 projections. Please update your disclosure in Liquidity and Capital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Resources, and elsewhere, to provide updated information about the company s financial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and further risks to the business operations and liquidity in light of these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Alex King at 202-551-8631 or Geoffrey Kruczek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202-551-3641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Marchetti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NameDragonfly Energy Holdings Corp.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2022 Page 2</w:t>
      </w:r>
    </w:p>
    <w:p>
      <w:pPr>
        <w:ind w:right="8139" w:firstLine="8"/>
        <w:spacing w:after="0" w:line="377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Jeeho Lee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2023-01-30T00:22:09Z</dcterms:created>
  <dcterms:modified xsi:type="dcterms:W3CDTF">2023-01-30T00:22:09Z</dcterms:modified>
</cp:coreProperties>
</file>