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U.S. Securities and Exchange Commission on March 8, 2021.</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85-1873463</w:t>
            </w:r>
          </w:p>
        </w:tc>
        <w:tc>
          <w:tcPr>
            <w:tcW w:w="0" w:type="dxa"/>
            <w:vAlign w:val="bottom"/>
          </w:tcPr>
          <w:p>
            <w:pPr>
              <w:spacing w:after="0"/>
              <w:rPr>
                <w:sz w:val="1"/>
                <w:szCs w:val="1"/>
                <w:color w:val="auto"/>
              </w:rPr>
            </w:pPr>
          </w:p>
        </w:tc>
      </w:tr>
      <w:tr>
        <w:trPr>
          <w:trHeight w:val="40"/>
        </w:trPr>
        <w:tc>
          <w:tcPr>
            <w:tcW w:w="37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12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 Classification Code</w:t>
            </w:r>
          </w:p>
        </w:tc>
        <w:tc>
          <w:tcPr>
            <w:tcW w:w="100" w:type="dxa"/>
            <w:vAlign w:val="bottom"/>
            <w:vMerge w:val="continue"/>
          </w:tcPr>
          <w:p>
            <w:pPr>
              <w:spacing w:after="0"/>
              <w:rPr>
                <w:sz w:val="16"/>
                <w:szCs w:val="16"/>
                <w:color w:val="auto"/>
              </w:rPr>
            </w:pPr>
          </w:p>
        </w:tc>
        <w:tc>
          <w:tcPr>
            <w:tcW w:w="370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organization)</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w:t>
            </w:r>
          </w:p>
        </w:tc>
        <w:tc>
          <w:tcPr>
            <w:tcW w:w="37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jc w:val="center"/>
        <w:spacing w:after="0" w:line="192" w:lineRule="auto"/>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5080" w:type="dxa"/>
            <w:vAlign w:val="bottom"/>
          </w:tcPr>
          <w:p>
            <w:pPr>
              <w:ind w:left="720"/>
              <w:spacing w:after="0"/>
              <w:rPr>
                <w:sz w:val="20"/>
                <w:szCs w:val="20"/>
                <w:color w:val="auto"/>
              </w:rPr>
            </w:pPr>
            <w:r>
              <w:rPr>
                <w:rFonts w:ascii="Arial" w:cs="Arial" w:eastAsia="Arial" w:hAnsi="Arial"/>
                <w:sz w:val="18"/>
                <w:szCs w:val="18"/>
                <w:i w:val="1"/>
                <w:iCs w:val="1"/>
                <w:color w:val="auto"/>
              </w:rPr>
              <w:t>Copies to:</w:t>
            </w:r>
          </w:p>
        </w:tc>
      </w:tr>
      <w:tr>
        <w:trPr>
          <w:trHeight w:val="414"/>
        </w:trPr>
        <w:tc>
          <w:tcPr>
            <w:tcW w:w="284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Ari Edelman, Esq.</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Alan I. Annex,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C. Craig Lilly, Esq.</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88"/>
              </w:rPr>
              <w:t>Jason T. Simon,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Reed Smith LLP</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4"/>
              </w:rPr>
              <w:t>Greenberg Traurig, LLP</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599 Lexington Avenue</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88"/>
              </w:rPr>
              <w:t>1750 Tysons Blvd., Suite 1000</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New York, New York 10022</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McLean, VA 22102</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(212) 521-5400</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90"/>
              </w:rPr>
              <w:t>(703) 749-1300</w:t>
            </w:r>
          </w:p>
        </w:tc>
      </w:tr>
      <w:tr>
        <w:trPr>
          <w:trHeight w:val="234"/>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(212) 521-5450— Facsimile</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1"/>
              </w:rPr>
              <w:t>((703) 749-1301 — Facsimile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163195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 offering.</w:t>
      </w:r>
    </w:p>
    <w:p>
      <w:pPr>
        <w:spacing w:after="0" w:line="229"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63" w:right="339" w:bottom="197" w:gutter="0" w:footer="0" w:header="0"/>
        </w:sectPr>
      </w:pPr>
    </w:p>
    <w:bookmarkStart w:id="1" w:name="page2"/>
    <w:bookmarkEnd w:id="1"/>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24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CALCULATION OF REGISTRATION FEE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Proposed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Being</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70"/>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 of Security being registered</w:t>
            </w: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Registered</w:t>
            </w:r>
          </w:p>
        </w:tc>
        <w:tc>
          <w:tcPr>
            <w:tcW w:w="140" w:type="dxa"/>
            <w:vAlign w:val="bottom"/>
          </w:tcPr>
          <w:p>
            <w:pPr>
              <w:spacing w:after="0"/>
              <w:rPr>
                <w:sz w:val="23"/>
                <w:szCs w:val="23"/>
                <w:color w:val="auto"/>
              </w:rPr>
            </w:pPr>
          </w:p>
        </w:tc>
        <w:tc>
          <w:tcPr>
            <w:tcW w:w="1240" w:type="dxa"/>
            <w:vAlign w:val="bottom"/>
            <w:gridSpan w:val="2"/>
          </w:tcPr>
          <w:p>
            <w:pPr>
              <w:jc w:val="center"/>
              <w:ind w:right="300"/>
              <w:spacing w:after="0" w:line="270" w:lineRule="exact"/>
              <w:rPr>
                <w:sz w:val="20"/>
                <w:szCs w:val="20"/>
                <w:color w:val="auto"/>
              </w:rPr>
            </w:pPr>
            <w:r>
              <w:rPr>
                <w:rFonts w:ascii="Arial" w:cs="Arial" w:eastAsia="Arial" w:hAnsi="Arial"/>
                <w:sz w:val="18"/>
                <w:szCs w:val="18"/>
                <w:b w:val="1"/>
                <w:bCs w:val="1"/>
                <w:color w:val="auto"/>
                <w:w w:val="86"/>
              </w:rPr>
              <w:t>Security</w:t>
            </w:r>
            <w:r>
              <w:rPr>
                <w:rFonts w:ascii="Arial" w:cs="Arial" w:eastAsia="Arial" w:hAnsi="Arial"/>
                <w:sz w:val="29"/>
                <w:szCs w:val="29"/>
                <w:b w:val="1"/>
                <w:bCs w:val="1"/>
                <w:color w:val="auto"/>
                <w:w w:val="86"/>
                <w:vertAlign w:val="superscript"/>
              </w:rPr>
              <w:t>(1)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280"/>
              <w:spacing w:after="0" w:line="269" w:lineRule="exact"/>
              <w:rPr>
                <w:sz w:val="20"/>
                <w:szCs w:val="20"/>
                <w:color w:val="auto"/>
              </w:rPr>
            </w:pPr>
            <w:r>
              <w:rPr>
                <w:rFonts w:ascii="Arial" w:cs="Arial" w:eastAsia="Arial" w:hAnsi="Arial"/>
                <w:sz w:val="31"/>
                <w:szCs w:val="31"/>
                <w:b w:val="1"/>
                <w:bCs w:val="1"/>
                <w:color w:val="auto"/>
                <w:w w:val="87"/>
                <w:vertAlign w:val="subscript"/>
              </w:rPr>
              <w:t>Price</w:t>
            </w:r>
            <w:r>
              <w:rPr>
                <w:rFonts w:ascii="Arial" w:cs="Arial" w:eastAsia="Arial" w:hAnsi="Arial"/>
                <w:sz w:val="14"/>
                <w:szCs w:val="14"/>
                <w:b w:val="1"/>
                <w:bCs w:val="1"/>
                <w:color w:val="auto"/>
                <w:w w:val="87"/>
              </w:rPr>
              <w:t>(1)(2)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1"/>
              </w:rPr>
              <w:t>Units, each consisting of one share of common stock, $0.0001 par</w:t>
            </w: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value and one-third of one redeemable warrant entitling the</w:t>
            </w: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080" w:type="dxa"/>
            <w:vAlign w:val="bottom"/>
            <w:gridSpan w:val="3"/>
            <w:shd w:val="clear" w:color="auto" w:fill="CCEEFF"/>
          </w:tcPr>
          <w:p>
            <w:pPr>
              <w:ind w:left="180"/>
              <w:spacing w:after="0" w:line="267" w:lineRule="exact"/>
              <w:rPr>
                <w:sz w:val="20"/>
                <w:szCs w:val="20"/>
                <w:color w:val="auto"/>
              </w:rPr>
            </w:pPr>
            <w:r>
              <w:rPr>
                <w:rFonts w:ascii="Arial" w:cs="Arial" w:eastAsia="Arial" w:hAnsi="Arial"/>
                <w:sz w:val="18"/>
                <w:szCs w:val="18"/>
                <w:color w:val="auto"/>
              </w:rPr>
              <w:t>holder to purchase one share of common stock</w:t>
            </w:r>
            <w:r>
              <w:rPr>
                <w:rFonts w:ascii="Arial" w:cs="Arial" w:eastAsia="Arial" w:hAnsi="Arial"/>
                <w:sz w:val="29"/>
                <w:szCs w:val="29"/>
                <w:color w:val="auto"/>
                <w:vertAlign w:val="superscript"/>
              </w:rPr>
              <w:t>(2)</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12,546.50</w:t>
            </w:r>
          </w:p>
        </w:tc>
        <w:tc>
          <w:tcPr>
            <w:tcW w:w="0" w:type="dxa"/>
            <w:vAlign w:val="bottom"/>
          </w:tcPr>
          <w:p>
            <w:pPr>
              <w:spacing w:after="0"/>
              <w:rPr>
                <w:sz w:val="1"/>
                <w:szCs w:val="1"/>
                <w:color w:val="auto"/>
              </w:rPr>
            </w:pPr>
          </w:p>
        </w:tc>
      </w:tr>
      <w:tr>
        <w:trPr>
          <w:trHeight w:val="205"/>
        </w:trPr>
        <w:tc>
          <w:tcPr>
            <w:tcW w:w="5080" w:type="dxa"/>
            <w:vAlign w:val="bottom"/>
            <w:gridSpan w:val="3"/>
          </w:tcPr>
          <w:p>
            <w:pPr>
              <w:spacing w:after="0" w:line="206" w:lineRule="exact"/>
              <w:rPr>
                <w:sz w:val="20"/>
                <w:szCs w:val="20"/>
                <w:color w:val="auto"/>
              </w:rPr>
            </w:pPr>
            <w:r>
              <w:rPr>
                <w:rFonts w:ascii="Arial" w:cs="Arial" w:eastAsia="Arial" w:hAnsi="Arial"/>
                <w:sz w:val="18"/>
                <w:szCs w:val="18"/>
                <w:color w:val="auto"/>
                <w:w w:val="99"/>
              </w:rPr>
              <w:t>Shares of common stock, $0.0001 par value, included as part of</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080" w:type="dxa"/>
            <w:vAlign w:val="bottom"/>
            <w:gridSpan w:val="3"/>
          </w:tcPr>
          <w:p>
            <w:pPr>
              <w:ind w:left="180"/>
              <w:spacing w:after="0" w:line="267" w:lineRule="exact"/>
              <w:rPr>
                <w:sz w:val="20"/>
                <w:szCs w:val="20"/>
                <w:color w:val="auto"/>
              </w:rPr>
            </w:pPr>
            <w:r>
              <w:rPr>
                <w:rFonts w:ascii="Arial" w:cs="Arial" w:eastAsia="Arial" w:hAnsi="Arial"/>
                <w:sz w:val="18"/>
                <w:szCs w:val="18"/>
                <w:color w:val="auto"/>
              </w:rPr>
              <w:t>the units</w:t>
            </w:r>
            <w:r>
              <w:rPr>
                <w:rFonts w:ascii="Arial" w:cs="Arial" w:eastAsia="Arial" w:hAnsi="Arial"/>
                <w:sz w:val="29"/>
                <w:szCs w:val="29"/>
                <w:color w:val="auto"/>
                <w:vertAlign w:val="superscript"/>
              </w:rPr>
              <w:t>(3)</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Redeemable warrants included as part of the units</w:t>
            </w:r>
            <w:r>
              <w:rPr>
                <w:rFonts w:ascii="Arial" w:cs="Arial" w:eastAsia="Arial" w:hAnsi="Arial"/>
                <w:sz w:val="29"/>
                <w:szCs w:val="29"/>
                <w:color w:val="auto"/>
                <w:vertAlign w:val="superscript"/>
              </w:rPr>
              <w:t>(3)</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3,833,333</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2"/>
        </w:trPr>
        <w:tc>
          <w:tcPr>
            <w:tcW w:w="5080" w:type="dxa"/>
            <w:vAlign w:val="bottom"/>
            <w:gridSpan w:val="3"/>
          </w:tcPr>
          <w:p>
            <w:pPr>
              <w:spacing w:after="0" w:line="201" w:lineRule="exact"/>
              <w:rPr>
                <w:sz w:val="20"/>
                <w:szCs w:val="20"/>
                <w:color w:val="auto"/>
              </w:rPr>
            </w:pPr>
            <w:r>
              <w:rPr>
                <w:rFonts w:ascii="Arial" w:cs="Arial" w:eastAsia="Arial" w:hAnsi="Arial"/>
                <w:sz w:val="18"/>
                <w:szCs w:val="18"/>
                <w:color w:val="auto"/>
              </w:rPr>
              <w:t>Shares of common stock underlying the redeemable warrants</w:t>
            </w:r>
          </w:p>
        </w:tc>
        <w:tc>
          <w:tcPr>
            <w:tcW w:w="16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3,833,333</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44,083,333.33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4,809.49</w:t>
            </w:r>
          </w:p>
        </w:tc>
        <w:tc>
          <w:tcPr>
            <w:tcW w:w="0" w:type="dxa"/>
            <w:vAlign w:val="bottom"/>
          </w:tcPr>
          <w:p>
            <w:pPr>
              <w:spacing w:after="0"/>
              <w:rPr>
                <w:sz w:val="1"/>
                <w:szCs w:val="1"/>
                <w:color w:val="auto"/>
              </w:rPr>
            </w:pPr>
          </w:p>
        </w:tc>
      </w:tr>
      <w:tr>
        <w:trPr>
          <w:trHeight w:val="29"/>
        </w:trPr>
        <w:tc>
          <w:tcPr>
            <w:tcW w:w="5080" w:type="dxa"/>
            <w:vAlign w:val="bottom"/>
            <w:gridSpan w:val="3"/>
          </w:tcPr>
          <w:p>
            <w:pPr>
              <w:ind w:left="180"/>
              <w:spacing w:after="0" w:line="30" w:lineRule="exact"/>
              <w:rPr>
                <w:sz w:val="20"/>
                <w:szCs w:val="20"/>
                <w:color w:val="auto"/>
              </w:rPr>
            </w:pPr>
            <w:r>
              <w:rPr>
                <w:rFonts w:ascii="Arial" w:cs="Arial" w:eastAsia="Arial" w:hAnsi="Arial"/>
                <w:sz w:val="3"/>
                <w:szCs w:val="3"/>
                <w:color w:val="auto"/>
              </w:rPr>
              <w:t>included as part of the units</w:t>
            </w:r>
          </w:p>
        </w:tc>
        <w:tc>
          <w:tcPr>
            <w:tcW w:w="16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159,083,333.33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17,355.99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457(o) under the Securities Act of 1933, as amended.</w:t>
      </w:r>
    </w:p>
    <w:p>
      <w:pPr>
        <w:spacing w:after="0" w:line="34"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 the aggregate of 10,000,000 units to be issued to public stockholders in the public offering, and 1,500,000 units which may be issued upon exercise of a 45-day option granted to the Underwriters to cover over-allotments, if any; and (B) shares of common stock and warrants underlying such units.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there are also being registered an indeterminable number of additional securities as may be issued to prevent dilution resulting from share sub-divisions, share dividends or similar transactions.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 under the Securities 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457(g), based on the exercise price of the warrants.</w:t>
      </w:r>
    </w:p>
    <w:p>
      <w:pPr>
        <w:spacing w:after="0" w:line="20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 xml:space="preserve">SUBJECT TO COMPLETION, DATED </w:t>
      </w:r>
      <w:r>
        <w:rPr>
          <w:rFonts w:ascii="Arial" w:cs="Arial" w:eastAsia="Arial" w:hAnsi="Arial"/>
          <w:sz w:val="17"/>
          <w:szCs w:val="17"/>
          <w:b w:val="1"/>
          <w:bCs w:val="1"/>
          <w:color w:val="C00000"/>
        </w:rPr>
        <w:t>March 8,</w:t>
      </w:r>
      <w:r>
        <w:rPr>
          <w:rFonts w:ascii="Arial" w:cs="Arial" w:eastAsia="Arial" w:hAnsi="Arial"/>
          <w:sz w:val="17"/>
          <w:szCs w:val="17"/>
          <w:b w:val="1"/>
          <w:bCs w:val="1"/>
          <w:color w:val="D2232A"/>
        </w:rPr>
        <w:t xml:space="preserve"> 2021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 UNITS</w:t>
      </w:r>
    </w:p>
    <w:p>
      <w:pPr>
        <w:spacing w:after="0" w:line="2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Chardan NexTech Acquisition 2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our search on disruptive technology companies that operate within the HealthTech and FinTech sectors.</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is an initial public offering of our securities. We are offering 10,000,000 units at an offering price of $10.00 per unit. Each unit consists of one share of common stock, par value $0.0001, and one-third of one warrant, which we refer to throughout this prospectus as “warrants” or the “public warrants.” Each whole warrant entitles the holder thereof to purchase one share of common stock at a price of $11.50 per share, subject to adjustment, terms and limitations as described in the prospectus. Only whole warrants are exercisable. Each warrant will become exercisable 30 days after the consummation of an initial business combination, and will expire five years after the completion of an initial business combination, or earlier upon redemption.</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granted Chardan Capital Markets, LLC, the representative of the underwriters, a 45-day option to purchase up to an additional 1,500,000 units (over and above the 10,000,000 units referred to above) solely to cover over-allotments, if any.</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provide the holders of our outstanding shares of common stock that were sold as part of the units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24 months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Chardan NexTech Investments 2 LLC, our sponsor, has committed to purchase from us an aggregate of 5,500,000 warrants, or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are referred to herein as “founder shares,” which includes an aggregate of up to 375,000 shares that are subject to forfeiture to the extent that the underwriters’ over-allotment option is not exercised in full or in part.</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is presently no public market for our units, common stock, or warrants. We have applied to have our units listed on the Nasdaq Capital Market, or the Nasdaq, under the symbol “CNTQU” on or promptly after the date of this prospectus. We cannot guarantee that our securities will be approved for listing on the Nasdaq. Once the securities comprising the units begin separate trading as described in this prospectus, the shares of common stock and warrants will be traded on the Nasdaq under the symbols “CNTQ” and “CNTQW,” respectively. We cannot assure you that our securities will continue to be listed on the Nasdaq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firstLine="324"/>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will therefore be subject to reduced public company reporting requirements.</w:t>
      </w:r>
    </w:p>
    <w:p>
      <w:pPr>
        <w:spacing w:after="0" w:line="16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28 of this prospectus for a discussion of information that should be considered in connection with an investment in our securities.</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Underwriting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Proceeds,</w:t>
            </w: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 to</w:t>
            </w:r>
          </w:p>
        </w:tc>
        <w:tc>
          <w:tcPr>
            <w:tcW w:w="8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Discount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Before</w:t>
            </w:r>
          </w:p>
        </w:tc>
      </w:tr>
      <w:tr>
        <w:trPr>
          <w:trHeight w:val="270"/>
        </w:trPr>
        <w:tc>
          <w:tcPr>
            <w:tcW w:w="6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Public</w:t>
            </w:r>
          </w:p>
        </w:tc>
        <w:tc>
          <w:tcPr>
            <w:tcW w:w="138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w w:val="95"/>
              </w:rPr>
              <w:t>Commissions</w:t>
            </w:r>
            <w:r>
              <w:rPr>
                <w:rFonts w:ascii="Arial" w:cs="Arial" w:eastAsia="Arial" w:hAnsi="Arial"/>
                <w:sz w:val="29"/>
                <w:szCs w:val="29"/>
                <w:b w:val="1"/>
                <w:bCs w:val="1"/>
                <w:color w:val="auto"/>
                <w:w w:val="95"/>
                <w:vertAlign w:val="superscript"/>
              </w:rPr>
              <w:t>(1)</w:t>
            </w:r>
          </w:p>
        </w:tc>
        <w:tc>
          <w:tcPr>
            <w:tcW w:w="16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Expenses, to us</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unit</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100,000,000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34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 payable to for acting as a qualified independent underwriter. Such amount shall remain constant at $500,000, even if the over-allotment option is exercised. Please see the section titled “Underwriting” for further information relating to the underwriting arrangements agreed to between us and the underwriters in this offering.</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Upon consummation of the offering, $10.00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underwriters are offering the units on a firm commitment basis. Chardan, acting as the representative of the underwriters, expects to deliver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w w:val="99"/>
              </w:rPr>
              <w:t>units to purchasers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Chardan</w:t>
      </w:r>
    </w:p>
    <w:p>
      <w:pPr>
        <w:spacing w:after="0" w:line="22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760" w:type="dxa"/>
            <w:vAlign w:val="bottom"/>
          </w:tcPr>
          <w:p>
            <w:pPr>
              <w:ind w:left="3700"/>
              <w:spacing w:after="0"/>
              <w:rPr>
                <w:sz w:val="20"/>
                <w:szCs w:val="20"/>
                <w:color w:val="auto"/>
              </w:rPr>
            </w:pPr>
            <w:r>
              <w:rPr>
                <w:rFonts w:ascii="Arial" w:cs="Arial" w:eastAsia="Arial" w:hAnsi="Arial"/>
                <w:sz w:val="18"/>
                <w:szCs w:val="18"/>
                <w:b w:val="1"/>
                <w:bCs w:val="1"/>
                <w:color w:val="auto"/>
              </w:rPr>
              <w:t>CHARDAN NEXTECH ACQUISITION 2 CORP.</w:t>
            </w:r>
          </w:p>
        </w:tc>
        <w:tc>
          <w:tcPr>
            <w:tcW w:w="480" w:type="dxa"/>
            <w:vAlign w:val="bottom"/>
          </w:tcPr>
          <w:p>
            <w:pPr>
              <w:spacing w:after="0"/>
              <w:rPr>
                <w:sz w:val="20"/>
                <w:szCs w:val="20"/>
                <w:color w:val="auto"/>
              </w:rPr>
            </w:pPr>
          </w:p>
        </w:tc>
      </w:tr>
      <w:tr>
        <w:trPr>
          <w:trHeight w:val="432"/>
        </w:trPr>
        <w:tc>
          <w:tcPr>
            <w:tcW w:w="107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r>
      <w:tr>
        <w:trPr>
          <w:trHeight w:val="432"/>
        </w:trPr>
        <w:tc>
          <w:tcPr>
            <w:tcW w:w="107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9"/>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1</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SUMMARY FINANCIAL DATA</w:t>
              </w:r>
            </w:hyperlink>
          </w:p>
        </w:tc>
        <w:tc>
          <w:tcPr>
            <w:tcW w:w="48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26</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CAUTIONARY NOTE REGARDING FORWARD-LOOKING STATEMENTS AND RISK FACTOR SUMMARY</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27</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480" w:type="dxa"/>
            <w:vAlign w:val="bottom"/>
          </w:tcPr>
          <w:p>
            <w:pPr>
              <w:jc w:val="center"/>
              <w:spacing w:after="0"/>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28</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USE OF PROCEEDS</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69">
              <w:r>
                <w:rPr>
                  <w:rFonts w:ascii="Arial" w:cs="Arial" w:eastAsia="Arial" w:hAnsi="Arial"/>
                  <w:sz w:val="18"/>
                  <w:szCs w:val="18"/>
                  <w:u w:val="single" w:color="auto"/>
                  <w:color w:val="0000EE"/>
                  <w:w w:val="89"/>
                </w:rPr>
                <w:t>64</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DIVIDEND POLICY</w:t>
              </w:r>
            </w:hyperlink>
          </w:p>
        </w:tc>
        <w:tc>
          <w:tcPr>
            <w:tcW w:w="480" w:type="dxa"/>
            <w:vAlign w:val="bottom"/>
          </w:tcPr>
          <w:p>
            <w:pPr>
              <w:jc w:val="center"/>
              <w:spacing w:after="0"/>
              <w:rPr>
                <w:rFonts w:ascii="Arial" w:cs="Arial" w:eastAsia="Arial" w:hAnsi="Arial"/>
                <w:sz w:val="18"/>
                <w:szCs w:val="18"/>
                <w:u w:val="single" w:color="auto"/>
                <w:color w:val="0000EE"/>
                <w:w w:val="89"/>
              </w:rPr>
            </w:pPr>
            <w:hyperlink w:anchor="page72">
              <w:r>
                <w:rPr>
                  <w:rFonts w:ascii="Arial" w:cs="Arial" w:eastAsia="Arial" w:hAnsi="Arial"/>
                  <w:sz w:val="18"/>
                  <w:szCs w:val="18"/>
                  <w:u w:val="single" w:color="auto"/>
                  <w:color w:val="0000EE"/>
                  <w:w w:val="89"/>
                </w:rPr>
                <w:t>67</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DILUTION</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73">
              <w:r>
                <w:rPr>
                  <w:rFonts w:ascii="Arial" w:cs="Arial" w:eastAsia="Arial" w:hAnsi="Arial"/>
                  <w:sz w:val="18"/>
                  <w:szCs w:val="18"/>
                  <w:u w:val="single" w:color="auto"/>
                  <w:color w:val="0000EE"/>
                  <w:w w:val="89"/>
                </w:rPr>
                <w:t>68</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CAPITALIZATION</w:t>
              </w:r>
            </w:hyperlink>
          </w:p>
        </w:tc>
        <w:tc>
          <w:tcPr>
            <w:tcW w:w="480" w:type="dxa"/>
            <w:vAlign w:val="bottom"/>
          </w:tcPr>
          <w:p>
            <w:pPr>
              <w:jc w:val="center"/>
              <w:spacing w:after="0"/>
              <w:rPr>
                <w:rFonts w:ascii="Arial" w:cs="Arial" w:eastAsia="Arial" w:hAnsi="Arial"/>
                <w:sz w:val="18"/>
                <w:szCs w:val="18"/>
                <w:u w:val="single" w:color="auto"/>
                <w:color w:val="0000EE"/>
                <w:w w:val="89"/>
              </w:rPr>
            </w:pPr>
            <w:hyperlink w:anchor="page75">
              <w:r>
                <w:rPr>
                  <w:rFonts w:ascii="Arial" w:cs="Arial" w:eastAsia="Arial" w:hAnsi="Arial"/>
                  <w:sz w:val="18"/>
                  <w:szCs w:val="18"/>
                  <w:u w:val="single" w:color="auto"/>
                  <w:color w:val="0000EE"/>
                  <w:w w:val="89"/>
                </w:rPr>
                <w:t>70</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76">
              <w:r>
                <w:rPr>
                  <w:rFonts w:ascii="Arial" w:cs="Arial" w:eastAsia="Arial" w:hAnsi="Arial"/>
                  <w:sz w:val="18"/>
                  <w:szCs w:val="18"/>
                  <w:u w:val="single" w:color="auto"/>
                  <w:color w:val="0000EE"/>
                  <w:w w:val="89"/>
                </w:rPr>
                <w:t>71</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PROPOSED BUSINESS</w:t>
              </w:r>
            </w:hyperlink>
          </w:p>
        </w:tc>
        <w:tc>
          <w:tcPr>
            <w:tcW w:w="480" w:type="dxa"/>
            <w:vAlign w:val="bottom"/>
          </w:tcPr>
          <w:p>
            <w:pPr>
              <w:jc w:val="center"/>
              <w:spacing w:after="0"/>
              <w:rPr>
                <w:rFonts w:ascii="Arial" w:cs="Arial" w:eastAsia="Arial" w:hAnsi="Arial"/>
                <w:sz w:val="18"/>
                <w:szCs w:val="18"/>
                <w:u w:val="single" w:color="auto"/>
                <w:color w:val="0000EE"/>
                <w:w w:val="89"/>
              </w:rPr>
            </w:pPr>
            <w:hyperlink w:anchor="page81">
              <w:r>
                <w:rPr>
                  <w:rFonts w:ascii="Arial" w:cs="Arial" w:eastAsia="Arial" w:hAnsi="Arial"/>
                  <w:sz w:val="18"/>
                  <w:szCs w:val="18"/>
                  <w:u w:val="single" w:color="auto"/>
                  <w:color w:val="0000EE"/>
                  <w:w w:val="89"/>
                </w:rPr>
                <w:t>76</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MANAGEMENT</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93"/>
              </w:rPr>
            </w:pPr>
            <w:hyperlink w:anchor="page109">
              <w:r>
                <w:rPr>
                  <w:rFonts w:ascii="Arial" w:cs="Arial" w:eastAsia="Arial" w:hAnsi="Arial"/>
                  <w:sz w:val="18"/>
                  <w:szCs w:val="18"/>
                  <w:u w:val="single" w:color="auto"/>
                  <w:color w:val="0000EE"/>
                  <w:w w:val="93"/>
                </w:rPr>
                <w:t>104</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PRINCIPAL STOCKHOLDERS</w:t>
              </w:r>
            </w:hyperlink>
          </w:p>
        </w:tc>
        <w:tc>
          <w:tcPr>
            <w:tcW w:w="480" w:type="dxa"/>
            <w:vAlign w:val="bottom"/>
          </w:tcPr>
          <w:p>
            <w:pPr>
              <w:jc w:val="center"/>
              <w:spacing w:after="0"/>
              <w:rPr>
                <w:rFonts w:ascii="Arial" w:cs="Arial" w:eastAsia="Arial" w:hAnsi="Arial"/>
                <w:sz w:val="18"/>
                <w:szCs w:val="18"/>
                <w:u w:val="single" w:color="auto"/>
                <w:color w:val="0000EE"/>
                <w:w w:val="86"/>
              </w:rPr>
            </w:pPr>
            <w:hyperlink w:anchor="page120">
              <w:r>
                <w:rPr>
                  <w:rFonts w:ascii="Arial" w:cs="Arial" w:eastAsia="Arial" w:hAnsi="Arial"/>
                  <w:sz w:val="18"/>
                  <w:szCs w:val="18"/>
                  <w:u w:val="single" w:color="auto"/>
                  <w:color w:val="0000EE"/>
                  <w:w w:val="86"/>
                </w:rPr>
                <w:t>115</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CERTAIN RELATIONSHIPS AND RELATED PARTY TRANSACTIONS</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86"/>
              </w:rPr>
            </w:pPr>
            <w:hyperlink w:anchor="page123">
              <w:r>
                <w:rPr>
                  <w:rFonts w:ascii="Arial" w:cs="Arial" w:eastAsia="Arial" w:hAnsi="Arial"/>
                  <w:sz w:val="18"/>
                  <w:szCs w:val="18"/>
                  <w:u w:val="single" w:color="auto"/>
                  <w:color w:val="0000EE"/>
                  <w:w w:val="86"/>
                </w:rPr>
                <w:t>118</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DESCRIPTION OF SECURITIES</w:t>
              </w:r>
            </w:hyperlink>
          </w:p>
        </w:tc>
        <w:tc>
          <w:tcPr>
            <w:tcW w:w="480" w:type="dxa"/>
            <w:vAlign w:val="bottom"/>
          </w:tcPr>
          <w:p>
            <w:pPr>
              <w:jc w:val="center"/>
              <w:spacing w:after="0"/>
              <w:rPr>
                <w:rFonts w:ascii="Arial" w:cs="Arial" w:eastAsia="Arial" w:hAnsi="Arial"/>
                <w:sz w:val="18"/>
                <w:szCs w:val="18"/>
                <w:u w:val="single" w:color="auto"/>
                <w:color w:val="0000EE"/>
                <w:w w:val="93"/>
              </w:rPr>
            </w:pPr>
            <w:hyperlink w:anchor="page126">
              <w:r>
                <w:rPr>
                  <w:rFonts w:ascii="Arial" w:cs="Arial" w:eastAsia="Arial" w:hAnsi="Arial"/>
                  <w:sz w:val="18"/>
                  <w:szCs w:val="18"/>
                  <w:u w:val="single" w:color="auto"/>
                  <w:color w:val="0000EE"/>
                  <w:w w:val="93"/>
                </w:rPr>
                <w:t>121</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U.S. FEDERAL INCOME TAX CONSIDERATIONS</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93"/>
              </w:rPr>
            </w:pPr>
            <w:hyperlink w:anchor="page139">
              <w:r>
                <w:rPr>
                  <w:rFonts w:ascii="Arial" w:cs="Arial" w:eastAsia="Arial" w:hAnsi="Arial"/>
                  <w:sz w:val="18"/>
                  <w:szCs w:val="18"/>
                  <w:u w:val="single" w:color="auto"/>
                  <w:color w:val="0000EE"/>
                  <w:w w:val="93"/>
                </w:rPr>
                <w:t>134</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UNDERWRITING (CONFLICTS OF INTEREST)</w:t>
              </w:r>
            </w:hyperlink>
          </w:p>
        </w:tc>
        <w:tc>
          <w:tcPr>
            <w:tcW w:w="480" w:type="dxa"/>
            <w:vAlign w:val="bottom"/>
          </w:tcPr>
          <w:p>
            <w:pPr>
              <w:jc w:val="center"/>
              <w:spacing w:after="0"/>
              <w:rPr>
                <w:rFonts w:ascii="Arial" w:cs="Arial" w:eastAsia="Arial" w:hAnsi="Arial"/>
                <w:sz w:val="18"/>
                <w:szCs w:val="18"/>
                <w:u w:val="single" w:color="auto"/>
                <w:color w:val="0000EE"/>
                <w:w w:val="93"/>
              </w:rPr>
            </w:pPr>
            <w:hyperlink w:anchor="page148">
              <w:r>
                <w:rPr>
                  <w:rFonts w:ascii="Arial" w:cs="Arial" w:eastAsia="Arial" w:hAnsi="Arial"/>
                  <w:sz w:val="18"/>
                  <w:szCs w:val="18"/>
                  <w:u w:val="single" w:color="auto"/>
                  <w:color w:val="0000EE"/>
                  <w:w w:val="93"/>
                </w:rPr>
                <w:t>143</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LEGAL MATTERS</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93"/>
              </w:rPr>
            </w:pPr>
            <w:hyperlink w:anchor="page153">
              <w:r>
                <w:rPr>
                  <w:rFonts w:ascii="Arial" w:cs="Arial" w:eastAsia="Arial" w:hAnsi="Arial"/>
                  <w:sz w:val="18"/>
                  <w:szCs w:val="18"/>
                  <w:u w:val="single" w:color="auto"/>
                  <w:color w:val="0000EE"/>
                  <w:w w:val="93"/>
                </w:rPr>
                <w:t>148</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EXPERTS</w:t>
              </w:r>
            </w:hyperlink>
          </w:p>
        </w:tc>
        <w:tc>
          <w:tcPr>
            <w:tcW w:w="480" w:type="dxa"/>
            <w:vAlign w:val="bottom"/>
          </w:tcPr>
          <w:p>
            <w:pPr>
              <w:jc w:val="center"/>
              <w:spacing w:after="0"/>
              <w:rPr>
                <w:rFonts w:ascii="Arial" w:cs="Arial" w:eastAsia="Arial" w:hAnsi="Arial"/>
                <w:sz w:val="18"/>
                <w:szCs w:val="18"/>
                <w:u w:val="single" w:color="auto"/>
                <w:color w:val="0000EE"/>
                <w:w w:val="93"/>
              </w:rPr>
            </w:pPr>
            <w:hyperlink w:anchor="page153">
              <w:r>
                <w:rPr>
                  <w:rFonts w:ascii="Arial" w:cs="Arial" w:eastAsia="Arial" w:hAnsi="Arial"/>
                  <w:sz w:val="18"/>
                  <w:szCs w:val="18"/>
                  <w:u w:val="single" w:color="auto"/>
                  <w:color w:val="0000EE"/>
                  <w:w w:val="93"/>
                </w:rPr>
                <w:t>148</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WHERE YOU CAN FIND ADDITIONAL INFORMATION</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93"/>
              </w:rPr>
            </w:pPr>
            <w:hyperlink w:anchor="page153">
              <w:r>
                <w:rPr>
                  <w:rFonts w:ascii="Arial" w:cs="Arial" w:eastAsia="Arial" w:hAnsi="Arial"/>
                  <w:sz w:val="18"/>
                  <w:szCs w:val="18"/>
                  <w:u w:val="single" w:color="auto"/>
                  <w:color w:val="0000EE"/>
                  <w:w w:val="93"/>
                </w:rPr>
                <w:t>148</w:t>
              </w:r>
            </w:hyperlink>
          </w:p>
        </w:tc>
      </w:tr>
      <w:tr>
        <w:trPr>
          <w:trHeight w:val="230"/>
        </w:trPr>
        <w:tc>
          <w:tcPr>
            <w:tcW w:w="10760" w:type="dxa"/>
            <w:vAlign w:val="bottom"/>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INDEX TO FINANCIAL STATEMENTS</w:t>
              </w:r>
            </w:hyperlink>
          </w:p>
        </w:tc>
        <w:tc>
          <w:tcPr>
            <w:tcW w:w="480" w:type="dxa"/>
            <w:vAlign w:val="bottom"/>
          </w:tcPr>
          <w:p>
            <w:pPr>
              <w:jc w:val="center"/>
              <w:spacing w:after="0"/>
              <w:rPr>
                <w:rFonts w:ascii="Arial" w:cs="Arial" w:eastAsia="Arial" w:hAnsi="Arial"/>
                <w:sz w:val="18"/>
                <w:szCs w:val="18"/>
                <w:u w:val="single" w:color="auto"/>
                <w:color w:val="0000EE"/>
                <w:w w:val="88"/>
              </w:rPr>
            </w:pPr>
            <w:hyperlink w:anchor="page154">
              <w:r>
                <w:rPr>
                  <w:rFonts w:ascii="Arial" w:cs="Arial" w:eastAsia="Arial" w:hAnsi="Arial"/>
                  <w:sz w:val="18"/>
                  <w:szCs w:val="18"/>
                  <w:u w:val="single" w:color="auto"/>
                  <w:color w:val="0000EE"/>
                  <w:w w:val="88"/>
                </w:rPr>
                <w:t>F-1</w:t>
              </w:r>
            </w:hyperlink>
          </w:p>
        </w:tc>
      </w:tr>
      <w:tr>
        <w:trPr>
          <w:trHeight w:val="661"/>
        </w:trPr>
        <w:tc>
          <w:tcPr>
            <w:tcW w:w="10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87" w:lineRule="exact"/>
        <w:rPr>
          <w:sz w:val="20"/>
          <w:szCs w:val="20"/>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refers to Chardan Capital Markets, LLC, the representative of the underwriters,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refers to our shares of common stock, par value $0.0001 per share;</w:t>
      </w:r>
    </w:p>
    <w:p>
      <w:pPr>
        <w:spacing w:after="0" w:line="225" w:lineRule="exact"/>
        <w:rPr>
          <w:rFonts w:ascii="Arial" w:cs="Arial" w:eastAsia="Arial" w:hAnsi="Arial"/>
          <w:sz w:val="18"/>
          <w:szCs w:val="18"/>
          <w:color w:val="auto"/>
        </w:rPr>
      </w:pPr>
    </w:p>
    <w:p>
      <w:pPr>
        <w:jc w:val="both"/>
        <w:ind w:left="580" w:hanging="235"/>
        <w:spacing w:after="0" w:line="263"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refers to the 2,875,000 shares of common stock held by our sponsor, officers, directors, and affiliates of our management team prior to this offering (including up to an aggregate of 375,000 shares of common stock subject to forfeiture to the extent that the underwriters’ over-allotment option is not exercised in full or in part);</w:t>
      </w:r>
    </w:p>
    <w:p>
      <w:pPr>
        <w:spacing w:after="0" w:line="183"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refers to all of our stockholders immediately prior to the date of this prospectus, including our sponsor, officers and directors to the extent they hold founder shares;</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warrants” refers to the warrants we are selling privately to our sponsor or its designees upon consummation of this offering;</w:t>
      </w:r>
    </w:p>
    <w:p>
      <w:pPr>
        <w:spacing w:after="0" w:line="225" w:lineRule="exact"/>
        <w:rPr>
          <w:rFonts w:ascii="Arial" w:cs="Arial" w:eastAsia="Arial" w:hAnsi="Arial"/>
          <w:sz w:val="18"/>
          <w:szCs w:val="18"/>
          <w:color w:val="auto"/>
        </w:rPr>
      </w:pPr>
    </w:p>
    <w:p>
      <w:pPr>
        <w:ind w:left="58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refers to the shares of common stock that are being sold as part of the units in this public offering, whether they are purchased in this public offering or in the aftermarket;</w:t>
      </w:r>
    </w:p>
    <w:p>
      <w:pPr>
        <w:spacing w:after="0" w:line="170" w:lineRule="exact"/>
        <w:rPr>
          <w:rFonts w:ascii="Arial" w:cs="Arial" w:eastAsia="Arial" w:hAnsi="Arial"/>
          <w:sz w:val="18"/>
          <w:szCs w:val="18"/>
          <w:color w:val="auto"/>
        </w:rPr>
      </w:pPr>
    </w:p>
    <w:p>
      <w:pPr>
        <w:ind w:left="580" w:hanging="235"/>
        <w:spacing w:after="0" w:line="308"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refers to the holders of our public shares, including any of our initial stockholders to the extent that they purchase such public shares (except that our initial stockholders will not have redemption or tender rights with respect to any public shares they own);</w:t>
      </w:r>
    </w:p>
    <w:p>
      <w:pPr>
        <w:spacing w:after="0" w:line="146" w:lineRule="exact"/>
        <w:rPr>
          <w:rFonts w:ascii="Arial" w:cs="Arial" w:eastAsia="Arial" w:hAnsi="Arial"/>
          <w:sz w:val="17"/>
          <w:szCs w:val="17"/>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refers to Chardan NexTech Investments 2 LLC, an entity affiliated with Chardan;</w:t>
      </w:r>
    </w:p>
    <w:p>
      <w:pPr>
        <w:spacing w:after="0" w:line="225"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refers to our redeemable warrants, which include the warrants underlying the units sold in this offering, whether they are purchased in this public offering or in the aftermarket; and</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or “our company” refers to Chardan NexTech Acquisition 2 Corp., a Delaware corporation.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Each unit consists of one share of common stock and one-third of one redeemable warrant. Each whole warrant entitles the holder thereof to purchase one share of our common stock at a price of $11.50 per share, subject to adjustment as described in this prospectus, and only whole warrants are exercisable.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Unless otherwise provided herein, the information in this prospectus assumes that the underwriters will not exercise their over-allotment option and gives effect to a 2.875-for-1 stock split we effected on March 4, 2021.</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SPAC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SPACs as has been demonstrated within the last several months. In the second half of 2020, SPACs accounted for ~56% of all capital raised in the IPO market, and have had record issuances in the first month of 2021, raising nearly $24 billion, almost two times U.S. initial public offerings during the same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SPAC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 Sponsor, and Board of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Chardan.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Management Team</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Kerry Propper </w:t>
      </w:r>
      <w:r>
        <w:rPr>
          <w:rFonts w:ascii="Arial" w:cs="Arial" w:eastAsia="Arial" w:hAnsi="Arial"/>
          <w:sz w:val="16"/>
          <w:szCs w:val="16"/>
          <w:color w:val="auto"/>
        </w:rPr>
        <w:t>is our co-founder and will serve as our Chairman of the board of directors upon the effectiveness of the registration statement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prospectus is a part. Mr. Propper was co-founder of Chardan and served as its chief executive officer and head of its investment bank from 2003 to 2015. He is a pioneer in the special purpose acquisition marketplace, as he was the executive vice president and director of the third-ever publicly listed special purpose acquisition company, Chardan China Acquisition Corp., and has been an executive or senior advisor for five additional special purpose acquisition companies. Mr. Propper is currently the chairman of Chardan’s board of directors and is the co-founder and managing partner of ATW Partners, a growth-focused investment firm. Since the inception of ATW Partners, Mr. Propper has invested approximately $90 million of capital through the ATW Partner’s fund and its affiliated opportunity vehicles across multiple geographies and sectors. Within disruptive technologies, Mr. Propper has an extraordinary track record with 15 investments and average returns of over 100%. He has agreed to serve as chairman of the board of directors of Chardan NexTech Acquisition Corp. Mr. Propper is also the co-chairman of 340B Technologies, a healthcare technology group.</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Jonas Grossman </w:t>
      </w:r>
      <w:r>
        <w:rPr>
          <w:rFonts w:ascii="Arial" w:cs="Arial" w:eastAsia="Arial" w:hAnsi="Arial"/>
          <w:sz w:val="16"/>
          <w:szCs w:val="16"/>
          <w:color w:val="auto"/>
        </w:rPr>
        <w:t>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Mr. Grossman has served as managing partner and head of capital markets for Chardan since December 2003, and has additionally served as president of Chardan since September 2015. With nearly two decades of transactional and special acquisition company expertise, Mr. Grossman has led or managed more than 400 transactions, including providing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 Mr. Grossman holds a B.A. in Economics from Cornell University and an M.B.A. from NYU’s Stern School of Business. He has served on the board of directors for UNICEF since December 2016.</w:t>
      </w:r>
    </w:p>
    <w:p>
      <w:pPr>
        <w:spacing w:after="0" w:line="16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Steven Urbach </w:t>
      </w:r>
      <w:r>
        <w:rPr>
          <w:rFonts w:ascii="Arial" w:cs="Arial" w:eastAsia="Arial" w:hAnsi="Arial"/>
          <w:sz w:val="16"/>
          <w:szCs w:val="16"/>
          <w:color w:val="auto"/>
        </w:rPr>
        <w:t>will serve as our Chief Financial Officer and a member of our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Urbach currently serves as chief executive officer of Chardan, a New York headquartered broker/dealer which focuses on disrupted technologies. Mr. Urbach is credited with co-founding Chardan, and with the help of his partners, executive team, and employees, Chardan has grown into an internationally-recognized investment bank specializing in special purpose acquisition companies, disruptive technologies, and healthcare investment banking. Since December 2006, Mr. Urbach has served as a founding partner of Cornix Advisors, LLC, a New York based multi-strategy hedge fund. Since March 2021, he has served as chief financial officer of Chardan NexTech Acquisition Corp., and he has agreed to also serve on the board of directors. From 2005 through 2008, Mr. Urbach served as a member of the board of director of Origin Agritech, (Nasdaq:SEED). Prior to founding Chardan, Mr. Urbach was an analyst at Chase Manhattan Bank and a Nasdaq Market Maker for Windsor Capital Advisors.</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will serve as our Chief Operating Officer and a member of our board of directors upon the effective date of the registration statement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this prospectus is a part. Mr. Weil has spent over two decades on Wall Street providing strategic advisory services to global companies, senior executives, boards of directors, and investors. Since March 2021, he has served as chief operating officer of Chardan NexTech Acquisition Corp., and he has agreed to also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w:t>
      </w:r>
      <w:r>
        <w:rPr>
          <w:rFonts w:ascii="Arial" w:cs="Arial" w:eastAsia="Arial" w:hAnsi="Arial"/>
          <w:sz w:val="17"/>
          <w:szCs w:val="17"/>
          <w:i w:val="1"/>
          <w:iCs w:val="1"/>
          <w:color w:val="auto"/>
        </w:rPr>
        <w:t>e.g.</w:t>
      </w:r>
      <w:r>
        <w:rPr>
          <w:rFonts w:ascii="Arial" w:cs="Arial" w:eastAsia="Arial" w:hAnsi="Arial"/>
          <w:sz w:val="17"/>
          <w:szCs w:val="17"/>
          <w:color w:val="auto"/>
        </w:rPr>
        <w:t xml:space="preserve">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82 special purpose acquisition company initial public offerings. Since 2018, Chardan has been a mergers and acquisition advisor to 12 special purpose acquisition companies, helping them close transactions valued at approximately $5.7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eight special purpose acquisition companies, five of which have closed successful business combinations, one of which has announced a business combination and two of which are currently seeking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Messrs. Propper, Grossman, Urbach, and Weil, the other members of our board will include the following independent directors: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Perry Boyle </w:t>
      </w:r>
      <w:r>
        <w:rPr>
          <w:rFonts w:ascii="Arial" w:cs="Arial" w:eastAsia="Arial" w:hAnsi="Arial"/>
          <w:sz w:val="16"/>
          <w:szCs w:val="16"/>
          <w:color w:val="auto"/>
        </w:rPr>
        <w:t>will serve as a member of our board of directors upon the effective date of the registration statement of which this prospectus is a part.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management team’s operating, special purpose acquisition company,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expected to consummate its initial public offering before the consummation of this offering.</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Urbach,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including sponsoring, underwriting and mergers and acquisitions advisory;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can benefit from being a publicly traded company, are prepared to be a publicly traded company and can utilize access to broader capital markets.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324"/>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324"/>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Chardan will be the beneficial owner of founder shares or private warrants following this offering by virtue of its ownership of our sponsor and members of our management team may indirectly own such securities. Either our sponsor will transfer up to 20,000 founder shares to each of our independent directors or we will pay cash fees to such directors, at our discretion.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Private Placements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founder shares are identical to the public shares. However, our initial stockholders have agreed (1) to vote their founder shares in favor of any proposed business combination, (2)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of the closing of this offering, unless we provide public stockholders an opportunity to redeem their public shares in conjunction with any such amendment, (3) not to redeem any shares, including any founder shares, into the right to receive cash from the trust account in connection with a stockholder vote to approve our proposed initial business combination, (4) not to sell any shares to us in any tender offer in connection with our proposed initial business combination, and (5) that the founder shares shall not participate in any liquidating distribution upon winding up if a business combination is not consummated.</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the date of this prospectus, the founder shares will be placed into an escrow account maintained by Continental Stock Transfer &amp; Trust Company acting as escrow agent.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sponsor, has committed to purchase from us an aggregate of 5,500,000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24 months, the proceeds from the sale of the private warrants will be included in the liquidating distribution to the holders of our public shares.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public units or public shares are purchased by any of our directors, officers or initial stockholders, they will be entitled to funds from the trust account to the same extent as any other public stockholder upon our liquidation, but such directors, officers, or initial stockholders will not have redemption rights related thereto.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offices are located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and our telephone number is (646) 465-9000.</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making your decision on whether to invest in our securities, you should take into account not only the backgrounds of the members of our management team, but also the special risks we face as a blank check company and the fact that we are not conducting this offering in compliance with Rule 419 promulgated under the Securities Act. You will not be entitled to protections normally afforded to investors in Rule 419 blank check offerings. You should carefully consider these and the other risks set forth in the section below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28 of this prospectus.</w:t>
      </w:r>
    </w:p>
    <w:p>
      <w:pPr>
        <w:spacing w:after="0" w:line="153" w:lineRule="exact"/>
        <w:rPr>
          <w:sz w:val="20"/>
          <w:szCs w:val="20"/>
          <w:color w:val="auto"/>
        </w:rPr>
      </w:pPr>
    </w:p>
    <w:p>
      <w:pPr>
        <w:ind w:left="20"/>
        <w:spacing w:after="0"/>
        <w:tabs>
          <w:tab w:leader="none" w:pos="348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6"/>
          <w:szCs w:val="16"/>
          <w:color w:val="auto"/>
        </w:rPr>
        <w:t>10,000,000 units, at $10.00 per unit, each unit consisting of one share of common stock and one-third of</w:t>
      </w:r>
    </w:p>
    <w:p>
      <w:pPr>
        <w:spacing w:after="0" w:line="27" w:lineRule="exact"/>
        <w:rPr>
          <w:sz w:val="20"/>
          <w:szCs w:val="20"/>
          <w:color w:val="auto"/>
        </w:rPr>
      </w:pPr>
    </w:p>
    <w:p>
      <w:pPr>
        <w:ind w:left="3500" w:right="20"/>
        <w:spacing w:after="0" w:line="260" w:lineRule="auto"/>
        <w:rPr>
          <w:sz w:val="20"/>
          <w:szCs w:val="20"/>
          <w:color w:val="auto"/>
        </w:rPr>
      </w:pPr>
      <w:r>
        <w:rPr>
          <w:rFonts w:ascii="Arial" w:cs="Arial" w:eastAsia="Arial" w:hAnsi="Arial"/>
          <w:sz w:val="18"/>
          <w:szCs w:val="18"/>
          <w:color w:val="auto"/>
        </w:rPr>
        <w:t>one warrant. Each whole warrant entitles the holder thereof to purchase one share of common stock at a price of $11.50, subject to adjustment as described in this prospectus.</w:t>
      </w:r>
    </w:p>
    <w:p>
      <w:pPr>
        <w:sectPr>
          <w:pgSz w:w="11900" w:h="16838" w:orient="portrait"/>
          <w:cols w:equalWidth="0" w:num="1">
            <w:col w:w="11240"/>
          </w:cols>
          <w:pgMar w:left="320" w:top="1120" w:right="339" w:bottom="1440" w:gutter="0" w:footer="0" w:header="0"/>
        </w:sectPr>
      </w:pPr>
    </w:p>
    <w:p>
      <w:pPr>
        <w:spacing w:after="0" w:line="222"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anticipate the units, and the shares of common stock and the warrants, once they begin separate trading, will be listed on the Nasdaq under the symbols “CNTQU,” “CNTQ,” and “CNTQW,” respectively.</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Each of the shares of common stock and warrants may 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and warrants until we file an audited balance sheet reflecting our receipt of the gross proceeds of this offering.</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separately trading shares of common stock and warrants.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Current Report on Form 8-K or a new Current Report on Form 8-K to provide updated financial information to reflect the exercise of the over-allotment option. We will also include in the Current Report on Form 8-K, or amendment thereto, or in a subsequent Current Report on Form 8-K, information indicating if Chardan has allowed separate trading of the shares of common stock and warrants prior to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w:t>
      </w:r>
    </w:p>
    <w:p>
      <w:pPr>
        <w:spacing w:after="0" w:line="200" w:lineRule="exact"/>
        <w:rPr>
          <w:sz w:val="20"/>
          <w:szCs w:val="20"/>
          <w:color w:val="auto"/>
        </w:rPr>
      </w:pPr>
    </w:p>
    <w:p>
      <w:pPr>
        <w:sectPr>
          <w:pgSz w:w="11900" w:h="16838" w:orient="portrait"/>
          <w:cols w:equalWidth="0" w:num="2">
            <w:col w:w="2920" w:space="580"/>
            <w:col w:w="7740"/>
          </w:cols>
          <w:pgMar w:left="320" w:top="1120" w:right="339" w:bottom="1440" w:gutter="0" w:footer="0" w:header="0"/>
          <w:type w:val="continuous"/>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8"/>
          <w:szCs w:val="18"/>
          <w:b w:val="1"/>
          <w:bCs w:val="1"/>
          <w:color w:val="auto"/>
        </w:rPr>
        <w:t>Shares of common stock:</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82" w:lineRule="auto"/>
        <w:rPr>
          <w:sz w:val="20"/>
          <w:szCs w:val="20"/>
          <w:color w:val="auto"/>
        </w:rPr>
      </w:pPr>
      <w:r>
        <w:rPr>
          <w:rFonts w:ascii="Arial" w:cs="Arial" w:eastAsia="Arial" w:hAnsi="Arial"/>
          <w:sz w:val="18"/>
          <w:szCs w:val="18"/>
          <w:b w:val="1"/>
          <w:bCs w:val="1"/>
          <w:color w:val="auto"/>
        </w:rPr>
        <w:t>Number to be issued and outstanding after this offering</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Redeemable Warrants:</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66" w:lineRule="auto"/>
        <w:rPr>
          <w:sz w:val="20"/>
          <w:szCs w:val="20"/>
          <w:color w:val="auto"/>
        </w:rPr>
      </w:pPr>
      <w:r>
        <w:rPr>
          <w:rFonts w:ascii="Arial" w:cs="Arial" w:eastAsia="Arial" w:hAnsi="Arial"/>
          <w:sz w:val="18"/>
          <w:szCs w:val="18"/>
          <w:b w:val="1"/>
          <w:bCs w:val="1"/>
          <w:color w:val="auto"/>
        </w:rPr>
        <w:t>Number to be issued and outstanding after this offering and sale of private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2,875,000 shares</w:t>
      </w:r>
      <w:r>
        <w:rPr>
          <w:rFonts w:ascii="Arial" w:cs="Arial" w:eastAsia="Arial" w:hAnsi="Arial"/>
          <w:sz w:val="29"/>
          <w:szCs w:val="29"/>
          <w:color w:val="auto"/>
          <w:vertAlign w:val="superscript"/>
        </w:rPr>
        <w:t>(1)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12,500,000 shares</w:t>
      </w:r>
      <w:r>
        <w:rPr>
          <w:rFonts w:ascii="Arial" w:cs="Arial" w:eastAsia="Arial" w:hAnsi="Arial"/>
          <w:sz w:val="29"/>
          <w:szCs w:val="29"/>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3,333,333 public warrants and 5,500,000 private warrants</w:t>
      </w:r>
      <w:r>
        <w:rPr>
          <w:rFonts w:ascii="Arial" w:cs="Arial" w:eastAsia="Arial" w:hAnsi="Arial"/>
          <w:sz w:val="26"/>
          <w:szCs w:val="26"/>
          <w:color w:val="auto"/>
          <w:vertAlign w:val="superscript"/>
        </w:rPr>
        <w:t>(3)</w:t>
      </w:r>
    </w:p>
    <w:p>
      <w:pPr>
        <w:spacing w:after="0" w:line="581" w:lineRule="exact"/>
        <w:rPr>
          <w:sz w:val="20"/>
          <w:szCs w:val="20"/>
          <w:color w:val="auto"/>
        </w:rPr>
      </w:pPr>
    </w:p>
    <w:p>
      <w:pPr>
        <w:sectPr>
          <w:pgSz w:w="11900" w:h="16838" w:orient="portrait"/>
          <w:cols w:equalWidth="0" w:num="2">
            <w:col w:w="3340" w:space="160"/>
            <w:col w:w="7740"/>
          </w:cols>
          <w:pgMar w:left="320" w:top="904" w:right="339" w:bottom="1440" w:gutter="0" w:footer="0" w:header="0"/>
        </w:sectPr>
      </w:pPr>
    </w:p>
    <w:p>
      <w:pPr>
        <w:spacing w:after="0" w:line="57" w:lineRule="exact"/>
        <w:rPr>
          <w:sz w:val="20"/>
          <w:szCs w:val="20"/>
          <w:color w:val="auto"/>
        </w:rPr>
      </w:pPr>
    </w:p>
    <w:p>
      <w:pPr>
        <w:ind w:left="260"/>
        <w:spacing w:after="0"/>
        <w:tabs>
          <w:tab w:leader="none" w:pos="3480" w:val="left"/>
        </w:tabs>
        <w:rPr>
          <w:sz w:val="20"/>
          <w:szCs w:val="20"/>
          <w:color w:val="auto"/>
        </w:rPr>
      </w:pPr>
      <w:r>
        <w:rPr>
          <w:rFonts w:ascii="Arial" w:cs="Arial" w:eastAsia="Arial" w:hAnsi="Arial"/>
          <w:sz w:val="17"/>
          <w:szCs w:val="17"/>
          <w:b w:val="1"/>
          <w:bCs w:val="1"/>
          <w:color w:val="auto"/>
        </w:rPr>
        <w:t>Exercisability</w:t>
      </w:r>
      <w:r>
        <w:rPr>
          <w:sz w:val="20"/>
          <w:szCs w:val="20"/>
          <w:color w:val="auto"/>
        </w:rPr>
        <w:tab/>
      </w:r>
      <w:r>
        <w:rPr>
          <w:rFonts w:ascii="Arial" w:cs="Arial" w:eastAsia="Arial" w:hAnsi="Arial"/>
          <w:sz w:val="17"/>
          <w:szCs w:val="17"/>
          <w:color w:val="auto"/>
        </w:rPr>
        <w:t>Each unit contains one-third of one redeemable public warrant. Each whole redeemable public warrant</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entitles the holder thereof to purchase one share of common stock, and each private warrant entitles the</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holder thereof to purchase one share of common stock. Only whole warrants are exercisable. No fractional</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warrants will be issued upon separation of the units and only whole warrants will trade. Accordingly,</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unless you purchase a multiple of three units, the number of warrants issuable to you upon separation of</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the units will be rounded down to the nearest whole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number includes an aggregate of up to 375,000 founder shares held by our initial stockholders that are subject to forfeiture if the over-allotment option is not fully exercised by the underwriters.</w:t>
      </w:r>
    </w:p>
    <w:p>
      <w:pPr>
        <w:spacing w:after="0" w:line="1"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founder shares held by our initial stockholders have been forfeited. If the over-allotment option is exercised in full, there will be a total of 14,375,000 shares of common stock issued and outstanding.</w:t>
      </w:r>
    </w:p>
    <w:p>
      <w:pPr>
        <w:ind w:left="3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If the over-allotment option is exercised in full, there will be a total of 9,333,333 warrants issued and outstanding.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8" w:name="page19"/>
    <w:bookmarkEnd w:id="18"/>
    <w:p>
      <w:pPr>
        <w:spacing w:after="0"/>
        <w:tabs>
          <w:tab w:leader="none" w:pos="3460" w:val="left"/>
        </w:tabs>
        <w:rPr>
          <w:sz w:val="20"/>
          <w:szCs w:val="20"/>
          <w:color w:val="auto"/>
        </w:rPr>
      </w:pPr>
      <w:r>
        <w:rPr>
          <w:rFonts w:ascii="Arial" w:cs="Arial" w:eastAsia="Arial" w:hAnsi="Arial"/>
          <w:sz w:val="18"/>
          <w:szCs w:val="18"/>
          <w:b w:val="1"/>
          <w:bCs w:val="1"/>
          <w:color w:val="auto"/>
        </w:rPr>
        <w:t>Exercise price</w:t>
      </w:r>
      <w:r>
        <w:rPr>
          <w:sz w:val="20"/>
          <w:szCs w:val="20"/>
          <w:color w:val="auto"/>
        </w:rPr>
        <w:tab/>
      </w:r>
      <w:r>
        <w:rPr>
          <w:rFonts w:ascii="Arial" w:cs="Arial" w:eastAsia="Arial" w:hAnsi="Arial"/>
          <w:sz w:val="15"/>
          <w:szCs w:val="15"/>
          <w:color w:val="auto"/>
        </w:rPr>
        <w:t>$11.50 per share</w:t>
      </w:r>
    </w:p>
    <w:p>
      <w:pPr>
        <w:spacing w:after="0" w:line="229"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shares during the 20 trading day period starting on the trading day prior to the day on which we consummate our initial business combination (such price, the “Market Value”) is below $9.20 per share, the exercise price of each warrant will be adjusted (to the nearest cent) such that the effective exercise price per full share will be equal to 115% of the higher of (i) the Market Value and (ii) the Newly Issued Price, and the $16.00 per share redemption trigger price described below under “Redemption” will be adjusted (to the nearest cent) to be equal to 160% of the higher of (i) the Market Value and (ii) the Newly Issued Price.</w:t>
      </w:r>
    </w:p>
    <w:p>
      <w:pPr>
        <w:spacing w:after="0" w:line="174"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No public warrants will be exercisable for cash unless we have an effective and current registration statement covering the shares of common stock issuable upon exercise of the public warrants and a current prospectus relating to such shares of common stock. It is our current intention to have an effective and current registration statement covering the shares of common stock issuable upon exercise of the public warrants and a current prospectus relating to such shares of common stock in effect promptly following consummation of an initial business combination. Notwithstanding the foregoing, if a registration statement covering the shares of common stock issuable upon exercise of the public warrants is not effective within 120 days following the consummation of our initial business combination, public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In such event, each holder would pay the exercise price by surrendering the whole public warrants for that number of shares of common stock equal to the quotient obtained by dividing (x) the product of the number of shares of common stock underlying the public warrants, multiplied by the difference between the exercise price of the public warrants and the “fair market value” (defined below) by (y) the fair market value. The “fair market value” shall mean the average last reported sale price of the shares of common stock for the 10 trading days ending on the day prior to the date of exercise. For example, if a holder held 300 warrants to purchase 300 shares and the fair market value on the date prior to exercise was $15.00, that holder would receive 70 shares without the payment of any additional cash consideration.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0"/>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Exercise period</w:t>
            </w:r>
          </w:p>
        </w:tc>
        <w:tc>
          <w:tcPr>
            <w:tcW w:w="8900" w:type="dxa"/>
            <w:vAlign w:val="bottom"/>
          </w:tcPr>
          <w:p>
            <w:pPr>
              <w:ind w:left="1160"/>
              <w:spacing w:after="0"/>
              <w:rPr>
                <w:sz w:val="20"/>
                <w:szCs w:val="20"/>
                <w:color w:val="auto"/>
              </w:rPr>
            </w:pPr>
            <w:r>
              <w:rPr>
                <w:rFonts w:ascii="Arial" w:cs="Arial" w:eastAsia="Arial" w:hAnsi="Arial"/>
                <w:sz w:val="18"/>
                <w:szCs w:val="18"/>
                <w:color w:val="auto"/>
                <w:w w:val="97"/>
              </w:rPr>
              <w:t>The warrants will become exercisable on the later of one year after the closing of this offering or the</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5"/>
              </w:rPr>
              <w:t>consummation of an initial business combination. The warrants will expire at 5:00 p.m., New York City</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rPr>
              <w:t>time, on the fifth anniversary of our completion of an initial business combination, or earlier upon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3"/>
              </w:rPr>
              <w:t>redemption. The private warrants purchased by our sponsor will not be exercisable more than five years</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from the effective date of the registration statement, of which this prospectus forms a part, in accordance</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with FINRA Rule 5110(g), as long as Chardan or any of its related persons beneficially own these private</w:t>
            </w:r>
          </w:p>
        </w:tc>
      </w:tr>
      <w:tr>
        <w:trPr>
          <w:trHeight w:val="230"/>
        </w:trPr>
        <w:tc>
          <w:tcPr>
            <w:tcW w:w="2340" w:type="dxa"/>
            <w:vAlign w:val="bottom"/>
          </w:tcPr>
          <w:p>
            <w:pPr>
              <w:spacing w:after="0"/>
              <w:rPr>
                <w:sz w:val="20"/>
                <w:szCs w:val="20"/>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rPr>
              <w:t>warrants.</w:t>
            </w:r>
          </w:p>
        </w:tc>
      </w:tr>
      <w:tr>
        <w:trPr>
          <w:trHeight w:val="688"/>
        </w:trPr>
        <w:tc>
          <w:tcPr>
            <w:tcW w:w="23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Redemption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We may redeem the outstanding warrants (excluding the private warrants), in whole and not in part, at a price of $0.01 per warrant:</w:t>
      </w:r>
    </w:p>
    <w:p>
      <w:pPr>
        <w:spacing w:after="0" w:line="170"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any time while the warrants are exercisable;</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upon a minimum of 30 days’ prior written notice of redemption;</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firstLine="9"/>
        <w:spacing w:after="0" w:line="263" w:lineRule="auto"/>
        <w:rPr>
          <w:sz w:val="20"/>
          <w:szCs w:val="20"/>
          <w:color w:val="auto"/>
        </w:rPr>
      </w:pPr>
      <w:r>
        <w:rPr>
          <w:rFonts w:ascii="Arial" w:cs="Arial" w:eastAsia="Arial" w:hAnsi="Arial"/>
          <w:sz w:val="18"/>
          <w:szCs w:val="18"/>
          <w:color w:val="auto"/>
        </w:rPr>
        <w:t>if, and only if, the last sales price of our common stock equals or exceeds $16.00 per share for any 10 trading days within a 30-trading day period ending three business days before we send the notice of redemption; and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and only if, there is a current registration statement in effect with respect to the offer and sale</w:t>
      </w:r>
    </w:p>
    <w:p>
      <w:pPr>
        <w:spacing w:after="0" w:line="46" w:lineRule="exact"/>
        <w:rPr>
          <w:sz w:val="20"/>
          <w:szCs w:val="20"/>
          <w:color w:val="auto"/>
        </w:rPr>
      </w:pPr>
    </w:p>
    <w:p>
      <w:pPr>
        <w:sectPr>
          <w:pgSz w:w="11900" w:h="16838" w:orient="portrait"/>
          <w:cols w:equalWidth="0" w:num="2">
            <w:col w:w="3860" w:space="320"/>
            <w:col w:w="7040"/>
          </w:cols>
          <w:pgMar w:left="340" w:top="904" w:right="339" w:bottom="1440" w:gutter="0" w:footer="0" w:header="0"/>
          <w:type w:val="continuous"/>
        </w:sectPr>
      </w:pPr>
    </w:p>
    <w:p>
      <w:pPr>
        <w:jc w:val="both"/>
        <w:ind w:left="4120" w:right="20"/>
        <w:spacing w:after="0" w:line="255" w:lineRule="auto"/>
        <w:rPr>
          <w:sz w:val="20"/>
          <w:szCs w:val="20"/>
          <w:color w:val="auto"/>
        </w:rPr>
      </w:pPr>
      <w:r>
        <w:rPr>
          <w:rFonts w:ascii="Arial" w:cs="Arial" w:eastAsia="Arial" w:hAnsi="Arial"/>
          <w:sz w:val="18"/>
          <w:szCs w:val="18"/>
          <w:color w:val="auto"/>
        </w:rPr>
        <w:t>of the shares of common stock underlying such warrants at the time of redemption and for the entire 30-day trading period referred to above and continuing each day thereafter until the date of redemption.</w:t>
      </w:r>
    </w:p>
    <w:p>
      <w:pPr>
        <w:spacing w:after="0" w:line="190" w:lineRule="exact"/>
        <w:rPr>
          <w:sz w:val="20"/>
          <w:szCs w:val="20"/>
          <w:color w:val="auto"/>
        </w:rPr>
      </w:pPr>
    </w:p>
    <w:p>
      <w:pPr>
        <w:jc w:val="both"/>
        <w:ind w:left="3480"/>
        <w:spacing w:after="0" w:line="259" w:lineRule="auto"/>
        <w:rPr>
          <w:sz w:val="20"/>
          <w:szCs w:val="20"/>
          <w:color w:val="auto"/>
        </w:rPr>
      </w:pPr>
      <w:r>
        <w:rPr>
          <w:rFonts w:ascii="Arial" w:cs="Arial" w:eastAsia="Arial" w:hAnsi="Arial"/>
          <w:sz w:val="18"/>
          <w:szCs w:val="18"/>
          <w:color w:val="auto"/>
        </w:rPr>
        <w:t>If the foregoing conditions are satisfied and we issue a notice of redemption, each warrant holder can exercise his, her or its warrant prior to the scheduled redemption date. However, the price of our common stock may fall below the $16.00 trigger price, as well as the $11.50 warrant exercise price after the redemption notice is issued.</w:t>
      </w:r>
    </w:p>
    <w:p>
      <w:pPr>
        <w:spacing w:after="0" w:line="187" w:lineRule="exact"/>
        <w:rPr>
          <w:sz w:val="20"/>
          <w:szCs w:val="20"/>
          <w:color w:val="auto"/>
        </w:rPr>
      </w:pPr>
    </w:p>
    <w:p>
      <w:pPr>
        <w:jc w:val="both"/>
        <w:ind w:left="3480"/>
        <w:spacing w:after="0" w:line="257" w:lineRule="auto"/>
        <w:rPr>
          <w:sz w:val="20"/>
          <w:szCs w:val="20"/>
          <w:color w:val="auto"/>
        </w:rPr>
      </w:pPr>
      <w:r>
        <w:rPr>
          <w:rFonts w:ascii="Arial" w:cs="Arial" w:eastAsia="Arial" w:hAnsi="Arial"/>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88" w:lineRule="exact"/>
        <w:rPr>
          <w:sz w:val="20"/>
          <w:szCs w:val="20"/>
          <w:color w:val="auto"/>
        </w:rPr>
      </w:pPr>
    </w:p>
    <w:p>
      <w:pPr>
        <w:jc w:val="both"/>
        <w:ind w:left="3480"/>
        <w:spacing w:after="0" w:line="287"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last reported sale price of the shares of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20"/>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w w:val="99"/>
              </w:rPr>
              <w:t>Offering proceeds to be held in trust</w:t>
            </w: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$100,000,000 of the net proceeds of this offering and the private placement (or $115,000,000 if the over-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allotment option is exercised in full), will be placed in a trust account at Morgan Stanley, maintained by</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Continental Stock Transfer &amp; Trust Company, acting as trustee pursuant to an agreement to be signed on</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the date of this prospectus.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Except as set forth below, the proceeds in the trust account will not be released until the earlier of: (1)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completion of an initial business combination within the required time period or (2) the redemption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100% of the outstanding public shares if we have not completed a business combination in the required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time period. Therefore, unless and until our initial business combination is consummated, the proceeds</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held in the trust account will not be available for our use for any expenses related to this offering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expenses that we may incur related to the investigation and selection of a target business and the</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negotiation of an agreement to acquire a target business.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Notwithstanding the foregoing, there can be released to us, from time to time, any interest earned on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funds in the trust account that we may need to pay our tax obligations. Unless and until we complete our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initial business combination, no proceeds held in the trust account will be available for our use.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proceeds held in the trust account will be invested only in U.S. government securities with a maturity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185 days or less or in money market funds meeting certain conditions under Rule 2a-7 under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Investment Company Act which invest only in direct U.S. government treasury obligations. We will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5"/>
              </w:rPr>
              <w:t>disclose in each quarterly and annual report filed with the SEC prior to our initial business combination</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0"/>
              </w:rPr>
              <w:t>whether the proceeds deposited in the trust account are invested in U.S. government treasury obligations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6"/>
              </w:rPr>
              <w:t>money market funds or a combination thereof. Based upon current interest rates, we expect the trust</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account to generate approximately $100,000 of interest annually assuming an interest rate of 0.1% per</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year; however, we can provide no assurances regarding this amount.</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Unless and until we complete our initial business combination, expenses incurred by us may be paid prior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to a business combination only from the net proceeds of this offering not held in the trust account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 xml:space="preserve">approximately $1,300,000; </w:t>
            </w:r>
            <w:r>
              <w:rPr>
                <w:rFonts w:ascii="Arial" w:cs="Arial" w:eastAsia="Arial" w:hAnsi="Arial"/>
                <w:sz w:val="18"/>
                <w:szCs w:val="18"/>
                <w:i w:val="1"/>
                <w:iCs w:val="1"/>
                <w:color w:val="auto"/>
                <w:w w:val="98"/>
              </w:rPr>
              <w:t>provided, however</w:t>
            </w:r>
            <w:r>
              <w:rPr>
                <w:rFonts w:ascii="Arial" w:cs="Arial" w:eastAsia="Arial" w:hAnsi="Arial"/>
                <w:sz w:val="18"/>
                <w:szCs w:val="18"/>
                <w:color w:val="auto"/>
                <w:w w:val="98"/>
              </w:rPr>
              <w:t>, that to meet our working capital needs following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consummation of this offering, if the funds not held in the trust account are insufficient, our initial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stockholders, officers and directors or their affiliates may, but are not obligated to, loan us funds, from time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to time or at any time, in whatever amount they deem reasonable in their sole discretion. Each loan would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be evidenced by a promissory note. The notes would be paid upon consummation of our initial business</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combination, without interest.</w:t>
            </w:r>
          </w:p>
        </w:tc>
      </w:tr>
      <w:tr>
        <w:trPr>
          <w:trHeight w:val="688"/>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4" w:right="339" w:bottom="1440" w:gutter="0" w:footer="0" w:header="0"/>
        </w:sectPr>
      </w:pPr>
    </w:p>
    <w:bookmarkStart w:id="22" w:name="page23"/>
    <w:bookmarkEnd w:id="22"/>
    <w:p>
      <w:pPr>
        <w:spacing w:after="0" w:line="347" w:lineRule="auto"/>
        <w:rPr>
          <w:sz w:val="20"/>
          <w:szCs w:val="20"/>
          <w:color w:val="auto"/>
        </w:rPr>
      </w:pPr>
      <w:r>
        <w:rPr>
          <w:rFonts w:ascii="Arial" w:cs="Arial" w:eastAsia="Arial" w:hAnsi="Arial"/>
          <w:sz w:val="16"/>
          <w:szCs w:val="16"/>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On the completion of our initial business combination, the funds held in the trust account will be used to pay amounts due to any public stockholders who exercise their redemption rights. We will use the remaining funds to pay all or a portion of the consideration payable to the target or owners of the target of our initial business combination and to pay other expenses associated with our initial business combination, including the fee payable to Chardan pursuant to the Business Combination Marketing Agreement described under “</w:t>
      </w:r>
      <w:r>
        <w:rPr>
          <w:rFonts w:ascii="Arial" w:cs="Arial" w:eastAsia="Arial" w:hAnsi="Arial"/>
          <w:sz w:val="16"/>
          <w:szCs w:val="16"/>
          <w:i w:val="1"/>
          <w:iCs w:val="1"/>
          <w:color w:val="auto"/>
        </w:rPr>
        <w:t>Underwriting (Conflicts of Interest) — Business Combination Marketing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which fee we refer to throughout this prospectus as the Marketing Fee. If our initial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is paid for using equity or debt securities, or not all of the funds released from the trust account are used for payment of the consideration in connection with our initial business combination or used for redemptions of our common stock, we may apply the balance of the cash released to us from the trust account, as well as the proceeds from the sale of the private warrants described elsewhere in this prospectus,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300" w:space="180"/>
            <w:col w:w="7740"/>
          </w:cols>
          <w:pgMar w:left="340" w:top="904"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Limited payments to insiders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87"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hanging="24"/>
        <w:spacing w:after="0" w:line="277" w:lineRule="auto"/>
        <w:rPr>
          <w:sz w:val="20"/>
          <w:szCs w:val="20"/>
          <w:color w:val="auto"/>
        </w:rPr>
      </w:pPr>
      <w:r>
        <w:rPr>
          <w:rFonts w:ascii="Arial" w:cs="Arial" w:eastAsia="Arial" w:hAnsi="Arial"/>
          <w:sz w:val="18"/>
          <w:szCs w:val="18"/>
          <w:color w:val="auto"/>
        </w:rPr>
        <w:t>repayment of loans of up to $250,000 advanced to us by our sponsor to cover offering-related and organizational expenses;</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
        <w:spacing w:after="0" w:line="277" w:lineRule="auto"/>
        <w:rPr>
          <w:sz w:val="20"/>
          <w:szCs w:val="20"/>
          <w:color w:val="auto"/>
        </w:rPr>
      </w:pPr>
      <w:r>
        <w:rPr>
          <w:rFonts w:ascii="Arial" w:cs="Arial" w:eastAsia="Arial" w:hAnsi="Arial"/>
          <w:sz w:val="18"/>
          <w:szCs w:val="18"/>
          <w:color w:val="auto"/>
        </w:rPr>
        <w:t>payment of $10,000 per month to an affiliate of our sponsor for office space and related services, subject to deferral as described herein;</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firstLine="16"/>
        <w:spacing w:after="0" w:line="263" w:lineRule="auto"/>
        <w:rPr>
          <w:sz w:val="20"/>
          <w:szCs w:val="20"/>
          <w:color w:val="auto"/>
        </w:rPr>
      </w:pPr>
      <w:r>
        <w:rPr>
          <w:rFonts w:ascii="Arial" w:cs="Arial" w:eastAsia="Arial" w:hAnsi="Arial"/>
          <w:sz w:val="18"/>
          <w:szCs w:val="18"/>
          <w:color w:val="auto"/>
        </w:rPr>
        <w:t>repayment of loans that may be made by our insiders, officers, directors or any of its or their respective affiliates to finance transaction costs in connection with an initial business combination, the terms of which have not been determined;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hanging="13"/>
        <w:spacing w:after="0" w:line="286" w:lineRule="auto"/>
        <w:rPr>
          <w:sz w:val="20"/>
          <w:szCs w:val="20"/>
          <w:color w:val="auto"/>
        </w:rPr>
      </w:pPr>
      <w:r>
        <w:rPr>
          <w:rFonts w:ascii="Arial" w:cs="Arial" w:eastAsia="Arial" w:hAnsi="Arial"/>
          <w:sz w:val="17"/>
          <w:szCs w:val="17"/>
          <w:color w:val="auto"/>
        </w:rPr>
        <w:t>reimbursement of out-of-pocket expenses incurred by our insiders, officers, directors or any of its or their respective affiliates in connection with certain activities on our behalf, such as identifying and investigating possible business targets and business combinations;</w:t>
      </w:r>
    </w:p>
    <w:p>
      <w:pPr>
        <w:spacing w:after="0" w:line="165"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
        <w:spacing w:after="0" w:line="277" w:lineRule="auto"/>
        <w:rPr>
          <w:sz w:val="20"/>
          <w:szCs w:val="20"/>
          <w:color w:val="auto"/>
        </w:rPr>
      </w:pPr>
      <w:r>
        <w:rPr>
          <w:rFonts w:ascii="Arial" w:cs="Arial" w:eastAsia="Arial" w:hAnsi="Arial"/>
          <w:sz w:val="18"/>
          <w:szCs w:val="18"/>
          <w:color w:val="auto"/>
        </w:rPr>
        <w:t>either our sponsor will transfer up to 20,000 founder shares to each of our independent directors, or we will pay cash fees to such directors, at our discretion; and</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firstLine="78"/>
        <w:spacing w:after="0" w:line="257" w:lineRule="auto"/>
        <w:rPr>
          <w:sz w:val="20"/>
          <w:szCs w:val="20"/>
          <w:color w:val="auto"/>
        </w:rPr>
      </w:pPr>
      <w:r>
        <w:rPr>
          <w:rFonts w:ascii="Arial" w:cs="Arial" w:eastAsia="Arial" w:hAnsi="Arial"/>
          <w:sz w:val="18"/>
          <w:szCs w:val="18"/>
          <w:color w:val="auto"/>
        </w:rPr>
        <w:t>payment to Chardan of the underwriting discount and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20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spacing w:after="0" w:line="28" w:lineRule="exact"/>
        <w:rPr>
          <w:sz w:val="20"/>
          <w:szCs w:val="20"/>
          <w:color w:val="auto"/>
        </w:rPr>
      </w:pPr>
    </w:p>
    <w:p>
      <w:pPr>
        <w:jc w:val="both"/>
        <w:ind w:left="3480"/>
        <w:spacing w:after="0" w:line="271" w:lineRule="auto"/>
        <w:rPr>
          <w:sz w:val="20"/>
          <w:szCs w:val="20"/>
          <w:color w:val="auto"/>
        </w:rPr>
      </w:pPr>
      <w:r>
        <w:rPr>
          <w:rFonts w:ascii="Arial" w:cs="Arial" w:eastAsia="Arial" w:hAnsi="Arial"/>
          <w:sz w:val="17"/>
          <w:szCs w:val="17"/>
          <w:color w:val="auto"/>
        </w:rPr>
        <w:t xml:space="preserve">There is no limit on the amount of out-of-pocket expenses reimbursable by us;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any of their respective affiliates, and any reimbursements and payments made to members of our audit committee will be reviewed and approved by our board of directors, with any interested director abstaining from such review and approval.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4" w:name="page25"/>
    <w:bookmarkEnd w:id="24"/>
    <w:p>
      <w:pPr>
        <w:spacing w:after="0" w:line="266" w:lineRule="auto"/>
        <w:rPr>
          <w:sz w:val="20"/>
          <w:szCs w:val="20"/>
          <w:color w:val="auto"/>
        </w:rPr>
      </w:pPr>
      <w:r>
        <w:rPr>
          <w:rFonts w:ascii="Arial" w:cs="Arial" w:eastAsia="Arial" w:hAnsi="Arial"/>
          <w:sz w:val="18"/>
          <w:szCs w:val="18"/>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such business combination.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determined not to consummate any business combination unless we have net tangible assets of at least $5,000,001 either immediately prior to or upon such consummation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200" w:lineRule="exact"/>
        <w:rPr>
          <w:sz w:val="20"/>
          <w:szCs w:val="20"/>
          <w:color w:val="auto"/>
        </w:rPr>
      </w:pPr>
    </w:p>
    <w:p>
      <w:pPr>
        <w:sectPr>
          <w:pgSz w:w="11900" w:h="16838" w:orient="portrait"/>
          <w:cols w:equalWidth="0" w:num="2">
            <w:col w:w="3260" w:space="220"/>
            <w:col w:w="7740"/>
          </w:cols>
          <w:pgMar w:left="340" w:top="90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5" w:name="page26"/>
    <w:bookmarkEnd w:id="25"/>
    <w:p>
      <w:pPr>
        <w:jc w:val="both"/>
        <w:ind w:left="2380"/>
        <w:spacing w:after="0" w:line="284" w:lineRule="auto"/>
        <w:rPr>
          <w:sz w:val="20"/>
          <w:szCs w:val="20"/>
          <w:color w:val="auto"/>
        </w:rPr>
      </w:pPr>
      <w:r>
        <w:rPr>
          <w:rFonts w:ascii="Arial" w:cs="Arial" w:eastAsia="Arial" w:hAnsi="Arial"/>
          <w:sz w:val="16"/>
          <w:szCs w:val="16"/>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unless we provide public stockholder an opportunity to redeem their public shares in conjunction with any such amendment, (C) not to redeem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 public units in this offering or any units or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Securities and Exchange Act of 1940, which we refer to as the Exchange Act, which are rules designed to stop potential manipulation of a company’s stock or purchasing shares when the buyer is in possession of material non-public information about the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0"/>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Redemption rights</w:t>
            </w: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In connection with any stockholder meeting called to approve a proposed initial business combination,</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each public stockholder will have the right, regardless of whether he, she or it is voting for or against such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 xml:space="preserve">proposed business combination, to demand that we redeem his, her or its public shares into a </w:t>
            </w:r>
            <w:r>
              <w:rPr>
                <w:rFonts w:ascii="Arial" w:cs="Arial" w:eastAsia="Arial" w:hAnsi="Arial"/>
                <w:sz w:val="18"/>
                <w:szCs w:val="18"/>
                <w:i w:val="1"/>
                <w:iCs w:val="1"/>
                <w:color w:val="auto"/>
                <w:w w:val="89"/>
              </w:rPr>
              <w:t>pro rata</w:t>
            </w:r>
            <w:r>
              <w:rPr>
                <w:rFonts w:ascii="Arial" w:cs="Arial" w:eastAsia="Arial" w:hAnsi="Arial"/>
                <w:sz w:val="18"/>
                <w:szCs w:val="18"/>
                <w:color w:val="auto"/>
                <w:w w:val="89"/>
              </w:rPr>
              <w:t xml:space="preserve"> share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of the trust account upon consummation of the business combination.</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We may require public stockholders wishing to exercise redemption rights, whether they are a record</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holder or hold their shares in “street name,” to either tender the certificates they are seeking to redeem to</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our transfer agent or to deliver the shares they are seeking to redeem to the transfer agent electronically</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using Depository Trust Company’s Deposit/Withdrawal At Custodian System, or DWAC System, at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holder’s option, at any time at or prior to the vote on the business combination. There is a nominal cost</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associated with this tendering process and the act of certificating the shares or delivering them through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DWAC System. The transfer agent will typically charge the tendering broker $45 and it would be up to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broker whether to pass this cost on to the redeeming holder. However, this fee would be incurred regardless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of whether we require holders to deliver their shares prior to the vote on the business combination in order</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to exercise redemption rights, because a holder would need to deliver shares to exercise redemption rights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regardless of the timing of when such delivery must be effectuated. However, in the event we require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stockholders to deliver their shares prior to the vote on the proposed business combination and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proposed business combination is not consummated, this may result in an increased cost to stockholders.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The redemption rights will include the requirement that a beneficial holder must identify itself in order to</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validly redeem its shares.</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Under Delaware law, we may be required to give a minimum of only 10 days’ notice for each general</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meeting. As a result, if we require public stockholders who wish to redeem their shares of common stock</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 xml:space="preserve">into the right to receive a </w:t>
            </w:r>
            <w:r>
              <w:rPr>
                <w:rFonts w:ascii="Arial" w:cs="Arial" w:eastAsia="Arial" w:hAnsi="Arial"/>
                <w:sz w:val="18"/>
                <w:szCs w:val="18"/>
                <w:i w:val="1"/>
                <w:iCs w:val="1"/>
                <w:color w:val="auto"/>
                <w:w w:val="95"/>
              </w:rPr>
              <w:t>pro rata</w:t>
            </w:r>
            <w:r>
              <w:rPr>
                <w:rFonts w:ascii="Arial" w:cs="Arial" w:eastAsia="Arial" w:hAnsi="Arial"/>
                <w:sz w:val="18"/>
                <w:szCs w:val="18"/>
                <w:color w:val="auto"/>
                <w:w w:val="95"/>
              </w:rPr>
              <w:t xml:space="preserve"> portion of the funds in the trust account to comply with the foregoing</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delivery requirements, holders may not have sufficient time to receive the notice and deliver their shares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for redemption. Accordingly, investors may not be able to exercise their redemption rights and may be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forced to retain our securities when they otherwise would not want to.</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If we require public stockholders who wish to redeem their shares of common stock to comply with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specific delivery requirements for redemption described above and such proposed business combination is</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not consummated, we will promptly return such certificates to the tendering public stockholders.</w:t>
            </w:r>
          </w:p>
        </w:tc>
      </w:tr>
      <w:tr>
        <w:trPr>
          <w:trHeight w:val="688"/>
        </w:trPr>
        <w:tc>
          <w:tcPr>
            <w:tcW w:w="24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306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904"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Liquidation if no business</w:t>
            </w: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If we are unable to complete our initial business combination within 24 months from the closing of this</w:t>
            </w:r>
          </w:p>
        </w:tc>
      </w:tr>
      <w:tr>
        <w:trPr>
          <w:trHeight w:val="220"/>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combination</w:t>
            </w:r>
          </w:p>
        </w:tc>
        <w:tc>
          <w:tcPr>
            <w:tcW w:w="8500" w:type="dxa"/>
            <w:vAlign w:val="bottom"/>
          </w:tcPr>
          <w:p>
            <w:pPr>
              <w:ind w:left="760"/>
              <w:spacing w:after="0"/>
              <w:rPr>
                <w:sz w:val="20"/>
                <w:szCs w:val="20"/>
                <w:color w:val="auto"/>
              </w:rPr>
            </w:pPr>
            <w:r>
              <w:rPr>
                <w:rFonts w:ascii="Arial" w:cs="Arial" w:eastAsia="Arial" w:hAnsi="Arial"/>
                <w:sz w:val="18"/>
                <w:szCs w:val="18"/>
                <w:color w:val="auto"/>
              </w:rPr>
              <w:t>offering, we will (i) cease all operations except for the purpose of winding up, (ii) as promptly as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89"/>
              </w:rPr>
              <w:t>reasonably possible but not more than five business days thereafter, redeem 100% of the outstanding public</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shares (including any public units in this offering or any public units or shares that our initial stockholders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or their affiliates purchased in this offering or later acquired in the open market or in private transactions),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6"/>
              </w:rPr>
              <w:t>which redemption will completely extinguish public stockholders’ rights as stockholders (including the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4"/>
              </w:rPr>
              <w:t>right to receive further liquidation distributions, if any), subject to applicable law, and (iii) as promptly as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6"/>
              </w:rPr>
              <w:t>reasonably practicable following such redemption, subject to the approval of our remaining holders of</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common stock and our board of directors, proceed to commence a voluntary liquidation and thereby a</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formal dissolution of the Company, subject (in the case of (ii) and (iii) above) to our obligations to provide</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for claims of creditors and the requirements of applicable law.</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In connection with our redemption of 100% of our outstanding public shares for a portion of the funds held</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in the trust account, each holder will receive a full pro rata portion of the amount then in the trust account,</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plus any pro rata interest earned on the funds held in the trust account and not necessary to pay our taxes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payable on such funds. Holders of warrants will receive no proceeds in connection with the liquidation</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with respect to such warrants, which will expire worthless.</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We may not have funds sufficient to pay or provide for all creditors’ claims. Although we will seek to have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all third parties (including any vendors or other entities we engage after this offering) and any prospective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3"/>
              </w:rPr>
              <w:t>target businesses enter into valid and enforceable agreements with us waiving any right, title, interest or</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claim of any kind in or to any monies held in the trust account, there is no guarantee that they will execute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such agreements. There is also no guarantee that the third parties would not challenge the enforceability of</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these waivers and bring claims against the trust account for monies owed them.</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3"/>
              </w:rPr>
              <w:t>The holders of the founder shares and private warrants will not participate in any redemption distribution</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4"/>
              </w:rPr>
              <w:t>with respect to their founder shares and private warrants, but may have any public shares held by them</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redeemed upon liquidation.</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If we are unable to conclude our initial business combination and we expend all of the net proceeds of this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offering not deposited in the trust account, without taking into account any interest earned on the trust</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account, we expect that the initial per-share redemption price will be approximately $10.00. The proceeds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8"/>
              </w:rPr>
              <w:t>deposited in the trust account could, however, become subject to claims of our creditors that are in</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preference to the claims of our stockholders. Furthermore, our underwriters may seek recourse against the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proceeds in the trust account relating to any future claims they may have against us. In addition, if we are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forced to file a bankruptcy case or an involuntary bankruptcy case is filed against us that is not dismissed,</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the proceeds held in the trust account could be subject to applicable bankruptcy law, and may be included</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8"/>
              </w:rPr>
              <w:t>in our bankruptcy estate and subject to the claims of third parties with priority over the claims of our</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stockholders. Therefore, the actual per-share redemption price may be less than approximately $10.00. We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3"/>
              </w:rPr>
              <w:t>will pay the costs of any subsequent liquidation from our remaining assets outside of the trust account. If</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such funds are insufficient, our sponsor has agreed to pay the funds necessary to complete such liquidation</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and has agreed not to seek repayment for such expenses. We currently do not anticipate that such funds</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will be insufficient.</w:t>
            </w:r>
          </w:p>
        </w:tc>
      </w:tr>
      <w:tr>
        <w:trPr>
          <w:trHeight w:val="688"/>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Conflict of Interest</w:t>
      </w:r>
    </w:p>
    <w:p>
      <w:pPr>
        <w:spacing w:after="0" w:line="20" w:lineRule="exact"/>
        <w:rPr>
          <w:sz w:val="20"/>
          <w:szCs w:val="20"/>
          <w:color w:val="auto"/>
        </w:rPr>
      </w:pPr>
      <w:r>
        <w:rPr>
          <w:sz w:val="20"/>
          <w:szCs w:val="20"/>
          <w:color w:val="auto"/>
        </w:rPr>
        <w:br w:type="column"/>
      </w:r>
    </w:p>
    <w:p>
      <w:pPr>
        <w:jc w:val="both"/>
        <w:ind w:firstLine="55"/>
        <w:spacing w:after="0" w:line="279" w:lineRule="auto"/>
        <w:rPr>
          <w:sz w:val="20"/>
          <w:szCs w:val="20"/>
          <w:color w:val="auto"/>
        </w:rPr>
      </w:pPr>
      <w:r>
        <w:rPr>
          <w:rFonts w:ascii="Arial" w:cs="Arial" w:eastAsia="Arial" w:hAnsi="Arial"/>
          <w:sz w:val="17"/>
          <w:szCs w:val="17"/>
          <w:color w:val="auto"/>
        </w:rPr>
        <w:t>Both we and our sponsor are affiliates of Chardan, the representative of the underwriters in this offering, and certain of our officers and directors are affiliated with Chardan. As a result, Chardan is deemed to have a “conflict of interest” within the meaning of FINRA Rule 5121(f)(5), or Rule 5121. Accordingly, this offering is being made in compliance with the applicable requirements of Rule 5121.</w:t>
      </w:r>
    </w:p>
    <w:p>
      <w:pPr>
        <w:spacing w:after="0" w:line="171" w:lineRule="exact"/>
        <w:rPr>
          <w:sz w:val="20"/>
          <w:szCs w:val="20"/>
          <w:color w:val="auto"/>
        </w:rPr>
      </w:pPr>
    </w:p>
    <w:p>
      <w:pPr>
        <w:sectPr>
          <w:pgSz w:w="11900" w:h="16838" w:orient="portrait"/>
          <w:cols w:equalWidth="0" w:num="2">
            <w:col w:w="2720" w:space="720"/>
            <w:col w:w="7740"/>
          </w:cols>
          <w:pgMar w:left="380" w:top="904" w:right="339" w:bottom="1440" w:gutter="0" w:footer="0" w:header="0"/>
        </w:sectPr>
      </w:pPr>
    </w:p>
    <w:p>
      <w:pPr>
        <w:ind w:left="3440"/>
        <w:spacing w:after="0" w:line="268" w:lineRule="auto"/>
        <w:rPr>
          <w:sz w:val="20"/>
          <w:szCs w:val="20"/>
          <w:color w:val="auto"/>
        </w:rPr>
      </w:pPr>
      <w:r>
        <w:rPr>
          <w:rFonts w:ascii="Arial" w:cs="Arial" w:eastAsia="Arial" w:hAnsi="Arial"/>
          <w:sz w:val="17"/>
          <w:szCs w:val="17"/>
          <w:color w:val="auto"/>
        </w:rPr>
        <w:t>Rule 5121 requires that a “qualified independent underwriter,” as defined in Rule 5121, participate in the preparation of the registration statement and prospectus and exercise the usual standards of due diligence with respect thereto. has agreed to act as a “qualified independent underwriter” for this offering. will receive $ from the total underwriting discount, acting as a qualified independent underwriter. We have agreed to indemnify against certain liabilities incurred in connection with</w:t>
      </w:r>
    </w:p>
    <w:p>
      <w:pPr>
        <w:sectPr>
          <w:pgSz w:w="11900" w:h="16838" w:orient="portrait"/>
          <w:cols w:equalWidth="0" w:num="1">
            <w:col w:w="11180"/>
          </w:cols>
          <w:pgMar w:left="380" w:top="904" w:right="339" w:bottom="1440" w:gutter="0" w:footer="0" w:header="0"/>
          <w:type w:val="continuous"/>
        </w:sectPr>
      </w:pPr>
    </w:p>
    <w:p>
      <w:pPr>
        <w:spacing w:after="0" w:line="3" w:lineRule="exact"/>
        <w:rPr>
          <w:sz w:val="20"/>
          <w:szCs w:val="20"/>
          <w:color w:val="auto"/>
        </w:rPr>
      </w:pPr>
    </w:p>
    <w:p>
      <w:pPr>
        <w:jc w:val="both"/>
        <w:ind w:left="3440"/>
        <w:spacing w:after="0" w:line="255" w:lineRule="auto"/>
        <w:rPr>
          <w:sz w:val="20"/>
          <w:szCs w:val="20"/>
          <w:color w:val="auto"/>
        </w:rPr>
      </w:pPr>
      <w:r>
        <w:rPr>
          <w:rFonts w:ascii="Arial" w:cs="Arial" w:eastAsia="Arial" w:hAnsi="Arial"/>
          <w:sz w:val="18"/>
          <w:szCs w:val="18"/>
          <w:color w:val="auto"/>
        </w:rPr>
        <w:t>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90" w:lineRule="exact"/>
        <w:rPr>
          <w:sz w:val="20"/>
          <w:szCs w:val="20"/>
          <w:color w:val="auto"/>
        </w:rPr>
      </w:pPr>
    </w:p>
    <w:p>
      <w:pPr>
        <w:jc w:val="both"/>
        <w:ind w:left="3440"/>
        <w:spacing w:after="0" w:line="273"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 opportunities to other entities to which they owe duties or clients of affiliates of our sponsor.</w:t>
      </w:r>
    </w:p>
    <w:p>
      <w:pPr>
        <w:spacing w:after="0" w:line="178" w:lineRule="exact"/>
        <w:rPr>
          <w:sz w:val="20"/>
          <w:szCs w:val="20"/>
          <w:color w:val="auto"/>
        </w:rPr>
      </w:pPr>
    </w:p>
    <w:p>
      <w:pPr>
        <w:jc w:val="both"/>
        <w:ind w:left="3440"/>
        <w:spacing w:after="0" w:line="288" w:lineRule="auto"/>
        <w:rPr>
          <w:sz w:val="20"/>
          <w:szCs w:val="20"/>
          <w:color w:val="auto"/>
        </w:rPr>
      </w:pPr>
      <w:r>
        <w:rPr>
          <w:rFonts w:ascii="Arial" w:cs="Arial" w:eastAsia="Arial" w:hAnsi="Arial"/>
          <w:sz w:val="16"/>
          <w:szCs w:val="16"/>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68" w:lineRule="exact"/>
        <w:rPr>
          <w:sz w:val="20"/>
          <w:szCs w:val="20"/>
          <w:color w:val="auto"/>
        </w:rPr>
      </w:pPr>
    </w:p>
    <w:p>
      <w:pPr>
        <w:jc w:val="both"/>
        <w:ind w:left="3440"/>
        <w:spacing w:after="0" w:line="271" w:lineRule="auto"/>
        <w:rPr>
          <w:sz w:val="20"/>
          <w:szCs w:val="20"/>
          <w:color w:val="auto"/>
        </w:rPr>
      </w:pPr>
      <w:r>
        <w:rPr>
          <w:rFonts w:ascii="Arial" w:cs="Arial" w:eastAsia="Arial" w:hAnsi="Arial"/>
          <w:sz w:val="17"/>
          <w:szCs w:val="17"/>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type w:val="continuous"/>
        </w:sectPr>
      </w:pPr>
    </w:p>
    <w:bookmarkStart w:id="29" w:name="page30"/>
    <w:bookmarkEnd w:id="29"/>
    <w:p>
      <w:pPr>
        <w:jc w:val="both"/>
        <w:ind w:left="3500"/>
        <w:spacing w:after="0" w:line="288" w:lineRule="auto"/>
        <w:rPr>
          <w:sz w:val="20"/>
          <w:szCs w:val="20"/>
          <w:color w:val="auto"/>
        </w:rPr>
      </w:pPr>
      <w:r>
        <w:rPr>
          <w:rFonts w:ascii="Arial" w:cs="Arial" w:eastAsia="Arial" w:hAnsi="Arial"/>
          <w:sz w:val="16"/>
          <w:szCs w:val="16"/>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168" w:lineRule="exact"/>
        <w:rPr>
          <w:sz w:val="20"/>
          <w:szCs w:val="20"/>
          <w:color w:val="auto"/>
        </w:rPr>
      </w:pPr>
    </w:p>
    <w:p>
      <w:pPr>
        <w:jc w:val="both"/>
        <w:ind w:left="3500"/>
        <w:spacing w:after="0" w:line="289" w:lineRule="auto"/>
        <w:rPr>
          <w:sz w:val="20"/>
          <w:szCs w:val="20"/>
          <w:color w:val="auto"/>
        </w:rPr>
      </w:pPr>
      <w:r>
        <w:rPr>
          <w:rFonts w:ascii="Arial" w:cs="Arial" w:eastAsia="Arial" w:hAnsi="Arial"/>
          <w:sz w:val="16"/>
          <w:szCs w:val="16"/>
          <w:color w:val="auto"/>
        </w:rPr>
        <w:t>In addition, we may, at our option, pursue an Affiliated Joint Acquisition. We do not expect that we would pursue any such opportunity with an Affiliated SPAC. This would only occur, though,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w:t>
      </w:r>
    </w:p>
    <w:p>
      <w:pPr>
        <w:spacing w:after="0" w:line="166" w:lineRule="exact"/>
        <w:rPr>
          <w:sz w:val="20"/>
          <w:szCs w:val="20"/>
          <w:color w:val="auto"/>
        </w:rPr>
      </w:pPr>
    </w:p>
    <w:p>
      <w:pPr>
        <w:jc w:val="both"/>
        <w:ind w:left="3500"/>
        <w:spacing w:after="0" w:line="259"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our offering, please see “</w:t>
      </w:r>
      <w:r>
        <w:rPr>
          <w:rFonts w:ascii="Arial" w:cs="Arial" w:eastAsia="Arial" w:hAnsi="Arial"/>
          <w:sz w:val="17"/>
          <w:szCs w:val="17"/>
          <w:i w:val="1"/>
          <w:iCs w:val="1"/>
          <w:color w:val="auto"/>
        </w:rPr>
        <w:t>Proposed Business — Comparison to offerings of blank check companies subject to Rule 419</w:t>
      </w:r>
      <w:r>
        <w:rPr>
          <w:rFonts w:ascii="Arial" w:cs="Arial" w:eastAsia="Arial" w:hAnsi="Arial"/>
          <w:sz w:val="17"/>
          <w:szCs w:val="17"/>
          <w:color w:val="auto"/>
        </w:rPr>
        <w:t>.” You should carefully consider these and the other risks set forth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6"/>
          </w:tcPr>
          <w:p>
            <w:pPr>
              <w:ind w:left="440"/>
              <w:spacing w:after="0"/>
              <w:rPr>
                <w:sz w:val="20"/>
                <w:szCs w:val="20"/>
                <w:color w:val="auto"/>
              </w:rPr>
            </w:pPr>
            <w:r>
              <w:rPr>
                <w:rFonts w:ascii="Arial" w:cs="Arial" w:eastAsia="Arial" w:hAnsi="Arial"/>
                <w:sz w:val="18"/>
                <w:szCs w:val="18"/>
                <w:b w:val="1"/>
                <w:bCs w:val="1"/>
                <w:color w:val="auto"/>
              </w:rPr>
              <w:t>December 31, 2020</w:t>
            </w:r>
          </w:p>
        </w:tc>
      </w:tr>
      <w:tr>
        <w:trPr>
          <w:trHeight w:val="250"/>
        </w:trPr>
        <w:tc>
          <w:tcPr>
            <w:tcW w:w="67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Actual</w:t>
            </w: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Pr>
          <w:p>
            <w:pPr>
              <w:spacing w:after="0"/>
              <w:rPr>
                <w:sz w:val="21"/>
                <w:szCs w:val="21"/>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Working capital</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24,000</w:t>
            </w:r>
          </w:p>
        </w:tc>
        <w:tc>
          <w:tcPr>
            <w:tcW w:w="38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101,324,000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3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101,324,000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Total liabilities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Value of shares of common stock subject to possible redemption/tender</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96,323,990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Stockholder’s equity</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24,000</w:t>
            </w:r>
          </w:p>
        </w:tc>
        <w:tc>
          <w:tcPr>
            <w:tcW w:w="38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$2,750,000 we will receive from the sale of the private warrants.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“as adjusted” working capital and total assets amounts include the $100,000,000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a majority of the outstanding shares of common stock voted are voted in favor of the business combination (if a vote is required or being obtained).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RISK FACTOR SUMMARY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Some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These risks and uncertainties include, but are not limited to the following risks, uncertainties and other factors:</w:t>
      </w:r>
    </w:p>
    <w:p>
      <w:pPr>
        <w:spacing w:after="0" w:line="17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even if an appropriate target business is selected;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pool of prospective target businesses in the HealthTech and FinTech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acquiring an operating company in the HealthTech and FinTech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delisting of our securities from the Nasdaq or an inability to have our securities listed on Nasdaq following a business combination;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 account being subject to the claims of third parties;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ind w:left="980" w:hanging="648"/>
        <w:spacing w:after="0" w:line="282"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Search for, Consummation of, or Inability to Consummate, a Business Combination and Post-Business Combination Risks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 Our initial stockholders and their permitted transferees will own shares representing 20% of our outstanding shares of common stock immediately following the completion of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 In addition, we have agreed not to enter into a definitive agreement regarding an initial business combination without the prior consent of our sponsor.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may seek to enter into an initial business combination agreement with a prospective target that requires as a closing condition that we have a minimum net worth or a certain amount of cash. While we will have access to the proceeds from the $2,750,000 private placement from our sponsor, if too many public stockholders exercise their redemption rights, we would not be able to meet such closing condition and, as a result, would not be able to proceed with the initial business combination. If too many public stockholders exercise their redemption rights, we would not be able to meet such closing condition and, as a result, would not be able to proceed with the initial business combination. Furthermore,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 The ability of a large number of our stockholders to exercise redemption rights may not allow us to consummate the most desirable business combination or optimize our capital structure.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24 months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$10.00 per share, or less than such amount in certain circumstances, and our warrants will expire worthless.</w:t>
      </w:r>
    </w:p>
    <w:p>
      <w:pPr>
        <w:spacing w:after="0" w:line="14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sponsors, officers and directors have agreed that we must complete our initial business combination within 24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the outbreak of COVID-19 continues to grow both in the United States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continued outbreak of COVID-19 may negatively impact businesses we may seek to acquire. If we have not completed our initial business combination within such 24-month period,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which case, our public stockholders may only receive $10.00 per share, or less than such amount in certain circumstances, and our warrants will expire worthless. See “— If third parties bring claims against us, the proceeds held in the trust account could be reduced and the per-share redemption amount received by stockholders may be less than $10.00 per share” and other risk factors herein.</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March 2020, the World Health Organization declared novel coronavirus disease 2019 (COVID-19) a global pandemic. The COVID-19 pandemic has negatively impacted the global economy, disrupted global supply chains, lowered equity market valuations, created significant volatility and disruption in financial markets, and increased unemployment levels, all of which may become heightened concerns upon a second wave of infection or future developments. In addition, the pandemic has resulted in temporary closures of many businesses and the institution of social distancing and sheltering in place requirements in many states and communities. The COVID-19 pandemic has and a significant outbreak of other infectious diseases could result in a widespread health crisis that could adversely affect the economies and financial markets worldwide, and the business of any potential partner business with which we consummate a business combination could be materially and adversely affected.</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partner business with which we ultimately consummate a business combination, may be materially adversely affected.</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or any of their respective affiliates may elect to purchase shares or warrants from public stockholders, which may influence a vote on a proposed initial business combination and reduce the public “float” of our common stock or warrants.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any of their respective affiliates purchase shares in privately negotiated transactions from public stockholders who have already elected to exercise their redemption rights, such selling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or public warrants and the number of beneficial holders of our securities may be reduced, possibly making it difficult to obtain or maintain the quotation, listing or trading of our securities on a national securities exchange.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See the section of this prospectus entitled “Proposed Business — Redemption Rights for Public Stockholders upon Completion of our Initial Business Combination — Redemption/Tender Rights.”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earliest to occur of: (i) our completion of an initial business combination, and then only in connection with those shares of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the net proceeds of this offering and the sale of the private warrants are intended to be used to complete an initial business combination with a target business that has not been identified, we may be deemed to be a “blank check” company under the United States securities laws. However, because we will have net tangible assets in excess of $5,000,000 either immediately prior to or upon the successful completion of this offering and the sale of the private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 — Comparison to Offerings of Blank Check Companies Subject to Rule 419.”</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on our redemption of our public shares, or less than such amount in certain circumstances, and our warrants will expire worthless.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including affiliates of our sponsor.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upon our liquidation. See “— If third parties bring claims against us, the proceeds held in the trust account could be reduced and the per-share redemption amount received by stockholders may be less than $10.00 per share” and other risk factors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b w:val="1"/>
          <w:bCs w:val="1"/>
          <w:i w:val="1"/>
          <w:iCs w:val="1"/>
          <w:color w:val="auto"/>
        </w:rPr>
        <w:t>If the net proceeds of this offering, the sale of the private warrants not being held in the trust account and the loan committed by our sponsor for working capital are insufficient to allow us to operate for at least the next 24 months, we may be unable to complete our initial business combination, in which case our public stockholders may only receive $10.00 per share, or less than such amount in certain circumstances, and our warrants will expire worthless.</w:t>
      </w:r>
    </w:p>
    <w:p>
      <w:pPr>
        <w:spacing w:after="0" w:line="18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funds available to us outside of the trust account, together with the loan committed by our sponsor for working capital, may not be sufficient to allow us to operate for at least the next 24 months, assuming that our initial business combination is not completed during that time.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We believe that, upon closing of this offering, the funds available to us outside of the trust account, together with funds available from loans from our sponsor will be sufficient to allow us to operate for at least the next 24 months;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upon our liquidation. See “— If third parties bring claims against us, the proceeds held in the trust account could be reduced and the per-share redemption amount received by stockholders may be less than $10.00 per share” and other risk factors below.</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the net proceeds from this offering and the sale of the private warrants, not being held in the trust account, and the loan committed by our sponsor for working capital are insufficient, it could limit the amount available to fund our search for a target business or businesses and complete our initial business combination and we will depend on additional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8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Of the net proceeds of this offering and the sale of the private warrants, only approximately $1,300,000 will be available to us initially outside the trust account to fund our working capital requirements. In the event that our offering expenses exceed our estimate of $950,000,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$950,000,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In order to finance transaction costs in connection with an intended initial business combination, our sponsor has committed up to $250,000 to be provided to us to fund our expenses relating to investigating and selecting a target business and other working capital requirements after this offering and prior to our initial business combination. None of our sponsor, members of our management team nor any of their affiliates is under any obligation to advance additional funds to us in such circumstances. Any such advances would be repaid only from funds held outside the trust account or from funds released to us upon completion of our initial business combination.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$10.00 per share on our redemption of our public shares,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security holders who choose to remain security holders following the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and the underwriters of the offering, will not execute agreements with us waiving such claims to the monies held in the trust account.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324"/>
        <w:spacing w:after="0" w:line="285"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(other than our independent registered public accounting firm)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jc w:val="both"/>
        <w:ind w:firstLine="8"/>
        <w:spacing w:after="0" w:line="253" w:lineRule="auto"/>
        <w:tabs>
          <w:tab w:leader="none" w:pos="277"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24th month from the closing of this offering in the event we do not complete our initial business combination and, therefore, we do not intend to comply with the foregoing procedures.</w:t>
      </w:r>
    </w:p>
    <w:p>
      <w:pPr>
        <w:spacing w:after="0" w:line="1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spacing w:after="0" w:line="381" w:lineRule="auto"/>
        <w:rPr>
          <w:sz w:val="20"/>
          <w:szCs w:val="20"/>
          <w:color w:val="auto"/>
        </w:rPr>
      </w:pPr>
      <w:r>
        <w:rPr>
          <w:rFonts w:ascii="Arial" w:cs="Arial" w:eastAsia="Arial" w:hAnsi="Arial"/>
          <w:sz w:val="15"/>
          <w:szCs w:val="15"/>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0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will seek to complete an initial business combination with an operating company in any industry or sector, though we intend to focus on the financial services, healthcare, real estate services, technology and software industries,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security holders who choose to remain security holders following our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seek business combination opportunities in industries or sectors which may or may not be outside of our management’s area of expertise.</w:t>
      </w:r>
    </w:p>
    <w:p>
      <w:pPr>
        <w:spacing w:after="0" w:line="24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security holders who choose to remain security holders following our initial business combination could suffer a reduction in the value of their securities. Such security holders are unlikely to have a remedy for such reduction in value.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16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may seek business combination opportunities with an early stage company, a financially unstable business or an entity lacking an established record of revenue, cash flow or earnings, which could subject us to volatile revenues, cash flows or earnings or difficulty in retaining key personnel.</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firm that commonly renders valuation opinions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amended and restated certificate of incorporation will not provide a specified maximum redemption threshold, except that we may only redeem our public shares so long as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common stock submitted for redemption will be returned to the holders thereof, and we instead may search for an alternate business combination.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a majority of our common stock, and amending our warrant agreement will require a vote of holders of at least a majority of the public warrants.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293" w:lineRule="auto"/>
        <w:rPr>
          <w:sz w:val="20"/>
          <w:szCs w:val="20"/>
          <w:color w:val="auto"/>
        </w:rPr>
      </w:pPr>
      <w:r>
        <w:rPr>
          <w:rFonts w:ascii="Arial" w:cs="Arial" w:eastAsia="Arial" w:hAnsi="Arial"/>
          <w:sz w:val="16"/>
          <w:szCs w:val="16"/>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majority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may be amended if approved by holders of majority of our common stock entitled to vote thereon, and corresponding provisions of the trust agreement governing the release of funds from our trust account may be amended if approved by holders of majority of our common stock entitled to vote thereon, subject to applicable provisions of the DGCL or applicable stock exchange rules. We may not issue additional securities that can vote with common stockholders on matters related to our pre-initial business combination activity, on any amendment to certain provisions of our amended and restated certificate of incorporation or on our initial business combination. Our initial stockholders, who will collectively beneficially own up to 20% of our common stock upon the closing of this offering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private warrants.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$10.00 per share, or less in certain circumstances,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$10.00 per share,” under certain circumstances our public stockholders may receive less than $10.00 per share upon the liquidation of the trust account.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will hold a substantial interest in us. As a result, they may exert a substantial influence on actions requiring a stockholder vote, potentially in a manner that you do not support.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Upon the closing of this offering, our initial stockholders will own shares representing 20% of our issued and outstanding shares of common stock (including the shares of common stock underlying the private warrants and assuming they do not purchase any units in this offering).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units in this offering or any additional shares of common stock in the aftermarket or in privately negotiated transactions, this would increase their influence over these actions. In addition, our board of directors, whose members were elected by our initial stockholders, is and will be divided into two classes, each of which will generally serve for a term of 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portion of the board of directors will be considered for election. Accordingly, our initial stockholders will exert significant influence over actions requiring a stockholder vote. Please see “Proposed Business — Stockholders May Not Have the Ability to Approve an Initial Business Combination.”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security holders who choose to remain security holders following the initial business combination could suffer a reduction in the value of their securities. Such securities are unlikely to have a remedy for such reduction in value.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 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 suitable target for and/or complete our initial business combination.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recent months, the market for directors and officers liability insurance for special purpose acquisition companies has changed. Fewer insurance companies are offering quotes for directors and officers liability coverage, the premiums charged for such policies have generally increased and the terms of such policies have generally become less favorable. There can be no assurance that these trends will not continue.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324"/>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warrants, which will cause us to be solely dependent on a single business which may have a limited number of services and limited operating activities. This lack of diversification may negatively impact our operating results and profitability.</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net proceeds from this offering and the sale of the private warrants, $100,000,000 (or $115,000,000 if the underwriters’ over-allotment option is exercised in full) will be available to complete our initial business combination and pay related fees and expenses.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980" w:hanging="648"/>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Chardan, our Sponsor and Management Team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We do not have an employment agreement with, or key-man insurance on the life of, any of our directors or officers. The unexpected loss of the services of one or more of our directors or officers could have a detrimental effect on us.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July 23, 2020, our sponsor purchased 1,000,000 shares of common stock for an aggregate purchase price of $25,000. On March 4, 2021, we effected a 2.875-for-1 stock split, resulting in 2,875,000 shares of common stock being held by our sponsor. Such founder shares include an aggregate of up to 375,000 shares that are subject to forfeiture to the extent that the underwriters’ over-allotment option is not exercised in full or in part. The number of founder shares issued was determined based on the expectation that such founder shares would represent 20% of the outstanding shares after this offering. The founder shares will be worthless if we do not complete an initial business combination. In addition, our sponsor has agreed that it or its designees will purchase an aggregate of 5,500,000 private warrants at a price of $0.50 per private warrant, for an aggregate purchase price of $2,750,000 that will also be worthless if we do not consummate our initial business combination. Holders of founder shares and private warrants have agreed (A) to vote any shares owned by them in favor of any proposed initial business combination and (B) not to redeem any founder shares in connection with a stockholder vote to approve a proposed initial business combination. In addition, any loans from our sponsor will not be repaid if our business combination is not consummated.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b w:val="1"/>
          <w:bCs w:val="1"/>
          <w:i w:val="1"/>
          <w:iCs w:val="1"/>
          <w:color w:val="auto"/>
        </w:rPr>
        <w:t>Since our officers and directors will not be eligible to be reimbursed for their out-of-pocket expenses, and our sponsor will not be eligible to be repaid for loans our sponsor has provided to us, if our business combination is not completed, a conflict of interest may arise in determining whether a particular business combination target is appropriate for our initial business combination.</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officers and directors, or any of their respective affiliates, will be reimbursed for any out-of-pocket expenses incurred in connection with activities on our behalf such as identifying potential target businesses and performing due diligence on suitable business combinations. Reimbursement for such expenses will be paid by us out of loans by our sponsor and interest earned on the trust account. There is no cap or ceiling on the reimbursement of out-of-pocket expenses incurred in connection with activities on our behalf. In addition, at the closing of our initial business combination, our sponsor will be repaid an aggregate of up to $250,000 in loans, which our sponsor has committed to cover working capital costs and to finance transaction costs in connection with an intended initial business combination following this offering, in addition to any additional loans our sponsor chooses to make. These financial interests of our sponsor, officers and directors may influence their motivation in identifying and selecting a target business combination and completing an initial business combination.</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our officers and non-independent directors are employed by Chardan and/or certain of its affiliates and our other directors are employees of other companies. Our directors and officers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 — Directors and Officers.”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All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or other transaction should be presented.</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officers and directors are, and may in the future become, affiliated with entities (such as operating companies or investment vehicles) that are engaged in a similar business, including an Affiliated SPAC. In order to minimize potential conflicts of interest which may arise from multiple affiliations, our officers who are also officers of any Affiliated SPAC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have employment contracts with our officers and directors that will limit their ability to work at other businesses. In addition, our officers and directors may become an officer or director of any other special purpose acquisition company with a class of securities registered under the Exchange Act even if we have not yet entered into a definitive agreement regarding our initial business combination. As a result, our officers or directors could have conflicts of interest in determining whether to present business combination opportunities to us or to any other blank check company with which they may become involved.</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Our officers and directors also may become aware of business opportunities which may be appropriate for presentation to us and the other entities to which they owe certain fiduciary, contractual or other duties.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324"/>
        <w:spacing w:after="0" w:line="284" w:lineRule="auto"/>
        <w:rPr>
          <w:sz w:val="20"/>
          <w:szCs w:val="20"/>
          <w:color w:val="auto"/>
        </w:rPr>
      </w:pPr>
      <w:r>
        <w:rPr>
          <w:rFonts w:ascii="Arial" w:cs="Arial" w:eastAsia="Arial" w:hAnsi="Arial"/>
          <w:sz w:val="16"/>
          <w:szCs w:val="16"/>
          <w:color w:val="auto"/>
        </w:rPr>
        <w:t>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w:t>
      </w:r>
    </w:p>
    <w:p>
      <w:pPr>
        <w:spacing w:after="0" w:line="4" w:lineRule="exact"/>
        <w:rPr>
          <w:sz w:val="20"/>
          <w:szCs w:val="20"/>
          <w:color w:val="auto"/>
        </w:rPr>
      </w:pPr>
    </w:p>
    <w:p>
      <w:pPr>
        <w:ind w:firstLine="8"/>
        <w:spacing w:after="0" w:line="260" w:lineRule="auto"/>
        <w:tabs>
          <w:tab w:leader="none" w:pos="2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or we may acquire a target business through an Affiliated Joint Acquisition with one or more affiliates of Chardan.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particular, Chardan, its respective affiliates, our directors and our officers have invested, and may in the future invest, in a broad array of sectors, including those in which our company may invest, and are also focused on acquisitions and investments in industries in which we may search for a target business. As a result, there may be substantial overlap between companies that would be a suitable business combination for us and companies that would make an attractive target for such other affiliates.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light of the involvement of our sponsor, officers and directors with other businesses, we may decide to acquire one or more businesses affiliated or competitive with our sponsor, officers or directors or their respective affiliates. Our officers and directors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Effecting a Business Combination – Selection of a Target Business and Structuring of a Business Combination” and such transaction was approved by a majority of our independent and disinterested directors. Despite our agreement to obtain an opinion from an independent investment banking firm or another independent firm that commonly renders valuation opinions regarding the fairness to our stockholders from a financial point of view of an initial business combination with one or more domestic or international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 In order to satisfy applicable regulatory or other legal requirements applicable to an Affiliated Joint Acquisition, our initial business combination may be effected on less favorable terms than otherwise would apply if the initial business combination were not an Affiliated Joint Acquisition.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a target business through an Affiliated Joint Acquisition with one or more affiliates of Chardan. This may result in conflicts of interest as well as dilutive issuances of our securities.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Accordingly, such persons or entities may have a conflict between their interests and ours.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compete with other affiliates of Chardan for acquisition opportunities for our company, which could negatively impact our ability to locate a suitable business combination.</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business strategy may overlap with some of the strategies of Chardan and certain of its other affiliates. 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In addition, Chardan and its affiliates specialize in financial services and real estate services and finance for institutional customers operating in the global financial and commercial real estate markets. Acquisition opportunities that may be of interest to us may come to those other affiliates instead of us or may be pursued by those affiliates. Our affiliates are not restricted from competing with our business and none of our affiliates are required to refer any such opportunities to us. Our sponsor and its affiliates face conflicts of interest relating to performing services on our behalf and allocating investment opportunities to us, and such conflicts may not be resolved in our favor, meaning we could find less suitable acquisition opportunities which could limit our ability to find a business combination that we find attractive.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980" w:hanging="648"/>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proceeds held in the trust account could bear a negative rate of interest, which could reduce the interest income available for payment of taxes or reduce the value of the assets held in trust such that the per-share redemption amount received by stockholders may be less than $10.00 per share.</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net proceeds of this offering and certain proceeds from the sale of the private placement warrants, in the amount of $100,000,000, will be held in an interest-bearing trust account. The proceeds held in the trust account may only be invested only in U.S. government treasury bills with a maturity of 185 days or less or in money market funds meeting certain conditions under Rule 2a-7 under the Investment Company Act which invest only in direct U.S. government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use to pay our taxes, if any) would be reduced. In the event that we are unable to complete our initial business combination, our public stockholders are entitled to receive their pro-rata share of the proceeds then held in the trust account, plus any interest income (less up to $100,000 of interest to pay dissolution expenses). If the balance of the trust account is reduced below $100,000,000 as a result of negative interest rates, the amount of funds in the trust account available for distribution to our public stockholders may be reduced below $10.00 per share.</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right="1000" w:hanging="4"/>
        <w:spacing w:after="0" w:line="500" w:lineRule="auto"/>
        <w:tabs>
          <w:tab w:leader="none" w:pos="9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not currently subject to.</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firstLine="324"/>
        <w:spacing w:after="0" w:line="291" w:lineRule="auto"/>
        <w:rPr>
          <w:sz w:val="20"/>
          <w:szCs w:val="20"/>
          <w:color w:val="auto"/>
        </w:rPr>
      </w:pPr>
      <w:r>
        <w:rPr>
          <w:rFonts w:ascii="Arial" w:cs="Arial" w:eastAsia="Arial" w:hAnsi="Arial"/>
          <w:sz w:val="16"/>
          <w:szCs w:val="16"/>
          <w:color w:val="auto"/>
        </w:rPr>
        <w:t>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w:t>
      </w:r>
    </w:p>
    <w:p>
      <w:pPr>
        <w:jc w:val="both"/>
        <w:ind w:firstLine="8"/>
        <w:spacing w:after="0" w:line="268" w:lineRule="auto"/>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or (iii) absent an initial business combination within 24 months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common stock, you will lose the ability to redeem all such shares in excess of 15% of our common stock.</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applied to have our units listed on Nasdaq. We expect that our units will be listed on Nasdaq on or promptly after the date of this prospectus. Following the date the shares of our common stock and warrants are eligible to trade separately, we anticipate that the shares of our common stock and warrants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6" w:name="page57"/>
    <w:bookmarkEnd w:id="56"/>
    <w:p>
      <w:pPr>
        <w:jc w:val="both"/>
        <w:ind w:firstLine="324"/>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and warrants will be listed on Nasdaq, our units,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sponsor paid an aggregate of $25,000, or approximately $0.004 per founder share, and, accordingly, you will experience immediate and substantial dilution from the purchase of the founder shares.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common stock and none to the warrant included in the unit) and the pro forma net tangible book value per share of our common stock after this offering constitutes the dilution to you and the other investors in this offering. Our initial stockholders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82.6% (or $8.26 per share, assuming no exercise of the underwriters’ over-allotment option), the difference between the pro forma net tangible book value per share of $1.74 and the initial offering price of $10.00 per unit. In addition, because of the anti-dilution rights of the founder shares, any equity or equity-linked securities issued or deemed issued in connection with our initial business combination would be disproportionately dilutive to our common stock.</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issue additional common stock or preferred stock to complete our initial business combination or under an employee incentive plan after completion of our initial business combination. Any such issuances would dilute the interest of our stockholders and likely present other risks.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will authorize the issuance of up to 50,000,000 shares of common stock, par value $0.0001 per share, and 1,000,000 shares of preferred stock, par value $0.0001 per share. Immediately after this offering, there will be 28,666,667 authorized but unissued shares of common stock, which amount takes into account the shares of common stock reserved for issuance upon exercise of outstanding warrants and no shares of preferred stock issued and outstanding (assuming, in each case, that the underwriters have not exercised their over-allotment option).</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issue a substantial number of additional shares of common or preferred stock to complete our initial business combination (including pursuant to a specified future issuance)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on any amendment to certain provisions of our amended and restated certificate of incorporation or on our initial business combination). However, our amended and restated certificate of incorporation will provide,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324"/>
        <w:spacing w:after="0" w:line="271" w:lineRule="auto"/>
        <w:rPr>
          <w:sz w:val="20"/>
          <w:szCs w:val="20"/>
          <w:color w:val="auto"/>
        </w:rPr>
      </w:pPr>
      <w:r>
        <w:rPr>
          <w:rFonts w:ascii="Arial" w:cs="Arial" w:eastAsia="Arial" w:hAnsi="Arial"/>
          <w:sz w:val="17"/>
          <w:szCs w:val="17"/>
          <w:color w:val="auto"/>
        </w:rPr>
        <w:t>These provisions of our amended and restated certificate of incorporation, like all provisions of our amended and restated certificate of incorporation, may be amended with the approval of our stockholders. However, our officers, directors and director nominees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registering the offer and sale of the shares of common stock underlying the public warrants under the Securities Act, however we cannot assure you that such registration will be in place when an investor desires to exercise warrants, thus precluding such investor from being able to exercise its warrants except on a cashless basis and potentially causing such warrants to expire worthless.</w:t>
      </w:r>
    </w:p>
    <w:p>
      <w:pPr>
        <w:spacing w:after="0" w:line="16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Under the terms of the warrant agreement, we have agreed that as soon as practicable, but in no event later than 15 business days after the closing of our initial business combination, we will use our commercially reasonable best efforts to file with the SEC a registration statement for the registration under the Securities Act of the offer and sale of the shares of common stock issuable upon exercise of the warrants and thereafter will use our commercially reasonable best efforts to cause the same to become effective within 60 business days following our initial business combination, we will use our commercially reasonable best efforts to file with the SEC a registration statement for the registration under the Securities Act of the shares of common stock issuable upon exercise of the warrants and thereafter will use our commercially reasonable best efforts to cause the same to become effective within 60 business days following our initial business combination and to maintain a current prospectus relating to the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However, there may be instances in which holders of our public warrants may be unable to exercise such public warrants but holders of our private warrants may be able to exercise such private warrants.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b w:val="1"/>
          <w:bCs w:val="1"/>
          <w:i w:val="1"/>
          <w:iCs w:val="1"/>
          <w:color w:val="auto"/>
        </w:rPr>
        <w:t>If you exercise your public warrants on a “cashless basis,” you will receive fewer shares of common stock from such exercise than if you were to exercise such warrants for cash.</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There are circumstances in which the exercise of the public warrants may be required or permitted to be made on a cashless basis. First,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exercise warrants on a cashless basis in accordance with Section 3(a)(9) of the Securities Act or another exemption. Second, if our common stock is at any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in the next sentence) by (y) the fair market value. The “fair market value” is the average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 majority of the then outstanding public warrants. As a result, the exercise price of your warrants could be increased, the warrants could be redeemed for cash or stock (at a ratio different than initially provided), the exercise period could be shortened and the number of shares of our common stock purchasable upon exercise of a warrant could be decreased, all without your approval.</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 Accordingly, we may amend the terms of the public warrants in a manner adverse to a holder if holders of a majority of the then outstanding public warrants approve of such amendment. Although our ability to amend the terms of the public warrants with the consent of a majority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324"/>
        <w:spacing w:after="0" w:line="254" w:lineRule="auto"/>
        <w:rPr>
          <w:sz w:val="20"/>
          <w:szCs w:val="20"/>
          <w:color w:val="auto"/>
        </w:rPr>
      </w:pPr>
      <w:r>
        <w:rPr>
          <w:rFonts w:ascii="Arial" w:cs="Arial" w:eastAsia="Arial" w:hAnsi="Arial"/>
          <w:sz w:val="18"/>
          <w:szCs w:val="18"/>
          <w:color w:val="auto"/>
        </w:rPr>
        <w:t>Our initial stockholders may purchase public warrants with the intention of reducing the number of public warrants outstanding or to vote such warrants on any matters submitted to warrant 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In addition, the warrant agreement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or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or an enforcement action,, and (y) having service of proves made upon such warrant holder in any such enforcement action by service upon such warrantholder’s counsel in the foreign action as agent for such warrantholder.</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choice-of-forum provision may limit a warrantholder’s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We note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26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common stock equals or exceeds $16.00 per share (as adjusted for stock splits, stock dividends, reorganizations, recapitalizations and the like) for any 10 trading days within a 30 trading-day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us so long as they are held by our sponsor or its permitted transferees.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common stock and make it more difficult to effectuate our initial business combination.</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be issuing warrants to purchase 3,333,333 shares of our common stock (or up to 3,833,333 shares of common stock if the underwriters’ over-allotment option is exercised in full) as part of the units offered by this prospectus and, simultaneously with the closing of this offering, we will be issuing, in a private placement, an aggregate of 5,500,000 private warrants, at $0.50 per private warrant (for a total of $2,750,000), with each warrant exercisable for one share of common stock at an exercise price of $11.50. Our initial stockholders currently own an aggregate of 2,500,000 founder shares.</w:t>
      </w:r>
    </w:p>
    <w:p>
      <w:pPr>
        <w:spacing w:after="0" w:line="1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the extent we issue shares of common stock to effectuate an initial business combination, the potential for the issuance of a substantial number of additional shares of common stock upon exercise of these warrants and redemption rights could make us a less attractive business combination vehicle to a target business. Any such issuance will increase the number of issued and outstanding shares of our common stock and reduce the value of the shares of common stock issued to complete the initial business combination. Therefore, our warrants and founder shares may make it more difficult to effectuate an initial business combination or increase the cost of acquiring the target business.</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warrants and warrants underlying the units issuable pursuant to the forward purchase contract are identical to the warrants sold as part of the units in this offering except that, so long as they are held by our sponsor or its permitted transferees, (i) they will not be redeemable by us, (ii) they (including the common stock issuable upon exercise of these warrants) may not, subject to certain limited exceptions, be transferred, assigned or sold by our sponsor until 30 days after the completion of our initial business combination, (iii) they may be exercised by the holders on a cashless basis, (iv) will be entitled to registration rights and (v) for so long as they are held by our sponsor, will not be exercisable more than five years from the effective date of the registration statement of which this prospectus forms a part in accordance with FINRA Rule 5110(g).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each unit contains one-third of one redeemable warrant and only a whole warrant may be exercised, the units may be worth less than units of other blank check companies.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Each unit contains one-third of one redeemable warrant.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one-third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jc w:val="both"/>
        <w:ind w:left="660" w:hanging="328"/>
        <w:spacing w:after="0" w:line="29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reorganizations, recapitalizations and the like),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Market Value is below $9.20 per share (as adjusted for stock splits, stock dividends, reorganizations, recapitalizations and the like),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the exercise price of each warrant will be adjusted such that the effective exercise price per full share will be equal to 115% of the higher of the Market Value and the Newly Issued Price, and the $16.00 per share redemption trigger price will be adjusted (to the nearest cent) to be equal to 160% of the higher of the Market Value and the Newly Issued Price. This may make it more difficult for us to consummate an initial business combination with a target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common stock.</w:t>
      </w:r>
    </w:p>
    <w:p>
      <w:pPr>
        <w:spacing w:after="0" w:line="1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an agreement to be entered into concurrently with the issuance and sale of the securities in this offering, our initial stockholders and their permitted transferees can demand that we register the private warrants and the founder shares held, or to be held, by them, and may demand that we register such warrants or the common stock issuable upon exercise of such warrants. We will bear the cost of registering these securities. The registration and availability of such a significant number of securities for trading in the public market may have an adverse effect on the market price of our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common stock that is expected when the securities owned by our initial stockholders or their respective permitted transferees are registered.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right="2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common stock and could entrench management.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 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share of common stock and the one-third of one warrant to purchase common stock included in each unit could be challenged by the IRS or the courts. Furthermore, the U.S. federal income tax consequences of a cashless exercise of warrants included in the units we are issuing in this offering is unclear under current law. It is also unclear whether the redemption rights with respect to our shares of common stock suspend the running of a U.S. holder’s holding period for purposes of determining whether any gain or loss realized by such holder on the sale or exchange of common stock is long-term capital gain or loss and for determining whether any dividend we pay would be considered “qualified dividends” for federal income tax purposes. See the section titled “U.S. Federal Income Tax Considerations” for a summary of certain material U.S. federal income tax consequences of an investment in our securities. Prospective investors are urged to consult their tax advisors with respect to these and other tax consequences when purchasing, holding or disposing of our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spacing w:after="0" w:line="275"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4"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company with no operating history and no revenues, and you have no basis on which to evaluate our ability to achieve our business objective.</w:t>
      </w:r>
    </w:p>
    <w:p>
      <w:pPr>
        <w:spacing w:after="0" w:line="2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Past performance by Chardan, its affiliates and members of our management team may not be indicative of future performance of an investment in the Company.</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Information regarding performance by, or businesses associated with, Chardan, its affiliates and members of our management team is presented for informational purposes only. Any past experience and performance, including related to acquisitions, of Chardan, its affiliates and members of our management team is not a guarantee either (i) that we will be able to locate a suitable candidate for our initial business combination or (ii) of success with respect to any business combination we may consummate. You should not rely on the historical record or performance of Chardan, its affiliates and members of our management team as indicative of the future performance of us or an investment in the Company or the returns the Company will, or is likely to, generate going forward. An investment in us is not an investment in Chardan or any of its affiliates.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23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software and technology industries to which we may be subject.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Business combinations with companies with operations in the software and technology industries entail special considerations and risks. If we are successful in completing a business combination with a target business with operations in the software and technology industries, we will be subject to, and possibly adversely affected by, the following risks, including but not limited to:</w:t>
      </w:r>
    </w:p>
    <w:p>
      <w:pPr>
        <w:spacing w:after="0" w:line="184"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do not develop successful new products or improve existing ones, our business will suffer;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invest in new lines of business that could fail to attract or retain users or generate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face significant competition and if we are not able to maintain or improve our market share, our business could suffer;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or failure of our networks, systems, platform or technology that frustrate or thwart our users’ ability to access our products and services, may cause our users, advertisers, and partners to cut back on or stop using our products and services altogether, which could seriously harm our business;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could seriously harm our business and reputation;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successfully grow our user base and further monetize our products, our business will suffer;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seriously harmed;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proceedings in the future, which could cause us to incur substantial costs or require us to change our business practices in a way that could seriously harm our business;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components used in our products may fail as a result of a manufacturing, design, or other defect over which we have no control, and render our devices inoperable.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324"/>
        <w:spacing w:after="0" w:line="259" w:lineRule="auto"/>
        <w:rPr>
          <w:sz w:val="20"/>
          <w:szCs w:val="20"/>
          <w:color w:val="auto"/>
        </w:rPr>
      </w:pPr>
      <w:r>
        <w:rPr>
          <w:rFonts w:ascii="Arial" w:cs="Arial" w:eastAsia="Arial" w:hAnsi="Arial"/>
          <w:sz w:val="18"/>
          <w:szCs w:val="18"/>
          <w:color w:val="auto"/>
        </w:rPr>
        <w:t>Any of the foregoing could have an adverse impact on our operations following a business combination. However, our efforts in identifying prospective target businesses will not be limited to the software and technology industries.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prior year’s second quarter, in which case we would no longer be an emerging growth company as of the following fiscal year end.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the end of that year’s second fiscal quarter, or (2) our annual revenues exceeded $100 million during such completed fiscal year and the market value of our common stock held by non-affiliates exceeds $700 million as of the that year’s second fiscal quarter. To the extent we take advantage of such reduced disclosure obligations, it may also make comparison of our financial statements with other public companies difficult or impossible.</w:t>
      </w:r>
    </w:p>
    <w:p>
      <w:pPr>
        <w:spacing w:after="0" w:line="160" w:lineRule="exact"/>
        <w:rPr>
          <w:sz w:val="20"/>
          <w:szCs w:val="20"/>
          <w:color w:val="auto"/>
        </w:rPr>
      </w:pPr>
    </w:p>
    <w:p>
      <w:pPr>
        <w:ind w:left="980" w:hanging="648"/>
        <w:spacing w:after="0"/>
        <w:tabs>
          <w:tab w:leader="none" w:pos="9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effect our initial business combination with a company located outside of the United States.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70" w:lineRule="exact"/>
        <w:rPr>
          <w:sz w:val="20"/>
          <w:szCs w:val="20"/>
          <w:color w:val="auto"/>
        </w:rPr>
      </w:pPr>
    </w:p>
    <w:p>
      <w:pPr>
        <w:ind w:left="5540" w:right="3660" w:hanging="4884"/>
        <w:spacing w:after="0" w:line="778" w:lineRule="auto"/>
        <w:tabs>
          <w:tab w:leader="none" w:pos="9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costs and difficulties inherent in managing cross-border business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countries have difficult and unpredictable legal systems and underdeveloped laws and regulations that are unclear and subject to corruption and inexperience.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b w:val="1"/>
          <w:bCs w:val="1"/>
          <w:i w:val="1"/>
          <w:iCs w:val="1"/>
          <w:color w:val="auto"/>
        </w:rPr>
        <w:t>If relations between the United States and foreign governments deteriorate, it could cause potential target businesses or their goods and services to become less attractive.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policies may cause a target business’ ability to succeed in the international markets to be diminished.</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foreign law could govern our material agreements, we may not be able to enforce our rights within such jurisdiction or elsewhere.</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are offering 10,000,000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From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From sale of private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9"/>
          <w:szCs w:val="29"/>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Underwriting and qualified independent underwriter fees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Initial Trustees’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Company 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Nasdaq listing and filing fees (excluding deferred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and officer liability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offering expenses (excluding underwriter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proceeds</w:t>
      </w:r>
    </w:p>
    <w:p>
      <w:pPr>
        <w:spacing w:after="0" w:line="180" w:lineRule="auto"/>
        <w:rPr>
          <w:sz w:val="20"/>
          <w:szCs w:val="20"/>
          <w:color w:val="auto"/>
        </w:rPr>
      </w:pPr>
      <w:r>
        <w:rPr>
          <w:rFonts w:ascii="Arial" w:cs="Arial" w:eastAsia="Arial" w:hAnsi="Arial"/>
          <w:sz w:val="18"/>
          <w:szCs w:val="18"/>
          <w:color w:val="auto"/>
        </w:rPr>
        <w:t>Held in trust</w:t>
      </w:r>
      <w:r>
        <w:rPr>
          <w:rFonts w:ascii="Arial" w:cs="Arial" w:eastAsia="Arial" w:hAnsi="Arial"/>
          <w:sz w:val="28"/>
          <w:szCs w:val="28"/>
          <w:color w:val="auto"/>
          <w:vertAlign w:val="superscript"/>
        </w:rPr>
        <w:t>(</w:t>
      </w:r>
      <w:r>
        <w:rPr>
          <w:rFonts w:ascii="Arial" w:cs="Arial" w:eastAsia="Arial" w:hAnsi="Arial"/>
          <w:sz w:val="34"/>
          <w:szCs w:val="3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 held in trust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Total net proceeds</w:t>
      </w:r>
    </w:p>
    <w:p>
      <w:pPr>
        <w:spacing w:after="0" w:line="231" w:lineRule="auto"/>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29"/>
          <w:szCs w:val="29"/>
          <w:color w:val="auto"/>
          <w:vertAlign w:val="superscript"/>
        </w:rPr>
        <w:t>(3)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right="300" w:hanging="161"/>
        <w:spacing w:after="0" w:line="249" w:lineRule="auto"/>
        <w:rPr>
          <w:sz w:val="20"/>
          <w:szCs w:val="20"/>
          <w:color w:val="auto"/>
        </w:rPr>
      </w:pPr>
      <w:r>
        <w:rPr>
          <w:rFonts w:ascii="Arial" w:cs="Arial" w:eastAsia="Arial" w:hAnsi="Arial"/>
          <w:sz w:val="18"/>
          <w:szCs w:val="18"/>
          <w:color w:val="auto"/>
        </w:rPr>
        <w:t>Legal, accounting and other third party expenses attendant to the search for target businesses and to the due diligence investigation, structuring and negotiation of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Due diligence of prospective target businesses by officers, directors and initial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and accounting fees relating to SEC reporting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Nasdaq continued listing fees</w:t>
      </w:r>
    </w:p>
    <w:p>
      <w:pPr>
        <w:spacing w:after="0" w:line="9"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color w:val="auto"/>
        </w:rPr>
        <w:t>Payment of administrative fee to an affiliate of our sponsor ($10,000 per month for up to 24 months), subject to deferral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82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180" w:right="440" w:hanging="161"/>
        <w:spacing w:after="0" w:line="250" w:lineRule="auto"/>
        <w:rPr>
          <w:sz w:val="20"/>
          <w:szCs w:val="20"/>
          <w:color w:val="auto"/>
        </w:rPr>
      </w:pPr>
      <w:r>
        <w:rPr>
          <w:rFonts w:ascii="Arial" w:cs="Arial" w:eastAsia="Arial" w:hAnsi="Arial"/>
          <w:sz w:val="18"/>
          <w:szCs w:val="18"/>
          <w:color w:val="auto"/>
        </w:rPr>
        <w:t>Working capital to cover miscellaneous expenses, general corporate purposes, liquidation obligations and reserves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Without</w:t>
            </w:r>
          </w:p>
        </w:tc>
        <w:tc>
          <w:tcPr>
            <w:tcW w:w="20" w:type="dxa"/>
            <w:vAlign w:val="bottom"/>
          </w:tcPr>
          <w:p>
            <w:pPr>
              <w:spacing w:after="0"/>
              <w:rPr>
                <w:sz w:val="18"/>
                <w:szCs w:val="18"/>
                <w:color w:val="auto"/>
              </w:rPr>
            </w:pPr>
          </w:p>
        </w:tc>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Over-Allotment</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Over-Allotment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427"/>
              <w:spacing w:after="0"/>
              <w:rPr>
                <w:sz w:val="20"/>
                <w:szCs w:val="20"/>
                <w:color w:val="auto"/>
              </w:rPr>
            </w:pPr>
            <w:r>
              <w:rPr>
                <w:rFonts w:ascii="Arial" w:cs="Arial" w:eastAsia="Arial" w:hAnsi="Arial"/>
                <w:sz w:val="18"/>
                <w:szCs w:val="18"/>
                <w:b w:val="1"/>
                <w:bCs w:val="1"/>
                <w:color w:val="auto"/>
              </w:rPr>
              <w:t>Option</w:t>
            </w:r>
          </w:p>
        </w:tc>
      </w:tr>
      <w:tr>
        <w:trPr>
          <w:trHeight w:val="234"/>
        </w:trPr>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Option</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Exercised</w:t>
            </w:r>
          </w:p>
        </w:tc>
        <w:tc>
          <w:tcPr>
            <w:tcW w:w="140" w:type="dxa"/>
            <w:vAlign w:val="bottom"/>
            <w:gridSpan w:val="2"/>
          </w:tcPr>
          <w:p>
            <w:pPr>
              <w:spacing w:after="0"/>
              <w:rPr>
                <w:sz w:val="20"/>
                <w:szCs w:val="20"/>
                <w:color w:val="auto"/>
              </w:rPr>
            </w:pPr>
          </w:p>
        </w:tc>
      </w:tr>
      <w:tr>
        <w:trPr>
          <w:trHeight w:val="42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100,000,000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115,000,000</w:t>
            </w:r>
          </w:p>
        </w:tc>
        <w:tc>
          <w:tcPr>
            <w:tcW w:w="12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2,750,000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2,750,000</w:t>
            </w:r>
          </w:p>
        </w:tc>
        <w:tc>
          <w:tcPr>
            <w:tcW w:w="120" w:type="dxa"/>
            <w:vAlign w:val="bottom"/>
          </w:tcPr>
          <w:p>
            <w:pPr>
              <w:spacing w:after="0"/>
              <w:rPr>
                <w:sz w:val="20"/>
                <w:szCs w:val="20"/>
                <w:color w:val="auto"/>
              </w:rPr>
            </w:pPr>
          </w:p>
        </w:tc>
      </w:tr>
      <w:tr>
        <w:trPr>
          <w:trHeight w:val="223"/>
        </w:trPr>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102,750,000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117,750,000</w:t>
            </w:r>
          </w:p>
        </w:tc>
        <w:tc>
          <w:tcPr>
            <w:tcW w:w="12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8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4"/>
                <w:szCs w:val="24"/>
                <w:color w:val="auto"/>
              </w:rPr>
            </w:pPr>
          </w:p>
        </w:tc>
      </w:tr>
      <w:tr>
        <w:trPr>
          <w:trHeight w:val="195"/>
        </w:trPr>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11,000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11,000</w:t>
            </w:r>
          </w:p>
        </w:tc>
        <w:tc>
          <w:tcPr>
            <w:tcW w:w="1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67"/>
              <w:spacing w:after="0"/>
              <w:rPr>
                <w:sz w:val="20"/>
                <w:szCs w:val="20"/>
                <w:color w:val="auto"/>
              </w:rPr>
            </w:pPr>
            <w:r>
              <w:rPr>
                <w:rFonts w:ascii="Arial" w:cs="Arial" w:eastAsia="Arial" w:hAnsi="Arial"/>
                <w:sz w:val="18"/>
                <w:szCs w:val="18"/>
                <w:color w:val="auto"/>
              </w:rPr>
              <w:t>35,000</w:t>
            </w: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67"/>
              <w:spacing w:after="0"/>
              <w:rPr>
                <w:sz w:val="20"/>
                <w:szCs w:val="20"/>
                <w:color w:val="auto"/>
              </w:rPr>
            </w:pPr>
            <w:r>
              <w:rPr>
                <w:rFonts w:ascii="Arial" w:cs="Arial" w:eastAsia="Arial" w:hAnsi="Arial"/>
                <w:sz w:val="18"/>
                <w:szCs w:val="18"/>
                <w:color w:val="auto"/>
              </w:rPr>
              <w:t>20,000</w:t>
            </w: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67"/>
              <w:spacing w:after="0"/>
              <w:rPr>
                <w:sz w:val="20"/>
                <w:szCs w:val="20"/>
                <w:color w:val="auto"/>
              </w:rPr>
            </w:pPr>
            <w:r>
              <w:rPr>
                <w:rFonts w:ascii="Arial" w:cs="Arial" w:eastAsia="Arial" w:hAnsi="Arial"/>
                <w:sz w:val="18"/>
                <w:szCs w:val="18"/>
                <w:color w:val="auto"/>
              </w:rPr>
              <w:t>40,000</w:t>
            </w: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375,000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17,750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67"/>
              <w:spacing w:after="0"/>
              <w:rPr>
                <w:sz w:val="20"/>
                <w:szCs w:val="20"/>
                <w:color w:val="auto"/>
              </w:rPr>
            </w:pPr>
            <w:r>
              <w:rPr>
                <w:rFonts w:ascii="Arial" w:cs="Arial" w:eastAsia="Arial" w:hAnsi="Arial"/>
                <w:sz w:val="18"/>
                <w:szCs w:val="18"/>
                <w:color w:val="auto"/>
              </w:rPr>
              <w:t>17,750</w:t>
            </w:r>
          </w:p>
        </w:tc>
      </w:tr>
      <w:tr>
        <w:trPr>
          <w:trHeight w:val="230"/>
        </w:trPr>
        <w:tc>
          <w:tcPr>
            <w:tcW w:w="2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17,356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67"/>
              <w:spacing w:after="0"/>
              <w:rPr>
                <w:sz w:val="20"/>
                <w:szCs w:val="20"/>
                <w:color w:val="auto"/>
              </w:rPr>
            </w:pPr>
            <w:r>
              <w:rPr>
                <w:rFonts w:ascii="Arial" w:cs="Arial" w:eastAsia="Arial" w:hAnsi="Arial"/>
                <w:sz w:val="18"/>
                <w:szCs w:val="18"/>
                <w:color w:val="auto"/>
              </w:rPr>
              <w:t>17,356</w:t>
            </w:r>
          </w:p>
        </w:tc>
      </w:tr>
      <w:tr>
        <w:trPr>
          <w:trHeight w:val="230"/>
        </w:trPr>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178,894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178,894</w:t>
            </w:r>
          </w:p>
        </w:tc>
        <w:tc>
          <w:tcPr>
            <w:tcW w:w="120" w:type="dxa"/>
            <w:vAlign w:val="bottom"/>
          </w:tcPr>
          <w:p>
            <w:pPr>
              <w:spacing w:after="0"/>
              <w:rPr>
                <w:sz w:val="20"/>
                <w:szCs w:val="20"/>
                <w:color w:val="auto"/>
              </w:rPr>
            </w:pPr>
          </w:p>
        </w:tc>
      </w:tr>
      <w:tr>
        <w:trPr>
          <w:trHeight w:val="224"/>
        </w:trPr>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950,000</w:t>
            </w:r>
          </w:p>
        </w:tc>
        <w:tc>
          <w:tcPr>
            <w:tcW w:w="120" w:type="dxa"/>
            <w:vAlign w:val="bottom"/>
          </w:tcPr>
          <w:p>
            <w:pPr>
              <w:spacing w:after="0"/>
              <w:rPr>
                <w:sz w:val="19"/>
                <w:szCs w:val="19"/>
                <w:color w:val="auto"/>
              </w:rPr>
            </w:pPr>
          </w:p>
        </w:tc>
      </w:tr>
      <w:tr>
        <w:trPr>
          <w:trHeight w:val="4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100,000,000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115,000,000</w:t>
            </w:r>
          </w:p>
        </w:tc>
        <w:tc>
          <w:tcPr>
            <w:tcW w:w="12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1,300,000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1,300,000</w:t>
            </w:r>
          </w:p>
        </w:tc>
        <w:tc>
          <w:tcPr>
            <w:tcW w:w="120" w:type="dxa"/>
            <w:vAlign w:val="bottom"/>
          </w:tcPr>
          <w:p>
            <w:pPr>
              <w:spacing w:after="0"/>
              <w:rPr>
                <w:sz w:val="20"/>
                <w:szCs w:val="20"/>
                <w:color w:val="auto"/>
              </w:rPr>
            </w:pPr>
          </w:p>
        </w:tc>
      </w:tr>
      <w:tr>
        <w:trPr>
          <w:trHeight w:val="223"/>
        </w:trPr>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101,300,000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116,300,000</w:t>
            </w:r>
          </w:p>
        </w:tc>
        <w:tc>
          <w:tcPr>
            <w:tcW w:w="12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62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20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240,000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18.5%</w:t>
            </w:r>
          </w:p>
        </w:tc>
      </w:tr>
      <w:tr>
        <w:trPr>
          <w:trHeight w:val="445"/>
        </w:trPr>
        <w:tc>
          <w:tcPr>
            <w:tcW w:w="20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435,000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40" w:space="260"/>
            <w:col w:w="2940"/>
          </w:cols>
          <w:pgMar w:left="320" w:top="904" w:right="339" w:bottom="1440" w:gutter="0" w:footer="0" w:header="0"/>
          <w:type w:val="continuous"/>
        </w:sectPr>
      </w:pPr>
    </w:p>
    <w:p>
      <w:pPr>
        <w:spacing w:after="0" w:line="29" w:lineRule="exact"/>
        <w:rPr>
          <w:sz w:val="20"/>
          <w:szCs w:val="20"/>
          <w:color w:val="auto"/>
        </w:rPr>
      </w:pPr>
    </w:p>
    <w:p>
      <w:pPr>
        <w:jc w:val="both"/>
        <w:ind w:left="66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borrowed from our sponsor. These funds will be repaid out of the proceeds of this offering available to us.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acquire a target business, to pay holders who wish to redeem or sell their shares for a portion of the funds held in the trust account, to pay the Marketing Fee of $3,500,000 (or $4,025,000 if the underwriters’ over-allotment option is exercised in full), or for general corporate purposes, including payment of principal or interest on indebtedness incurred in connection with our initial business combination, to fund the purchases of other companies or for working capital.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proceeds not held in trust will remain constant at $1,300,000 even if the over-allotment is exercised.</w:t>
      </w:r>
    </w:p>
    <w:p>
      <w:pPr>
        <w:spacing w:after="0" w:line="9"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9" w:name="page70"/>
    <w:bookmarkEnd w:id="69"/>
    <w:p>
      <w:pPr>
        <w:jc w:val="both"/>
        <w:ind w:firstLine="324"/>
        <w:spacing w:after="0" w:line="268" w:lineRule="auto"/>
        <w:rPr>
          <w:sz w:val="20"/>
          <w:szCs w:val="20"/>
          <w:color w:val="auto"/>
        </w:rPr>
      </w:pPr>
      <w:r>
        <w:rPr>
          <w:rFonts w:ascii="Arial" w:cs="Arial" w:eastAsia="Arial" w:hAnsi="Arial"/>
          <w:sz w:val="17"/>
          <w:szCs w:val="17"/>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an affiliate of our sponsor for our benefit. We believe that the fee charged by the affiliate of our sponsor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A total of $10.00 per share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We estimate that the interest earned on the trust account will be approximately $100,000 per year, assuming an interest rate of 0.1% per year; </w:t>
      </w:r>
      <w:r>
        <w:rPr>
          <w:rFonts w:ascii="Arial" w:cs="Arial" w:eastAsia="Arial" w:hAnsi="Arial"/>
          <w:sz w:val="17"/>
          <w:szCs w:val="17"/>
          <w:i w:val="1"/>
          <w:iCs w:val="1"/>
          <w:color w:val="auto"/>
        </w:rPr>
        <w:t>however</w:t>
      </w:r>
      <w:r>
        <w:rPr>
          <w:rFonts w:ascii="Arial" w:cs="Arial" w:eastAsia="Arial" w:hAnsi="Arial"/>
          <w:sz w:val="17"/>
          <w:szCs w:val="17"/>
          <w:color w:val="auto"/>
        </w:rPr>
        <w:t>, we can provide no assurance regarding this amount. Except for all interest income that may be released to us to pay our tax obligations,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below, none of the funds held in the trust account will be released from the trust account until the earlier of: (i) the consummation of our initial business combination within 24 months from the closing of this offering and (ii) a redemption to public stockholders prior to any voluntary winding-up in the event we do not consummate our initial business combination within the applicable period.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324"/>
        <w:spacing w:after="0" w:line="290" w:lineRule="auto"/>
        <w:rPr>
          <w:sz w:val="20"/>
          <w:szCs w:val="20"/>
          <w:color w:val="auto"/>
        </w:rPr>
      </w:pPr>
      <w:r>
        <w:rPr>
          <w:rFonts w:ascii="Arial" w:cs="Arial" w:eastAsia="Arial" w:hAnsi="Arial"/>
          <w:sz w:val="16"/>
          <w:szCs w:val="16"/>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prospectus, our sponsor has not loaned us any amounts to be used for a portion of the expenses of this offering. Any loans will be non-interest bearing and payable on the date on which we consummate the offering.</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24 months following the closing of this offering, subject to applicable law, or (iii) if we seek to amend our certificate of incorporation to affect the substance or timing of our obligation to redeem all public shares if we cannot complete an initial business combination within 24 months of the closing of this offering and such amendment is duly approved. In no other circumstances will a public stockholder have any right or interest of any kind to or in the trust account.</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purchase during or after the offering, if any. In addition, our initial stockholders have agreed to waive their rights to liquidating distributions with respect to their founder shares if we fail to consummate our initial business combination within 24 months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by this prospectus, and the pro forma net tangible book value per share after this offering constitutes the dilution to investors in this offering. Such calculation does not reflect any dilution associated with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At December 31, 2020, our net tangible book value was $24,000 or approximately $0.01 per share. After giving effect to the sale of 10,000,000 shares of common stock included in the units we are offering by this prospectus and the proceeds received from the sale of the private warrants, the deduction of underwriting discounts and estimated expenses of this offering, our pro forma net tangible book value at December 31, 2020, would have been $5,000,010 or $1.74 per share (or $1.54 per share if the underwriters’ over-allotment if the underwriters’ over-allotment option is exercised in full), representing an immediate increase in net tangible book value of 1.73 per share (or $1.53 per share if the underwriters’ over-allotment if the underwriters’ over-allotment option is exercised in full) to the initial stockholders and an immediate dilution of $8.26 per share or 82.6% (or $8.46 per share or 84.6% if the underwriters’ over-allotment if the underwriters’ over-allotment option is exercised in full) to new investors not exercising their redemption/tender rights. For purposes of presentation, our pro forma net tangible book value after this offering is $96,323,990 (or $111,323,990 if the underwriters’ over-allotment if the underwriters’ over-allotment option is exercised in full) less than it otherwise would have been because, if we effect a business combination, the ability of public stockholders to exercise redemption rights or sell their shares to us in any tender offer may result in the redemption or tender of up to 9,632,399 shares (or 11,132,399 if the underwriters’ over-allotment if the underwriters’ over-allotment option is exercised in full) sold in this offering.</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redeemable warrants, including the private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3"/>
          </w:tcPr>
          <w:p>
            <w:pPr>
              <w:jc w:val="right"/>
              <w:ind w:right="427"/>
              <w:spacing w:after="0"/>
              <w:rPr>
                <w:sz w:val="20"/>
                <w:szCs w:val="20"/>
                <w:color w:val="auto"/>
              </w:rPr>
            </w:pPr>
            <w:r>
              <w:rPr>
                <w:rFonts w:ascii="Arial" w:cs="Arial" w:eastAsia="Arial" w:hAnsi="Arial"/>
                <w:sz w:val="18"/>
                <w:szCs w:val="18"/>
                <w:b w:val="1"/>
                <w:bCs w:val="1"/>
                <w:color w:val="auto"/>
              </w:rPr>
              <w:t>Without</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With</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Over-Allotment</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Over-Allotment</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62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attributable to new investors, private sales and capital</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6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1.74</w:t>
            </w: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82.6%</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our initial stockholders and the new investors: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0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Total Consideration</w:t>
            </w:r>
          </w:p>
        </w:tc>
        <w:tc>
          <w:tcPr>
            <w:tcW w:w="1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358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Per Share</w:t>
            </w:r>
          </w:p>
        </w:tc>
        <w:tc>
          <w:tcPr>
            <w:tcW w:w="100" w:type="dxa"/>
            <w:vAlign w:val="bottom"/>
            <w:tcBorders>
              <w:bottom w:val="single" w:sz="8" w:color="CCEEFF"/>
            </w:tcBorders>
          </w:tcPr>
          <w:p>
            <w:pPr>
              <w:spacing w:after="0"/>
              <w:rPr>
                <w:sz w:val="19"/>
                <w:szCs w:val="19"/>
                <w:color w:val="auto"/>
              </w:rPr>
            </w:pPr>
          </w:p>
        </w:tc>
      </w:tr>
      <w:tr>
        <w:trPr>
          <w:trHeight w:val="236"/>
        </w:trPr>
        <w:tc>
          <w:tcPr>
            <w:tcW w:w="35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Initial stockholders</w:t>
            </w:r>
            <w:r>
              <w:rPr>
                <w:rFonts w:ascii="Arial" w:cs="Arial" w:eastAsia="Arial" w:hAnsi="Arial"/>
                <w:sz w:val="27"/>
                <w:szCs w:val="27"/>
                <w:color w:val="auto"/>
                <w:vertAlign w:val="superscript"/>
              </w:rPr>
              <w:t>(1)</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New investors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99.98%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8060" w:type="dxa"/>
            <w:vAlign w:val="bottom"/>
          </w:tcPr>
          <w:p>
            <w:pPr>
              <w:ind w:left="340"/>
              <w:spacing w:after="0"/>
              <w:rPr>
                <w:sz w:val="20"/>
                <w:szCs w:val="20"/>
                <w:color w:val="auto"/>
              </w:rPr>
            </w:pPr>
            <w:r>
              <w:rPr>
                <w:rFonts w:ascii="Arial" w:cs="Arial" w:eastAsia="Arial" w:hAnsi="Arial"/>
                <w:sz w:val="18"/>
                <w:szCs w:val="18"/>
                <w:color w:val="auto"/>
              </w:rPr>
              <w:t>The pro forma net tangible book value after the offering is calculated as follows: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60" w:type="dxa"/>
            <w:vAlign w:val="bottom"/>
            <w:vMerge w:val="restart"/>
          </w:tcPr>
          <w:p>
            <w:pPr>
              <w:spacing w:after="0"/>
              <w:rPr>
                <w:sz w:val="20"/>
                <w:szCs w:val="20"/>
                <w:color w:val="auto"/>
              </w:rPr>
            </w:pPr>
            <w:r>
              <w:rPr>
                <w:rFonts w:ascii="Arial" w:cs="Arial" w:eastAsia="Arial" w:hAnsi="Arial"/>
                <w:sz w:val="18"/>
                <w:szCs w:val="18"/>
                <w:color w:val="auto"/>
              </w:rPr>
              <w:t>Numerator:</w:t>
            </w:r>
            <w:r>
              <w:rPr>
                <w:rFonts w:ascii="Arial" w:cs="Arial" w:eastAsia="Arial" w:hAnsi="Arial"/>
                <w:sz w:val="29"/>
                <w:szCs w:val="29"/>
                <w:color w:val="auto"/>
                <w:vertAlign w:val="superscript"/>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Without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34"/>
        </w:trPr>
        <w:tc>
          <w:tcPr>
            <w:tcW w:w="8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Over-Allotment</w:t>
            </w:r>
          </w:p>
        </w:tc>
        <w:tc>
          <w:tcPr>
            <w:tcW w:w="6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Over-Allotment</w:t>
            </w:r>
          </w:p>
        </w:tc>
        <w:tc>
          <w:tcPr>
            <w:tcW w:w="0" w:type="dxa"/>
            <w:vAlign w:val="bottom"/>
          </w:tcPr>
          <w:p>
            <w:pPr>
              <w:spacing w:after="0"/>
              <w:rPr>
                <w:sz w:val="1"/>
                <w:szCs w:val="1"/>
                <w:color w:val="auto"/>
              </w:rPr>
            </w:pPr>
          </w:p>
        </w:tc>
      </w:tr>
      <w:tr>
        <w:trPr>
          <w:trHeight w:val="209"/>
        </w:trPr>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tangible book value before this offering</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Net proceeds from this offering and private placement of private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101,300,000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116,300,000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Plus: Offering costs paid in advance; excluding from tangible book value before this offering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60" w:type="dxa"/>
            <w:vAlign w:val="bottom"/>
          </w:tcPr>
          <w:p>
            <w:pPr>
              <w:spacing w:after="0" w:line="270" w:lineRule="exact"/>
              <w:rPr>
                <w:sz w:val="20"/>
                <w:szCs w:val="20"/>
                <w:color w:val="auto"/>
              </w:rPr>
            </w:pPr>
            <w:r>
              <w:rPr>
                <w:rFonts w:ascii="Arial" w:cs="Arial" w:eastAsia="Arial" w:hAnsi="Arial"/>
                <w:sz w:val="18"/>
                <w:szCs w:val="18"/>
                <w:color w:val="auto"/>
              </w:rPr>
              <w:t>Less: Proceeds held in trust subject to redemption to maintain net tangible assets of $5,000,001</w:t>
            </w:r>
            <w:r>
              <w:rPr>
                <w:rFonts w:ascii="Arial" w:cs="Arial" w:eastAsia="Arial" w:hAnsi="Arial"/>
                <w:sz w:val="29"/>
                <w:szCs w:val="29"/>
                <w:color w:val="auto"/>
                <w:vertAlign w:val="superscript"/>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(96,323,990)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(111,323,990)</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Shares of common stock issued and outstanding prior to this offering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2,500,000</w:t>
            </w:r>
            <w:r>
              <w:rPr>
                <w:rFonts w:ascii="Arial" w:cs="Arial" w:eastAsia="Arial" w:hAnsi="Arial"/>
                <w:sz w:val="14"/>
                <w:szCs w:val="14"/>
                <w:color w:val="auto"/>
              </w:rPr>
              <w:t>(1)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2,875,000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to be sold in this offering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11,500,000</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Less: Shares subject to redemption/tender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(9,632,399)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11,132,399</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2,867,601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3,242,601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by us as a result thereof.</w:t>
      </w:r>
    </w:p>
    <w:p>
      <w:pPr>
        <w:spacing w:after="0" w:line="170"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initial stockholders,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common stock subject to redemption will be reduced by the amount of any such purchases, increasing the pro forma net tangible book value per share.</w:t>
      </w:r>
    </w:p>
    <w:p>
      <w:pPr>
        <w:spacing w:after="0" w:line="16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actual number of shares subject to redemption may exceed this amount so long as we have at least $5,000,001 immediately prior to or upon consummation of our initial business combination.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our capitalization at December 31, 2020, and as adjusted to give effect to the sale of our units and the private warrants and the application of the estimated net proceeds derived from the sale of such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 2020</w:t>
            </w:r>
          </w:p>
        </w:tc>
      </w:tr>
      <w:tr>
        <w:trPr>
          <w:trHeight w:val="250"/>
        </w:trPr>
        <w:tc>
          <w:tcPr>
            <w:tcW w:w="8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Actual</w:t>
            </w:r>
          </w:p>
        </w:tc>
        <w:tc>
          <w:tcPr>
            <w:tcW w:w="20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Borders>
              <w:bottom w:val="single" w:sz="8" w:color="CCEEFF"/>
            </w:tcBorders>
          </w:tcPr>
          <w:p>
            <w:pPr>
              <w:spacing w:after="0"/>
              <w:rPr>
                <w:sz w:val="21"/>
                <w:szCs w:val="21"/>
                <w:color w:val="auto"/>
              </w:rPr>
            </w:pPr>
          </w:p>
        </w:tc>
      </w:tr>
      <w:tr>
        <w:trPr>
          <w:trHeight w:val="250"/>
        </w:trPr>
        <w:tc>
          <w:tcPr>
            <w:tcW w:w="82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Promissory note – related party</w:t>
            </w:r>
            <w:r>
              <w:rPr>
                <w:rFonts w:ascii="Arial" w:cs="Arial" w:eastAsia="Arial" w:hAnsi="Arial"/>
                <w:sz w:val="28"/>
                <w:szCs w:val="28"/>
                <w:color w:val="auto"/>
                <w:vertAlign w:val="superscript"/>
              </w:rPr>
              <w:t>(2)</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82"/>
        </w:trPr>
        <w:tc>
          <w:tcPr>
            <w:tcW w:w="8220" w:type="dxa"/>
            <w:vAlign w:val="bottom"/>
          </w:tcPr>
          <w:p>
            <w:pPr>
              <w:spacing w:after="0" w:line="182" w:lineRule="exact"/>
              <w:rPr>
                <w:sz w:val="20"/>
                <w:szCs w:val="20"/>
                <w:color w:val="auto"/>
              </w:rPr>
            </w:pPr>
            <w:r>
              <w:rPr>
                <w:rFonts w:ascii="Arial" w:cs="Arial" w:eastAsia="Arial" w:hAnsi="Arial"/>
                <w:sz w:val="18"/>
                <w:szCs w:val="18"/>
                <w:color w:val="auto"/>
              </w:rPr>
              <w:t>Shares of common stock, $0.0001 par value, none and 9,632,399 shares are subject to possible</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redemption/tender,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96,323,990</w:t>
            </w:r>
          </w:p>
        </w:tc>
      </w:tr>
      <w:tr>
        <w:trPr>
          <w:trHeight w:val="205"/>
        </w:trPr>
        <w:tc>
          <w:tcPr>
            <w:tcW w:w="8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8"/>
              </w:rPr>
              <w:t>Shares of common stock, $0.0001 par value, 5,000,000 shares authorized, 2,875,000 shares issued and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3"/>
        </w:trPr>
        <w:tc>
          <w:tcPr>
            <w:tcW w:w="8220" w:type="dxa"/>
            <w:vAlign w:val="bottom"/>
            <w:shd w:val="clear" w:color="auto" w:fill="CCEEFF"/>
          </w:tcPr>
          <w:p>
            <w:pPr>
              <w:ind w:left="180"/>
              <w:spacing w:after="0" w:line="252" w:lineRule="exact"/>
              <w:rPr>
                <w:sz w:val="20"/>
                <w:szCs w:val="20"/>
                <w:color w:val="auto"/>
              </w:rPr>
            </w:pPr>
            <w:r>
              <w:rPr>
                <w:rFonts w:ascii="Arial" w:cs="Arial" w:eastAsia="Arial" w:hAnsi="Arial"/>
                <w:sz w:val="18"/>
                <w:szCs w:val="18"/>
                <w:color w:val="auto"/>
                <w:w w:val="88"/>
              </w:rPr>
              <w:t>outstanding, actual; 50,000,000 shares authorized</w:t>
            </w:r>
            <w:r>
              <w:rPr>
                <w:rFonts w:ascii="Arial" w:cs="Arial" w:eastAsia="Arial" w:hAnsi="Arial"/>
                <w:sz w:val="29"/>
                <w:szCs w:val="29"/>
                <w:color w:val="auto"/>
                <w:w w:val="88"/>
                <w:vertAlign w:val="superscript"/>
              </w:rPr>
              <w:t>(5)</w:t>
            </w:r>
            <w:r>
              <w:rPr>
                <w:rFonts w:ascii="Arial" w:cs="Arial" w:eastAsia="Arial" w:hAnsi="Arial"/>
                <w:sz w:val="18"/>
                <w:szCs w:val="18"/>
                <w:color w:val="auto"/>
                <w:w w:val="88"/>
              </w:rPr>
              <w:t>, 2,867,601 shares issued and outstanding</w:t>
            </w:r>
            <w:r>
              <w:rPr>
                <w:rFonts w:ascii="Arial" w:cs="Arial" w:eastAsia="Arial" w:hAnsi="Arial"/>
                <w:sz w:val="29"/>
                <w:szCs w:val="29"/>
                <w:color w:val="auto"/>
                <w:w w:val="88"/>
                <w:vertAlign w:val="superscript"/>
              </w:rPr>
              <w:t>(3) (4)</w:t>
            </w:r>
            <w:r>
              <w:rPr>
                <w:rFonts w:ascii="Arial" w:cs="Arial" w:eastAsia="Arial" w:hAnsi="Arial"/>
                <w:sz w:val="18"/>
                <w:szCs w:val="18"/>
                <w:color w:val="auto"/>
                <w:w w:val="88"/>
              </w:rPr>
              <w:t xml:space="preserve"> (excluding</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9,632,399 shares subject to possible redemption/tender), as adjusted</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24,712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5,000,723</w:t>
            </w:r>
          </w:p>
        </w:tc>
      </w:tr>
      <w:tr>
        <w:trPr>
          <w:trHeight w:val="22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0"/>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5,000,010</w:t>
            </w:r>
          </w:p>
        </w:tc>
        <w:tc>
          <w:tcPr>
            <w:tcW w:w="100" w:type="dxa"/>
            <w:vAlign w:val="bottom"/>
            <w:tcBorders>
              <w:bottom w:val="single" w:sz="8" w:color="CCEEFF"/>
            </w:tcBorders>
          </w:tcPr>
          <w:p>
            <w:pPr>
              <w:spacing w:after="0"/>
              <w:rPr>
                <w:sz w:val="18"/>
                <w:szCs w:val="18"/>
                <w:color w:val="auto"/>
              </w:rPr>
            </w:pPr>
          </w:p>
        </w:tc>
      </w:tr>
      <w:tr>
        <w:trPr>
          <w:trHeight w:val="223"/>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101,324,000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the $2,750,000 we will receive from the sale of the private warrants (assuming no exercise of the over-allotment option).</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sponsor has agreed to loan us an aggregate of $250,000 to be used to pay formation and a portion of the expenses of this offering. The loan is non-interest bearing and payable on the date on which we consummate the offering.</w:t>
      </w: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completion of our initial business combination, we will provide our stockholders with the opportunity to redeem their public shares for cash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our net tangible assets will be maintained at a minimum of $5,000,001 and any limitations (including, but not limited to, cash requirements) created by the terms of the proposed initial business combination. The actual number of shares subject to redemption may exceed this amount so long as we have at least $5,000,001 immediately prior to or upon consummation of our initial business combination.</w:t>
      </w:r>
    </w:p>
    <w:p>
      <w:pPr>
        <w:spacing w:after="0" w:line="2"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incorporated on June 23, 2020, as a Delaware corporation, and we were formed to serve as a vehicle to effect a merger, share exchange, asset acquisition, share purchase, recapitalization, reorganization or similar business combination with one or more target businesses. We have not selected any specific business combination target and we have not, nor has anyone on our behalf, initiated any substantive discussions, directly or indirectly, with any business combination target regarding an initial business combination with our company. We intend to effectuate our initial business combination using cash from the proceeds of this offering and the private placement of the private warrants, the proceeds of the sale of our securities in connection with our initial business combination, shares issued to the owners of the target, debt issued to bank or other lenders or the owners of the target, or a combination of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in connection with our business combination to the owners of the target or other investors:</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Similarly, if we issue debt securities, or otherwise incur significant debt to bank or other lenders or the owners of a target, it could result in: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additional financing while such security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6" w:name="page77"/>
    <w:bookmarkEnd w:id="76"/>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December 31, 2020, we had $25,000 in cash and no deferred offering costs. Further, we expect to continue to incur significant costs in the pursuit of our acquisition plans. We cannot assure you that our plans to raise capital or to complete our initial business combination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December 31, 2020, we had $25,000 in cash and working capital of $24,000. Further, we have incurred and expect to continue to incur significant costs in pursuit of our financing and acquisition plans. Management’s plans to address this uncertainty through this offering are discussed above.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liquidity needs have been satisfied to date through receipt of $25,000 from the sale of the founder shares and loans from our sponsor in an aggregate amount of $250,000. We estimate that the net proceeds from (1) the sale of the units in this offering, after deducting offering expenses of approximately $950,000 and underwriting discounts and commissions of $500,000 and (2) the sale of the private warrants for a purchase price of $2,750,000 will be $101,300,000 (or $116,300,000 if the over-allotment option is exercised in full). Of this amount, $100,000,000 (or $115,000,000 if the over-allotment option is exercised in full) will be held in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$1,300,000 (whether or not the over-allotment option is exercised in full) will not be held in the trust account.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48"/>
        <w:spacing w:after="0" w:line="275" w:lineRule="auto"/>
        <w:rPr>
          <w:sz w:val="20"/>
          <w:szCs w:val="20"/>
          <w:color w:val="auto"/>
        </w:rPr>
      </w:pPr>
      <w:r>
        <w:rPr>
          <w:rFonts w:ascii="Arial" w:cs="Arial" w:eastAsia="Arial" w:hAnsi="Arial"/>
          <w:sz w:val="17"/>
          <w:szCs w:val="17"/>
          <w:color w:val="auto"/>
        </w:rPr>
        <w:t>Over the next 24 months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76" w:lineRule="exact"/>
        <w:rPr>
          <w:sz w:val="20"/>
          <w:szCs w:val="20"/>
          <w:color w:val="auto"/>
        </w:rPr>
      </w:pPr>
    </w:p>
    <w:p>
      <w:pPr>
        <w:ind w:left="980" w:right="2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$250,000 of expenses for the due diligence and investigation of a target business by our officers, directors and initial stockholders;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$75,000 of expenses in Nasdaq continued listing fees;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$240,000 for the payment of the administrative fee to an affiliate of our sponsor (of $10,000 per month for up to 24 months), subject to deferral as described herein;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$435,000 for general working capital that will be used for miscellaneous expenses, including director and officer liability insurance premiums.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Commencing on the date that our securities are first listed on the NASDAQ through the earlier of consummation of our initial business combination and our liquidation, we will pay our sponsor a total of $10,000 per month for office space, administrative and shared personnel support services. Upon completion of our initial business combination or our liquidation, we will cease paying these monthly fees.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Either our sponsor will transfer up to 20,000 founder shares to each of our independent directors or we will pay cash fees to such directors, at our discretion.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sponsor has agreed to loan us an aggregate of $250,000 on a non-interest bearing basis, for payment of offering expenses on our behalf.</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sponsor, has committed to purchase from us an aggregate of 5,500,000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648"/>
        <w:spacing w:after="0" w:line="271"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for sale under the Securities Act. These holders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 holders have certain “piggy-back” registration rights on registration statements filed after the consummation of our initial business combination. We will bear the costs and expenses of filing any such registration statements. See the section of this prospectus entitled “Certain Relationships and Related Party Transactions.” Notwithstanding the foregoing, our sponsor may not exercise its demand and “piggyback” registration rights after five and seven years, respectively, after the effective date of the registration statement of which this prospectus forms a part and may not exercise its demand rights on more than one occasion.</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“Underwriting (Conflicts of Interest) —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needed to finance transaction costs in connection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be repaid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92"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48"/>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prospectus, we did not have any off-balance sheet arrangements as defined in Item 303(a)(4)(ii) of Regulation S-K promulgated by the SEC and did not have any commitments or contractual obligations. No unaudited quarterly operating data is included in this prospectus as we have conducted no operations to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SPAC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SPACs as has been demonstrated within the last several months. In the second half of 2020, SPACs accounted for ~56% of all capital raised in the IPO market, and have had record issuances in the first month of 2021, raising nearly $24 billion, almost two times U.S. initial public offerings during the same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SPAC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Chardan.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Kerry Propper </w:t>
      </w:r>
      <w:r>
        <w:rPr>
          <w:rFonts w:ascii="Arial" w:cs="Arial" w:eastAsia="Arial" w:hAnsi="Arial"/>
          <w:sz w:val="16"/>
          <w:szCs w:val="16"/>
          <w:color w:val="auto"/>
        </w:rPr>
        <w:t>is our co-founder and will serve as our chairman of the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Propper was co-founder of Chardan and served as its chief executive officer and head of its investment bank from 2003 to 2015. He is a pioneer in the special purpose acquisition marketplace, as he was the executive vice president and director of the third-ever publicly listed special purpose acquisition company, Chardan China Acquisition Corp., and has been an executive or senior advisor for five additional special purpose acquisition companies. Mr. Propper is currently the chairman of Chardan’s board of directors and is the co-founder and managing partner of ATW Partners, a growth-focused investment firm. Since the inception of ATW Partners, Mr. Propper has invested approximately $90 million of capital through the ATW Partner’s fund and its affiliated opportunity vehicles across multiple geographies and sectors. Within disruptive technologies, Mr. Propper has an extraordinary track record with 15 investments and average returns of over 100%. He has agreed to serve as chairman of the board of directors of Chardan NexTech Acquisition Corp. Mr. Propper is also the co-chairman of 340B Technologies, a healthcare technology group.</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Jonas Grossman </w:t>
      </w:r>
      <w:r>
        <w:rPr>
          <w:rFonts w:ascii="Arial" w:cs="Arial" w:eastAsia="Arial" w:hAnsi="Arial"/>
          <w:sz w:val="16"/>
          <w:szCs w:val="16"/>
          <w:color w:val="auto"/>
        </w:rPr>
        <w:t>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Mr. Grossman has nearly two decades of special purpose acquisition company expertise. He has provided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Steven Urbach </w:t>
      </w:r>
      <w:r>
        <w:rPr>
          <w:rFonts w:ascii="Arial" w:cs="Arial" w:eastAsia="Arial" w:hAnsi="Arial"/>
          <w:sz w:val="16"/>
          <w:szCs w:val="16"/>
          <w:color w:val="auto"/>
        </w:rPr>
        <w:t>will serve as our Chief Financial Officer and a member of our board of directors upon the effectiveness of the registration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 of which this prospectus is a part. Mr. Urbach currently serves as chief executive officer of Chardan, a New York headquartered broker/dealer which focuses on disrupted technologies. Mr. Urbach is credited with co-founding Chardan, and with the help of his partners, executive team, and employees, Chardan has grown into an internationally-recognized investment bank specializing in special purpose acquisition companies, disruptive technologies, and healthcare investment banking. Since December 2006, Mr. Urbach has served as a founding partner of Cornix Advisors, LLC, a New York based multi-strategy hedge fund. Since March 2021, he has served as chief financial officer of Chardan NexTech Acquisition Corp., and he has agreed to serve on the board of directors. From 2005 through 2008, Mr. Urbach served as a member of the board of director of Origin Agritech, (Nasdaq:SEED). Prior to founding Chardan, Mr. Urbach was an analyst at Chase Manhattan Bank and a Nasdaq Market Maker for Windsor Capital Advisors.</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will serve as our Chief Operating Officer and a member of our board of directors upon the effective date of the registration statement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this prospectus is a part. Mr. Weil has spent over two decades on Wall Street providing strategic advisory services to global companies, senior executives, boards of directors, and investors. Since March 2021, he has served as chief operating officer and director of Chardan NexTech Acquisition Corp., and he has agreed to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w:t>
      </w:r>
      <w:r>
        <w:rPr>
          <w:rFonts w:ascii="Arial" w:cs="Arial" w:eastAsia="Arial" w:hAnsi="Arial"/>
          <w:sz w:val="17"/>
          <w:szCs w:val="17"/>
          <w:i w:val="1"/>
          <w:iCs w:val="1"/>
          <w:color w:val="auto"/>
        </w:rPr>
        <w:t>e.g.</w:t>
      </w:r>
      <w:r>
        <w:rPr>
          <w:rFonts w:ascii="Arial" w:cs="Arial" w:eastAsia="Arial" w:hAnsi="Arial"/>
          <w:sz w:val="17"/>
          <w:szCs w:val="17"/>
          <w:color w:val="auto"/>
        </w:rPr>
        <w:t xml:space="preserve">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82 special purpose acquisition company initial public offerings. Since 2018, Chardan has been a mergers and acquisition advisor to 12 special purpose acquisition companies, helping them close transactions valued at approximately $5.7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eight special purpose acquisition companies, five of which have closed successful business combinations, one of which has announced a business combination and two of which are currently seeking acquisitions.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Messrs. Propper, Grossman, Urbach, and Weil, the other members of our board will include the following independent directors: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Inc.,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Perry Boyle </w:t>
      </w:r>
      <w:r>
        <w:rPr>
          <w:rFonts w:ascii="Arial" w:cs="Arial" w:eastAsia="Arial" w:hAnsi="Arial"/>
          <w:sz w:val="16"/>
          <w:szCs w:val="16"/>
          <w:color w:val="auto"/>
        </w:rPr>
        <w:t>will serve as a member of our board of directors upon the effective date of the registration statement of which this prospectus is a part.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management team’s operating, SPAC,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Certain of our executive officers and directors also serve as executive officers and directors of Chardan NexTech Acquisition Corp., or Chardan NexTech 1, a blank check company that is expected to consummate its initial public offering before the consummation of this offering.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the foregoing descriptions, the past performance of Chardan and its affiliates and our management team is not a guarantee either</w:t>
      </w:r>
    </w:p>
    <w:p>
      <w:pPr>
        <w:spacing w:after="0" w:line="46" w:lineRule="exact"/>
        <w:rPr>
          <w:sz w:val="20"/>
          <w:szCs w:val="20"/>
          <w:color w:val="auto"/>
        </w:rPr>
      </w:pPr>
    </w:p>
    <w:p>
      <w:pPr>
        <w:jc w:val="both"/>
        <w:ind w:firstLine="8"/>
        <w:spacing w:after="0" w:line="267" w:lineRule="auto"/>
        <w:tabs>
          <w:tab w:leader="none" w:pos="2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that we will be able to identify a suitable candidate for our initial business combination or (ii) of success with respect to any business combination we may consummate. As described in this prospectus, Messrs. Propper, Grossman, Urbach,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jc w:val="center"/>
        <w:ind w:left="5540" w:right="1320" w:hanging="4884"/>
        <w:spacing w:after="0" w:line="778" w:lineRule="auto"/>
        <w:tabs>
          <w:tab w:leader="none" w:pos="9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sponsoring, underwriting and mergers and acquisitions advisory;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980" w:right="36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Chardan will be the beneficial owner of founder shares or private warrants following this offering by virtue of its ownership of our sponsor and members of our management team may indirectly own such securities. Either our sponsor will transfer up to 20,000 founder shares to each of our independent directors or we will pay cash fees to such directors, at our discretion.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Chardan Health SPAC 2.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Chardan Health SPAC 2,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48"/>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the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Chardan or its affiliates or our sponsor, officers or directors, including an Affiliated Joint Acquisition. In the event we seek to complete our initial business combination with an initial business combination target that is affiliated with our sponsor, officers or directors, we, or a committee of independent directors, would obtain an opinion from an independent investment banking firm or another independent firm that commonly renders valuation opinions that such an initial business combination is fair to our stockholders from a financial point of view. We are not required to obtain such an opinion in any other context.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68"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Chardan Healthcare Acquisition 2 Corp., Ventoux CCM Acquisition Corp. and Chardan NexTech Acquisition Corp. Our officers and directors also may become aware of business opportunities which may be appropriate for presentation to us and the other entities to which they owe certain fiduciary, contractual or other duties. Accordingly, if any of our officers or directors becomes aware of a business combination opportunity which is suitable for one or more entities to which he or she has fiduciary, contractual or other obligations or duties, including Chardan Healthcare Acquisition 2 Corp., Ventoux CCM Acquisition Corp. and Chardan NexTech Acquisition Corp.,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So long as we obtain and maintain a listing for our securities on Nasdaq,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mergers and acquisitions transactions of comparable businesses. If our board of directors is not able to independently determine the fair market value of our initial business combination, we will obtain an opinion from an independent investment banking firm or another independent firm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We have also agreed not to enter into a definitive agreement regarding an initial business combination without the prior consent of our sponsor.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in this offering to evaluate the possible merits or risks of any target business with which we may ultimately complete our initial business combination.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48"/>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71" w:lineRule="exact"/>
        <w:rPr>
          <w:sz w:val="20"/>
          <w:szCs w:val="20"/>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stockholder may tender any or all of his, her or its public shares rather than some pro rata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24 months from the closing of this offering in order to be able to receive a pro rata share of the trust account.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redeem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None of our officers, directors,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initial stockholders, directors, officers, advisors or any their respective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any of their respective affiliates may purchase in such transactions, subject to compliance with applicable law and Nasdaq rules. However, they have no current commitments, plans or intentions to engage in such transactions and have not formulated any terms or conditions for any such transactions.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69" w:lineRule="auto"/>
        <w:rPr>
          <w:sz w:val="20"/>
          <w:szCs w:val="20"/>
          <w:color w:val="auto"/>
        </w:rPr>
      </w:pPr>
      <w:r>
        <w:rPr>
          <w:rFonts w:ascii="Arial" w:cs="Arial" w:eastAsia="Arial" w:hAnsi="Arial"/>
          <w:sz w:val="17"/>
          <w:szCs w:val="17"/>
          <w:color w:val="auto"/>
        </w:rPr>
        <w:t>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 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Any purchases by our sponsor, officers, directors and/or any of their respective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advisors and/or any of their respective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Redemption/Tender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meeting called to approve an initial business combination, public stockholders may seek to redeem their public shares, regardless of whether they vote for or against the proposed business combination, into their pro rata share of the aggregate amount then on deposit in the trust account, less any taxes then due but not yet paid. Notwithstanding the foregoing, our initial stockholders have agreed, pursuant to written letter agreements with us, not to redeem any public shares held by them into their pro rata share of the aggregate amount then on deposit in the trust account. If we hold a meeting to approve an initial business combination, a holder will always have the ability to vote against a proposed business combination and not seek redemption of his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311" w:lineRule="auto"/>
        <w:rPr>
          <w:sz w:val="20"/>
          <w:szCs w:val="20"/>
          <w:color w:val="auto"/>
        </w:rPr>
      </w:pPr>
      <w:r>
        <w:rPr>
          <w:rFonts w:ascii="Arial" w:cs="Arial" w:eastAsia="Arial" w:hAnsi="Arial"/>
          <w:sz w:val="16"/>
          <w:szCs w:val="16"/>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initial stockholders, officers and directors will not have redemption rights with respect to any shares of common stock owned by them, directly or indirectly, whether acquired prior to this offering or purchased by them in this offering or in the aftermarket.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redemption rights. Under Delaware law and our bylaws, we are required to provide at least 10 days’ advance notice of any stockholder meeting, which would be the minimum amount of time a stockholder would have to determine whether to exercise redemption rights. As a result, if we require public stockholders who wish to redeem their shares of common stock into the right to receive a pro rata portion of the funds in the trust account to comply with the foregoing delivery requirements, holders may not have sufficient time to receive the notice and deliver their shares for redemption. Accordingly, investors may not be able to exercise their redemption rights and may be forced to retain our securities when they otherwise would not want to. The redemption rights will include the requirement that a beneficial holder must identify itself in order to validly redeem its shares.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redeeming holder. However, this fee would be incurred regardless of whether or not we require holders seeking to exercise redemption rights. The need to deliver shares is a requirement of exercising redemption rights regardless of the timing of when such delivery must be effectuated. However, in the event we require stockholders seeking to exercise redemption rights to deliver their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to redeem or tender such shares once made, may be withdrawn at any time up to the vote on the proposed business combination or expiration of the tender offer. Furthermore, if a holder of a public share delivered his certificate in connection with an election of their redemption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common stock submitted for redemption will be returned to the holders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68"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management at a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or tender rights would not be entitled to redeem their shares for the applicable pro rata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do not complete a business combination within 24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the allotted time period.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6" w:name="page97"/>
    <w:bookmarkEnd w:id="96"/>
    <w:p>
      <w:pPr>
        <w:jc w:val="both"/>
        <w:ind w:firstLine="648"/>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24th month from the closing of this offering, but not more than five business days thereafter,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independent public registered accounting firm,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70"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5 business days to effectuate the redemption of our public shares. Our insiders have waived their rights to participate in any redemption with respect to their founder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8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redeem their respective shares of common stock upon a business combination which is actually completed by us. In no other circumstances shall a stockholder have any right or interest of any kind to or in the trust account.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redemption amount received by public stockholders may be less than $10.00.</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amended and restated certificate of incorporation will contain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redemption rights with respect to any founder shares and any public shares they may hold in connection with any vote to amend our certificate of incorporation. Specifically, our certificate of incorporation provides, among other things, that:</w:t>
      </w:r>
    </w:p>
    <w:p>
      <w:pPr>
        <w:spacing w:after="0" w:line="165" w:lineRule="exact"/>
        <w:rPr>
          <w:sz w:val="20"/>
          <w:szCs w:val="20"/>
          <w:color w:val="auto"/>
        </w:rPr>
      </w:pPr>
    </w:p>
    <w:p>
      <w:pPr>
        <w:jc w:val="both"/>
        <w:ind w:left="980" w:hanging="324"/>
        <w:spacing w:after="0" w:line="255"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the consummation of our initial business combination, we shall either (1) seek stockholder approval of our initial business combination at a meeting called for such purpose at which public stockholders may seek to redeem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left="980" w:hanging="324"/>
        <w:spacing w:after="0" w:line="263"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redemption rights in an amount that would cause our net tangible assets to be less than $5,000,001 and a majority of the outstanding shares of common stock voted are voted in favor of the business combination;</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of the closing of this offering, then our existence will terminate and we will distribute all amounts in the trust account to all of our public holders of shares of common stock;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consummation of this offering, $100,000,000, or $115,000,000 if the over-allotment option is exercised in full, shall be placed into the trust account;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84" w:lineRule="exact"/>
        <w:rPr>
          <w:sz w:val="20"/>
          <w:szCs w:val="20"/>
          <w:color w:val="auto"/>
        </w:rPr>
      </w:pPr>
    </w:p>
    <w:p>
      <w:pPr>
        <w:ind w:left="980" w:hanging="324"/>
        <w:spacing w:after="0" w:line="308"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requirement to obtain a valuation for any target business affiliated with our insiders, in the event it was too expensive to do so.</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16"/>
          <w:szCs w:val="16"/>
          <w:color w:val="auto"/>
        </w:rPr>
        <w:t>Except as specified above, stockholders would not be required to be given the opportunity to redeem their shares in connection with such changes.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changes could result in:</w:t>
      </w:r>
    </w:p>
    <w:p>
      <w:pPr>
        <w:spacing w:after="0" w:line="211" w:lineRule="exact"/>
        <w:rPr>
          <w:sz w:val="20"/>
          <w:szCs w:val="20"/>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3" w:lineRule="exact"/>
        <w:rPr>
          <w:sz w:val="20"/>
          <w:szCs w:val="20"/>
          <w:color w:val="auto"/>
        </w:rPr>
      </w:pPr>
    </w:p>
    <w:p>
      <w:pPr>
        <w:jc w:val="both"/>
        <w:ind w:right="20" w:firstLine="648"/>
        <w:spacing w:after="0" w:line="214" w:lineRule="auto"/>
        <w:rPr>
          <w:sz w:val="20"/>
          <w:szCs w:val="20"/>
          <w:color w:val="auto"/>
        </w:rPr>
      </w:pPr>
      <w:r>
        <w:rPr>
          <w:rFonts w:ascii="Arial" w:cs="Arial" w:eastAsia="Arial" w:hAnsi="Arial"/>
          <w:sz w:val="18"/>
          <w:szCs w:val="18"/>
          <w:color w:val="auto"/>
        </w:rPr>
        <w:t>We currently maintain our executive offices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Our sponsor is making this space available to us for a fee of $10,000 per month. We consider our current office space adequate for our current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With funds available for an initial business combination initially in the amount of $96,500,000, after payment of the Marketing Fee of $3,500,000 (or $110,975,000 after payment of the Marketing Fee of up to $4,025,000 if the underwriters’ over-allotment option is exercised in full),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registered our units, shares of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7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2022.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Redemptions  at  the  time  of  our  initial</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seek stockholder approval of our</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are unable to complete our initial</w:t>
            </w:r>
          </w:p>
        </w:tc>
        <w:tc>
          <w:tcPr>
            <w:tcW w:w="20" w:type="dxa"/>
            <w:vAlign w:val="bottom"/>
          </w:tcPr>
          <w:p>
            <w:pPr>
              <w:spacing w:after="0"/>
              <w:rPr>
                <w:sz w:val="16"/>
                <w:szCs w:val="16"/>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business combination may be made pursuant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initial business combination,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business combination within 24 months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to a tender offer or in connection with a</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from the closing of this offering, we will</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stockholder vote. The redemption price will</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affiliates may purchase shares in privately</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rPr>
              <w:t>redeem all public shares at a per-share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the   same   whether   we   conduct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negotiated  transactions  or  in  the  open</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price,  payable  in  cash,  equal  to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redemptions pursuant to a tender offer or in</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market prior to or following completion of</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aggregate amount, then on deposit in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connection with a stockholder vote. In either</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our initial business combination. There is</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trust account (which is initially anticipated</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case, our public stockholders may redeem</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no limit to the prices that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to be $10.00 per public share) including</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rPr>
              <w:t>their public shares for cash equal to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rPr>
              <w:t>interest earned on the funds held in the</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aggregate amount then on deposit in the trust</w:t>
            </w:r>
          </w:p>
        </w:tc>
        <w:tc>
          <w:tcPr>
            <w:tcW w:w="3240" w:type="dxa"/>
            <w:vAlign w:val="bottom"/>
            <w:gridSpan w:val="2"/>
          </w:tcPr>
          <w:p>
            <w:pPr>
              <w:spacing w:after="0"/>
              <w:rPr>
                <w:sz w:val="20"/>
                <w:szCs w:val="20"/>
                <w:color w:val="auto"/>
              </w:rPr>
            </w:pPr>
            <w:r>
              <w:rPr>
                <w:rFonts w:ascii="Arial" w:cs="Arial" w:eastAsia="Arial" w:hAnsi="Arial"/>
                <w:sz w:val="18"/>
                <w:szCs w:val="18"/>
                <w:color w:val="auto"/>
              </w:rPr>
              <w:t>affiliates may pay in these transactions.</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trust account and not previously released to</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account as of two business days prior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us to pay our taxes (less up to $100,000 of</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consummation  of  the  initial  business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interest  to  pay  dissolution  expenses),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combination (which is initially anticipated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divided by the number of then outstanding</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$10.00  per  public  share),  including</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public shares.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interest earned on the funds held in the trust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account and not previously released to us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pay our taxes divided by the number of then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outstanding  public  shares,  subject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limitation that we may only redeem our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public shares so long as our net tangible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assets  are  at  least  $5,000,001  either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immediately prior to or upon consummation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of our initial business combination and any</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limitations (including but not limited to cash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requirements) agreed to in connection with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the negotiation of terms of a proposed initial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3"/>
          </w:tcPr>
          <w:p>
            <w:pPr>
              <w:spacing w:after="0"/>
              <w:rPr>
                <w:sz w:val="20"/>
                <w:szCs w:val="20"/>
                <w:color w:val="auto"/>
              </w:rPr>
            </w:pPr>
            <w:r>
              <w:rPr>
                <w:rFonts w:ascii="Arial" w:cs="Arial" w:eastAsia="Arial" w:hAnsi="Arial"/>
                <w:sz w:val="18"/>
                <w:szCs w:val="18"/>
                <w:color w:val="auto"/>
              </w:rPr>
              <w:t>business combination.</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1100" w:space="280"/>
            <w:col w:w="986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343" w:lineRule="auto"/>
        <w:rPr>
          <w:sz w:val="20"/>
          <w:szCs w:val="20"/>
          <w:color w:val="auto"/>
        </w:rPr>
      </w:pPr>
      <w:r>
        <w:rPr>
          <w:rFonts w:ascii="Arial" w:cs="Arial" w:eastAsia="Arial" w:hAnsi="Arial"/>
          <w:sz w:val="15"/>
          <w:szCs w:val="15"/>
          <w:b w:val="1"/>
          <w:bCs w:val="1"/>
          <w:color w:val="auto"/>
        </w:rPr>
        <w:t>Impact to remaining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redemptions  in  connection  with  our</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If the permitted purchases described above</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 of our public shares if we</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initial business combination will reduce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are made there would be no impact to our</w:t>
            </w:r>
          </w:p>
        </w:tc>
        <w:tc>
          <w:tcPr>
            <w:tcW w:w="3140" w:type="dxa"/>
            <w:vAlign w:val="bottom"/>
          </w:tcPr>
          <w:p>
            <w:pPr>
              <w:jc w:val="center"/>
              <w:spacing w:after="0"/>
              <w:rPr>
                <w:sz w:val="20"/>
                <w:szCs w:val="20"/>
                <w:color w:val="auto"/>
              </w:rPr>
            </w:pPr>
            <w:r>
              <w:rPr>
                <w:rFonts w:ascii="Arial" w:cs="Arial" w:eastAsia="Arial" w:hAnsi="Arial"/>
                <w:sz w:val="18"/>
                <w:szCs w:val="18"/>
                <w:color w:val="auto"/>
              </w:rPr>
              <w:t>fail  to  complete  our  initial  business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book  value  per  share  for  our  remaining</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remaining   stockholders   because   the</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combination will reduce the book value per</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stockholders, who will bear the burden of the</w:t>
            </w:r>
          </w:p>
        </w:tc>
        <w:tc>
          <w:tcPr>
            <w:tcW w:w="3240" w:type="dxa"/>
            <w:vAlign w:val="bottom"/>
            <w:gridSpan w:val="2"/>
          </w:tcPr>
          <w:p>
            <w:pPr>
              <w:spacing w:after="0"/>
              <w:rPr>
                <w:sz w:val="20"/>
                <w:szCs w:val="20"/>
                <w:color w:val="auto"/>
              </w:rPr>
            </w:pPr>
            <w:r>
              <w:rPr>
                <w:rFonts w:ascii="Arial" w:cs="Arial" w:eastAsia="Arial" w:hAnsi="Arial"/>
                <w:sz w:val="18"/>
                <w:szCs w:val="18"/>
                <w:color w:val="auto"/>
              </w:rPr>
              <w:t>purchase price would not be paid by us.</w:t>
            </w:r>
          </w:p>
        </w:tc>
        <w:tc>
          <w:tcPr>
            <w:tcW w:w="3140" w:type="dxa"/>
            <w:vAlign w:val="bottom"/>
          </w:tcPr>
          <w:p>
            <w:pPr>
              <w:jc w:val="center"/>
              <w:spacing w:after="0"/>
              <w:rPr>
                <w:sz w:val="20"/>
                <w:szCs w:val="20"/>
                <w:color w:val="auto"/>
              </w:rPr>
            </w:pPr>
            <w:r>
              <w:rPr>
                <w:rFonts w:ascii="Arial" w:cs="Arial" w:eastAsia="Arial" w:hAnsi="Arial"/>
                <w:sz w:val="18"/>
                <w:szCs w:val="18"/>
                <w:color w:val="auto"/>
              </w:rPr>
              <w:t>share for the shares held by our initial</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Marketing Fee, taxes payable.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stockholders,  who  will  be  our  only</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remaining   stockholders   after   such</w:t>
            </w: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redemptions.</w:t>
            </w:r>
          </w:p>
        </w:tc>
      </w:tr>
    </w:tbl>
    <w:p>
      <w:pPr>
        <w:spacing w:after="0" w:line="198" w:lineRule="exact"/>
        <w:rPr>
          <w:sz w:val="20"/>
          <w:szCs w:val="20"/>
          <w:color w:val="auto"/>
        </w:rPr>
      </w:pPr>
    </w:p>
    <w:p>
      <w:pPr>
        <w:sectPr>
          <w:pgSz w:w="11900" w:h="16838" w:orient="portrait"/>
          <w:cols w:equalWidth="0" w:num="2">
            <w:col w:w="980" w:space="400"/>
            <w:col w:w="986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either immediately prior to or upon the successful consummation of this offering and will file a Current Report on Form 8-K, including an audited balance sheet demonstrating this fact.</w:t>
      </w:r>
    </w:p>
    <w:p>
      <w:pPr>
        <w:sectPr>
          <w:pgSz w:w="11900" w:h="16838" w:orient="portrait"/>
          <w:cols w:equalWidth="0" w:num="1">
            <w:col w:w="11240"/>
          </w:cols>
          <w:pgMar w:left="320" w:top="904" w:right="339" w:bottom="1440"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89"/>
              </w:rPr>
              <w:t>$100,000,000 of the net offering proceeds and proceeds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from the sale of the private warrants will be deposited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into a trust account in the United States, maintained by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Continental Stock Transfer &amp; Trust Company, acting as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634"/>
        </w:trPr>
        <w:tc>
          <w:tcPr>
            <w:tcW w:w="3060" w:type="dxa"/>
            <w:vAlign w:val="bottom"/>
          </w:tcPr>
          <w:p>
            <w:pPr>
              <w:spacing w:after="0"/>
              <w:rPr>
                <w:sz w:val="20"/>
                <w:szCs w:val="20"/>
                <w:color w:val="auto"/>
              </w:rPr>
            </w:pPr>
            <w:r>
              <w:rPr>
                <w:rFonts w:ascii="Arial" w:cs="Arial" w:eastAsia="Arial" w:hAnsi="Arial"/>
                <w:sz w:val="18"/>
                <w:szCs w:val="18"/>
                <w:b w:val="1"/>
                <w:bCs w:val="1"/>
                <w:color w:val="auto"/>
              </w:rPr>
              <w:t>Investment of net proceeds</w:t>
            </w:r>
          </w:p>
        </w:tc>
        <w:tc>
          <w:tcPr>
            <w:tcW w:w="4040" w:type="dxa"/>
            <w:vAlign w:val="bottom"/>
          </w:tcPr>
          <w:p>
            <w:pPr>
              <w:spacing w:after="0"/>
              <w:rPr>
                <w:sz w:val="20"/>
                <w:szCs w:val="20"/>
                <w:color w:val="auto"/>
              </w:rPr>
            </w:pPr>
            <w:r>
              <w:rPr>
                <w:rFonts w:ascii="Arial" w:cs="Arial" w:eastAsia="Arial" w:hAnsi="Arial"/>
                <w:sz w:val="18"/>
                <w:szCs w:val="18"/>
                <w:color w:val="auto"/>
                <w:w w:val="99"/>
              </w:rPr>
              <w:t>The $100,000,000 of the net offering proceeds and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proceeds from the sale of the private warrants held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trust will only be invested in United States government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treasury bills, bonds or notes with a maturity of 185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days or less or in money market funds meeting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applicable conditions under Rule 2a-7 promulgated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under the Investment Company Act and that invest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solely in United States government treasuries.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$89,550,000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807"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3" w:name="page104"/>
    <w:bookmarkEnd w:id="103"/>
    <w:p>
      <w:pPr>
        <w:spacing w:after="0" w:line="216" w:lineRule="exact"/>
        <w:rPr>
          <w:sz w:val="20"/>
          <w:szCs w:val="20"/>
          <w:color w:val="auto"/>
        </w:rPr>
      </w:pPr>
    </w:p>
    <w:p>
      <w:pPr>
        <w:ind w:left="180" w:hanging="161"/>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on proceeds from the trust account to be paid to stockholders is reduced by (i) any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834" w:lineRule="exact"/>
        <w:rPr>
          <w:sz w:val="20"/>
          <w:szCs w:val="20"/>
          <w:color w:val="auto"/>
        </w:rPr>
      </w:pPr>
    </w:p>
    <w:p>
      <w:pPr>
        <w:sectPr>
          <w:pgSz w:w="11900" w:h="16838" w:orient="portrait"/>
          <w:cols w:equalWidth="0" w:num="3">
            <w:col w:w="2380" w:space="680"/>
            <w:col w:w="4040" w:space="220"/>
            <w:col w:w="3920"/>
          </w:cols>
          <w:pgMar w:left="320" w:top="904" w:right="339" w:bottom="1440" w:gutter="0" w:footer="0" w:header="0"/>
        </w:sectPr>
      </w:pPr>
    </w:p>
    <w:p>
      <w:pPr>
        <w:spacing w:after="0"/>
        <w:tabs>
          <w:tab w:leader="none" w:pos="3040" w:val="left"/>
        </w:tabs>
        <w:rPr>
          <w:sz w:val="20"/>
          <w:szCs w:val="20"/>
          <w:color w:val="auto"/>
        </w:rPr>
      </w:pPr>
      <w:r>
        <w:rPr>
          <w:rFonts w:ascii="Arial" w:cs="Arial" w:eastAsia="Arial" w:hAnsi="Arial"/>
          <w:sz w:val="18"/>
          <w:szCs w:val="18"/>
          <w:b w:val="1"/>
          <w:bCs w:val="1"/>
          <w:color w:val="auto"/>
        </w:rPr>
        <w:t>Limitation on fair value or net assets</w:t>
      </w:r>
      <w:r>
        <w:rPr>
          <w:sz w:val="20"/>
          <w:szCs w:val="20"/>
          <w:color w:val="auto"/>
        </w:rPr>
        <w:tab/>
      </w:r>
      <w:r>
        <w:rPr>
          <w:rFonts w:ascii="Arial" w:cs="Arial" w:eastAsia="Arial" w:hAnsi="Arial"/>
          <w:sz w:val="16"/>
          <w:szCs w:val="16"/>
          <w:color w:val="auto"/>
        </w:rPr>
        <w:t>The initial target business that we acquire must have a</w:t>
      </w:r>
    </w:p>
    <w:p>
      <w:pPr>
        <w:spacing w:after="0" w:line="27" w:lineRule="exact"/>
        <w:rPr>
          <w:sz w:val="20"/>
          <w:szCs w:val="20"/>
          <w:color w:val="auto"/>
        </w:rPr>
      </w:pPr>
    </w:p>
    <w:p>
      <w:pPr>
        <w:ind w:left="180"/>
        <w:spacing w:after="0"/>
        <w:tabs>
          <w:tab w:leader="none" w:pos="3040" w:val="left"/>
        </w:tabs>
        <w:rPr>
          <w:sz w:val="20"/>
          <w:szCs w:val="20"/>
          <w:color w:val="auto"/>
        </w:rPr>
      </w:pPr>
      <w:r>
        <w:rPr>
          <w:rFonts w:ascii="Arial" w:cs="Arial" w:eastAsia="Arial" w:hAnsi="Arial"/>
          <w:sz w:val="18"/>
          <w:szCs w:val="18"/>
          <w:b w:val="1"/>
          <w:bCs w:val="1"/>
          <w:color w:val="auto"/>
        </w:rPr>
        <w:t>of target business</w:t>
      </w:r>
      <w:r>
        <w:rPr>
          <w:sz w:val="20"/>
          <w:szCs w:val="20"/>
          <w:color w:val="auto"/>
        </w:rPr>
        <w:tab/>
      </w:r>
      <w:r>
        <w:rPr>
          <w:rFonts w:ascii="Arial" w:cs="Arial" w:eastAsia="Arial" w:hAnsi="Arial"/>
          <w:sz w:val="16"/>
          <w:szCs w:val="16"/>
          <w:color w:val="auto"/>
        </w:rPr>
        <w:t>fair market value equal to at least 80% of the balance in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our trust account net of taxes payable at the time of the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execution of a definitive agreement for our initial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business combination.</w:t>
      </w:r>
    </w:p>
    <w:p>
      <w:pPr>
        <w:spacing w:after="0" w:line="20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Trading of securities issued</w:t>
      </w:r>
      <w:r>
        <w:rPr>
          <w:sz w:val="20"/>
          <w:szCs w:val="20"/>
          <w:color w:val="auto"/>
        </w:rPr>
        <w:tab/>
      </w:r>
      <w:r>
        <w:rPr>
          <w:rFonts w:ascii="Arial" w:cs="Arial" w:eastAsia="Arial" w:hAnsi="Arial"/>
          <w:sz w:val="16"/>
          <w:szCs w:val="16"/>
          <w:color w:val="auto"/>
        </w:rPr>
        <w:t>The units may commence trading on or promptly after</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the date of this prospectus. The shares of common</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stock and warrants comprising the units will begin to</w:t>
      </w:r>
    </w:p>
    <w:p>
      <w:pPr>
        <w:ind w:left="3060"/>
        <w:spacing w:after="0" w:line="207" w:lineRule="auto"/>
        <w:rPr>
          <w:sz w:val="20"/>
          <w:szCs w:val="20"/>
          <w:color w:val="auto"/>
        </w:rPr>
      </w:pPr>
      <w:r>
        <w:rPr>
          <w:rFonts w:ascii="Arial" w:cs="Arial" w:eastAsia="Arial" w:hAnsi="Arial"/>
          <w:sz w:val="17"/>
          <w:szCs w:val="17"/>
          <w:color w:val="auto"/>
        </w:rPr>
        <w:t>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unless Chardan informs us of its decision to</w:t>
      </w:r>
    </w:p>
    <w:p>
      <w:pPr>
        <w:spacing w:after="0" w:line="7" w:lineRule="exact"/>
        <w:rPr>
          <w:sz w:val="20"/>
          <w:szCs w:val="20"/>
          <w:color w:val="auto"/>
        </w:rPr>
      </w:pPr>
    </w:p>
    <w:p>
      <w:pPr>
        <w:ind w:left="3060"/>
        <w:spacing w:after="0"/>
        <w:tabs>
          <w:tab w:leader="none" w:pos="3620" w:val="left"/>
          <w:tab w:leader="none" w:pos="4260" w:val="left"/>
          <w:tab w:leader="none" w:pos="5020" w:val="left"/>
          <w:tab w:leader="none" w:pos="5700" w:val="left"/>
          <w:tab w:leader="none" w:pos="6360" w:val="left"/>
          <w:tab w:leader="none" w:pos="6900" w:val="left"/>
        </w:tabs>
        <w:rPr>
          <w:sz w:val="20"/>
          <w:szCs w:val="20"/>
          <w:color w:val="auto"/>
        </w:rPr>
      </w:pPr>
      <w:r>
        <w:rPr>
          <w:rFonts w:ascii="Arial" w:cs="Arial" w:eastAsia="Arial" w:hAnsi="Arial"/>
          <w:sz w:val="18"/>
          <w:szCs w:val="18"/>
          <w:color w:val="auto"/>
        </w:rPr>
        <w:t>allow</w:t>
        <w:tab/>
        <w:t>earlier</w:t>
        <w:tab/>
        <w:t>separate</w:t>
        <w:tab/>
        <w:t>trading</w:t>
        <w:tab/>
        <w:t>(based</w:t>
        <w:tab/>
        <w:t>upon</w:t>
      </w:r>
      <w:r>
        <w:rPr>
          <w:sz w:val="20"/>
          <w:szCs w:val="20"/>
          <w:color w:val="auto"/>
        </w:rPr>
        <w:tab/>
      </w:r>
      <w:r>
        <w:rPr>
          <w:rFonts w:ascii="Arial" w:cs="Arial" w:eastAsia="Arial" w:hAnsi="Arial"/>
          <w:sz w:val="16"/>
          <w:szCs w:val="16"/>
          <w:color w:val="auto"/>
        </w:rPr>
        <w:t>its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assessment of the relative strengths of the securities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markets  and  small  capitalization  and  blank  check</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companies in general, and the trading pattern of, and</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demand for, our securities in particular), provided we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have filed with the SEC a Current Report on Form 8-K,</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which includes an audited balance sheet reflecting our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receipt of the proceeds of this offering.</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would be restricted from acquiring a target business unless the fair value of such business or net assets to be acquired represent at least 80% of the maximum offering proceeds.</w:t>
      </w:r>
    </w:p>
    <w:p>
      <w:pPr>
        <w:spacing w:after="0" w:line="200" w:lineRule="exact"/>
        <w:rPr>
          <w:sz w:val="20"/>
          <w:szCs w:val="20"/>
          <w:color w:val="auto"/>
        </w:rPr>
      </w:pP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 trading of the units or the underlying securities would be permitted until the completion of a business combination. During this period, the securities would be held in the escrow or trust account.</w:t>
      </w:r>
    </w:p>
    <w:p>
      <w:pPr>
        <w:spacing w:after="0" w:line="2130"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the completion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a business combination and, accordingly, will be</w:t>
      </w:r>
    </w:p>
    <w:p>
      <w:pPr>
        <w:spacing w:after="0" w:line="9" w:lineRule="exact"/>
        <w:rPr>
          <w:sz w:val="20"/>
          <w:szCs w:val="20"/>
          <w:color w:val="auto"/>
        </w:rPr>
      </w:pPr>
    </w:p>
    <w:p>
      <w:pPr>
        <w:ind w:left="3060"/>
        <w:spacing w:after="0"/>
        <w:tabs>
          <w:tab w:leader="none" w:pos="3860" w:val="left"/>
          <w:tab w:leader="none" w:pos="4320" w:val="left"/>
          <w:tab w:leader="none" w:pos="4800" w:val="left"/>
          <w:tab w:leader="none" w:pos="5160" w:val="left"/>
          <w:tab w:leader="none" w:pos="5640" w:val="left"/>
          <w:tab w:leader="none" w:pos="6340" w:val="left"/>
          <w:tab w:leader="none" w:pos="6720" w:val="left"/>
        </w:tabs>
        <w:rPr>
          <w:sz w:val="20"/>
          <w:szCs w:val="20"/>
          <w:color w:val="auto"/>
        </w:rPr>
      </w:pPr>
      <w:r>
        <w:rPr>
          <w:rFonts w:ascii="Arial" w:cs="Arial" w:eastAsia="Arial" w:hAnsi="Arial"/>
          <w:sz w:val="18"/>
          <w:szCs w:val="18"/>
          <w:color w:val="auto"/>
        </w:rPr>
        <w:t>exercised</w:t>
        <w:tab/>
        <w:t>only</w:t>
        <w:tab/>
        <w:t>after</w:t>
        <w:tab/>
        <w:t>the</w:t>
        <w:tab/>
        <w:t>trust</w:t>
        <w:tab/>
        <w:t>account</w:t>
        <w:tab/>
        <w:t>has</w:t>
      </w:r>
      <w:r>
        <w:rPr>
          <w:sz w:val="20"/>
          <w:szCs w:val="20"/>
          <w:color w:val="auto"/>
        </w:rPr>
        <w:tab/>
      </w:r>
      <w:r>
        <w:rPr>
          <w:rFonts w:ascii="Arial" w:cs="Arial" w:eastAsia="Arial" w:hAnsi="Arial"/>
          <w:sz w:val="15"/>
          <w:szCs w:val="15"/>
          <w:color w:val="auto"/>
        </w:rPr>
        <w:t>been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terminated and distributed.</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ectPr>
          <w:pgSz w:w="11900" w:h="16838" w:orient="portrait"/>
          <w:cols w:equalWidth="0" w:num="2">
            <w:col w:w="7080" w:space="240"/>
            <w:col w:w="3920"/>
          </w:cols>
          <w:pgMar w:left="320" w:top="904" w:right="3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Election to remain an investor</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2"/>
              </w:rPr>
              <w:t>We will either (1) give our stockholders the opportunity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to vote on the business combination or (2) provide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public stockholders with the opportunity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public shares to us in a tender offer for cash equal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 xml:space="preserve">their </w:t>
            </w:r>
            <w:r>
              <w:rPr>
                <w:rFonts w:ascii="Arial" w:cs="Arial" w:eastAsia="Arial" w:hAnsi="Arial"/>
                <w:sz w:val="18"/>
                <w:szCs w:val="18"/>
                <w:i w:val="1"/>
                <w:iCs w:val="1"/>
                <w:color w:val="auto"/>
                <w:w w:val="96"/>
              </w:rPr>
              <w:t>pro rata</w:t>
            </w:r>
            <w:r>
              <w:rPr>
                <w:rFonts w:ascii="Arial" w:cs="Arial" w:eastAsia="Arial" w:hAnsi="Arial"/>
                <w:sz w:val="18"/>
                <w:szCs w:val="18"/>
                <w:color w:val="auto"/>
                <w:w w:val="96"/>
              </w:rPr>
              <w:t xml:space="preserve"> share of the aggregate amount then 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deposit in the trust account, less taxes. If we hold 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meeting to approve a proposed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we  will  send  each  stockholder  a  proxy  statement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containing information required by the SEC. Under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certificate of incorporation, we must provide at least 10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days advance notice of any meeting of stockholders.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Accordingly, this is the minimum amount of time we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would need to provide holders to determine whether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exercise their rights to redeem their shares into cash at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such  a  meeting  or  to  remain  an  investor  in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company. Alternatively, if we do not hold a meeting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and instead conduct a tender offer, we will conduct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such tender offer in accordance with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rules of the SEC and file tender offer documents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the SEC which will contain substantially the same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and  other  information  about  the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business combination as we would have included in a</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proxy statement.</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The tender offer rules require us to hold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open for at least 20 business days. Accordingly, this is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the minimum amount of time we would need to provide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holders to determine whether they want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shares to us in the tender offer or remain an investor in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our company.</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4040" w:type="dxa"/>
            <w:vAlign w:val="bottom"/>
          </w:tcPr>
          <w:p>
            <w:pPr>
              <w:spacing w:after="0"/>
              <w:rPr>
                <w:sz w:val="20"/>
                <w:szCs w:val="20"/>
                <w:color w:val="auto"/>
              </w:rPr>
            </w:pPr>
            <w:r>
              <w:rPr>
                <w:rFonts w:ascii="Arial" w:cs="Arial" w:eastAsia="Arial" w:hAnsi="Arial"/>
                <w:sz w:val="18"/>
                <w:szCs w:val="18"/>
                <w:color w:val="auto"/>
                <w:w w:val="92"/>
              </w:rPr>
              <w:t>Pursuant to our certificate of incorporation, if we do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complete an initial business combination within 24</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months from the consummation of this offering, it will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trigger  our  automatic  winding  up,  dissolution  and</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liquidation.</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 prospectus containing information required by the SEC would be sent to each investor. Each investor would be given the opportunity to notify the company, in writing, within a period of no less than 20 business days and no more than 45 business days from the effective date of the post-effective amendment, to decide whether he or she elects to remain a stockholder of the company or require the return of his or her investment. If the company has not received</w:t>
      </w:r>
    </w:p>
    <w:p>
      <w:pPr>
        <w:spacing w:after="0" w:line="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notification by the end of the 45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business day, funds and interest or dividends, if any, held in the trust or escrow account would automatically be returned to the stockholder. Unless a sufficient number of investors elect to remain investors, all of the deposited funds in the escrow account must be returned to all investors and none of the securities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 acquisition has not been consummated within 18 months after the effective date of the initial registration statement, funds held in the trust or escrow account would be returned to investors.</w:t>
      </w:r>
    </w:p>
    <w:p>
      <w:pPr>
        <w:sectPr>
          <w:pgSz w:w="11900" w:h="16838" w:orient="portrait"/>
          <w:cols w:equalWidth="0" w:num="2">
            <w:col w:w="7100" w:space="220"/>
            <w:col w:w="3920"/>
          </w:cols>
          <w:pgMar w:left="320" w:top="904" w:right="339" w:bottom="1440" w:gutter="0" w:footer="0" w:header="0"/>
        </w:sectPr>
      </w:pPr>
    </w:p>
    <w:bookmarkStart w:id="105" w:name="page106"/>
    <w:bookmarkEnd w:id="105"/>
    <w:p>
      <w:pPr>
        <w:spacing w:after="0" w:line="216" w:lineRule="exact"/>
        <w:rPr>
          <w:sz w:val="20"/>
          <w:szCs w:val="20"/>
          <w:color w:val="auto"/>
        </w:rPr>
      </w:pPr>
    </w:p>
    <w:p>
      <w:pPr>
        <w:ind w:hanging="161"/>
        <w:spacing w:after="0" w:line="277" w:lineRule="auto"/>
        <w:rPr>
          <w:sz w:val="20"/>
          <w:szCs w:val="20"/>
          <w:color w:val="auto"/>
        </w:rPr>
      </w:pPr>
      <w:r>
        <w:rPr>
          <w:rFonts w:ascii="Arial" w:cs="Arial" w:eastAsia="Arial" w:hAnsi="Arial"/>
          <w:sz w:val="17"/>
          <w:szCs w:val="17"/>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0" w:lineRule="exact"/>
        <w:rPr>
          <w:sz w:val="20"/>
          <w:szCs w:val="20"/>
          <w:color w:val="auto"/>
        </w:rPr>
      </w:pPr>
    </w:p>
    <w:p>
      <w:pPr>
        <w:spacing w:after="0" w:line="20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blank check companies provide no restrictions on the ability of stockholders to redeem shares based on the number of shares held by such stockholders in connection with an initial business combination</w:t>
      </w:r>
    </w:p>
    <w:p>
      <w:pPr>
        <w:sectPr>
          <w:pgSz w:w="11900" w:h="16838" w:orient="portrait"/>
          <w:cols w:equalWidth="0" w:num="3">
            <w:col w:w="2500" w:space="380"/>
            <w:col w:w="4040" w:space="220"/>
            <w:col w:w="3900"/>
          </w:cols>
          <w:pgMar w:left="500" w:top="904" w:right="359" w:bottom="1440" w:gutter="0" w:footer="0" w:header="0"/>
        </w:sectPr>
      </w:pPr>
    </w:p>
    <w:bookmarkStart w:id="106" w:name="page107"/>
    <w:bookmarkEnd w:id="106"/>
    <w:p>
      <w:pPr>
        <w:spacing w:after="0" w:line="216" w:lineRule="exact"/>
        <w:rPr>
          <w:sz w:val="20"/>
          <w:szCs w:val="20"/>
          <w:color w:val="auto"/>
        </w:rPr>
      </w:pPr>
    </w:p>
    <w:p>
      <w:pPr>
        <w:ind w:hanging="161"/>
        <w:spacing w:after="0" w:line="266" w:lineRule="auto"/>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425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using The Depository Trust Company’s DWAC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business days prior to the vote on the initial business combination if we distribute proxy materials, as applicable, to tender its shares if it wishes to seek to exercise its redemption rights.</w:t>
      </w:r>
    </w:p>
    <w:p>
      <w:pPr>
        <w:spacing w:after="0" w:line="39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4174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ectPr>
          <w:pgSz w:w="11900" w:h="16838" w:orient="portrait"/>
          <w:cols w:equalWidth="0" w:num="3">
            <w:col w:w="2520" w:space="680"/>
            <w:col w:w="3820" w:space="240"/>
            <w:col w:w="3800"/>
          </w:cols>
          <w:pgMar w:left="500" w:top="90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1"/>
              </w:rPr>
              <w:t>Except for interest earned on the funds held in the trust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 that may be released to us to pay our tax</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obligations, the proceeds from this offering and the sale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of the private warrants held in the trust account will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be  released  until  the  earliest  to  occur  of:  (i)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completion of our initial business combination, (ii)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redemption of any public shares properly submitted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connection  with  a  stockholder  vote  to  amend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(A)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modify the substance or timing of our obligation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allow  redemption  in  connection  with  our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business combination or to redeem 100% of our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shares if we do not complete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combination within 24 months from the closing of this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offering or (B) with respect to any other provision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relating  to  stockholders’  rights  or  pre-business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combination activity and (iii) the redemption of 100%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of our public shares if we are unable to complete an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initial business combination within the required time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frame (subject to the requirements of applicable law).</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On the completion of our initial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all amounts held in the trust account will be released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us,  less  amounts  released  to  a  separate  account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controlled by the trustee for disbursal to redeeming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stockholders. We will use these funds to pay amounts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due to any public stockholders who exercise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redemption   rights   as   described   above   under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“Redemption  rights  for  public  stockholders  upon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completion of our initial business combination,” to pay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all or a portion of the consideration payable to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target or owners of the target of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combination and to pay other expenses associated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our  initial  business  combination,  including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Marketing Fee pursuant to the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Marketing Agreement described under “</w:t>
            </w:r>
            <w:r>
              <w:rPr>
                <w:rFonts w:ascii="Arial" w:cs="Arial" w:eastAsia="Arial" w:hAnsi="Arial"/>
                <w:sz w:val="18"/>
                <w:szCs w:val="18"/>
                <w:i w:val="1"/>
                <w:iCs w:val="1"/>
                <w:color w:val="auto"/>
                <w:w w:val="96"/>
              </w:rPr>
              <w:t>Underwriting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(Conflicts  of  Interest)  —  Business  Combination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Marketing 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proceeds held in the escrow account would not be released until the earlier of the completion of a business combination or the failure to effect a business combination within the allotted time.</w:t>
      </w:r>
    </w:p>
    <w:p>
      <w:pPr>
        <w:sectPr>
          <w:pgSz w:w="11900" w:h="16838" w:orient="portrait"/>
          <w:cols w:equalWidth="0" w:num="2">
            <w:col w:w="7100" w:space="220"/>
            <w:col w:w="3920"/>
          </w:cols>
          <w:pgMar w:left="320" w:top="904"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8080" w:type="dxa"/>
            <w:vAlign w:val="bottom"/>
            <w:tcBorders>
              <w:bottom w:val="single" w:sz="8" w:color="auto"/>
            </w:tcBorders>
          </w:tcPr>
          <w:p>
            <w:pPr>
              <w:ind w:left="372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Kerry Propper</w:t>
            </w:r>
          </w:p>
        </w:tc>
        <w:tc>
          <w:tcPr>
            <w:tcW w:w="2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Co-Founder and Director Nominee (Chairman)</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Jonas Grossman</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Co-Founder, Chief Executive Officer, President, Secretary, Treasurer and Director</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Steven Urbach</w:t>
            </w: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Financial Officer and 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Alex Weil</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 and 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Perry Boyle</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Nominee</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Jory Des Jardins</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Director Nominee</w:t>
            </w:r>
          </w:p>
        </w:tc>
      </w:tr>
    </w:tbl>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Kerry Propper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46</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our co-founder and will serve as our Chairman of the board of directors upon the effectiveness of the registration statement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which this prospectus is a part. Mr. Propper was co-founder of Chardan and served as its chief executive officer and head of its investment bank from 2003 to 2015. He is a pioneer in the special purpose acquisition marketplace, as he was the executive vice president and director of the third-ever publicly listed special purpose acquisition company, Chardan China Acquisition Corp., and has been an executive or senior advisor for five additional special purpose acquisition companies. Since 2015 Mr. Propper has been the chairman of Chardan’s board of directors and the co-founder and managing partner of ATW Partners, a growth-focused investment firm. Since the inception of ATW Partners, Mr. Propper has invested approximately $90 million of capital through the ATW Partner’s fund and its affiliated opportunity vehicles across multiple geographies and sectors. Within HealthTech and FinTech, Mr. Propper has an extraordinary track record with 15 investments and average returns of over 100%. He has agreed to serve as chairman of the board of directors of Chardan NexTech Acquisition Corp. Mr. Propper is also the co-chairman of 340B Technologies, a healthcare technology group, and is on the board of China Networks International Holdings, a shell company, and China Cablecom Holdings Ltd., a joint-venture provider of cable television services in the Peoples Republic of China. Mr. Propper dedicates much of his time philanthropy and he is a founding member of Nadia’s Initiative. He also serves on the executive board for Voices of Rwanda, Yazda and Digital Citizens Fund and the board of trustees for the International Crisis Group. Mr. Propper earned his B.A. in Economics and International Studies from Colby College. We believe Mr. Propper is qualified to serve on our board of directors because of his extensive industry and transaction expertise and wide network of relationships with industry participants.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Jonas Grossman</w:t>
      </w:r>
      <w:r>
        <w:rPr>
          <w:rFonts w:ascii="Arial" w:cs="Arial" w:eastAsia="Arial" w:hAnsi="Arial"/>
          <w:sz w:val="17"/>
          <w:szCs w:val="17"/>
          <w:color w:val="auto"/>
        </w:rPr>
        <w:t>, 46, is our co-founder and has been our Chief Executive Officer and a member of our board of directors since June 2020 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Secretary, and Treasurer since July 2020. Since July 2020, Mr. Grossman has served as chief financial officer and director of Chardan NexTech Acquisition Corp. Since April 2020, Mr. Grossman has been the chief executive officer and president of Chardan Healthcare Acquisition 2 Corp., a special purpose acquisition company. He was the chief Executive officer and president of Chardan Healthcare Acquisition Corp. from March 2018 until its merger in October 2019 with BiomX (NYSE: PHGE). Mr. Grossman is currently a director of BiomX. He was a co-founder and director for LifeSci Acquisition Corp., a special purpose acquisition company from March 2020 until its merger with Vincera Pharma, Inc. in December of 2020. Since December 2020, Mr. Grossman has served as a director of Ventoux CCM Acquisition Corp., a special purpose acquisition company. He has served as managing partner and head of capital markets for Chardan, a New York headquartered broker/dealer, since December 2003, and has additionally served as president of Chardan since September 2015. Since 2003, Mr. Grossman has overseen the Chardan’s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Mr. Grossman has served on the board of directors for UNICEF since December 2016. We believe Mr. Grossman is qualified to serve on our board of directors because of his long-running capital markets experience as well as his previous company board positions.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Steven Urbach</w:t>
      </w:r>
      <w:r>
        <w:rPr>
          <w:rFonts w:ascii="Arial" w:cs="Arial" w:eastAsia="Arial" w:hAnsi="Arial"/>
          <w:sz w:val="17"/>
          <w:szCs w:val="17"/>
          <w:color w:val="auto"/>
        </w:rPr>
        <w:t>, 45, will serve as our Chief Financial Officer and a member of our board of directors upon the effectiveness of the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which this prospectus is a part. Mr. Urbach has served as chief executive officer of Chardan, a New York headquartered broker/dealer, since March 2003. Mr. Urbach is credited with co-founding Chardan and its focus on disruptive technology. With the help of his partners, executive team, and employees, Chardan has grown into an internationally-recognized investment bank specializing in special purpose acquisition companies, disruptive technology, and Healthcare investment banking. Since December 2006, Mr. Urbach has served as a founding partner of Cornix Advisors, LLC., a New York based multi-strategy hedge fund. Since March 2021, Mr. Urbach has served as chief operating officer of Chardan NexTech Acquisition Corp., and he has agreed to serve on the board of directors. From 2005 until 2008, Mr. Urbach served as a member of the board of director of Origin Agritech, (NASDAQ: SEED). Prior to founding Chardan, Mr. Urbach was a Nasdaq Market Maker for Windsor Capital Advisors from 1999 until 2002 and an analyst at Chase Manhattan Bank from 1997 to 1999. He holds a B.S. in Finance from Ithaca College. We believe Mr. Urbach is qualified to serve as a director based on his extensive transaction experience and wide network of relationships.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Alex Weil</w:t>
      </w:r>
      <w:r>
        <w:rPr>
          <w:rFonts w:ascii="Arial" w:cs="Arial" w:eastAsia="Arial" w:hAnsi="Arial"/>
          <w:sz w:val="17"/>
          <w:szCs w:val="17"/>
          <w:color w:val="auto"/>
        </w:rPr>
        <w:t>, 49, will serve as our Chief Operating Officer and a member of our board of directors upon the effective date of the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which this prospectus is a part. Since March 2021, Mr. Weil has served as chief operating officer of Chardan NexTech Acquisition Corp., and he has agreed to serve on the board of directors. Mr. Weil has served as managing director and co-head of FinTech investment banking at Chardan, a New York headquartered broker/dealer, since March 2020 and as a director of Ventoux CCM Acquisition Corp., a special purpose acquisition company, since December 2020. From January 2018 to March 2020, he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extensive capital markets and transaction management experience and network of relationships.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Jonathan C. “Jon” Biele</w:t>
      </w:r>
      <w:r>
        <w:rPr>
          <w:rFonts w:ascii="Arial" w:cs="Arial" w:eastAsia="Arial" w:hAnsi="Arial"/>
          <w:sz w:val="17"/>
          <w:szCs w:val="17"/>
          <w:color w:val="auto"/>
        </w:rPr>
        <w:t>, 51, has agreed to become a member of our board of directors as of the effective date of the registration statement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this prospectus is a part. Mr. Biele recently joined PREEM Inc., a vertical technology platform, as head of business and corporate development after a 28-year career in investment banking serving in a variety of leadership roles. Most recently, Mr. Biele served as head of technology and services investment banking after rejuvenating the equity capital markets practice at SunTrust Robinson Humphrey, where he worked from July 2013 to February 2020. During his career, Mr. Biele focused on providing capital markets, strategic and tactical advice to companies, boards of directors, private equity and venture capitalists. In addition to his tenure at SunTrust Robinson Humphrey, Mr. Biele served as head of equity capital markets for Citadel Securities from 2010 to 2013, for Cowen and Co. from 2007 to 2010, and for Lazard Freres from 2005 to 2007,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a premier ski academy in the United States, and remains the lead investor and advisor to the chief executive officer of inGamba Tours, a luxury cyclo-tourism business. Mr. Biele earned a B.A. in History in 1992 from St. Lawrence University. We believe that Mr. Biele’s vast experience in corporate finance and strategy, in addition to his vast network of relationships, will be an extremely valuable contribution to our board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Perry Boyle</w:t>
      </w:r>
      <w:r>
        <w:rPr>
          <w:rFonts w:ascii="Arial" w:cs="Arial" w:eastAsia="Arial" w:hAnsi="Arial"/>
          <w:sz w:val="17"/>
          <w:szCs w:val="17"/>
          <w:color w:val="auto"/>
        </w:rPr>
        <w:t>, 57, will serve as a member of our board of directors upon the effective date of the registration statement of which this prospectus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Mr. Boyle was with Point72 Asset Management, L.P., or Point 72, and Point 72 affiliates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Point72, overseeing offices in London, Hong Kong, Tokyo and Singapore. Prior to joining S.A.C., Mr. Boyle was a founding partner of Thomas Weisel Partners from 2000 until 2004, and a managing director at Alex. Brown &amp; Sons from 1992-2000. He began his career as an investment banker with Salomon Brothers Inc. Mr. Boyle has agreed to serve on the board of directors of Chardan NexTech Acquisition Corp. Mr. Boyle is a member of the advisory board of the Center for a New American Security (CNAS), and a director of The US Friends of the International Institute for Strategic Studies (IISS).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 He received his B.A. in Economics from Stanford University, his M.B.A. from Dartmouth College and a M.A. from the Fletcher School at Tufts University. He has lectured on investing at Brown, Yale, Dartmouth, Harvard, Cambridge and UNC, and delivered testimony to Congress on financial regulation. We believe Mr. Boyle is qualified to serve on our board of directors because of industry leadership and capital markets experience from research to fundraising.</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Roderick Hardamon</w:t>
      </w:r>
      <w:r>
        <w:rPr>
          <w:rFonts w:ascii="Arial" w:cs="Arial" w:eastAsia="Arial" w:hAnsi="Arial"/>
          <w:sz w:val="17"/>
          <w:szCs w:val="17"/>
          <w:color w:val="auto"/>
        </w:rPr>
        <w:t>, 44, 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Hardamon has served as chief executive officer of URGE Imprint LLC, a boutique management consulting firm headquartered in Detroit, Michigan, and URGE Development Group, a real estate development firm headquartered in Detroit, Michigan, since May 2016. From July 1998 to March 2016, Mr. Hardamon held various positions at Citigroup, a leading global bank, finally serving as managing director and North American head of Citigroup’s alternative investor services business. From March 2016 to April 2016, Mr. Hardamon briefly served as a managing director at SS&amp;C Technologies, a global provider of services and software for the financial services and healthcare industries. Mr. Hardamon graduated from Morehouse College with B.A.s in accounting and Philosophy in 1998. We believe Mr. Hardamon is qualified to serve on our board of directors because of his extensive experience in business innovation, mergers and acquisitions, and senior executive leadership.</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Jory Des Jardins</w:t>
      </w:r>
      <w:r>
        <w:rPr>
          <w:rFonts w:ascii="Arial" w:cs="Arial" w:eastAsia="Arial" w:hAnsi="Arial"/>
          <w:sz w:val="16"/>
          <w:szCs w:val="16"/>
          <w:color w:val="auto"/>
        </w:rPr>
        <w:t>, 49, will serve as a member of our board of directors upon the effective date of the registration statement of which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is a part. Ms. Jardins is the chief marketing officer of The @ Company, a position she has held since 2020. She has also served as VC-in-Residence at the W Fund since 2020. Ms. Jardins recently served as the head of global startup marketing at Amazon Web Services from 2019 to 2020. Before her time at Amazon Web Services, she served as the global head of community at ConsenSys from 2018 to 2019. Ms. Jardins served as an advisor at Tribal Advisors from 2016 to 2018. In 2005, she co-founded BlogHer and served as the company’s president until its acquisition in 2015. Ms. Jardins graduated from the University of Illinois at Urbana-Champaign in 1993 where she studied history, literature, and psychology. We believe that Ms. Jardins is qualified to serve on our board of directors given her exposure to dozens of scaling startups as well as her experience with disruptiv</w:t>
      </w:r>
      <w:r>
        <w:rPr>
          <w:rFonts w:ascii="Arial" w:cs="Arial" w:eastAsia="Arial" w:hAnsi="Arial"/>
          <w:sz w:val="16"/>
          <w:szCs w:val="16"/>
          <w:b w:val="1"/>
          <w:bCs w:val="1"/>
          <w:color w:val="auto"/>
        </w:rPr>
        <w:t>e</w:t>
      </w:r>
      <w:r>
        <w:rPr>
          <w:rFonts w:ascii="Arial" w:cs="Arial" w:eastAsia="Arial" w:hAnsi="Arial"/>
          <w:sz w:val="16"/>
          <w:szCs w:val="16"/>
          <w:color w:val="auto"/>
        </w:rPr>
        <w:t xml:space="preserve"> technology</w:t>
      </w:r>
      <w:r>
        <w:rPr>
          <w:rFonts w:ascii="Arial" w:cs="Arial" w:eastAsia="Arial" w:hAnsi="Arial"/>
          <w:sz w:val="16"/>
          <w:szCs w:val="16"/>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 long as we obtain and maintain a listing for our securities on Nasdaq, a majority of our board of directors generally must be independent, subject to certain limited exceptions and phase-in period set forth under the rules of Nasdaq.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Messrs. Biele, Boyle and Hardamon and Ms. Jardins, is an “independent director” as defined in the Nasdaq listing standards and applicable SEC rules. We expect a majority of our board of directors to be comprised of independent directors within 12 months from the date of listing to comply with the majority independent board requirement in Rule 5605(b) of the Nasdaq listing rules. Our independent directors will have regularly scheduled meetings at which only independent directors are present.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will have eight directors upon completion of this offering. Our board of directors will be divided into two classes with only one class of directors being elected in each year and each class (except for those directors appointed prior to our first annual meeting of stockholders) serving a 2-year term. In accordance with Nasdaq corporate governance requirements, we are not required to hold an annual meeting until one year after our first fiscal year end following our listing on Nasdaq. The term of office of the first class of directors, consisting of Messrs. Biele, Boyle and Hardamon and Ms. Jardins will expire at our first annual meeting of stockholders. The term of office of the second class of directors, consisting of Messrs. Grossman, Urbach, Propper, and Weil, will expire at our second annual meeting of stockholders. We may not hold an annual meeting of stockholders until after we consummate our initial business combination.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Subject to any other special rights applicable to the stockholders, including holders of preferred stock, whenever any director shall have been elected by the holders of any class of stock voting separately as a class, such director may be removed and the vacancy filled only by the holders of that class of stock voting separately as a class. Vacancies caused by any such removal and not filled by the stockholders at the meeting at which such removal shall have been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although less than a quorum, and any director so elected to fill any such vacancy or newly created directorship shall hold office until his or her successor is elected and qualified or until his or her earlier resignation or removal.</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Chairmen of the Board, President, Vice Presidents, Secretary, Treasurer, Assistant Secretaries, Assistant Treasurers, and such other offices as may be determined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None of our officers or directors has received any cash compensation for services rendered to us. Except as described below, to date, no compensation of any kind, including any finder’s fee, reimbursement, consulting fee or monies in respect of any payment of a loan, will be paid by us to our officers and directors, or, other than as described herein, to our sponsor or any affiliate of our sponsor or officers, prior to, or in connection with any services rendered in order to effectuate, the consummation of our initial business combination (regardless of the type of transaction that it is). However, our sponsor will transfer up to 20,000 founder shares to each of our independent directors or we will pay cash fees to such directors, at our discretion. In addition, commencing on the date our securities are first listed on Nasdaq, we will pay an amount equal to $10,000 per month to our sponsor for office space, administrative and shared personnel support services. Also, our officers and directors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officers for their out-of-pocket expenses incurred in connection with identifying and consummating an initial business combination.</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will have two standing committees: an audit committee and a compensation committee. Subject to phase-in rules and certain limited exceptions, Nasdaq rules and Rule 10A-3 of the Exchange Act require that the audit committee of a listed company be comprised solely of independent directors. In addition, Nasdaq rules generally require that the compensation committee of a listed company be comprised solely of independent directors, subject to certain limited exceptions set forth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consummation of this offering, we will establish an audit committee of the board of directors. Messrs. Hardamon, Boyle and Grossman will serve as members of our audit committee, and Mr. Hardamon will chair the audit committee. Under the Nasdaq listing standards and applicable SEC rules, we are required to have at least three members of the audit committee, all of whom must be independent, subject to certain phase-in provisions. Mr. Hardamon and Mr. Boyle meet the independent director standard under Nasdaq listing standards and under Rule 10-A-3(b) (1) of the Exchange Act but Mr. Grossman does not meet such standards.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Hardamon qualifies as an “audit committee financial expert” as defined in applicable SEC rules.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25" w:lineRule="exact"/>
        <w:rPr>
          <w:sz w:val="20"/>
          <w:szCs w:val="20"/>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the consummation of this offering, we will establish a compensation committee of the board of directors. Ms. Jardins and Mr. Biele will serve as members of our compensation committee. Under the Nasdaq listing standards and applicable SEC rules, we generally would be required to have at least two members of the compensation committee, all of whom must be independent, subject to certain limited exceptions set forth under the rules of Nasdaq. Ms. Jardins and Mr. Biele are independent and Ms. Jardins will chair the compensation committee.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25" w:lineRule="exact"/>
        <w:rPr>
          <w:sz w:val="20"/>
          <w:szCs w:val="20"/>
          <w:color w:val="auto"/>
        </w:rPr>
      </w:pPr>
    </w:p>
    <w:p>
      <w:pPr>
        <w:jc w:val="both"/>
        <w:ind w:left="980" w:hanging="324"/>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have a standing nominating committee, although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All of our independent directors who will participate in the consideration and recommendation of director nominees. In accordance with Rule 5605 of the Nasdaq rules, each of Messrs. Biele, Boyle and Hardamon and Ms. Jardins is independent. As there is no standing nominating committee, we do not have a nominating committee charter in place.</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 However, prior to our initial business combination, holders of our public shares will not have the right to recommend director candidates for nomination to our board of directors.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the consummation of this offering, we will adopt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 See the section of this prospectus entitled “</w:t>
      </w:r>
      <w:r>
        <w:rPr>
          <w:rFonts w:ascii="Arial" w:cs="Arial" w:eastAsia="Arial" w:hAnsi="Arial"/>
          <w:sz w:val="16"/>
          <w:szCs w:val="16"/>
          <w:i w:val="1"/>
          <w:iCs w:val="1"/>
          <w:color w:val="auto"/>
        </w:rPr>
        <w:t>Where You Can Find Additional Information</w:t>
      </w:r>
      <w:r>
        <w:rPr>
          <w:rFonts w:ascii="Arial" w:cs="Arial" w:eastAsia="Arial" w:hAnsi="Arial"/>
          <w:sz w:val="16"/>
          <w:szCs w:val="16"/>
          <w:color w:val="auto"/>
        </w:rPr>
        <w:t>”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 opportunities to other entities to which they owe duties or clients of affiliates of our sponsor.</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5" w:name="page116"/>
    <w:bookmarkEnd w:id="115"/>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we may, at our option, pursue an Affiliated Joint Acquisition. We do not expect that we would pursue any such opportunity with an Affiliated SPAC. This would only occur, though,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be aware of the additional following potential conflicts of interest:</w:t>
      </w:r>
    </w:p>
    <w:p>
      <w:pPr>
        <w:spacing w:after="0" w:line="225" w:lineRule="exact"/>
        <w:rPr>
          <w:sz w:val="20"/>
          <w:szCs w:val="20"/>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70"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management has pre-existing fiduciary duties and contractual obligations and if there is a conflict of interest in determining to which entity a particular business opportunity should be presented, any pre-existing fiduciary obligation will be presented the opportunity before we are presented with it.</w:t>
      </w:r>
    </w:p>
    <w:p>
      <w:pPr>
        <w:spacing w:after="0" w:line="157"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70"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founder shares owned by our officers and directors will be released from escrow only if a business combination is successfully completed and subject to certain other limitations. Additionally, our officers and directors will not receive distributions from the trust account with respect to any of their founder shares if we do not complete a business combination. In addition, our officers and directors may loan funds to us after this offering and may be owed reimbursement for expenses incurred in connection with certain activities on our behalf which would only be repaid if we complete an initial business combination. For the foregoing reasons, the personal and financial interests of our directors and executive officers may influence their motivation in identifying and selecting a target business, completing a business combination in a timely manner and securing the release of their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left="980" w:hanging="324"/>
        <w:spacing w:after="0" w:line="268"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completion window.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179" w:lineRule="exact"/>
        <w:rPr>
          <w:rFonts w:ascii="Arial" w:cs="Arial" w:eastAsia="Arial" w:hAnsi="Arial"/>
          <w:sz w:val="17"/>
          <w:szCs w:val="17"/>
          <w:color w:val="auto"/>
        </w:rPr>
      </w:pPr>
    </w:p>
    <w:p>
      <w:pPr>
        <w:jc w:val="both"/>
        <w:ind w:left="980" w:right="20" w:hanging="324"/>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8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Either our sponsor will transfer up to 20,000 founder shares to each of our independent directors or we will pay cash fees to such directors, at our discretion. Such securities will be worthless if we do not complete an initial business combination.</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w:t>
      </w:r>
    </w:p>
    <w:p>
      <w:pPr>
        <w:spacing w:after="0" w:line="183"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48"/>
        <w:spacing w:after="0" w:line="284"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w:t>
      </w:r>
    </w:p>
    <w:p>
      <w:pPr>
        <w:spacing w:after="0" w:line="4" w:lineRule="exact"/>
        <w:rPr>
          <w:sz w:val="20"/>
          <w:szCs w:val="20"/>
          <w:color w:val="auto"/>
        </w:rPr>
      </w:pPr>
    </w:p>
    <w:p>
      <w:pPr>
        <w:jc w:val="both"/>
        <w:ind w:firstLine="8"/>
        <w:spacing w:after="0" w:line="269" w:lineRule="auto"/>
        <w:tabs>
          <w:tab w:leader="none" w:pos="257" w:val="left"/>
        </w:tabs>
        <w:numPr>
          <w:ilvl w:val="0"/>
          <w:numId w:val="49"/>
        </w:numPr>
        <w:rPr>
          <w:rFonts w:ascii="Arial" w:cs="Arial" w:eastAsia="Arial" w:hAnsi="Arial"/>
          <w:sz w:val="17"/>
          <w:szCs w:val="17"/>
          <w:color w:val="auto"/>
        </w:rPr>
      </w:pPr>
      <w:r>
        <w:rPr>
          <w:rFonts w:ascii="Arial" w:cs="Arial" w:eastAsia="Arial" w:hAnsi="Arial"/>
          <w:sz w:val="17"/>
          <w:szCs w:val="17"/>
          <w:color w:val="auto"/>
        </w:rPr>
        <w:t>24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other relevant pre-existing fiduciary or contractual obligations of our officers and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80" w:type="dxa"/>
            <w:vAlign w:val="bottom"/>
            <w:gridSpan w:val="3"/>
          </w:tcPr>
          <w:p>
            <w:pPr>
              <w:jc w:val="center"/>
              <w:ind w:right="1230"/>
              <w:spacing w:after="0"/>
              <w:rPr>
                <w:sz w:val="20"/>
                <w:szCs w:val="20"/>
                <w:color w:val="auto"/>
              </w:rPr>
            </w:pPr>
            <w:r>
              <w:rPr>
                <w:rFonts w:ascii="Arial" w:cs="Arial" w:eastAsia="Arial" w:hAnsi="Arial"/>
                <w:sz w:val="18"/>
                <w:szCs w:val="18"/>
                <w:b w:val="1"/>
                <w:bCs w:val="1"/>
                <w:color w:val="auto"/>
                <w:w w:val="90"/>
              </w:rPr>
              <w:t>Priority/Preference relative to</w:t>
            </w:r>
          </w:p>
        </w:tc>
        <w:tc>
          <w:tcPr>
            <w:tcW w:w="0" w:type="dxa"/>
            <w:vAlign w:val="bottom"/>
          </w:tcPr>
          <w:p>
            <w:pPr>
              <w:spacing w:after="0"/>
              <w:rPr>
                <w:sz w:val="1"/>
                <w:szCs w:val="1"/>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Affiliated Company</w:t>
            </w:r>
          </w:p>
        </w:tc>
        <w:tc>
          <w:tcPr>
            <w:tcW w:w="21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3"/>
              </w:rPr>
              <w:t>Name of Individual</w:t>
            </w:r>
          </w:p>
        </w:tc>
        <w:tc>
          <w:tcPr>
            <w:tcW w:w="540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1"/>
              </w:rPr>
              <w:t>Chardan NexTech Acquisition 2 Corp.</w:t>
            </w:r>
          </w:p>
        </w:tc>
        <w:tc>
          <w:tcPr>
            <w:tcW w:w="0" w:type="dxa"/>
            <w:vAlign w:val="bottom"/>
          </w:tcPr>
          <w:p>
            <w:pPr>
              <w:spacing w:after="0"/>
              <w:rPr>
                <w:sz w:val="1"/>
                <w:szCs w:val="1"/>
                <w:color w:val="auto"/>
              </w:rPr>
            </w:pP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rPr>
              <w:t>340Basics d/b/a Nuvem</w:t>
            </w:r>
          </w:p>
        </w:tc>
        <w:tc>
          <w:tcPr>
            <w:tcW w:w="2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ATW Partners</w:t>
            </w:r>
          </w:p>
        </w:tc>
        <w:tc>
          <w:tcPr>
            <w:tcW w:w="2180" w:type="dxa"/>
            <w:vAlign w:val="bottom"/>
          </w:tcPr>
          <w:p>
            <w:pPr>
              <w:spacing w:after="0"/>
              <w:rPr>
                <w:sz w:val="18"/>
                <w:szCs w:val="18"/>
                <w:color w:val="auto"/>
              </w:rPr>
            </w:pPr>
          </w:p>
        </w:tc>
        <w:tc>
          <w:tcPr>
            <w:tcW w:w="5400" w:type="dxa"/>
            <w:vAlign w:val="bottom"/>
            <w:gridSpan w:val="4"/>
          </w:tcPr>
          <w:p>
            <w:pPr>
              <w:ind w:left="240"/>
              <w:spacing w:after="0"/>
              <w:rPr>
                <w:sz w:val="20"/>
                <w:szCs w:val="20"/>
                <w:color w:val="auto"/>
              </w:rPr>
            </w:pPr>
            <w:r>
              <w:rPr>
                <w:rFonts w:ascii="Arial" w:cs="Arial" w:eastAsia="Arial" w:hAnsi="Arial"/>
                <w:sz w:val="18"/>
                <w:szCs w:val="18"/>
                <w:color w:val="auto"/>
                <w:w w:val="91"/>
              </w:rPr>
              <w:t>340Basics d/b/a Nuvem, ATW Partners, and Chardan Capital Markets,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18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Kerry Propper</w:t>
            </w:r>
          </w:p>
        </w:tc>
        <w:tc>
          <w:tcPr>
            <w:tcW w:w="5400" w:type="dxa"/>
            <w:vAlign w:val="bottom"/>
            <w:gridSpan w:val="4"/>
          </w:tcPr>
          <w:p>
            <w:pPr>
              <w:ind w:left="240"/>
              <w:spacing w:after="0"/>
              <w:rPr>
                <w:sz w:val="20"/>
                <w:szCs w:val="20"/>
                <w:color w:val="auto"/>
              </w:rPr>
            </w:pPr>
            <w:r>
              <w:rPr>
                <w:rFonts w:ascii="Arial" w:cs="Arial" w:eastAsia="Arial" w:hAnsi="Arial"/>
                <w:sz w:val="18"/>
                <w:szCs w:val="18"/>
                <w:color w:val="auto"/>
                <w:w w:val="93"/>
              </w:rPr>
              <w:t>LLC, Chardan NexTech Acquisition Corp., China Cablecom Holdings</w:t>
            </w: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180" w:type="dxa"/>
            <w:vAlign w:val="bottom"/>
            <w:vMerge w:val="continue"/>
          </w:tcPr>
          <w:p>
            <w:pPr>
              <w:spacing w:after="0"/>
              <w:rPr>
                <w:sz w:val="10"/>
                <w:szCs w:val="10"/>
                <w:color w:val="auto"/>
              </w:rPr>
            </w:pPr>
          </w:p>
        </w:tc>
        <w:tc>
          <w:tcPr>
            <w:tcW w:w="5400" w:type="dxa"/>
            <w:vAlign w:val="bottom"/>
            <w:gridSpan w:val="4"/>
            <w:vMerge w:val="restart"/>
          </w:tcPr>
          <w:p>
            <w:pPr>
              <w:ind w:left="240"/>
              <w:spacing w:after="0"/>
              <w:rPr>
                <w:sz w:val="20"/>
                <w:szCs w:val="20"/>
                <w:color w:val="auto"/>
              </w:rPr>
            </w:pPr>
            <w:r>
              <w:rPr>
                <w:rFonts w:ascii="Arial" w:cs="Arial" w:eastAsia="Arial" w:hAnsi="Arial"/>
                <w:sz w:val="18"/>
                <w:szCs w:val="18"/>
                <w:color w:val="auto"/>
                <w:w w:val="97"/>
              </w:rPr>
              <w:t>Ltd. and China Networks International Holdings Ltd. will each have</w:t>
            </w: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2180" w:type="dxa"/>
            <w:vAlign w:val="bottom"/>
          </w:tcPr>
          <w:p>
            <w:pPr>
              <w:spacing w:after="0"/>
              <w:rPr>
                <w:sz w:val="8"/>
                <w:szCs w:val="8"/>
                <w:color w:val="auto"/>
              </w:rPr>
            </w:pPr>
          </w:p>
        </w:tc>
        <w:tc>
          <w:tcPr>
            <w:tcW w:w="54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China Cablecom Holdings Ltd.</w:t>
            </w:r>
          </w:p>
        </w:tc>
        <w:tc>
          <w:tcPr>
            <w:tcW w:w="2180" w:type="dxa"/>
            <w:vAlign w:val="bottom"/>
          </w:tcPr>
          <w:p>
            <w:pPr>
              <w:spacing w:after="0"/>
              <w:rPr>
                <w:sz w:val="18"/>
                <w:szCs w:val="18"/>
                <w:color w:val="auto"/>
              </w:rPr>
            </w:pPr>
          </w:p>
        </w:tc>
        <w:tc>
          <w:tcPr>
            <w:tcW w:w="1520" w:type="dxa"/>
            <w:vAlign w:val="bottom"/>
          </w:tcPr>
          <w:p>
            <w:pPr>
              <w:ind w:left="240"/>
              <w:spacing w:after="0"/>
              <w:rPr>
                <w:sz w:val="20"/>
                <w:szCs w:val="20"/>
                <w:color w:val="auto"/>
              </w:rPr>
            </w:pPr>
            <w:r>
              <w:rPr>
                <w:rFonts w:ascii="Arial" w:cs="Arial" w:eastAsia="Arial" w:hAnsi="Arial"/>
                <w:sz w:val="18"/>
                <w:szCs w:val="18"/>
                <w:color w:val="auto"/>
              </w:rPr>
              <w:t>priority over us.</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China Networks International Holdings Ltd.</w:t>
            </w:r>
          </w:p>
        </w:tc>
        <w:tc>
          <w:tcPr>
            <w:tcW w:w="2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6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Chardan Healthcare Acquisition 2 Corp.</w:t>
            </w:r>
          </w:p>
        </w:tc>
        <w:tc>
          <w:tcPr>
            <w:tcW w:w="2180" w:type="dxa"/>
            <w:vAlign w:val="bottom"/>
          </w:tcPr>
          <w:p>
            <w:pPr>
              <w:spacing w:after="0"/>
              <w:rPr>
                <w:sz w:val="18"/>
                <w:szCs w:val="18"/>
                <w:color w:val="auto"/>
              </w:rPr>
            </w:pPr>
          </w:p>
        </w:tc>
        <w:tc>
          <w:tcPr>
            <w:tcW w:w="1520" w:type="dxa"/>
            <w:vAlign w:val="bottom"/>
            <w:vMerge w:val="restart"/>
          </w:tcPr>
          <w:p>
            <w:pPr>
              <w:ind w:left="240"/>
              <w:spacing w:after="0"/>
              <w:rPr>
                <w:sz w:val="20"/>
                <w:szCs w:val="20"/>
                <w:color w:val="auto"/>
              </w:rPr>
            </w:pPr>
            <w:r>
              <w:rPr>
                <w:rFonts w:ascii="Arial" w:cs="Arial" w:eastAsia="Arial" w:hAnsi="Arial"/>
                <w:sz w:val="18"/>
                <w:szCs w:val="18"/>
                <w:color w:val="auto"/>
                <w:w w:val="96"/>
              </w:rPr>
              <w:t>Chardan Capital</w:t>
            </w: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Markets,</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6"/>
              </w:rPr>
              <w:t>LLC, Chardan</w:t>
            </w:r>
          </w:p>
        </w:tc>
        <w:tc>
          <w:tcPr>
            <w:tcW w:w="2000" w:type="dxa"/>
            <w:vAlign w:val="bottom"/>
            <w:vMerge w:val="restart"/>
          </w:tcPr>
          <w:p>
            <w:pPr>
              <w:ind w:left="80"/>
              <w:spacing w:after="0"/>
              <w:rPr>
                <w:sz w:val="20"/>
                <w:szCs w:val="20"/>
                <w:color w:val="auto"/>
              </w:rPr>
            </w:pPr>
            <w:r>
              <w:rPr>
                <w:rFonts w:ascii="Arial" w:cs="Arial" w:eastAsia="Arial" w:hAnsi="Arial"/>
                <w:sz w:val="18"/>
                <w:szCs w:val="18"/>
                <w:color w:val="auto"/>
                <w:w w:val="97"/>
              </w:rPr>
              <w:t>Healthcare Acquisition 2</w:t>
            </w: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1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1520" w:type="dxa"/>
            <w:vAlign w:val="bottom"/>
            <w:vMerge w:val="restart"/>
          </w:tcPr>
          <w:p>
            <w:pPr>
              <w:ind w:left="240"/>
              <w:spacing w:after="0"/>
              <w:rPr>
                <w:sz w:val="20"/>
                <w:szCs w:val="20"/>
                <w:color w:val="auto"/>
              </w:rPr>
            </w:pPr>
            <w:r>
              <w:rPr>
                <w:rFonts w:ascii="Arial" w:cs="Arial" w:eastAsia="Arial" w:hAnsi="Arial"/>
                <w:sz w:val="18"/>
                <w:szCs w:val="18"/>
                <w:color w:val="auto"/>
                <w:w w:val="98"/>
              </w:rPr>
              <w:t>Corp.,  Chardan</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w w:val="91"/>
              </w:rPr>
              <w:t>NexTech</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6"/>
              </w:rPr>
              <w:t>Acquisition</w:t>
            </w:r>
          </w:p>
        </w:tc>
        <w:tc>
          <w:tcPr>
            <w:tcW w:w="2000" w:type="dxa"/>
            <w:vAlign w:val="bottom"/>
            <w:vMerge w:val="restart"/>
          </w:tcPr>
          <w:p>
            <w:pPr>
              <w:spacing w:after="0"/>
              <w:rPr>
                <w:sz w:val="20"/>
                <w:szCs w:val="20"/>
                <w:color w:val="auto"/>
              </w:rPr>
            </w:pPr>
            <w:r>
              <w:rPr>
                <w:rFonts w:ascii="Arial" w:cs="Arial" w:eastAsia="Arial" w:hAnsi="Arial"/>
                <w:sz w:val="18"/>
                <w:szCs w:val="18"/>
                <w:color w:val="auto"/>
                <w:w w:val="94"/>
              </w:rPr>
              <w:t>Corp.,  Chardan  NexTech</w:t>
            </w: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color w:val="auto"/>
              </w:rPr>
              <w:t>Chardan NexTech Investments LLC</w:t>
            </w:r>
          </w:p>
        </w:tc>
        <w:tc>
          <w:tcPr>
            <w:tcW w:w="2180" w:type="dxa"/>
            <w:vAlign w:val="bottom"/>
            <w:vMerge w:val="restart"/>
          </w:tcPr>
          <w:p>
            <w:pPr>
              <w:jc w:val="center"/>
              <w:ind w:left="110"/>
              <w:spacing w:after="0"/>
              <w:rPr>
                <w:sz w:val="20"/>
                <w:szCs w:val="20"/>
                <w:color w:val="auto"/>
              </w:rPr>
            </w:pPr>
            <w:r>
              <w:rPr>
                <w:rFonts w:ascii="Arial" w:cs="Arial" w:eastAsia="Arial" w:hAnsi="Arial"/>
                <w:sz w:val="18"/>
                <w:szCs w:val="18"/>
                <w:color w:val="auto"/>
                <w:w w:val="86"/>
              </w:rPr>
              <w:t>Jonas Grossman</w:t>
            </w:r>
          </w:p>
        </w:tc>
        <w:tc>
          <w:tcPr>
            <w:tcW w:w="15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5400" w:type="dxa"/>
            <w:vAlign w:val="bottom"/>
            <w:gridSpan w:val="4"/>
            <w:vMerge w:val="restart"/>
          </w:tcPr>
          <w:p>
            <w:pPr>
              <w:ind w:left="240"/>
              <w:spacing w:after="0"/>
              <w:rPr>
                <w:sz w:val="20"/>
                <w:szCs w:val="20"/>
                <w:color w:val="auto"/>
              </w:rPr>
            </w:pPr>
            <w:r>
              <w:rPr>
                <w:rFonts w:ascii="Arial" w:cs="Arial" w:eastAsia="Arial" w:hAnsi="Arial"/>
                <w:sz w:val="18"/>
                <w:szCs w:val="18"/>
                <w:color w:val="auto"/>
                <w:w w:val="98"/>
              </w:rPr>
              <w:t>Investments LLC, Cornix Advisers, LLC, BiomX, Inc. and Ventoux</w:t>
            </w: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color w:val="auto"/>
              </w:rPr>
              <w:t>Cornix Advisers, LLC</w:t>
            </w:r>
          </w:p>
        </w:tc>
        <w:tc>
          <w:tcPr>
            <w:tcW w:w="2180" w:type="dxa"/>
            <w:vAlign w:val="bottom"/>
          </w:tcPr>
          <w:p>
            <w:pPr>
              <w:spacing w:after="0"/>
              <w:rPr>
                <w:sz w:val="9"/>
                <w:szCs w:val="9"/>
                <w:color w:val="auto"/>
              </w:rPr>
            </w:pPr>
          </w:p>
        </w:tc>
        <w:tc>
          <w:tcPr>
            <w:tcW w:w="5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5400" w:type="dxa"/>
            <w:vAlign w:val="bottom"/>
            <w:gridSpan w:val="4"/>
            <w:vMerge w:val="restart"/>
          </w:tcPr>
          <w:p>
            <w:pPr>
              <w:ind w:left="240"/>
              <w:spacing w:after="0"/>
              <w:rPr>
                <w:sz w:val="20"/>
                <w:szCs w:val="20"/>
                <w:color w:val="auto"/>
              </w:rPr>
            </w:pPr>
            <w:r>
              <w:rPr>
                <w:rFonts w:ascii="Arial" w:cs="Arial" w:eastAsia="Arial" w:hAnsi="Arial"/>
                <w:sz w:val="18"/>
                <w:szCs w:val="18"/>
                <w:color w:val="auto"/>
              </w:rPr>
              <w:t>CCM Acquisition Corp. will each have priority over us.</w:t>
            </w: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BiomX, Inc.</w:t>
            </w:r>
          </w:p>
        </w:tc>
        <w:tc>
          <w:tcPr>
            <w:tcW w:w="2180" w:type="dxa"/>
            <w:vAlign w:val="bottom"/>
          </w:tcPr>
          <w:p>
            <w:pPr>
              <w:spacing w:after="0"/>
              <w:rPr>
                <w:sz w:val="10"/>
                <w:szCs w:val="10"/>
                <w:color w:val="auto"/>
              </w:rPr>
            </w:pPr>
          </w:p>
        </w:tc>
        <w:tc>
          <w:tcPr>
            <w:tcW w:w="5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2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Ventoux CCM Acquisition Corp.</w:t>
            </w:r>
          </w:p>
        </w:tc>
        <w:tc>
          <w:tcPr>
            <w:tcW w:w="2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6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180" w:type="dxa"/>
            <w:vAlign w:val="bottom"/>
          </w:tcPr>
          <w:p>
            <w:pPr>
              <w:spacing w:after="0"/>
              <w:rPr>
                <w:sz w:val="24"/>
                <w:szCs w:val="24"/>
                <w:color w:val="auto"/>
              </w:rPr>
            </w:pPr>
          </w:p>
        </w:tc>
        <w:tc>
          <w:tcPr>
            <w:tcW w:w="5400" w:type="dxa"/>
            <w:vAlign w:val="bottom"/>
            <w:gridSpan w:val="4"/>
            <w:vMerge w:val="restart"/>
          </w:tcPr>
          <w:p>
            <w:pPr>
              <w:ind w:left="240"/>
              <w:spacing w:after="0"/>
              <w:rPr>
                <w:sz w:val="20"/>
                <w:szCs w:val="20"/>
                <w:color w:val="auto"/>
              </w:rPr>
            </w:pPr>
            <w:r>
              <w:rPr>
                <w:rFonts w:ascii="Arial" w:cs="Arial" w:eastAsia="Arial" w:hAnsi="Arial"/>
                <w:sz w:val="18"/>
                <w:szCs w:val="18"/>
                <w:color w:val="auto"/>
                <w:w w:val="95"/>
              </w:rPr>
              <w:t>Chardan Capital Markets, LLC, Chardan NexTech Acquisition Corp.</w:t>
            </w: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180" w:type="dxa"/>
            <w:vAlign w:val="bottom"/>
            <w:vMerge w:val="restart"/>
          </w:tcPr>
          <w:p>
            <w:pPr>
              <w:jc w:val="center"/>
              <w:ind w:left="110"/>
              <w:spacing w:after="0"/>
              <w:rPr>
                <w:sz w:val="20"/>
                <w:szCs w:val="20"/>
                <w:color w:val="auto"/>
              </w:rPr>
            </w:pPr>
            <w:r>
              <w:rPr>
                <w:rFonts w:ascii="Arial" w:cs="Arial" w:eastAsia="Arial" w:hAnsi="Arial"/>
                <w:sz w:val="18"/>
                <w:szCs w:val="18"/>
                <w:color w:val="auto"/>
                <w:w w:val="88"/>
              </w:rPr>
              <w:t>Steven Urbach</w:t>
            </w:r>
          </w:p>
        </w:tc>
        <w:tc>
          <w:tcPr>
            <w:tcW w:w="5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5400" w:type="dxa"/>
            <w:vAlign w:val="bottom"/>
            <w:gridSpan w:val="4"/>
            <w:vMerge w:val="restart"/>
          </w:tcPr>
          <w:p>
            <w:pPr>
              <w:ind w:left="240"/>
              <w:spacing w:after="0"/>
              <w:rPr>
                <w:sz w:val="20"/>
                <w:szCs w:val="20"/>
                <w:color w:val="auto"/>
              </w:rPr>
            </w:pPr>
            <w:r>
              <w:rPr>
                <w:rFonts w:ascii="Arial" w:cs="Arial" w:eastAsia="Arial" w:hAnsi="Arial"/>
                <w:sz w:val="18"/>
                <w:szCs w:val="18"/>
                <w:color w:val="auto"/>
              </w:rPr>
              <w:t>and Cornix Advisers, LLC will each have priority over us.</w:t>
            </w: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Cornix Advisers, LLC</w:t>
            </w:r>
          </w:p>
        </w:tc>
        <w:tc>
          <w:tcPr>
            <w:tcW w:w="2180" w:type="dxa"/>
            <w:vAlign w:val="bottom"/>
          </w:tcPr>
          <w:p>
            <w:pPr>
              <w:spacing w:after="0"/>
              <w:rPr>
                <w:sz w:val="10"/>
                <w:szCs w:val="10"/>
                <w:color w:val="auto"/>
              </w:rPr>
            </w:pPr>
          </w:p>
        </w:tc>
        <w:tc>
          <w:tcPr>
            <w:tcW w:w="5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60" w:type="dxa"/>
            <w:vAlign w:val="bottom"/>
            <w:tcBorders>
              <w:bottom w:val="single" w:sz="8" w:color="auto"/>
            </w:tcBorders>
            <w:vMerge w:val="continue"/>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6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180" w:type="dxa"/>
            <w:vAlign w:val="bottom"/>
            <w:vMerge w:val="restart"/>
          </w:tcPr>
          <w:p>
            <w:pPr>
              <w:jc w:val="center"/>
              <w:ind w:left="110"/>
              <w:spacing w:after="0"/>
              <w:rPr>
                <w:sz w:val="20"/>
                <w:szCs w:val="20"/>
                <w:color w:val="auto"/>
              </w:rPr>
            </w:pPr>
            <w:r>
              <w:rPr>
                <w:rFonts w:ascii="Arial" w:cs="Arial" w:eastAsia="Arial" w:hAnsi="Arial"/>
                <w:sz w:val="18"/>
                <w:szCs w:val="18"/>
                <w:color w:val="auto"/>
                <w:w w:val="98"/>
              </w:rPr>
              <w:t>Alex Weil</w:t>
            </w:r>
          </w:p>
        </w:tc>
        <w:tc>
          <w:tcPr>
            <w:tcW w:w="5400" w:type="dxa"/>
            <w:vAlign w:val="bottom"/>
            <w:gridSpan w:val="4"/>
          </w:tcPr>
          <w:p>
            <w:pPr>
              <w:ind w:left="240"/>
              <w:spacing w:after="0"/>
              <w:rPr>
                <w:sz w:val="20"/>
                <w:szCs w:val="20"/>
                <w:color w:val="auto"/>
              </w:rPr>
            </w:pPr>
            <w:r>
              <w:rPr>
                <w:rFonts w:ascii="Arial" w:cs="Arial" w:eastAsia="Arial" w:hAnsi="Arial"/>
                <w:sz w:val="18"/>
                <w:szCs w:val="18"/>
                <w:color w:val="auto"/>
                <w:w w:val="95"/>
              </w:rPr>
              <w:t>Chardan Capital Markets, LLC, Chardan NexTech Acquisition Corp.</w:t>
            </w: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Ventoux CCM Acquisition Corp.</w:t>
            </w:r>
          </w:p>
        </w:tc>
        <w:tc>
          <w:tcPr>
            <w:tcW w:w="2180" w:type="dxa"/>
            <w:vAlign w:val="bottom"/>
            <w:vMerge w:val="continue"/>
          </w:tcPr>
          <w:p>
            <w:pPr>
              <w:spacing w:after="0"/>
              <w:rPr>
                <w:sz w:val="10"/>
                <w:szCs w:val="10"/>
                <w:color w:val="auto"/>
              </w:rPr>
            </w:pPr>
          </w:p>
        </w:tc>
        <w:tc>
          <w:tcPr>
            <w:tcW w:w="5400" w:type="dxa"/>
            <w:vAlign w:val="bottom"/>
            <w:gridSpan w:val="4"/>
            <w:vMerge w:val="restart"/>
          </w:tcPr>
          <w:p>
            <w:pPr>
              <w:ind w:left="240"/>
              <w:spacing w:after="0"/>
              <w:rPr>
                <w:sz w:val="20"/>
                <w:szCs w:val="20"/>
                <w:color w:val="auto"/>
              </w:rPr>
            </w:pPr>
            <w:r>
              <w:rPr>
                <w:rFonts w:ascii="Arial" w:cs="Arial" w:eastAsia="Arial" w:hAnsi="Arial"/>
                <w:sz w:val="18"/>
                <w:szCs w:val="18"/>
                <w:color w:val="auto"/>
                <w:w w:val="96"/>
              </w:rPr>
              <w:t>and Ventoux CCM Acquisition Corp. will each have priority over us.</w:t>
            </w:r>
          </w:p>
        </w:tc>
        <w:tc>
          <w:tcPr>
            <w:tcW w:w="0" w:type="dxa"/>
            <w:vAlign w:val="bottom"/>
          </w:tcPr>
          <w:p>
            <w:pPr>
              <w:spacing w:after="0"/>
              <w:rPr>
                <w:sz w:val="1"/>
                <w:szCs w:val="1"/>
                <w:color w:val="auto"/>
              </w:rPr>
            </w:pPr>
          </w:p>
        </w:tc>
      </w:tr>
      <w:tr>
        <w:trPr>
          <w:trHeight w:val="108"/>
        </w:trPr>
        <w:tc>
          <w:tcPr>
            <w:tcW w:w="3660" w:type="dxa"/>
            <w:vAlign w:val="bottom"/>
            <w:tcBorders>
              <w:bottom w:val="single" w:sz="8" w:color="auto"/>
            </w:tcBorders>
            <w:vMerge w:val="continue"/>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40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PREEM Inc.</w:t>
            </w:r>
          </w:p>
        </w:tc>
        <w:tc>
          <w:tcPr>
            <w:tcW w:w="21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8"/>
              </w:rPr>
              <w:t>Jonathan Biele</w:t>
            </w:r>
          </w:p>
        </w:tc>
        <w:tc>
          <w:tcPr>
            <w:tcW w:w="34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PREEM Inc. will have priority over us.</w:t>
            </w: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Chardan NexTech Acquisition Corp.</w:t>
            </w:r>
          </w:p>
        </w:tc>
        <w:tc>
          <w:tcPr>
            <w:tcW w:w="21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2"/>
              </w:rPr>
              <w:t>Perry Boyle</w:t>
            </w:r>
          </w:p>
        </w:tc>
        <w:tc>
          <w:tcPr>
            <w:tcW w:w="540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rPr>
              <w:t>Chardan NexTech Acquisition Corp. will have priority over us.</w:t>
            </w:r>
          </w:p>
        </w:tc>
        <w:tc>
          <w:tcPr>
            <w:tcW w:w="0" w:type="dxa"/>
            <w:vAlign w:val="bottom"/>
          </w:tcPr>
          <w:p>
            <w:pPr>
              <w:spacing w:after="0"/>
              <w:rPr>
                <w:sz w:val="1"/>
                <w:szCs w:val="1"/>
                <w:color w:val="auto"/>
              </w:rPr>
            </w:pPr>
          </w:p>
        </w:tc>
      </w:tr>
      <w:tr>
        <w:trPr>
          <w:trHeight w:val="411"/>
        </w:trPr>
        <w:tc>
          <w:tcPr>
            <w:tcW w:w="3660" w:type="dxa"/>
            <w:vAlign w:val="bottom"/>
          </w:tcPr>
          <w:p>
            <w:pPr>
              <w:spacing w:after="0"/>
              <w:rPr>
                <w:sz w:val="20"/>
                <w:szCs w:val="20"/>
                <w:color w:val="auto"/>
              </w:rPr>
            </w:pPr>
            <w:r>
              <w:rPr>
                <w:rFonts w:ascii="Arial" w:cs="Arial" w:eastAsia="Arial" w:hAnsi="Arial"/>
                <w:sz w:val="18"/>
                <w:szCs w:val="18"/>
                <w:color w:val="auto"/>
              </w:rPr>
              <w:t>URGE Development Group</w:t>
            </w:r>
          </w:p>
        </w:tc>
        <w:tc>
          <w:tcPr>
            <w:tcW w:w="2180" w:type="dxa"/>
            <w:vAlign w:val="bottom"/>
            <w:vMerge w:val="restart"/>
          </w:tcPr>
          <w:p>
            <w:pPr>
              <w:jc w:val="center"/>
              <w:ind w:left="110"/>
              <w:spacing w:after="0"/>
              <w:rPr>
                <w:sz w:val="20"/>
                <w:szCs w:val="20"/>
                <w:color w:val="auto"/>
              </w:rPr>
            </w:pPr>
            <w:r>
              <w:rPr>
                <w:rFonts w:ascii="Arial" w:cs="Arial" w:eastAsia="Arial" w:hAnsi="Arial"/>
                <w:sz w:val="18"/>
                <w:szCs w:val="18"/>
                <w:color w:val="auto"/>
                <w:w w:val="91"/>
              </w:rPr>
              <w:t>Roderick Hardamon</w:t>
            </w:r>
          </w:p>
        </w:tc>
        <w:tc>
          <w:tcPr>
            <w:tcW w:w="5400" w:type="dxa"/>
            <w:vAlign w:val="bottom"/>
            <w:gridSpan w:val="4"/>
          </w:tcPr>
          <w:p>
            <w:pPr>
              <w:ind w:left="240"/>
              <w:spacing w:after="0"/>
              <w:rPr>
                <w:sz w:val="20"/>
                <w:szCs w:val="20"/>
                <w:color w:val="auto"/>
              </w:rPr>
            </w:pPr>
            <w:r>
              <w:rPr>
                <w:rFonts w:ascii="Arial" w:cs="Arial" w:eastAsia="Arial" w:hAnsi="Arial"/>
                <w:sz w:val="18"/>
                <w:szCs w:val="18"/>
                <w:color w:val="auto"/>
                <w:w w:val="97"/>
              </w:rPr>
              <w:t>URGE Development Group and URGE Imprint LLC will each have</w:t>
            </w: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URGE Imprint LLC</w:t>
            </w:r>
          </w:p>
        </w:tc>
        <w:tc>
          <w:tcPr>
            <w:tcW w:w="2180" w:type="dxa"/>
            <w:vAlign w:val="bottom"/>
            <w:vMerge w:val="continue"/>
          </w:tcPr>
          <w:p>
            <w:pPr>
              <w:spacing w:after="0"/>
              <w:rPr>
                <w:sz w:val="10"/>
                <w:szCs w:val="10"/>
                <w:color w:val="auto"/>
              </w:rPr>
            </w:pPr>
          </w:p>
        </w:tc>
        <w:tc>
          <w:tcPr>
            <w:tcW w:w="1520" w:type="dxa"/>
            <w:vAlign w:val="bottom"/>
            <w:vMerge w:val="restart"/>
          </w:tcPr>
          <w:p>
            <w:pPr>
              <w:ind w:left="240"/>
              <w:spacing w:after="0"/>
              <w:rPr>
                <w:sz w:val="20"/>
                <w:szCs w:val="20"/>
                <w:color w:val="auto"/>
              </w:rPr>
            </w:pPr>
            <w:r>
              <w:rPr>
                <w:rFonts w:ascii="Arial" w:cs="Arial" w:eastAsia="Arial" w:hAnsi="Arial"/>
                <w:sz w:val="18"/>
                <w:szCs w:val="18"/>
                <w:color w:val="auto"/>
              </w:rPr>
              <w:t>priority over us.</w:t>
            </w: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60" w:type="dxa"/>
            <w:vAlign w:val="bottom"/>
            <w:tcBorders>
              <w:bottom w:val="single" w:sz="8" w:color="auto"/>
            </w:tcBorders>
            <w:vMerge w:val="continue"/>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60" w:type="dxa"/>
            <w:vAlign w:val="bottom"/>
          </w:tcPr>
          <w:p>
            <w:pPr>
              <w:spacing w:after="0"/>
              <w:rPr>
                <w:sz w:val="20"/>
                <w:szCs w:val="20"/>
                <w:color w:val="auto"/>
              </w:rPr>
            </w:pPr>
            <w:r>
              <w:rPr>
                <w:rFonts w:ascii="Arial" w:cs="Arial" w:eastAsia="Arial" w:hAnsi="Arial"/>
                <w:sz w:val="18"/>
                <w:szCs w:val="18"/>
                <w:color w:val="auto"/>
              </w:rPr>
              <w:t>The @ Company</w:t>
            </w:r>
          </w:p>
        </w:tc>
        <w:tc>
          <w:tcPr>
            <w:tcW w:w="2180" w:type="dxa"/>
            <w:vAlign w:val="bottom"/>
            <w:vMerge w:val="restart"/>
          </w:tcPr>
          <w:p>
            <w:pPr>
              <w:jc w:val="center"/>
              <w:ind w:left="110"/>
              <w:spacing w:after="0"/>
              <w:rPr>
                <w:sz w:val="20"/>
                <w:szCs w:val="20"/>
                <w:color w:val="auto"/>
              </w:rPr>
            </w:pPr>
            <w:r>
              <w:rPr>
                <w:rFonts w:ascii="Arial" w:cs="Arial" w:eastAsia="Arial" w:hAnsi="Arial"/>
                <w:sz w:val="18"/>
                <w:szCs w:val="18"/>
                <w:color w:val="auto"/>
                <w:w w:val="88"/>
              </w:rPr>
              <w:t>Jory Des Jardins</w:t>
            </w:r>
          </w:p>
        </w:tc>
        <w:tc>
          <w:tcPr>
            <w:tcW w:w="5400" w:type="dxa"/>
            <w:vAlign w:val="bottom"/>
            <w:gridSpan w:val="4"/>
            <w:vMerge w:val="restart"/>
          </w:tcPr>
          <w:p>
            <w:pPr>
              <w:ind w:left="240"/>
              <w:spacing w:after="0"/>
              <w:rPr>
                <w:sz w:val="20"/>
                <w:szCs w:val="20"/>
                <w:color w:val="auto"/>
              </w:rPr>
            </w:pPr>
            <w:r>
              <w:rPr>
                <w:rFonts w:ascii="Arial" w:cs="Arial" w:eastAsia="Arial" w:hAnsi="Arial"/>
                <w:sz w:val="18"/>
                <w:szCs w:val="18"/>
                <w:color w:val="auto"/>
              </w:rPr>
              <w:t>The @ Company and W Fund will each have priority over us.</w:t>
            </w: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W Fund</w:t>
            </w:r>
          </w:p>
        </w:tc>
        <w:tc>
          <w:tcPr>
            <w:tcW w:w="2180" w:type="dxa"/>
            <w:vAlign w:val="bottom"/>
            <w:vMerge w:val="continue"/>
          </w:tcPr>
          <w:p>
            <w:pPr>
              <w:spacing w:after="0"/>
              <w:rPr>
                <w:sz w:val="10"/>
                <w:szCs w:val="10"/>
                <w:color w:val="auto"/>
              </w:rPr>
            </w:pPr>
          </w:p>
        </w:tc>
        <w:tc>
          <w:tcPr>
            <w:tcW w:w="5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60" w:type="dxa"/>
            <w:vAlign w:val="bottom"/>
            <w:tcBorders>
              <w:bottom w:val="single" w:sz="8" w:color="auto"/>
            </w:tcBorders>
            <w:vMerge w:val="continue"/>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noted above, some of our officers and directors are affiliated with Chardan, which is also our sponsor and the underwriter in this offering. Such officers and directors owe a pre-existing fiduciary duty to Chardan, meaning that they will present opportunities to Chardan prior to presenting them to us, if, for example, a potential target company is open to either raising funds in an offering or engaging in a transaction with a SPAC. This may limit the number of potential targets they present to us for purposes of completing a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648"/>
        <w:spacing w:after="0" w:line="273" w:lineRule="auto"/>
        <w:rPr>
          <w:sz w:val="20"/>
          <w:szCs w:val="20"/>
          <w:color w:val="auto"/>
        </w:rPr>
      </w:pPr>
      <w:r>
        <w:rPr>
          <w:rFonts w:ascii="Arial" w:cs="Arial" w:eastAsia="Arial" w:hAnsi="Arial"/>
          <w:sz w:val="17"/>
          <w:szCs w:val="17"/>
          <w:color w:val="auto"/>
        </w:rPr>
        <w:t>In connection with the vote required for any business combination, all of our existing stockholders, including all of our officers and directors, have agreed to vote their respective founder shares in favor of any proposed business combination. In addition, they have agreed to waive their respective rights to participate in any liquidation distribution with respect to those shares of common stock acquired by them prior to this offering. If they purchase shares of common stock in this offering or in the open market, however, they would be entitled to participate in any liquidation distribution in respect of such shares but have agreed not to redeem such shares (or sell their shares in any tender offer) in connection with the consummation of our initial business combination or an amendment to our certificate of incorporation relating to pre-business combination activity.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initial stockholders,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any of our initial stockholders, officers, directors, special advisors or their respective affiliates be paid any finder’s fee, consulting fee or other similar compensation prior to, or for any services they render in order to effectuate, the consummation of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84"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that beneficially owns shares of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warrants, as such warrants are not exercisable within 60 days of the date of this prospectus.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July 23, 2020, our sponsor purchased 1,000,000 shares of common stock for an aggregate purchase price of $25,000. On March 4, 2021, we effected a 2.875-for-1 stock split, resulting in 2,875,000 shares of common stock being held by our sponsor (up to 375,000 of which are subject to forfeiture if the underwriters’ over-allotment option is not exercised in full). In addition, our sponsor has committed, pursuant to a written agreement, to purchase an aggregate of 5,500,000 private warrants for a purchase price of $0.50 per private warrant in a private placement that will occur simultaneously with the closing of this offering. The following table presents the number of shares and percentage of our common stock owned by our initial stockholders before and after this offering. The post-offering numbers and percentages presented assume that the underwriters do not exercise their over-allotment option, that our initial stockholders forfeit 375,000 founder shares on a pro rata basis, and that there are an aggregate of 12,500,000 shares of common stock, consisting of issued and outstanding after this offering.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Prior to Offering</w:t>
            </w:r>
          </w:p>
        </w:tc>
        <w:tc>
          <w:tcPr>
            <w:tcW w:w="29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After Offering</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Approximate</w:t>
            </w:r>
          </w:p>
        </w:tc>
        <w:tc>
          <w:tcPr>
            <w:tcW w:w="3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Percentage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0" w:type="dxa"/>
            <w:vAlign w:val="bottom"/>
            <w:gridSpan w:val="2"/>
          </w:tcPr>
          <w:p>
            <w:pPr>
              <w:jc w:val="center"/>
              <w:ind w:right="44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154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1"/>
              </w:rPr>
              <w:t>Number of</w:t>
            </w:r>
          </w:p>
        </w:tc>
        <w:tc>
          <w:tcPr>
            <w:tcW w:w="140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Shares of</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Shares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0" w:type="dxa"/>
            <w:vAlign w:val="bottom"/>
          </w:tcPr>
          <w:p>
            <w:pPr>
              <w:spacing w:after="0"/>
              <w:rPr>
                <w:sz w:val="1"/>
                <w:szCs w:val="1"/>
                <w:color w:val="auto"/>
              </w:rPr>
            </w:pPr>
          </w:p>
        </w:tc>
      </w:tr>
      <w:tr>
        <w:trPr>
          <w:trHeight w:val="216"/>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220" w:type="dxa"/>
            <w:vAlign w:val="bottom"/>
            <w:vMerge w:val="restart"/>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Common</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CCEEFF"/>
            </w:tcBorders>
            <w:vMerge w:val="continue"/>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8"/>
              </w:rPr>
              <w:t>Owned</w:t>
            </w:r>
            <w:r>
              <w:rPr>
                <w:rFonts w:ascii="Arial" w:cs="Arial" w:eastAsia="Arial" w:hAnsi="Arial"/>
                <w:sz w:val="29"/>
                <w:szCs w:val="29"/>
                <w:b w:val="1"/>
                <w:bCs w:val="1"/>
                <w:color w:val="auto"/>
                <w:w w:val="88"/>
                <w:vertAlign w:val="superscript"/>
              </w:rPr>
              <w:t>(2)</w:t>
            </w:r>
          </w:p>
        </w:tc>
        <w:tc>
          <w:tcPr>
            <w:tcW w:w="3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3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3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Chardan NexTech Investments 2 LLC</w:t>
            </w:r>
            <w:r>
              <w:rPr>
                <w:rFonts w:ascii="Arial" w:cs="Arial" w:eastAsia="Arial" w:hAnsi="Arial"/>
                <w:sz w:val="28"/>
                <w:szCs w:val="28"/>
                <w:color w:val="auto"/>
                <w:vertAlign w:val="superscript"/>
              </w:rPr>
              <w:t>(3)</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Kerry Propper</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Jonas Grossman</w:t>
            </w:r>
            <w:r>
              <w:rPr>
                <w:rFonts w:ascii="Arial" w:cs="Arial" w:eastAsia="Arial" w:hAnsi="Arial"/>
                <w:sz w:val="29"/>
                <w:szCs w:val="29"/>
                <w:color w:val="auto"/>
                <w:vertAlign w:val="superscript"/>
              </w:rPr>
              <w:t>(3)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Steven Urbach</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Weil</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Jonathan Biele</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Perry Boyle</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Roderick Hardamon</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Jory Des Jardins</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All officers and directors as a group (8 individuals)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340" w:hanging="332"/>
        <w:spacing w:after="0" w:line="193" w:lineRule="auto"/>
        <w:tabs>
          <w:tab w:leader="none" w:pos="340" w:val="left"/>
        </w:tabs>
        <w:numPr>
          <w:ilvl w:val="0"/>
          <w:numId w:val="51"/>
        </w:numPr>
        <w:rPr>
          <w:rFonts w:ascii="Arial" w:cs="Arial" w:eastAsia="Arial" w:hAnsi="Arial"/>
          <w:sz w:val="34"/>
          <w:szCs w:val="34"/>
          <w:color w:val="auto"/>
          <w:vertAlign w:val="superscript"/>
        </w:rPr>
      </w:pPr>
      <w:r>
        <w:rPr>
          <w:rFonts w:ascii="Arial" w:cs="Arial" w:eastAsia="Arial" w:hAnsi="Arial"/>
          <w:sz w:val="17"/>
          <w:szCs w:val="17"/>
          <w:color w:val="auto"/>
        </w:rPr>
        <w:t>Unless otherwise indicated, the business address of each of the individuals is c/o Chardan NexTech Acquisition 2 Corp., 17 State Street, 21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Floor, New York, NY 10004.</w:t>
      </w: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Interests shown consist of founder shares.</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sponsor is the record holder of such shares. Jonas Grossman is the sole member of our sponsor. As such, Mr. Grossman may be deemed to have beneficial ownership of the common stock held directly by our sponsor. Each such entity or person disclaims any beneficial ownership of the reported shares other than to the extent of any pecuniary interest they may have therein, directly or indirectly.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7" w:lineRule="auto"/>
        <w:rPr>
          <w:sz w:val="20"/>
          <w:szCs w:val="20"/>
          <w:color w:val="auto"/>
        </w:rPr>
      </w:pPr>
      <w:r>
        <w:rPr>
          <w:rFonts w:ascii="Arial" w:cs="Arial" w:eastAsia="Arial" w:hAnsi="Arial"/>
          <w:sz w:val="18"/>
          <w:szCs w:val="18"/>
          <w:color w:val="auto"/>
        </w:rPr>
        <w:t>Immediately after this offering, our initial stockholders will beneficially own 20% of the then issued and outstanding shares of common stock (assuming none of them purchase any units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the underwriters do not exercise all or a portion of the over-allotment option, our initial stockholders will have up to an aggregate 375,000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sponsor has committed to purchase from us an aggregate of 5,500,000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24 months, the proceeds from the sale of the private warrants will be included in the liquidating distribution to the holders of our public shares.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our sponsor, officers, directors is our “promoter,” as that term is defined under the federal securities 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 of Founder Shares and Private Warrants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the founder shares issued and outstanding prior to the date of this prospectus will be placed in escrow with Continental Stock Transfer &amp; Trust Company, as escrow agent, until (1) with respect to 50% of the founder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10 trading days within any 30-trading day period commencing after our initial business combination and (2) with respect to the remaining 50% of the founder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375,000 of the founder shares may also be released from escrow earlier than this date for forfeiture and cancellation if the over-allotment option is not exercised in full as described above.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648"/>
        <w:spacing w:after="0" w:line="269" w:lineRule="auto"/>
        <w:rPr>
          <w:sz w:val="20"/>
          <w:szCs w:val="20"/>
          <w:color w:val="auto"/>
        </w:rPr>
      </w:pPr>
      <w:r>
        <w:rPr>
          <w:rFonts w:ascii="Arial" w:cs="Arial" w:eastAsia="Arial" w:hAnsi="Arial"/>
          <w:sz w:val="17"/>
          <w:szCs w:val="17"/>
          <w:color w:val="auto"/>
        </w:rPr>
        <w:t>During the escrow period, the holders of the founder shares will not be able to sell or transfer their securities except (1) to any parties (including their respective affiliates and stockholders) participating in the private placement of the private warrants,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(9) in the event of our liquidation prior to our completion of our initial business combination, (10) by virtue of the laws of the State of Delaware or our sponsor’s operating agreement upon dissolution of our sponsor or the organizational documents of Chardan upon dissolution of Chardan; or (11) for the cancellation of up to 375,000 founder shares subject to forfeiture to the extent that the underwriters’ over-allotment is not exercised in full or in part or in connection with the consummation of our initial business combination, in each case (except for clause 11 or with our prior consent) where the transferee agrees to the terms of the escrow agreement and the insider letter.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our sponsor,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If the underwriters do not exercise all or a portion of their over-allotment option, our initial stockholders have agreed to forfeit and immediately cancel up to an aggregate of 375,000 founder shares in proportion to the portion of the over-allotment option that was not exercised.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sponsor has committed to purchase from us an aggregate of 5,500,000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 If we do not complete our initial business combination within 24 months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initial stockholders, holders of the private warrants (and all underlying securities) and holders of the warrants (and all underlying securities) issuable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or warrants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our sponsor,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business that is affiliated with our sponsor, its affiliates, or our officers or directors, including an Affiliated Joint Acquisition. In the event we seek to complete our initial business combination with a business that is affiliated with our sponsor, its affiliates or our officers or directors, we, or a committee of independent directors, will obtain an opinion from an independent investment banking firm or another independent firm that commonly renders valuation opinions that our initial business combination is fair to our stockholders from a financial point of view. Any such Affiliated Joint Acquisition or specified future issuance would be in addition to, and would not include, the forward purchase securities issued pursuant to the forward purchase contract.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72" w:lineRule="auto"/>
        <w:rPr>
          <w:sz w:val="20"/>
          <w:szCs w:val="20"/>
          <w:color w:val="auto"/>
        </w:rPr>
      </w:pPr>
      <w:r>
        <w:rPr>
          <w:rFonts w:ascii="Arial" w:cs="Arial" w:eastAsia="Arial" w:hAnsi="Arial"/>
          <w:sz w:val="17"/>
          <w:szCs w:val="17"/>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Commencing on the date our securities are first listed on Nasdaq, we will pay an amount equal to $10,000 per month to our sponsor for office space, administrative and shared personnel support services. Upon completion of our initial business combination or our liquidation, we will cease paying these monthly fees. Accordingly, in the event the consummation of our initial business combination takes the maximum 24 months, our sponsor will be paid a total of $240,000 ($10,000 per month) and will be entitled to be reimbursed for any out-of-pocket expenses.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 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w:t>
      </w:r>
      <w:r>
        <w:rPr>
          <w:rFonts w:ascii="Arial" w:cs="Arial" w:eastAsia="Arial" w:hAnsi="Arial"/>
          <w:sz w:val="17"/>
          <w:szCs w:val="17"/>
          <w:i w:val="1"/>
          <w:iCs w:val="1"/>
          <w:color w:val="auto"/>
        </w:rPr>
        <w:t>Underwriting (Conflicts of Interest) — Business Combination Marketing Agreement</w:t>
      </w:r>
      <w:r>
        <w:rPr>
          <w:rFonts w:ascii="Arial" w:cs="Arial" w:eastAsia="Arial" w:hAnsi="Arial"/>
          <w:sz w:val="17"/>
          <w:szCs w:val="17"/>
          <w:color w:val="auto"/>
        </w:rPr>
        <w: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648"/>
        <w:spacing w:after="0" w:line="272"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officers to complete a directors’ and officers’ questionnaire that elicits information about related party transactions.</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firm that commonly renders valuation opinions that our initial business combination is fair to our stockholders from a financial point of view. Furthermore, there will be no finder’s fees, reimbursement, consulting fee, non-cash payments,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other than the following payments, none of which will be made from the proceeds of this offering held in the trust account prior to the completion of our initial business combination:</w:t>
      </w:r>
    </w:p>
    <w:p>
      <w:pPr>
        <w:spacing w:after="0" w:line="192" w:lineRule="exact"/>
        <w:rPr>
          <w:sz w:val="20"/>
          <w:szCs w:val="20"/>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Repayment of up to an aggregate of $250,000 in loans made to us by our sponsor, which our sponsor has committed to cover offering-related and organizational expenses;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Repayment to our sponsor for office space, administrative and shared personnel support services, in an amount equal to $10,000 per month;</w:t>
      </w:r>
    </w:p>
    <w:p>
      <w:pPr>
        <w:spacing w:after="0" w:line="248"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Either our sponsor will transfer up to 20,000 founder shares to each of our independent directors or we will pay cash fees to such directors, at our discretion;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w:t>
      </w:r>
    </w:p>
    <w:p>
      <w:pPr>
        <w:spacing w:after="0" w:line="236" w:lineRule="exact"/>
        <w:rPr>
          <w:rFonts w:ascii="Arial" w:cs="Arial" w:eastAsia="Arial" w:hAnsi="Arial"/>
          <w:sz w:val="17"/>
          <w:szCs w:val="17"/>
          <w:color w:val="auto"/>
        </w:rPr>
      </w:pPr>
    </w:p>
    <w:p>
      <w:pPr>
        <w:jc w:val="both"/>
        <w:ind w:left="980" w:right="20" w:hanging="324"/>
        <w:spacing w:after="0" w:line="259"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(provided that in no event will any loans provided by our sponsor be convertible into our securities); and</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Payment to Chardan of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audit committee will review on a quarterly basis all payments that were made to our sponsor, officers or directors, or our or their affiliates.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certificate of incorporation will authorize the issuance of 50,000,000 shares of common stock, $0.0001 par value per share, and 1,000,000 shares of preferred stock, $0.0001 par value per share. As of the date of this prospectus, 2,875,000 shares of common stock are issued and outstanding, which are held by our initial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unit consists of one share of common stock and one-third of one warrant. Each whole warrant entitles the holder thereof to purchase one share of our common stock at a price of $11.50 per share, subject to adjustment as described in this prospectus. Pursuant to the warrant agreement, a warrant holder may exercise its warrants only for a whole number of shares of common stock. Thus, only a whole warrant may be exercised at any given time by a warrant holder.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expect that the common stock and warrants comprising the units will begin separate trading on the 52nd day following the closing of this offering unless Chardan informs us of its decision to allow earlier separate trading,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securities. Holders will need to have their brokers contact our transfer agent in order to separate the units into shares of common stock and warrants.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no event will the common stock and warrants be traded separately until we have filed with the SEC a Current Report on Form 8-K that includes an audited balance sheet reflecting our receipt of the gross proceeds at the closing of this offering. We will file a Current Report on Form 8-K that includes this audited balance sheet upon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closing of this offering, 12,500,000 shares of our common stock will be outstanding (assuming no exercise of the underwriters’ over-allotment option and the corresponding forfeiture of 375,000 founder shares by our initial stockholders), consisting of:</w:t>
      </w:r>
    </w:p>
    <w:p>
      <w:pPr>
        <w:spacing w:after="0" w:line="170"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10,000,000 shares of common stock underlying the units being offered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2,500,000 founder shares held by our initial stockholders.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increase or decrease the size of this offering (including pursuant to Rule 462(b) under the Securities Act),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59" w:lineRule="auto"/>
        <w:rPr>
          <w:sz w:val="20"/>
          <w:szCs w:val="20"/>
          <w:color w:val="auto"/>
        </w:rPr>
      </w:pPr>
      <w:r>
        <w:rPr>
          <w:rFonts w:ascii="Arial" w:cs="Arial" w:eastAsia="Arial" w:hAnsi="Arial"/>
          <w:sz w:val="18"/>
          <w:szCs w:val="18"/>
          <w:color w:val="auto"/>
        </w:rPr>
        <w:t>Because our amended and restated certificate of incorporation will authorize the issuance of up to 50,000,000 shares of common stock, if we were to enter into an initial business combination, we may (depending on the terms of such an initial business combination) be required to increase the number of shares of common stock that we are authorized to issue at the same time as our stockholders vote on the initial business combination to the extent we seek stockholder approval in connection with our initial business combination.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seek stockholder approval in connection with our initial business combination,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7,500,001, or 37.5%, of the 20,000,000 public shares sold in this offering to be voted in favor of an initial business combination (assuming all outstanding shares are voted) in order to have our initial business combination approved (assuming the over-allotment option is not exercised). Additionally, each public stockholder may elect to redeem its public shares irrespective of whether they vote for or against the proposed transaction (subject to the limitation described in the preceding paragraph).</w:t>
      </w:r>
    </w:p>
    <w:p>
      <w:pPr>
        <w:spacing w:after="0" w:line="19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10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24 months from the closing of this offering.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founder shares are identical to the shares of common stock included in the units being sold in this offering, and holders of founder shares have the same stockholder rights as public stockholders, except that (i) the founder shares are subject to certain transfer restrictions, as described in more detail below, (ii) our sponsor, officers and directors have entered into a letter agreement with us, pursuant to which they have agreed (A)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amended and restated certificate of incorporation (x) to modify the substance or timing of our obligation to allow redemption in connection with our initial business combination or to redeem 100% of our public shares if we do not complete our initial business combination within 24 months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such time period, and (iii) are entitled to registration rights. If we submit our initial business combination to our public stockholders for a vote, our sponsor, officers and directors have agreed pursuant to the letter agreement to vote any founder shares held by them and any public shares purchased during or after this offering (including in open market and privately negotiated transactions) in favor of our initial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648"/>
        <w:spacing w:after="0" w:line="254" w:lineRule="auto"/>
        <w:rPr>
          <w:sz w:val="20"/>
          <w:szCs w:val="20"/>
          <w:color w:val="auto"/>
        </w:rPr>
      </w:pPr>
      <w:r>
        <w:rPr>
          <w:rFonts w:ascii="Arial" w:cs="Arial" w:eastAsia="Arial" w:hAnsi="Arial"/>
          <w:sz w:val="18"/>
          <w:szCs w:val="18"/>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are no shares of preferred stock outstanding as of the date of this prospectus. Our amended and restated certificate of incorporation filed with the State of Delaware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that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used as a method of discouraging, delaying or preventing a change in control of us. Although we do not currently intend to issue any shares of preferred stock, we reserve the right to do so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whole warrant entitles the registered holder to purchase one share of our common stock at a price of $11.50 per share, subject to adjustment as discussed below, at any time commencing 30 days after the completion of our initial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 The warrants will expire five years after the completion of our initial business combination, at 5:00 p.m., New York City time, or earlier upon redemption or liquidation.</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648"/>
        <w:spacing w:after="0" w:line="286" w:lineRule="auto"/>
        <w:rPr>
          <w:sz w:val="20"/>
          <w:szCs w:val="20"/>
          <w:color w:val="auto"/>
        </w:rPr>
      </w:pPr>
      <w:r>
        <w:rPr>
          <w:rFonts w:ascii="Arial" w:cs="Arial" w:eastAsia="Arial" w:hAnsi="Arial"/>
          <w:sz w:val="16"/>
          <w:szCs w:val="16"/>
          <w:color w:val="auto"/>
        </w:rPr>
        <w:t>We are registering the offer and sale of our common stock underlying the public warrants under the Securities Act. In addition, we have agreed that as soon as practicable, but in no event later than 15 business days after the closing of our initial business combination, we will use our commercially reasonable best efforts to file with the SEC a registration statement covering the shares of common stock issuable upon exercise of the warrants, to cause such registration statement to become effective within 60 business days after the closing of our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we send the notice of redemption to warrant holders.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common stock may fall below the $16.00 redemption trigger price (as adjusted for stock splits, stock dividends, reorganizations, recapitalizations and the like) as well as the $11.50 warrant exercise price after the redemption notice is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85"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warrants would pay the exercise price by surrendering their warrants for that number of shares of common stock equal to the quotient obtained by dividing</w:t>
      </w:r>
    </w:p>
    <w:p>
      <w:pPr>
        <w:spacing w:after="0" w:line="2" w:lineRule="exact"/>
        <w:rPr>
          <w:sz w:val="20"/>
          <w:szCs w:val="20"/>
          <w:color w:val="auto"/>
        </w:rPr>
      </w:pPr>
    </w:p>
    <w:p>
      <w:pPr>
        <w:jc w:val="both"/>
        <w:ind w:firstLine="8"/>
        <w:spacing w:after="0" w:line="286" w:lineRule="auto"/>
        <w:tabs>
          <w:tab w:leader="none" w:pos="2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average volume weighted average last reported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w:t>
      </w:r>
    </w:p>
    <w:p>
      <w:pPr>
        <w:spacing w:after="0" w:line="4" w:lineRule="exact"/>
        <w:rPr>
          <w:sz w:val="20"/>
          <w:szCs w:val="20"/>
          <w:color w:val="auto"/>
        </w:rPr>
      </w:pPr>
    </w:p>
    <w:p>
      <w:pPr>
        <w:jc w:val="both"/>
        <w:ind w:firstLine="8"/>
        <w:spacing w:after="0" w:line="271" w:lineRule="auto"/>
        <w:tabs>
          <w:tab w:leader="none" w:pos="26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redemption and (ii) fair market value means the volume weighted average price of common stock as reported during the 10-trading day period ending on the trading day prior to the first date on which the shares of common stock trade on the applicable exchange or in the applicable market, regular way, without the right to receive such rights.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(b) certain ordinary cash dividends, (c) to satisfy the redemption rights of the holders of common stock in connection with a proposed initial business combination, (d) to satisfy the redemption rights of the holders of common stock in connection with a stockholder vote to amend our amended and restated certificate of incorporation (i) to modify the substance or timing of our obligation to allow redemption in connection with our initial business combination or to redeem 100% of our common stock if we do not complete our initial business combination within 24 months from the closing of this offering or (ii) with respect to any other provision relating to stockholders’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firstLine="648"/>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our initial business combination on the date of the consummation of our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us to consummate an initial business combination with a target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firstLine="648"/>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 New York in the Borough of Manhattan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in the Borough of Manhattan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private warrants (including the common stock issuable upon exercise of the private warrants) will not be transferable, assignable or salable until 30 days after the completion of our initial business combination (except, among other limited exceptions as described under the section of this prospectus entitled “</w:t>
      </w:r>
      <w:r>
        <w:rPr>
          <w:rFonts w:ascii="Arial" w:cs="Arial" w:eastAsia="Arial" w:hAnsi="Arial"/>
          <w:sz w:val="16"/>
          <w:szCs w:val="16"/>
          <w:i w:val="1"/>
          <w:iCs w:val="1"/>
          <w:color w:val="auto"/>
        </w:rPr>
        <w:t>Principal Stockholders — Restrictions on Transfers of Founder Shares and Private Warrants</w:t>
      </w:r>
      <w:r>
        <w:rPr>
          <w:rFonts w:ascii="Arial" w:cs="Arial" w:eastAsia="Arial" w:hAnsi="Arial"/>
          <w:sz w:val="16"/>
          <w:szCs w:val="16"/>
          <w:color w:val="auto"/>
        </w:rPr>
        <w:t>” to our officers and directors and other persons or entities affiliated with our sponsor) and they will not be redeemable by us so long as they are held by our sponsor or its permitted transferees. Our sponsor, or its permitted transferees, has the option to exercise the private warrants on a cashless basis. Except as described below, the private warrants have terms and provisions that are identical to those of the warrants being sold as part of the units in this offering, including as to exercise price, exercisability and exercise period. If the private warrants are held by holders other than our sponsor or its permitted transferees, the private warrants will be redeemable by us and exercisable by the holders on the same basis as the warrants included in the units being sold in this offering.</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volume weighted average last reported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holders of our private warrants are entitled to certain registration rights and any private warrants purchased by our sponsor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48"/>
        <w:spacing w:after="0" w:line="286" w:lineRule="auto"/>
        <w:rPr>
          <w:sz w:val="20"/>
          <w:szCs w:val="20"/>
          <w:color w:val="auto"/>
        </w:rPr>
      </w:pPr>
      <w:r>
        <w:rPr>
          <w:rFonts w:ascii="Arial" w:cs="Arial" w:eastAsia="Arial" w:hAnsi="Arial"/>
          <w:sz w:val="17"/>
          <w:szCs w:val="17"/>
          <w:color w:val="auto"/>
        </w:rPr>
        <w:t>Our sponsor has agreed not to transfer, assign or sell any of the private warrants (including the common stock issuable upon exercise of any of these warrants) until the date that is 30 days after the date we complete our initial business combination, except those made to our officers and directors and other persons or entities affiliated with our sponsor, among other limited exceptions as described in this prospectus entitled.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transfer agent for our shares of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 a majority of our common stock. Our initial stockholders, who will collectively beneficially own 20% of our common stock upon the closing of this offering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92" w:lineRule="exact"/>
        <w:rPr>
          <w:sz w:val="20"/>
          <w:szCs w:val="20"/>
          <w:color w:val="auto"/>
        </w:rPr>
      </w:pPr>
    </w:p>
    <w:p>
      <w:pPr>
        <w:jc w:val="both"/>
        <w:ind w:left="980" w:hanging="324"/>
        <w:spacing w:after="0" w:line="270"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80" w:lineRule="exact"/>
        <w:rPr>
          <w:rFonts w:ascii="Arial" w:cs="Arial" w:eastAsia="Arial" w:hAnsi="Arial"/>
          <w:sz w:val="17"/>
          <w:szCs w:val="17"/>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10"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firm that commonly renders valuation opinions that such an initial business combination is fair to our stockholders from a financial point of view;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left="980" w:hanging="324"/>
        <w:spacing w:after="0" w:line="273"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our Exchange Act or our listing on Nasdaq, we will provide our public stockholders with the opportunity to redeem their public shares by one of the two methods listed above;</w:t>
      </w:r>
    </w:p>
    <w:p>
      <w:pPr>
        <w:spacing w:after="0" w:line="177"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w:t>
      </w:r>
    </w:p>
    <w:p>
      <w:pPr>
        <w:spacing w:after="0" w:line="186"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pre-business combination activity, we will provide our public stockholders with the opportunity to redeem all or a portion of their shares of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w:t>
      </w:r>
    </w:p>
    <w:p>
      <w:pPr>
        <w:spacing w:after="0" w:line="177" w:lineRule="exact"/>
        <w:rPr>
          <w:rFonts w:ascii="Arial" w:cs="Arial" w:eastAsia="Arial" w:hAnsi="Arial"/>
          <w:sz w:val="17"/>
          <w:szCs w:val="17"/>
          <w:color w:val="auto"/>
        </w:rPr>
      </w:pPr>
    </w:p>
    <w:p>
      <w:pPr>
        <w:ind w:left="980" w:hanging="324"/>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will not effectuate our initial business combination with another blank check company or a similar company with nominal operations;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will not effect our initial business combination unless our sponsor approves of such transaction.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Anti-Takeover Provisions of Delaware Law and our Certificate of Incorporation and By-Laws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classified into two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648"/>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Immediately after this consummation of this offering, we will have 12,500,000 shares of common stock issued and outstanding, or 14,375,000 shares of common stock if the over-allotment option is exercised in full. Of these shares, the 10,000,000 shares sold in this offering,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2,500,000 (or 2,875,000 if the underwriters’ over-allotment is exercised in full) shares are restricted securities under Rule 144, in that they were issued in private transactions not involving a public offering. All of those shares will not be transferable except in limited circumstances described elsewhere in this prospectus, but these restricted securities will be entitled to registration rights as more fully described below under “—</w:t>
      </w:r>
      <w:r>
        <w:rPr>
          <w:rFonts w:ascii="Arial" w:cs="Arial" w:eastAsia="Arial" w:hAnsi="Arial"/>
          <w:sz w:val="17"/>
          <w:szCs w:val="17"/>
          <w:i w:val="1"/>
          <w:iCs w:val="1"/>
          <w:color w:val="auto"/>
        </w:rPr>
        <w:t>Registration Rights</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144</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144, 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w:t>
      </w:r>
    </w:p>
    <w:p>
      <w:pPr>
        <w:spacing w:after="0" w:line="192" w:lineRule="exact"/>
        <w:rPr>
          <w:sz w:val="20"/>
          <w:szCs w:val="20"/>
          <w:color w:val="auto"/>
        </w:rPr>
      </w:pPr>
    </w:p>
    <w:p>
      <w:pPr>
        <w:ind w:left="98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125,000 shares immediately after this offering (or 143,750 if the over-allotment option is exercised in full);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7" w:name="page138"/>
    <w:bookmarkEnd w:id="137"/>
    <w:p>
      <w:pPr>
        <w:ind w:left="980" w:hanging="324"/>
        <w:spacing w:after="0" w:line="342"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our initial stockholders will be able to sell their founder shares and private warrants, and the securities underlying the foregoing, as applicable, pursuant to Rule 144 without registration one year after we have completed our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our sponsor,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 We cannot guarantee that our securities will be approved for listing on Nasdaq.</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following is a discussion of the material U.S. federal income tax considerations generally applicable to the acquisition, ownership and disposition of our units, shares of common stock and warrants, which we refer to collectively as our securities. Because once the shares of common stock and warrants commence separate trading, the components of a unit are separable at the option of the holder, the holder of a unit generally should be treated, for U.S. federal income tax purposes, as the owner of the underlying common stock and one-third of one redeemable warrant components of the unit, as the case may be. As a result, the discussion below with respect to actual holders of common stock and warrants should also apply to holders of units (as the deemed owners of the underlying common stock and warrants that comprise the units). This discussion applies only to securities that are held as capital assets for U.S. federal income tax purposes and is applicable only to holders who purchased units in this offering.</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84" w:lineRule="exact"/>
        <w:rPr>
          <w:sz w:val="20"/>
          <w:szCs w:val="20"/>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 by vote or value;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 and</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partnership or other entity or arrangement treated as a partnership for U.S. federal income tax purposes, the U.S. federal income tax treatment of your partners will generally depend on the status of the partners and your activities.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jc w:val="both"/>
        <w:ind w:firstLine="648"/>
        <w:spacing w:after="0" w:line="259" w:lineRule="auto"/>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WE URGE PROSPECTIVE HOLDERS TO CONSULT THEIR TAX ADVISORS CONCERNING THE U.S. FEDERAL INCOME TAX CONSEQUENCES TO THEM OF ACQUIRING, OWNING AND DISPOSING OF OUR SECURITIES, AS WELL AS THE APPLICATION OF ANY, STATE, LOCAL AND NON-U.S. INCOME, ESTATE AND OTHER TAX CONSIDERATIONS.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Holding Company Status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five or fewer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 statutory, administrative or judicial authority directly addresses the treatment of the unit or instruments similar to the unit for U.S. federal income tax purposes and, therefore, that treatment is not entirely clear. The acquisition of a unit should be treated for U.S. federal income tax purposes as the acquisition of one share of our common stock and one-third of one warrant to acquire one share of our common stock. We intend to treat the acquisition of a unit in this manner and, by purchasing a unit, you agree to adopt such treatment for tax purposes. For U.S. federal income tax purposes, each holder of a unit must allocate the purchase price paid by such holder for such unit between the one share of common stock and the one-third of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common stock and the one-third of one warrant should be the holder’s initial tax basis in such share or one-third of one warrant, as the case may be. Any disposition of a unit should be treated for U.S. federal income tax purposes as a disposition of the share of common stock and one-third of one warrant comprising the unit, and the amount realized on the disposition should be allocated between the common stock and the one-third of one warrant based on their respective relative fair market values (as determined by each such unit holder on all the relevant facts and circumstances) at the time of disposition. The separation of shares of common stock and warrants comprising units should not be a taxable event for U.S. federal income tax purposes.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treatment of the units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units, shares of common stock or warrants who or that is, for U.S. federal income tax purposes:</w:t>
      </w:r>
    </w:p>
    <w:p>
      <w:pPr>
        <w:spacing w:after="0" w:line="170" w:lineRule="exact"/>
        <w:rPr>
          <w:sz w:val="20"/>
          <w:szCs w:val="20"/>
          <w:color w:val="auto"/>
        </w:rPr>
      </w:pPr>
    </w:p>
    <w:p>
      <w:pPr>
        <w:ind w:left="800" w:hanging="44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800" w:hanging="441"/>
        <w:spacing w:after="0" w:line="277"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800" w:hanging="44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rFonts w:ascii="Arial" w:cs="Arial" w:eastAsia="Arial" w:hAnsi="Arial"/>
          <w:sz w:val="18"/>
          <w:szCs w:val="18"/>
          <w:color w:val="auto"/>
        </w:rPr>
      </w:pPr>
    </w:p>
    <w:p>
      <w:pPr>
        <w:jc w:val="both"/>
        <w:ind w:left="800" w:hanging="441"/>
        <w:spacing w:after="0" w:line="263"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 — Gain or Loss on Sale, Taxable Exchange or Other Taxable Disposition of Common Stock and Warrants” below.</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preferential tax rate accorded to long-term capital gains. It is unclear whether the redemption rights with respect to the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 and Warrants.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Upon a sale or other taxable disposition of our common stock or warrants which, in general, would include a redemption of common stock or warrants that is treated as a sale of such securities as described below, and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common stock or warrants so disposed of. Any such capital gain or loss generally will be long-term capital gain or loss if the U.S. holder’s holding period for the common stock or warrants so disposed of exceeds one year. It is unclear, however, whether the redemption rights with respect to the common stock described in this prospectus may suspend the running of the applicable holding period for this purpose. If the running of the holding period for the common stock is suspended, then non-corporate U.S. holders may not be able to satisfy the one-year holding period requirement for long-term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are currently eligible to be taxed at reduced rates. The deductibility of capital losses is subject to limitations.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jc w:val="both"/>
        <w:ind w:firstLine="648"/>
        <w:spacing w:after="0" w:line="291" w:lineRule="auto"/>
        <w:rPr>
          <w:sz w:val="20"/>
          <w:szCs w:val="20"/>
          <w:color w:val="auto"/>
        </w:rPr>
      </w:pPr>
      <w:r>
        <w:rPr>
          <w:rFonts w:ascii="Arial" w:cs="Arial" w:eastAsia="Arial" w:hAnsi="Arial"/>
          <w:sz w:val="16"/>
          <w:szCs w:val="16"/>
          <w:color w:val="auto"/>
        </w:rPr>
        <w:t>Generally, the amount of gain or loss recognized by a U.S. holder is equal to the difference between (i) the sum of the amount of cash and the fair market value of any property received in such disposition (or, if the common stock or warrants are held as part of units at the time of the disposition, the portion of the amount realized on such disposition that is allocated to the common stock or the warrants based upon the then fair market values of the common stock and the warrants included in the units) and (ii) the U.S. holder’s adjusted tax basis in its common stock or warrants so disposed of. A U.S. holder’s adjusted tax basis in its common stock or warrants generally will equal the U.S. holder’s acquisition cost (that is, as discussed above, the portion of the purchase price of a unit allocated to a share of common stock or one-third of one warrant or, as discussed below, the U.S. holder’s initial basis for common stock received upon exercise of warrants) less, in the case of a share of common stock, any prior distributions treated as a return of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the event that a U.S. holder’s common stock is redeemed pursuant to the redemption provisions described under the section of this prospectus entitled “Description of Securities </w:t>
      </w:r>
      <w:r>
        <w:rPr>
          <w:rFonts w:ascii="Arial" w:cs="Arial" w:eastAsia="Arial" w:hAnsi="Arial"/>
          <w:sz w:val="16"/>
          <w:szCs w:val="16"/>
          <w:i w:val="1"/>
          <w:iCs w:val="1"/>
          <w:color w:val="auto"/>
        </w:rPr>
        <w:t>—</w:t>
      </w:r>
      <w:r>
        <w:rPr>
          <w:rFonts w:ascii="Arial" w:cs="Arial" w:eastAsia="Arial" w:hAnsi="Arial"/>
          <w:sz w:val="16"/>
          <w:szCs w:val="16"/>
          <w:color w:val="auto"/>
        </w:rPr>
        <w:t xml:space="preserve"> Common Stock” or if we purchase a U.S. holder’s common stock in an open market transaction (each of which we refer to as a “redemption”), the treatment of the transaction for U.S. federal income tax purposes will depend on whether the redemption qualifies as a sale or exchange of the common stock under Section 302 of the Code. If the redemption qualifies as a sale or exchange of common stock, the U.S. holder will be treated as described under “U.S. Holders — Gain or Loss on Sale, Taxable Exchange or Other Taxable Disposition of Common Stock and Warrants” above. If the redemption does not qualify as a sale or exchange of common stock, the U.S. holder will be treated as receiving a corporate distribution with the tax consequences described above under “U.S. Holders — Taxation of Distributions”. Whether a redemption qualifies for sale or exchange treatment will depend largely on the total number of shares of our stock treated as owned by the U.S. holder (including any stock constructively owned by the U.S. holder described in the following paragraph) relative to all of our shares outstanding both before and after the redemption. The redemption of common stock generally will be treated as a sale of the common stock (rather than as a corporate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of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common stock will not be essentially equivalent to a dividend with respect to a U.S. holder if the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3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common stock will be added to the U.S. holder’s adjusted tax basis in its remaining shares, or, if it has none, to the U.S. holder’s adjusted tax basis in its warrants or possibly in other stock constructively owned by 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on the acquisition of common stock upon exercise of a warrant for cash. The U.S. holder’s tax basis in the share of our common stock received upon exercise of the warrant generally will be an amount equal to the sum of the U.S. holder’s initial investment in the warrant (i.e., the portion of the U.S. holder’s purchase price for the units that is allocated to the warrant, as described above under “— Allocation of Purchase Price and Characterization of a Unit”)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generally should equal the holder’s tax basis in the warrants exercised therefor. If the cashless exercise were treated as not being a realization event (and not a recapitalization), it is unclear whether a U.S. holder’s holding period for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It is also possible that a cashless exercise could be treated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adjusted tax basis in such warrants. Such gain or loss would be long-term or short-term, depending on the U.S. holder’s holding period in the warrants deemed surrendered. In this case, a U.S. holder’s tax basis in the common stock received would equal the sum of the U.S. holder’s tax basis in the warrants exercised (i.e., the portion of the U.S. holder’s purchase price for the units that is allocated to the warrants, as described above under “— Allocation of Purchase Price and Characterization of a Unit”) and the exercise price of such warrants. It is unclear whether a U.S. holder’s holding period for the common stock would commence on the date following the date of exercise or on the date of exercise of the warrants; in either case, the holding period would not include the period during which the U.S. holder held the warrants.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we redeem warrants for cash or if we purchase warrants in an open market transaction, such redemption or purchase generally will be treated as a taxable disposition to the U.S. holder, taxed as described above under “— Gain or Loss on Sale, Taxable Exchange or Other Taxable Disposition of Common Stock and Warrants.” The tax consequences of an exercise of a warrant occurring after our giving notice of an intention to redeem the warrant for $0.01 as described in the section of this prospectus entitled “Description of Securities — Redeemable Warrants — Public Warrants” are unclear under current law. In the case of a cashless exercise, the exercise may be treated either as if we redeemed such warrant for common stock or as an exercise of the warrant. If the cashless exercise of a warrant for common stock is treated as a redemption, then such redemption generally should be treated as a tax-deferred recapitalization for U.S. federal income tax purposes, in which case a U.S. holder should not recognize any gain or loss on such redemption, and accordingly, a U.S. holder’s basis in the common stock received should equal the U.S. holder’s basis in the warrant and the holding period of the shares of common stock would include the holding period of the warrant. If the cashless exercise of a warrant is treated as such, the tax consequences generally should be as described under the heading “U.S. Holders — Exercise, Lapse or Redemption of a Warrant.” In the case of an exercise of a warrant for cash, the tax treatment generally should be as described above under the heading “U.S. Holders — Exercise, Lapse or Redemption of a Warrant.” Due to the lack of clarity under current law regarding the treatment of an exercise of a warrant after our giving notice of an intention to redeem the warrant for $0.01,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U.S. holders of such shares as a distribution (as described under “U.S. Holders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units,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 All U.S. holders should consult their tax advisors regarding the application of information reporting and backup withholding to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common stock or warrants who or that is for U.S. federal income tax purposes a non-resident alien individual (other than certain former citizens and residents of the United States subject to U.S. federal income tax as expatriates), a foreign corporation, or an estate or trust that is not a U.S. holder, 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and Warrants” below. In addition, if we determine that we are likely to be classified as a “U.S. real property holding corporation” (see “Non-U.S. Holders — Gain on Sale, Taxable Exchange or Other Taxable Disposition of Common Stock and Warrants” below), we will withhold 15% of any distribution that exceeds our current and accumulated earnings and profits, including a distribution in redemption of shares of our common stock. See also “Non-U.S. Holders — Possible Constructive Distributions” for potential U.S. federal tax consequences with respect to constructive distributions.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such Non-U.S. holder’s conduct of a trade or business within the United States (or, if an income tax treaty applies, are attributable to a U.S. permanent establishment or fixed base maintained by the non-U.S. holder). Instead, the effectively connected dividends will generally be subject to regular U.S. federal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 and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the discussion of FATCA and backup withholding below, a Non-U.S. holder generally will not be subject to U.S. federal income or withholding tax in respect of gain recognized on a sale, taxable exchange or other taxable disposition of our common stock, which would include a dissolution and liquidation in the event we do not complete an initial business combination within the required period of time, or warrants (including an expiration or redemption of our warrants), in each case without regard to whether those securities were held as part of a unit, unless:</w:t>
      </w:r>
    </w:p>
    <w:p>
      <w:pPr>
        <w:spacing w:after="0" w:line="171" w:lineRule="exact"/>
        <w:rPr>
          <w:sz w:val="20"/>
          <w:szCs w:val="20"/>
          <w:color w:val="auto"/>
        </w:rPr>
      </w:pPr>
    </w:p>
    <w:p>
      <w:pPr>
        <w:ind w:left="800" w:hanging="441"/>
        <w:spacing w:after="0" w:line="308" w:lineRule="auto"/>
        <w:tabs>
          <w:tab w:leader="none" w:pos="8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46" w:lineRule="exact"/>
        <w:rPr>
          <w:rFonts w:ascii="Arial" w:cs="Arial" w:eastAsia="Arial" w:hAnsi="Arial"/>
          <w:sz w:val="17"/>
          <w:szCs w:val="17"/>
          <w:color w:val="auto"/>
        </w:rPr>
      </w:pPr>
    </w:p>
    <w:p>
      <w:pPr>
        <w:jc w:val="both"/>
        <w:ind w:left="800" w:hanging="441"/>
        <w:spacing w:after="0" w:line="273" w:lineRule="auto"/>
        <w:tabs>
          <w:tab w:leader="none" w:pos="8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(including through ownership of warrants),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 We cannot determine whether we will be a U.S. real property holding corporation in the future until we complete an initial business combination. We will be classified as a U.S. real property holding corporation if the fair market value of our “U.S. real property interests” equals or exceeds 50 percent of the sum of the fair market value of our worldwide real property interests plus our other assets used or held for use in a trade or business, as determined for U.S. federal income tax purposes.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characterization for U.S. federal income tax purposes of the redemption of a Non-U.S. holder’s common stock pursuant to the redemption provisions described in the section of this prospectus entitled “Description of Securities — Common Stock” generally will correspond to the U.S. federal income tax characterization of such a redemption of a U.S. holder’s common stock, as described under “U.S. Holders — Redemption of Common Stock” above, and the consequences of the redemption to the Non-U.S. holder will be as described above under “Non-U.S. Holders — Taxation of Distributions” and “Non-U.S. Holders — Gain on Sale, Taxable Exchange or Other Taxable Disposition of Common Stock and Warrants,”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Lapse or Redemption of a Warrant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 exchange, the consequences would be similar to those described above in “Non-U.S. Holders — Gain on Sale, Taxable Exchange or Other Taxable Disposition of Common Stock and Warrants.” The U.S. federal income tax treatment for a Non-U.S. holder of a redemption of warrants for common stock will correspond to the U.S. federal income tax treatment for a U.S. holder of a redemption of warrants for common stock, as described above in “U.S. Holders — Exercise, Lapse or Redemption of a Warrant.” The U.S. federal income tax treatment for a Non-U.S. holder of a redemption of warrants for cash (or if we purchase warrants in an open market transaction) would be similar to that described above in “Non-U.S. Holders — Gain on Sale, Taxable Exchange or Other Taxable Disposition of Common Stock and Warrants.”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Nevertheless, the Non-U.S. holders of the warrants would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(as described under “Non-U.S. Holders — Taxation of Distributions” above). Such constructive distribution would be subject to tax in the same manner as if the Non-U.S. holders of the warrants received a cash distribution from us equal to the fair market value of such increased interest resulting from the adjustment.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our units,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All Non-U.S. holders should consult their tax advisors regarding the application of information reporting and backup withholding to them.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i w:val="1"/>
          <w:iCs w:val="1"/>
          <w:color w:val="auto"/>
        </w:rPr>
        <w:t>FATCA Withholding Taxes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Provisions commonly referred to as “FATCA” impose withholding of 30% on payments of dividends (including constructive dividends) on our common stock or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our securities.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COMMON STOCK AND WARRANTS, INCLUDING THE TAX CONSEQUENCES UNDER STATE, LOCAL, ESTATE, NON-U.S. AND OTHER TAX LAWS AND TAX TREATIES AND THE POSSIBLE EFFECTS OF CHANGES IN U.S. OR OTHER TAX LAWS.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intend to offer our securities described in this prospectus through the underwriters named below. Chardan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9900" w:type="dxa"/>
            <w:vAlign w:val="bottom"/>
            <w:gridSpan w:val="2"/>
          </w:tcPr>
          <w:p>
            <w:pPr>
              <w:ind w:left="4420"/>
              <w:spacing w:after="0"/>
              <w:rPr>
                <w:sz w:val="20"/>
                <w:szCs w:val="20"/>
                <w:color w:val="auto"/>
              </w:rPr>
            </w:pPr>
            <w:r>
              <w:rPr>
                <w:rFonts w:ascii="Arial" w:cs="Arial" w:eastAsia="Arial" w:hAnsi="Arial"/>
                <w:sz w:val="18"/>
                <w:szCs w:val="18"/>
                <w:b w:val="1"/>
                <w:bCs w:val="1"/>
                <w:color w:val="auto"/>
              </w:rPr>
              <w:t>Underwriter</w:t>
            </w:r>
          </w:p>
        </w:tc>
        <w:tc>
          <w:tcPr>
            <w:tcW w:w="1340" w:type="dxa"/>
            <w:vAlign w:val="bottom"/>
            <w:gridSpan w:val="3"/>
          </w:tcPr>
          <w:p>
            <w:pPr>
              <w:ind w:left="420"/>
              <w:spacing w:after="0"/>
              <w:rPr>
                <w:sz w:val="20"/>
                <w:szCs w:val="20"/>
                <w:color w:val="auto"/>
              </w:rPr>
            </w:pPr>
            <w:r>
              <w:rPr>
                <w:rFonts w:ascii="Arial" w:cs="Arial" w:eastAsia="Arial" w:hAnsi="Arial"/>
                <w:sz w:val="18"/>
                <w:szCs w:val="18"/>
                <w:b w:val="1"/>
                <w:bCs w:val="1"/>
                <w:color w:val="auto"/>
              </w:rPr>
              <w:t>Units</w:t>
            </w:r>
          </w:p>
        </w:tc>
      </w:tr>
      <w:tr>
        <w:trPr>
          <w:trHeight w:val="209"/>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9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10,000,000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our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 We cannot guarantee that our securities will be approved for listing on Nasdaq.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granted the underwriters an option to buy up to 1,500,000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Units sold by the underwriters to the public will initially be offered at the offering price set forth on the cover of this prospectus. The underwriters will be entitled to a cash underwriting discount of $500,000. The aggregate amount of the fee paid to the underwriters will remain constant at $500,000,</w:t>
      </w:r>
    </w:p>
    <w:p>
      <w:pPr>
        <w:spacing w:after="0" w:line="265" w:lineRule="auto"/>
        <w:rPr>
          <w:sz w:val="20"/>
          <w:szCs w:val="20"/>
          <w:color w:val="auto"/>
        </w:rPr>
      </w:pPr>
      <w:r>
        <w:rPr>
          <w:rFonts w:ascii="Arial" w:cs="Arial" w:eastAsia="Arial" w:hAnsi="Arial"/>
          <w:sz w:val="17"/>
          <w:szCs w:val="17"/>
          <w:color w:val="auto"/>
        </w:rPr>
        <w:t>even if the over-allotment option is exercised. will receive $ from the total underwriting discount for acting as a qualified independent underwriter. Any units sold by the underwriters to securities dealers may be sold at a discount of up to $ per unit from the public offering price. Any of these securities dealers may resell any units purchased from the underwriters to other brokers or dealers at a discount of up to $ per unit from the</w:t>
      </w:r>
    </w:p>
    <w:p>
      <w:pPr>
        <w:jc w:val="both"/>
        <w:spacing w:after="0" w:line="277" w:lineRule="auto"/>
        <w:rPr>
          <w:sz w:val="20"/>
          <w:szCs w:val="20"/>
          <w:color w:val="auto"/>
        </w:rPr>
      </w:pPr>
      <w:r>
        <w:rPr>
          <w:rFonts w:ascii="Arial" w:cs="Arial" w:eastAsia="Arial" w:hAnsi="Arial"/>
          <w:sz w:val="17"/>
          <w:szCs w:val="17"/>
          <w:color w:val="auto"/>
        </w:rPr>
        <w:t>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1,500,000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Without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1"/>
              <w:spacing w:after="0"/>
              <w:rPr>
                <w:sz w:val="20"/>
                <w:szCs w:val="20"/>
                <w:color w:val="auto"/>
              </w:rPr>
            </w:pPr>
            <w:r>
              <w:rPr>
                <w:rFonts w:ascii="Arial" w:cs="Arial" w:eastAsia="Arial" w:hAnsi="Arial"/>
                <w:sz w:val="18"/>
                <w:szCs w:val="18"/>
                <w:b w:val="1"/>
                <w:bCs w:val="1"/>
                <w:color w:val="auto"/>
              </w:rPr>
              <w:t>Per Unit</w:t>
            </w:r>
          </w:p>
        </w:tc>
        <w:tc>
          <w:tcPr>
            <w:tcW w:w="28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Over-allotment</w:t>
            </w:r>
          </w:p>
        </w:tc>
        <w:tc>
          <w:tcPr>
            <w:tcW w:w="10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Over-allotment</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line="149" w:lineRule="exact"/>
              <w:rPr>
                <w:sz w:val="20"/>
                <w:szCs w:val="20"/>
                <w:color w:val="auto"/>
              </w:rPr>
            </w:pPr>
            <w:r>
              <w:rPr>
                <w:rFonts w:ascii="Arial" w:cs="Arial" w:eastAsia="Arial" w:hAnsi="Arial"/>
                <w:sz w:val="17"/>
                <w:szCs w:val="17"/>
                <w:color w:val="auto"/>
              </w:rPr>
              <w:t>Discount and qualified independent underwriter fees</w:t>
            </w:r>
          </w:p>
        </w:tc>
        <w:tc>
          <w:tcPr>
            <w:tcW w:w="200" w:type="dxa"/>
            <w:vAlign w:val="bottom"/>
          </w:tcPr>
          <w:p>
            <w:pPr>
              <w:jc w:val="right"/>
              <w:ind w:right="12"/>
              <w:spacing w:after="0" w:line="149"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49" w:lineRule="exact"/>
              <w:rPr>
                <w:sz w:val="20"/>
                <w:szCs w:val="20"/>
                <w:color w:val="auto"/>
              </w:rPr>
            </w:pPr>
            <w:r>
              <w:rPr>
                <w:rFonts w:ascii="Arial" w:cs="Arial" w:eastAsia="Arial" w:hAnsi="Arial"/>
                <w:sz w:val="17"/>
                <w:szCs w:val="17"/>
                <w:color w:val="auto"/>
              </w:rPr>
              <w:t>0.005</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(1)</w:t>
            </w:r>
          </w:p>
        </w:tc>
        <w:tc>
          <w:tcPr>
            <w:tcW w:w="180" w:type="dxa"/>
            <w:vAlign w:val="bottom"/>
          </w:tcPr>
          <w:p>
            <w:pPr>
              <w:jc w:val="right"/>
              <w:ind w:right="23"/>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7"/>
                <w:szCs w:val="17"/>
                <w:color w:val="auto"/>
              </w:rPr>
              <w:t>500,000</w:t>
            </w:r>
          </w:p>
        </w:tc>
        <w:tc>
          <w:tcPr>
            <w:tcW w:w="320" w:type="dxa"/>
            <w:vAlign w:val="bottom"/>
            <w:gridSpan w:val="2"/>
          </w:tcPr>
          <w:p>
            <w:pPr>
              <w:jc w:val="right"/>
              <w:ind w:right="30"/>
              <w:spacing w:after="0" w:line="14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44"/>
        </w:trPr>
        <w:tc>
          <w:tcPr>
            <w:tcW w:w="6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w:t>
            </w:r>
            <w:r>
              <w:rPr>
                <w:rFonts w:ascii="Arial" w:cs="Arial" w:eastAsia="Arial" w:hAnsi="Arial"/>
                <w:sz w:val="29"/>
                <w:szCs w:val="29"/>
                <w:color w:val="auto"/>
                <w:vertAlign w:val="superscript"/>
              </w:rPr>
              <w:t>(2)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99,500,000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hanging="332"/>
        <w:spacing w:after="0" w:line="258"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aggregate amount of the fee paid to the underwriters (including the amount payable to the qualified independent underwriter) remains constant at $500,000, even if the over-allotment option is exercised.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offering expenses are estimated at $950,000.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Pricing of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representative. Factors considered in determining the prices and terms of the units, including the shares of common stock and warrants underlying the units, include:</w:t>
      </w:r>
    </w:p>
    <w:p>
      <w:pPr>
        <w:spacing w:after="0" w:line="184"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Rules of the SEC may limit the ability of the underwriters to bid for or purchase our units before the distribution of the units is completed.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the underwriters may engage in the following activities in accordance with the rules:</w:t>
      </w:r>
    </w:p>
    <w:p>
      <w:pPr>
        <w:spacing w:after="0" w:line="207" w:lineRule="exact"/>
        <w:rPr>
          <w:sz w:val="20"/>
          <w:szCs w:val="20"/>
          <w:color w:val="auto"/>
        </w:rPr>
      </w:pPr>
    </w:p>
    <w:p>
      <w:pPr>
        <w:ind w:left="980" w:hanging="324"/>
        <w:spacing w:after="0" w:line="347"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Stabilizing Transactions</w:t>
      </w:r>
      <w:r>
        <w:rPr>
          <w:rFonts w:ascii="Arial" w:cs="Arial" w:eastAsia="Arial" w:hAnsi="Arial"/>
          <w:sz w:val="16"/>
          <w:szCs w:val="16"/>
          <w:color w:val="auto"/>
        </w:rPr>
        <w:t>. The underwriters may make bids or purchases for the purpose of preventing or retarding a decline in the price of</w:t>
      </w:r>
      <w:r>
        <w:rPr>
          <w:rFonts w:ascii="Arial" w:cs="Arial" w:eastAsia="Arial" w:hAnsi="Arial"/>
          <w:sz w:val="16"/>
          <w:szCs w:val="16"/>
          <w:b w:val="1"/>
          <w:bCs w:val="1"/>
          <w:color w:val="auto"/>
        </w:rPr>
        <w:t xml:space="preserve"> </w:t>
      </w:r>
      <w:r>
        <w:rPr>
          <w:rFonts w:ascii="Arial" w:cs="Arial" w:eastAsia="Arial" w:hAnsi="Arial"/>
          <w:sz w:val="16"/>
          <w:szCs w:val="16"/>
          <w:color w:val="auto"/>
        </w:rPr>
        <w:t>our units, as long as stabilizing bids do not exceed the offering price of $10.00 and the underwriters comply with all other applicable rules.</w:t>
      </w:r>
    </w:p>
    <w:p>
      <w:pPr>
        <w:spacing w:after="0" w:line="115"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Over-Allotments and Syndicate Coverage Transactions</w:t>
      </w:r>
      <w:r>
        <w:rPr>
          <w:rFonts w:ascii="Arial" w:cs="Arial" w:eastAsia="Arial" w:hAnsi="Arial"/>
          <w:sz w:val="16"/>
          <w:szCs w:val="16"/>
          <w:color w:val="auto"/>
        </w:rPr>
        <w:t>. The underwriters may create a short position in our units by selling more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980" w:hanging="324"/>
        <w:spacing w:after="0" w:line="282"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Penalty Bids</w:t>
      </w:r>
      <w:r>
        <w:rPr>
          <w:rFonts w:ascii="Arial" w:cs="Arial" w:eastAsia="Arial" w:hAnsi="Arial"/>
          <w:sz w:val="18"/>
          <w:szCs w:val="18"/>
          <w:color w:val="auto"/>
        </w:rPr>
        <w:t>. The representative may reclaim a selling concession from a syndicate member when the units originally sold by the syndicate</w:t>
      </w:r>
      <w:r>
        <w:rPr>
          <w:rFonts w:ascii="Arial" w:cs="Arial" w:eastAsia="Arial" w:hAnsi="Arial"/>
          <w:sz w:val="18"/>
          <w:szCs w:val="18"/>
          <w:b w:val="1"/>
          <w:bCs w:val="1"/>
          <w:color w:val="auto"/>
        </w:rPr>
        <w:t xml:space="preserve"> </w:t>
      </w:r>
      <w:r>
        <w:rPr>
          <w:rFonts w:ascii="Arial" w:cs="Arial" w:eastAsia="Arial" w:hAnsi="Arial"/>
          <w:sz w:val="18"/>
          <w:szCs w:val="18"/>
          <w:color w:val="auto"/>
        </w:rPr>
        <w:t>member are purchased in a stabilizing or syndicate covering transaction to cover syndicate short positions.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been advised by the representative of the underwriters that it does not intend to make a market in our public units.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the Nasdaq, in the over-the-counter market or on any trading market. If any of these transactions are commenced, they may be discontinued without notice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sponsor, an affiliate of Chardan, has committed, pursuant to a written agreement, to purchase an aggregate of 5,500,000 private warrants, at a price of $0.50 per private warrant ($2,750,000 in the aggregate) in a private placement that will occur simultaneously with the closing of this offering. The private warrants have terms and provisions that are identical to the public warrants sold in this offering except as described under “</w:t>
      </w:r>
      <w:r>
        <w:rPr>
          <w:rFonts w:ascii="Arial" w:cs="Arial" w:eastAsia="Arial" w:hAnsi="Arial"/>
          <w:sz w:val="16"/>
          <w:szCs w:val="16"/>
          <w:i w:val="1"/>
          <w:iCs w:val="1"/>
          <w:color w:val="auto"/>
        </w:rPr>
        <w:t>Description of Securities</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Redeemable Warrants — Private Warrants</w:t>
      </w:r>
      <w:r>
        <w:rPr>
          <w:rFonts w:ascii="Arial" w:cs="Arial" w:eastAsia="Arial" w:hAnsi="Arial"/>
          <w:sz w:val="16"/>
          <w:szCs w:val="16"/>
          <w:color w:val="auto"/>
        </w:rPr>
        <w:t>.” The private warrants will be considered underwriting compensation in connection with this offering. Such</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warrants will be subject to lock-up restrictions, as required by FINRA Rule 5110(e)(1) and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5110(e)(2). We have granted our sponsor the registration rights as described under the section “</w:t>
      </w:r>
      <w:r>
        <w:rPr>
          <w:rFonts w:ascii="Arial" w:cs="Arial" w:eastAsia="Arial" w:hAnsi="Arial"/>
          <w:sz w:val="16"/>
          <w:szCs w:val="16"/>
          <w:i w:val="1"/>
          <w:iCs w:val="1"/>
          <w:color w:val="auto"/>
        </w:rPr>
        <w:t>Description of our</w:t>
      </w:r>
      <w:r>
        <w:rPr>
          <w:rFonts w:ascii="Arial" w:cs="Arial" w:eastAsia="Arial" w:hAnsi="Arial"/>
          <w:sz w:val="16"/>
          <w:szCs w:val="16"/>
          <w:color w:val="auto"/>
        </w:rPr>
        <w:t xml:space="preserve"> Securities — </w:t>
      </w:r>
      <w:r>
        <w:rPr>
          <w:rFonts w:ascii="Arial" w:cs="Arial" w:eastAsia="Arial" w:hAnsi="Arial"/>
          <w:sz w:val="16"/>
          <w:szCs w:val="16"/>
          <w:i w:val="1"/>
          <w:iCs w:val="1"/>
          <w:color w:val="auto"/>
        </w:rPr>
        <w:t>Registration Rights</w:t>
      </w:r>
      <w:r>
        <w:rPr>
          <w:rFonts w:ascii="Arial" w:cs="Arial" w:eastAsia="Arial" w:hAnsi="Arial"/>
          <w:sz w:val="16"/>
          <w:szCs w:val="16"/>
          <w:color w:val="auto"/>
        </w:rPr>
        <w:t>.” The demand and piggyback registration rights being granted to our sponsor are subject to FINRA Rule 5110(g) and will be in compliance with FINRA Rule 5110.05.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engaged Chardan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assist us in obtaining stockholder approval for the business combination and assist us with our press releases and public filings in connection with the business combination.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agreed to provide Chardan Capital Markets, LLC with a right of first refusal to participate as lead book running manager for any public or private securities offerings for a period of 24 months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sponsor is an affiliate of Chardan, the representative of the underwriters in this offering, and certain of our officers and directors are affiliated with Chardan. As a result, Chardan is deemed to have a “conflict of interest” within the meaning of FINRA Rule 5121.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0" w:name="page151"/>
    <w:bookmarkEnd w:id="150"/>
    <w:p>
      <w:pPr>
        <w:jc w:val="both"/>
        <w:ind w:firstLine="648"/>
        <w:spacing w:after="0" w:line="274" w:lineRule="auto"/>
        <w:rPr>
          <w:sz w:val="20"/>
          <w:szCs w:val="20"/>
          <w:color w:val="auto"/>
        </w:rPr>
      </w:pPr>
      <w:r>
        <w:rPr>
          <w:rFonts w:ascii="Arial" w:cs="Arial" w:eastAsia="Arial" w:hAnsi="Arial"/>
          <w:sz w:val="17"/>
          <w:szCs w:val="17"/>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w:t>
      </w:r>
    </w:p>
    <w:p>
      <w:pPr>
        <w:jc w:val="both"/>
        <w:spacing w:after="0" w:line="265" w:lineRule="auto"/>
        <w:rPr>
          <w:sz w:val="20"/>
          <w:szCs w:val="20"/>
          <w:color w:val="auto"/>
        </w:rPr>
      </w:pPr>
      <w:r>
        <w:rPr>
          <w:rFonts w:ascii="Arial" w:cs="Arial" w:eastAsia="Arial" w:hAnsi="Arial"/>
          <w:sz w:val="17"/>
          <w:szCs w:val="17"/>
          <w:color w:val="auto"/>
        </w:rPr>
        <w:t>standards of due diligence with respect thereto. has agreed to act as a “qualified independent underwriter” for this offering will receive $ from the total underwriting discount for acting as a qualified independent underwriter. We have agreed to indemnify against certain liabilities incurred</w:t>
      </w:r>
    </w:p>
    <w:p>
      <w:pPr>
        <w:jc w:val="both"/>
        <w:spacing w:after="0" w:line="323" w:lineRule="auto"/>
        <w:rPr>
          <w:sz w:val="20"/>
          <w:szCs w:val="20"/>
          <w:color w:val="auto"/>
        </w:rPr>
      </w:pPr>
      <w:r>
        <w:rPr>
          <w:rFonts w:ascii="Arial" w:cs="Arial" w:eastAsia="Arial" w:hAnsi="Arial"/>
          <w:sz w:val="16"/>
          <w:szCs w:val="16"/>
          <w:color w:val="auto"/>
        </w:rPr>
        <w:t>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225" w:lineRule="exact"/>
        <w:rPr>
          <w:sz w:val="20"/>
          <w:szCs w:val="20"/>
          <w:color w:val="auto"/>
        </w:rPr>
      </w:pPr>
    </w:p>
    <w:p>
      <w:pPr>
        <w:ind w:left="98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Rights of Action — Ontario Purchasers Only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of Personal Information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Reed Smith LLP, is acting as United States counsel in connection with the registration of the offer and sale of our securities under the Securities Act and will pass on the validity of the securities offered in the prospectus. Greenberg Traurig, LLP, is acting as counsel for the underwriters in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of Chardan NexTech Acquisition 2 Corp. as of December 31, 2020, and for the period from June 23,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which contains the Form S-1 and other reports, proxy and information statements and information regarding issuers that file electronically with the SEC.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CCEEFF"/>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Report of Independent Registered Public Accounting Firm</w:t>
              </w:r>
            </w:hyperlink>
          </w:p>
        </w:tc>
        <w:tc>
          <w:tcPr>
            <w:tcW w:w="6380" w:type="dxa"/>
            <w:vAlign w:val="bottom"/>
            <w:shd w:val="clear" w:color="auto" w:fill="CCEEFF"/>
          </w:tcPr>
          <w:p>
            <w:pPr>
              <w:ind w:left="514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F-2</w:t>
              </w:r>
            </w:hyperlink>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Balance Sheet</w:t>
              </w:r>
            </w:hyperlink>
          </w:p>
        </w:tc>
        <w:tc>
          <w:tcPr>
            <w:tcW w:w="6380" w:type="dxa"/>
            <w:vAlign w:val="bottom"/>
          </w:tcPr>
          <w:p>
            <w:pPr>
              <w:ind w:left="514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F-3</w:t>
              </w:r>
            </w:hyperlink>
          </w:p>
        </w:tc>
      </w:tr>
      <w:tr>
        <w:trPr>
          <w:trHeight w:val="216"/>
        </w:trPr>
        <w:tc>
          <w:tcPr>
            <w:tcW w:w="4860" w:type="dxa"/>
            <w:vAlign w:val="bottom"/>
            <w:shd w:val="clear" w:color="auto" w:fill="CCEEFF"/>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Statement of Operations</w:t>
              </w:r>
            </w:hyperlink>
          </w:p>
        </w:tc>
        <w:tc>
          <w:tcPr>
            <w:tcW w:w="6380" w:type="dxa"/>
            <w:vAlign w:val="bottom"/>
            <w:shd w:val="clear" w:color="auto" w:fill="CCEEFF"/>
          </w:tcPr>
          <w:p>
            <w:pPr>
              <w:ind w:left="514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F-4</w:t>
              </w:r>
            </w:hyperlink>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Statement of Changes in Stockholder's Equity</w:t>
              </w:r>
            </w:hyperlink>
          </w:p>
        </w:tc>
        <w:tc>
          <w:tcPr>
            <w:tcW w:w="6380" w:type="dxa"/>
            <w:vAlign w:val="bottom"/>
          </w:tcPr>
          <w:p>
            <w:pPr>
              <w:ind w:left="514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F-5</w:t>
              </w:r>
            </w:hyperlink>
          </w:p>
        </w:tc>
      </w:tr>
      <w:tr>
        <w:trPr>
          <w:trHeight w:val="216"/>
        </w:trPr>
        <w:tc>
          <w:tcPr>
            <w:tcW w:w="4860" w:type="dxa"/>
            <w:vAlign w:val="bottom"/>
            <w:shd w:val="clear" w:color="auto" w:fill="CCEEFF"/>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Statement of Cash Flows</w:t>
              </w:r>
            </w:hyperlink>
          </w:p>
        </w:tc>
        <w:tc>
          <w:tcPr>
            <w:tcW w:w="6380" w:type="dxa"/>
            <w:vAlign w:val="bottom"/>
            <w:shd w:val="clear" w:color="auto" w:fill="CCEEFF"/>
          </w:tcPr>
          <w:p>
            <w:pPr>
              <w:ind w:left="514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F-6</w:t>
              </w:r>
            </w:hyperlink>
          </w:p>
        </w:tc>
      </w:tr>
      <w:tr>
        <w:trPr>
          <w:trHeight w:val="230"/>
        </w:trPr>
        <w:tc>
          <w:tcPr>
            <w:tcW w:w="4860" w:type="dxa"/>
            <w:vAlign w:val="bottom"/>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Notes to Financial Statements</w:t>
              </w:r>
            </w:hyperlink>
          </w:p>
        </w:tc>
        <w:tc>
          <w:tcPr>
            <w:tcW w:w="6380" w:type="dxa"/>
            <w:vAlign w:val="bottom"/>
          </w:tcPr>
          <w:p>
            <w:pPr>
              <w:ind w:left="514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F-7</w:t>
              </w:r>
            </w:hyperlink>
          </w:p>
        </w:tc>
      </w:tr>
      <w:tr>
        <w:trPr>
          <w:trHeight w:val="634"/>
        </w:trPr>
        <w:tc>
          <w:tcPr>
            <w:tcW w:w="486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240"/>
          </w:cols>
          <w:pgMar w:left="320" w:top="904" w:right="339" w:bottom="1440" w:gutter="0" w:footer="0" w:header="0"/>
        </w:sectPr>
      </w:pPr>
    </w:p>
    <w:bookmarkStart w:id="154" w:name="page155"/>
    <w:bookmarkEnd w:id="154"/>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Chardan NexTech Acquisition 2 Corp. (the "Company") as of December 31, 2020, the related statements of operations, changes in stockholder’s equity and cash flows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23,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9440" w:type="dxa"/>
            <w:vAlign w:val="bottom"/>
          </w:tcPr>
          <w:p>
            <w:pPr>
              <w:ind w:left="3740"/>
              <w:spacing w:after="0"/>
              <w:rPr>
                <w:sz w:val="20"/>
                <w:szCs w:val="20"/>
                <w:color w:val="auto"/>
              </w:rPr>
            </w:pPr>
            <w:r>
              <w:rPr>
                <w:rFonts w:ascii="Arial" w:cs="Arial" w:eastAsia="Arial" w:hAnsi="Arial"/>
                <w:sz w:val="18"/>
                <w:szCs w:val="18"/>
                <w:b w:val="1"/>
                <w:bCs w:val="1"/>
                <w:color w:val="auto"/>
              </w:rPr>
              <w:t>CHARDAN NEXTECH ACQUISITION 2 CORP.</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4860"/>
              <w:spacing w:after="0"/>
              <w:rPr>
                <w:sz w:val="20"/>
                <w:szCs w:val="20"/>
                <w:color w:val="auto"/>
              </w:rPr>
            </w:pPr>
            <w:r>
              <w:rPr>
                <w:rFonts w:ascii="Arial" w:cs="Arial" w:eastAsia="Arial" w:hAnsi="Arial"/>
                <w:sz w:val="18"/>
                <w:szCs w:val="18"/>
                <w:b w:val="1"/>
                <w:bCs w:val="1"/>
                <w:color w:val="auto"/>
              </w:rPr>
              <w:t>BALANCE SHEET</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40" w:type="dxa"/>
            <w:vAlign w:val="bottom"/>
          </w:tcPr>
          <w:p>
            <w:pPr>
              <w:ind w:left="476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Current assets - cash</w:t>
            </w:r>
          </w:p>
        </w:tc>
        <w:tc>
          <w:tcPr>
            <w:tcW w:w="7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40" w:type="dxa"/>
            <w:vAlign w:val="bottom"/>
            <w:tcBorders>
              <w:bottom w:val="single" w:sz="8" w:color="CCEEFF"/>
            </w:tcBorders>
            <w:vMerge w:val="continue"/>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367"/>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7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(Note 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Common stock, $0.0001 par value; 5,000,000 shares authorized; 2,875,000 issued and outstanding </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9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38" w:lineRule="auto"/>
        <w:tabs>
          <w:tab w:leader="none" w:pos="221" w:val="left"/>
        </w:tabs>
        <w:numPr>
          <w:ilvl w:val="0"/>
          <w:numId w:val="72"/>
        </w:numPr>
        <w:rPr>
          <w:rFonts w:ascii="Arial" w:cs="Arial" w:eastAsia="Arial" w:hAnsi="Arial"/>
          <w:sz w:val="26"/>
          <w:szCs w:val="26"/>
          <w:color w:val="auto"/>
          <w:vertAlign w:val="superscript"/>
        </w:rPr>
      </w:pPr>
      <w:r>
        <w:rPr>
          <w:rFonts w:ascii="Arial" w:cs="Arial" w:eastAsia="Arial" w:hAnsi="Arial"/>
          <w:sz w:val="16"/>
          <w:szCs w:val="16"/>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6" w:name="page157"/>
    <w:bookmarkEnd w:id="156"/>
    <w:p>
      <w:pPr>
        <w:jc w:val="center"/>
        <w:ind w:right="-51"/>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PERIOD FROM JUNE 23, 2020 (INCEPTION) THROUGH DECEMBER 31, 2020</w:t>
      </w:r>
    </w:p>
    <w:p>
      <w:pPr>
        <w:spacing w:after="0" w:line="225" w:lineRule="exact"/>
        <w:rPr>
          <w:sz w:val="20"/>
          <w:szCs w:val="20"/>
          <w:color w:val="auto"/>
        </w:rPr>
      </w:pPr>
    </w:p>
    <w:tbl>
      <w:tblPr>
        <w:tblLayout w:type="fixed"/>
        <w:tblInd w:w="292"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5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Net loss</w:t>
            </w:r>
          </w:p>
        </w:tc>
        <w:tc>
          <w:tcPr>
            <w:tcW w:w="2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 (1)</w:t>
            </w: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2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8" w:firstLine="8"/>
        <w:spacing w:after="0" w:line="234" w:lineRule="auto"/>
        <w:tabs>
          <w:tab w:leader="none" w:pos="224" w:val="left"/>
        </w:tabs>
        <w:numPr>
          <w:ilvl w:val="0"/>
          <w:numId w:val="73"/>
        </w:numPr>
        <w:rPr>
          <w:rFonts w:ascii="Arial" w:cs="Arial" w:eastAsia="Arial" w:hAnsi="Arial"/>
          <w:sz w:val="27"/>
          <w:szCs w:val="27"/>
          <w:color w:val="auto"/>
          <w:vertAlign w:val="superscript"/>
        </w:rPr>
      </w:pPr>
      <w:r>
        <w:rPr>
          <w:rFonts w:ascii="Arial" w:cs="Arial" w:eastAsia="Arial" w:hAnsi="Arial"/>
          <w:sz w:val="16"/>
          <w:szCs w:val="16"/>
          <w:color w:val="auto"/>
        </w:rPr>
        <w:t>Excludes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57" w:name="page158"/>
    <w:bookmarkEnd w:id="157"/>
    <w:p>
      <w:pPr>
        <w:ind w:left="37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FOR THE PERIOD FROM JUNE 23, 2020 (INCEPTION) THROUGH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Additional</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3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Stockholder's</w:t>
            </w:r>
          </w:p>
        </w:tc>
      </w:tr>
      <w:tr>
        <w:trPr>
          <w:trHeight w:val="209"/>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23, 2020 (inception)</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Issuance of common stock to Sponsor </w:t>
            </w:r>
            <w:r>
              <w:rPr>
                <w:rFonts w:ascii="Arial" w:cs="Arial" w:eastAsia="Arial" w:hAnsi="Arial"/>
                <w:sz w:val="29"/>
                <w:szCs w:val="29"/>
                <w:color w:val="auto"/>
                <w:vertAlign w:val="superscript"/>
              </w:rPr>
              <w:t>(1)</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2,875,000</w:t>
            </w:r>
          </w:p>
        </w:tc>
        <w:tc>
          <w:tcPr>
            <w:tcW w:w="9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288</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24,712</w:t>
            </w:r>
          </w:p>
        </w:tc>
        <w:tc>
          <w:tcPr>
            <w:tcW w:w="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9"/>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2,875,000</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288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24,712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24,000</w:t>
            </w:r>
          </w:p>
        </w:tc>
      </w:tr>
      <w:tr>
        <w:trPr>
          <w:trHeight w:val="27"/>
        </w:trPr>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8"/>
        <w:spacing w:after="0" w:line="238" w:lineRule="auto"/>
        <w:tabs>
          <w:tab w:leader="none" w:pos="221" w:val="left"/>
        </w:tabs>
        <w:numPr>
          <w:ilvl w:val="0"/>
          <w:numId w:val="74"/>
        </w:numPr>
        <w:rPr>
          <w:rFonts w:ascii="Arial" w:cs="Arial" w:eastAsia="Arial" w:hAnsi="Arial"/>
          <w:sz w:val="26"/>
          <w:szCs w:val="26"/>
          <w:color w:val="auto"/>
          <w:vertAlign w:val="superscript"/>
        </w:rPr>
      </w:pPr>
      <w:r>
        <w:rPr>
          <w:rFonts w:ascii="Arial" w:cs="Arial" w:eastAsia="Arial" w:hAnsi="Arial"/>
          <w:sz w:val="16"/>
          <w:szCs w:val="16"/>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8" w:name="page159"/>
    <w:bookmarkEnd w:id="158"/>
    <w:p>
      <w:pPr>
        <w:jc w:val="center"/>
        <w:ind w:left="206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left="2020"/>
        <w:spacing w:after="0"/>
        <w:rPr>
          <w:sz w:val="20"/>
          <w:szCs w:val="20"/>
          <w:color w:val="auto"/>
        </w:rPr>
      </w:pPr>
      <w:r>
        <w:rPr>
          <w:rFonts w:ascii="Arial" w:cs="Arial" w:eastAsia="Arial" w:hAnsi="Arial"/>
          <w:sz w:val="17"/>
          <w:szCs w:val="17"/>
          <w:b w:val="1"/>
          <w:bCs w:val="1"/>
          <w:color w:val="auto"/>
        </w:rPr>
        <w:t>FOR THE PERIOD FROM JUNE 23, 2020 (INCEPTION) THROUGH DECEMBER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common stock to Sponsor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60" w:hanging="757"/>
        <w:spacing w:after="0"/>
        <w:tabs>
          <w:tab w:leader="none" w:pos="7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(1,000)</w:t>
      </w:r>
    </w:p>
    <w:p>
      <w:pPr>
        <w:spacing w:after="0" w:line="25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1,000</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797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25,000</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797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25,000</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31" w:lineRule="exact"/>
        <w:rPr>
          <w:sz w:val="20"/>
          <w:szCs w:val="20"/>
          <w:color w:val="auto"/>
        </w:rPr>
      </w:pPr>
    </w:p>
    <w:p>
      <w:pPr>
        <w:ind w:left="740" w:hanging="737"/>
        <w:spacing w:after="0"/>
        <w:tabs>
          <w:tab w:leader="none" w:pos="7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797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ectPr>
          <w:pgSz w:w="11900" w:h="16838" w:orient="portrait"/>
          <w:cols w:equalWidth="0" w:num="2">
            <w:col w:w="9280" w:space="620"/>
            <w:col w:w="1300"/>
          </w:cols>
          <w:pgMar w:left="320" w:top="688" w:right="379" w:bottom="1440" w:gutter="0" w:footer="0" w:header="0"/>
        </w:sectPr>
      </w:pPr>
    </w:p>
    <w:bookmarkStart w:id="159" w:name="page160"/>
    <w:bookmarkEnd w:id="159"/>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Chardan Nextech Acquisition 2 Corp (the “Company”) is a blank check company incorporated in Delaware on June 23, 2020. The Company was formed for the purpose of effectuating a merger, capital stock exchange, asset acquisition, stock purchase, reorganization or other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June 23, 2020 (inception) through December 31, 2020 relates to the Company’s formation and the proposed initial public offering (“Proposed Public Offering”). The Company will not generate any operating revenues until after the completion of a Business Combination, at the earliest. The Company will generate non-operating income in the form of interest income from the proceeds derived from the Proposed Public Offering.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10,000,000 units (the “Units” and, with respect to the shares of common stock included in the Units being offered, the “Public Shares”) at $10.00 per Unit (or 11,500,000 Units if the underwriters’ over-allotment option is exercised in full), which is discussed in Note 3, and the sale of 5,500,000 warrants (the “Private Warrants”), at a price of $0.50 per Private Warrant, in a private placement to Chardan NexTech Investments 2 LLC (the “Sponsor”), that will close simultaneously with the Proposed Public Offering.</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There is no assurance that the Company will be able to complete a Business Combination successfully. Nasdaq rules provide that the Business Combination must be with one or more target businesses that together have a fair market value equal to at least 80% of the value of the Trust Account (as defined below) (excluding taxes payable on the income earned on the Trust Account) at the time of the signing of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the proceeds from the sale of the Private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stockholders, as described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0" w:name="page161"/>
    <w:bookmarkEnd w:id="160"/>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its tax obligations). The Public Shares subject to redemption will be recorded at redemption value and classified as temporary equity upon the completion of the Proposed Public Offering in accordance with the Financial Accounting Standards Board’s (“FASB”) Accounting Standards Codification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have until 24 months from the closing of the Proposed Public Offering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1" w:name="page162"/>
    <w:bookmarkEnd w:id="161"/>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stockholders have agreed to (i) waive their redemption rights with respect to Founder Shares and any Public Shares they may acquire during or after the Proposed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2"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w:t>
      </w:r>
    </w:p>
    <w:p>
      <w:pPr>
        <w:spacing w:after="0" w:line="2" w:lineRule="exact"/>
        <w:rPr>
          <w:sz w:val="20"/>
          <w:szCs w:val="20"/>
          <w:color w:val="auto"/>
        </w:rPr>
      </w:pPr>
    </w:p>
    <w:p>
      <w:pPr>
        <w:jc w:val="both"/>
        <w:ind w:firstLine="8"/>
        <w:spacing w:after="0" w:line="287" w:lineRule="auto"/>
        <w:tabs>
          <w:tab w:leader="none" w:pos="257" w:val="left"/>
        </w:tabs>
        <w:numPr>
          <w:ilvl w:val="0"/>
          <w:numId w:val="77"/>
        </w:numPr>
        <w:rPr>
          <w:rFonts w:ascii="Arial" w:cs="Arial" w:eastAsia="Arial" w:hAnsi="Arial"/>
          <w:sz w:val="16"/>
          <w:szCs w:val="16"/>
          <w:color w:val="auto"/>
        </w:rPr>
      </w:pPr>
      <w:r>
        <w:rPr>
          <w:rFonts w:ascii="Arial" w:cs="Arial" w:eastAsia="Arial" w:hAnsi="Arial"/>
          <w:sz w:val="16"/>
          <w:szCs w:val="16"/>
          <w:color w:val="auto"/>
        </w:rPr>
        <w:t>$10.00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our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ind w:left="37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w:t>
      </w:r>
      <w:r>
        <w:rPr>
          <w:rFonts w:ascii="Arial" w:cs="Arial" w:eastAsia="Arial" w:hAnsi="Arial"/>
          <w:sz w:val="16"/>
          <w:szCs w:val="16"/>
          <w:i w:val="1"/>
          <w:iCs w:val="1"/>
          <w:color w:val="auto"/>
        </w:rPr>
        <w:t>Disclosures of Uncertainties about an Entity’s Ability to Continue as a Going Concern</w:t>
      </w:r>
      <w:r>
        <w:rPr>
          <w:rFonts w:ascii="Arial" w:cs="Arial" w:eastAsia="Arial" w:hAnsi="Arial"/>
          <w:sz w:val="16"/>
          <w:szCs w:val="16"/>
          <w:color w:val="auto"/>
        </w:rPr>
        <w:t>, management has determined that the Company has access to funds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Sponsor, and the Sponsor has the financial wherewithal to fund the Company, that are sufficient to fund the working capital needs of the Company until the earlier of the consummation of the Proposed Public Offering or one year from the issuance of these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offering costs consist of legal, accounting and other expenses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incurred, will be charged to operations. The Company did not have any deferred offering costs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complies with the accounting and reporting requirements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was deemed to be de minimis for the period from June 23, 2020 (inception) through December 31, 2020. As of December 31, 2020, deferred taxes were de minimus.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loss per share of common stock is computed by dividing net loss by the weighted average number of common shares outstanding during the period, excluding shares of common stock subject to forfeiture. Weighted average shares were reduced for the effect of an aggregate of 375,000 shares of common stock that are subject to forfeiture if the over-allotment option is not exercised by the underwriter (see Note 6). At December 31, 2020,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fair value of the Company’s assets and liabilities, which qualify as financial instruments under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approximates the carrying amounts represented in the accompanying balance sheet, primarily due to their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Proposed Public Offering, the Company will offer for sale up to 10,000,000 Units (or 11,500,000 Units if the underwriters’ over-allotment option is exercised in full) at a purchase price of $10.00 per Unit. Each Unit will consist of one share of common stock, $0.0001 par value, and one-third of one redeemable warrant ("Public Warrant"). Each whole Public Warrant will entitle the holder to purchase one share of common stock at an exercise price of $11.50 per whole share (see Note 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to purchase an aggregate of 5,500,000 Private Warrants at a price of $0.50 per Private Warrant, for an aggregate purchase price of $2,750,000, in a private placement that will occur simultaneously with the closing of the Proposed Public Offering. Each of the Private Warrants is exercisable to purchase one share of common stock at a price of $11.50 per share, subject to adjustment (see Note 7).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(see Note 8). Shares and the associated amounts have been retroactively restated in these financial statements to reflect the stock split. The Founder Shares include an aggregate of up to 375,000 shares of common stock subject to forfeiture by the Sponsor to the extent that the underwriters’ over-allotment is not exercised in full or in part, so that the Sponsor will own, on an as-converted basis, 20% of the Company’s issued and outstanding shares after the Proposed Public Offering (assuming the Sponsor does not purchase any Public Shares in the Proposed Public Offering).</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the Company officers and directors and other persons or entities affiliated with the Sponsor, each of whom will be subject to the same transfer restrictions) until the earlier of (A) one year after the completion of an initial Business Combination or (B) subsequent to an initial Business Combination, (x) if the last reported sale price of the Company's common stock equals or exceeds $12.00 per share (as adjusted for stock splits, stock dividends, reorganizations, recapitalizations and the like) for any 20 trading days within any 30-trading day period commencing at least 150 days after an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23, 2020, the Sponsor agreed to loan the Company an aggregate of up to $250,000 to cover expenses related to the Proposed Public Offering pursuant to a promissory note (the “Promissory Note”). The Promissory note is non-interest bearing and payable on the earlier of (i) June 30, 2021 or</w:t>
      </w:r>
    </w:p>
    <w:p>
      <w:pPr>
        <w:ind w:left="280" w:hanging="272"/>
        <w:spacing w:after="0"/>
        <w:tabs>
          <w:tab w:leader="none" w:pos="2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consummation of the Proposed Public Offering. As of December 31, 2020, there were no borrowings outstanding under the Promissory Note.</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enter into an agreement to the Sponsor, a total of $10,000 per month for office space, administrative, and shared personnel support services. Upon the completion of an initial Business Combination, the Company will cease paying these monthly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December 31, 2020, the Company had no outstanding related party loans.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grant the underwriter a 45-day option to purchase up to 1,500,000 additional Units to cover over-allotments at the Proposed Public Offering price, less the underwriting discounts and commissions.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underwriters will be entitled to a cash underwriting discount and qualified independent underwriter fees in the aggregate of $500,000. The aggregate amount of the fee paid to the underwriters and qualified independent underwriter will remain constant at $500,000, even if the over-allotment option is exercised. The Sponsor has committed to pay this fee on behalf of the Company and receive a non-interest bearing promissory note from the Company in exchange for the payment of such amount. The promissory note will be payable at the closing of the Business Combination.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Proposed Public Offering. As a result, Chardan Capital Markets, LLC will not be entitled to such fee unless the Company consummates the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At December 31, 2020, the Company had no authorized, issued, or outstanding shares of preferred stock. The Company intends to file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Amended and Restated Certificate of Incorporation prior to the closing date of the Proposed Public Offering such that the Company will be authorized to issue 1,000,000 shares of preferred stock with a par value of $0.0001 per share with such designations, voting and other rights and preferences as may be determined from time to time by the Company’s board of directors.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 shares of common stock with a par value of $0.0001 per share. At December 31,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were 2,875,000 shares of common stock issued and outstanding. Of the 2,875,000 shares of common stock outstanding, up to 375,000 shares are subject to forfeiture to the Company by the Sponsor for no consideration to the extent that the underwriters’ over-allotment option is not exercised in full or in part, so that the initial stockholders will collectively own 20% of the Company’s issued and outstanding common stock after a planned public offering.</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Public Warrants </w:t>
      </w:r>
      <w:r>
        <w:rPr>
          <w:rFonts w:ascii="Arial" w:cs="Arial" w:eastAsia="Arial" w:hAnsi="Arial"/>
          <w:sz w:val="16"/>
          <w:szCs w:val="16"/>
          <w:color w:val="auto"/>
        </w:rPr>
        <w:t>—Each whole warrant entitles the registered holder to purchase one share of the Company's common stock at a price of $11.50 per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adjustment as discussed below, at any time commencing on the later of 12 months from the closing of the Proposed Public Offering or 30 days after the completion of a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The warrants will expire five years after the completion of a Business Combination, at 5:00 p.m., New York City time, or earlier upon redemption or liquidation. As of December 31, 2020, there were no warrants outstanding.</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the Company satisfying its obligations with respect to registration. No warrant will be exercisable and the Company will not be obligated to issue shares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not registering the shares of common stock issuable upon exercise of the warrants at this time. However, the Company has agreed that as soon as practicable, but in no event later than 15 business days after the closing of an initial Business Combination, the Company will use its commercially reasonable best efforts to file with the SEC a registration statement covering the shares of common stock issuable upon exercise of the warrants, to cause such registration statement to become effective within 60 business days after the closing of an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Company's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best efforts to register or qualify the shares under applicable blue sky laws to the extent an exemption is not available.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Company may call the Public Warrants for redemption:</w:t>
      </w:r>
    </w:p>
    <w:p>
      <w:pPr>
        <w:spacing w:after="0" w:line="22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the Company sends the notice of redemption to warrant holders.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and when the warrants become redeemable by the Company, the Company may not exercise it's redemption right if the issuance of shares of common stock upon exercise of the warrants is not exempt from registration or qualification under applicable state blue sky laws or the Company is unable to effect such registration or qualification. The Company will use commercially reasonable best efforts to register or qualify such shares of common stock under the blue sky laws of the state of residence in those states in which the warrants were offered by the Company.</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if (x) the Company issues additional shares or equity-linked securities for capital raising purposes in connection with the closing of an initial Business Combination (not including any securities to be issued in connection with the forward purchase agreement to be entered into with the Company's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an initial Business Combination on the date of the consummation of an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the Company to consummate an initial Business Combination with a target business.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ind w:left="37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Private Warrants </w:t>
      </w:r>
      <w:r>
        <w:rPr>
          <w:rFonts w:ascii="Arial" w:cs="Arial" w:eastAsia="Arial" w:hAnsi="Arial"/>
          <w:sz w:val="18"/>
          <w:szCs w:val="18"/>
          <w:color w:val="auto"/>
        </w:rPr>
        <w:t>— The Private Warrants will be identical to the Public Warrants underlying the Units being sold in the Proposed Public Offering,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Private Warrants (including the common stock issuable upon exercise of the Private Warrants) will not be transferable, assignable or salable until 30 days after the completion of an initial Business Combination (except, among limited exceptions, to the Company's officers and directors and other persons or entities affiliated with the Sponsor) and they will not be redeemable by the Company so long as they are held by the Sponsor or its permitted transferees. The Sponsor, or its permitted transferees, has the option to exercise the Private Warrants on a cashless basis. If the Private Warrants are held by holders other than the Sponsor or its permitted transferees, the Private Warrants will be redeemable by the Company and exercisable by the holders on the same basis as the warrants included in the units being sold in the Proposed Public Offering. As of December 31, 2020, there were no private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March 8, 2021, the date that the financial statements were available to be issued. Based 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4, 2021, the Company effected a 2.875-for-1 stock split, resulting in 2,875,000 shares of Common Stock outstanding. All share and per-share amounts have been retroactively restated to reflect the stock split.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t>$100,000,000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Chardan NexTech Acquisition 2 Corp.</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Chardan</w:t>
      </w:r>
    </w:p>
    <w:p>
      <w:pPr>
        <w:spacing w:after="0" w:line="207"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Initial Trustees’ fee</w:t>
            </w:r>
          </w:p>
        </w:tc>
        <w:tc>
          <w:tcPr>
            <w:tcW w:w="3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SEC Registration Fee</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17,356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 (excluding deferred fees)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Transfer agent</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Director and officer liability insurance premiums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Miscellaneous</w:t>
            </w:r>
          </w:p>
        </w:tc>
        <w:tc>
          <w:tcPr>
            <w:tcW w:w="2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178,894</w:t>
            </w:r>
          </w:p>
        </w:tc>
      </w:tr>
      <w:tr>
        <w:trPr>
          <w:trHeight w:val="223"/>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145 of the Delaware General Corporation Law concerning indemnification of officers, directors, employees and agents is set forth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jc w:val="both"/>
        <w:ind w:left="980" w:hanging="324"/>
        <w:spacing w:after="0" w:line="287" w:lineRule="auto"/>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left="324" w:hanging="324"/>
        <w:spacing w:after="0" w:line="288" w:lineRule="auto"/>
        <w:tabs>
          <w:tab w:leader="none" w:pos="324"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rFonts w:ascii="Arial" w:cs="Arial" w:eastAsia="Arial" w:hAnsi="Arial"/>
          <w:sz w:val="16"/>
          <w:szCs w:val="16"/>
          <w:color w:val="auto"/>
        </w:rPr>
      </w:pPr>
    </w:p>
    <w:p>
      <w:pPr>
        <w:jc w:val="both"/>
        <w:ind w:left="324" w:hanging="324"/>
        <w:spacing w:after="0" w:line="311" w:lineRule="auto"/>
        <w:tabs>
          <w:tab w:leader="none" w:pos="324"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48" w:lineRule="exact"/>
        <w:rPr>
          <w:rFonts w:ascii="Arial" w:cs="Arial" w:eastAsia="Arial" w:hAnsi="Arial"/>
          <w:sz w:val="16"/>
          <w:szCs w:val="16"/>
          <w:color w:val="auto"/>
        </w:rPr>
      </w:pPr>
    </w:p>
    <w:p>
      <w:pPr>
        <w:jc w:val="both"/>
        <w:ind w:left="324" w:hanging="324"/>
        <w:spacing w:after="0" w:line="272" w:lineRule="auto"/>
        <w:tabs>
          <w:tab w:leader="none" w:pos="3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7" w:lineRule="exact"/>
        <w:rPr>
          <w:rFonts w:ascii="Arial" w:cs="Arial" w:eastAsia="Arial" w:hAnsi="Arial"/>
          <w:sz w:val="17"/>
          <w:szCs w:val="17"/>
          <w:color w:val="auto"/>
        </w:rPr>
      </w:pPr>
    </w:p>
    <w:p>
      <w:pPr>
        <w:jc w:val="both"/>
        <w:ind w:left="324" w:hanging="324"/>
        <w:spacing w:after="0" w:line="296" w:lineRule="auto"/>
        <w:tabs>
          <w:tab w:leader="none" w:pos="324"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jc w:val="both"/>
        <w:ind w:left="324" w:hanging="324"/>
        <w:spacing w:after="0" w:line="271" w:lineRule="auto"/>
        <w:tabs>
          <w:tab w:leader="none" w:pos="3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rFonts w:ascii="Arial" w:cs="Arial" w:eastAsia="Arial" w:hAnsi="Arial"/>
          <w:sz w:val="17"/>
          <w:szCs w:val="17"/>
          <w:color w:val="auto"/>
        </w:rPr>
      </w:pPr>
    </w:p>
    <w:p>
      <w:pPr>
        <w:jc w:val="both"/>
        <w:ind w:left="324" w:hanging="324"/>
        <w:spacing w:after="0" w:line="257" w:lineRule="auto"/>
        <w:tabs>
          <w:tab w:leader="none" w:pos="3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4" w:name="page175"/>
    <w:bookmarkEnd w:id="174"/>
    <w:p>
      <w:pPr>
        <w:jc w:val="both"/>
        <w:ind w:left="980" w:hanging="324"/>
        <w:spacing w:after="0" w:line="254"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94"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4"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jc w:val="both"/>
        <w:ind w:firstLine="648"/>
        <w:spacing w:after="0" w:line="271"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ind w:firstLine="648"/>
        <w:spacing w:after="0" w:line="263"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10.5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include an aggregate of up to 375,000 founder shares that are subject to forfeiture to the extent that the underwriters’ over-allotment option is not exercised in full or in part. Because these offers and sales were made to a single purchaser in a transaction not involving a public offering, the shares were issued in reliance on the exemption from registration contained in Section 4(a)(2) of the Securities Act.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sponsor has committed to purchase from us an aggregate of 5,500,000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 Because this offer and sale is being made to a single purchaser, the sale does not involve a public offering and is being made in reliance on the exemption from registration contained in Section 4(a)(2) of the Securities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100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41"/>
        </w:trPr>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of Business Combination Marketing Agreement by and between the Registrant and Chardan Capital Markets LLC.</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3.1*</w:t>
              </w:r>
            </w:hyperlink>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Certificate of Incorporation.</w:t>
              </w:r>
            </w:hyperlink>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3.2*</w:t>
              </w:r>
            </w:hyperlink>
          </w:p>
        </w:tc>
        <w:tc>
          <w:tcPr>
            <w:tcW w:w="100" w:type="dxa"/>
            <w:vAlign w:val="bottom"/>
          </w:tcPr>
          <w:p>
            <w:pPr>
              <w:spacing w:after="0"/>
              <w:rPr>
                <w:sz w:val="20"/>
                <w:szCs w:val="20"/>
                <w:color w:val="auto"/>
              </w:rPr>
            </w:pPr>
          </w:p>
        </w:tc>
        <w:tc>
          <w:tcPr>
            <w:tcW w:w="10000" w:type="dxa"/>
            <w:vAlign w:val="bottom"/>
          </w:tcPr>
          <w:p>
            <w:pPr>
              <w:ind w:left="20"/>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Certificate of Amendment to the Certificate of Incorporation.</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Amended and Restated Certificate of Incorporation.</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3.4*</w:t>
              </w:r>
            </w:hyperlink>
          </w:p>
        </w:tc>
        <w:tc>
          <w:tcPr>
            <w:tcW w:w="100" w:type="dxa"/>
            <w:vAlign w:val="bottom"/>
          </w:tcPr>
          <w:p>
            <w:pPr>
              <w:spacing w:after="0"/>
              <w:rPr>
                <w:sz w:val="20"/>
                <w:szCs w:val="20"/>
                <w:color w:val="auto"/>
              </w:rPr>
            </w:pPr>
          </w:p>
        </w:tc>
        <w:tc>
          <w:tcPr>
            <w:tcW w:w="10000" w:type="dxa"/>
            <w:vAlign w:val="bottom"/>
          </w:tcPr>
          <w:p>
            <w:pPr>
              <w:ind w:left="2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Bylaws.</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Specimen Unit Certificate.</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Specimen Common Stock Certificate.</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Specimen Warrant Certificate.</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of Warrant Agreement between Continental Stock Transfer &amp; Trust Company and the Registrant.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Opinion of Reed Smith LLP.</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of Letter Agreement among the Registrant and the Company’s officers, directors and stockholders.</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Form of Investment Management Trust Agreement between Continental Stock Transfer &amp; Trust Company and the Registrant.</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9"/>
              </w:rPr>
              <w:t>Form of Escrow Agreement between the Registrant, Continental Stock Transfer &amp; Trust Company and the Initial Stockholders.</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10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Form of Registration Rights Agreement among the Registrant and the Initial Stockholders and Continental Stock Transfer &amp; Trust</w:t>
            </w:r>
          </w:p>
        </w:tc>
        <w:tc>
          <w:tcPr>
            <w:tcW w:w="0" w:type="dxa"/>
            <w:vAlign w:val="bottom"/>
          </w:tcPr>
          <w:p>
            <w:pPr>
              <w:spacing w:after="0"/>
              <w:rPr>
                <w:sz w:val="1"/>
                <w:szCs w:val="1"/>
                <w:color w:val="auto"/>
              </w:rPr>
            </w:pPr>
          </w:p>
        </w:tc>
      </w:tr>
      <w:tr>
        <w:trPr>
          <w:trHeight w:val="122"/>
        </w:trPr>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28"/>
        </w:trPr>
        <w:tc>
          <w:tcPr>
            <w:tcW w:w="1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of Indemnity Agreement.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10.6*</w:t>
              </w:r>
            </w:hyperlink>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Form of Subscription Agreement dated July 23, 2020, by and between the Registrant and Sponsor.</w:t>
              </w:r>
            </w:hyperlink>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10.7*</w:t>
              </w:r>
            </w:hyperlink>
          </w:p>
        </w:tc>
        <w:tc>
          <w:tcPr>
            <w:tcW w:w="100" w:type="dxa"/>
            <w:vAlign w:val="bottom"/>
          </w:tcPr>
          <w:p>
            <w:pPr>
              <w:spacing w:after="0"/>
              <w:rPr>
                <w:sz w:val="20"/>
                <w:szCs w:val="20"/>
                <w:color w:val="auto"/>
              </w:rPr>
            </w:pPr>
          </w:p>
        </w:tc>
        <w:tc>
          <w:tcPr>
            <w:tcW w:w="10000" w:type="dxa"/>
            <w:vAlign w:val="bottom"/>
          </w:tcPr>
          <w:p>
            <w:pPr>
              <w:ind w:left="20"/>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Form of Promissory Note.</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Services Agreement.</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Private Placement Warrants Purchase Agreement.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Code of Ethics.</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23.1*</w:t>
              </w:r>
            </w:hyperlink>
          </w:p>
        </w:tc>
        <w:tc>
          <w:tcPr>
            <w:tcW w:w="100" w:type="dxa"/>
            <w:vAlign w:val="bottom"/>
          </w:tcPr>
          <w:p>
            <w:pPr>
              <w:spacing w:after="0"/>
              <w:rPr>
                <w:sz w:val="20"/>
                <w:szCs w:val="20"/>
                <w:color w:val="auto"/>
              </w:rPr>
            </w:pPr>
          </w:p>
        </w:tc>
        <w:tc>
          <w:tcPr>
            <w:tcW w:w="10000" w:type="dxa"/>
            <w:vAlign w:val="bottom"/>
          </w:tcPr>
          <w:p>
            <w:pPr>
              <w:ind w:left="2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Consent of WithimSmith+Brown, PC.</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23.2 **</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Consent of Reed Smith LLP (included in Exhibit 5.1).</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24*</w:t>
              </w:r>
            </w:hyperlink>
          </w:p>
        </w:tc>
        <w:tc>
          <w:tcPr>
            <w:tcW w:w="100" w:type="dxa"/>
            <w:vAlign w:val="bottom"/>
          </w:tcPr>
          <w:p>
            <w:pPr>
              <w:spacing w:after="0"/>
              <w:rPr>
                <w:sz w:val="20"/>
                <w:szCs w:val="20"/>
                <w:color w:val="auto"/>
              </w:rPr>
            </w:pPr>
          </w:p>
        </w:tc>
        <w:tc>
          <w:tcPr>
            <w:tcW w:w="10000" w:type="dxa"/>
            <w:vAlign w:val="bottom"/>
          </w:tcPr>
          <w:p>
            <w:pPr>
              <w:ind w:left="20"/>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Power of Attorney (included on the signature page of the original filing hereof).</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Committee Charter.</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Compensation Committee Charter.</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Consent of Jonathan Biele.</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Consent of Perry Boyle.</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Consent of Roderick Hardamon.</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Consent of Jory Des Jardins.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7830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340" w:right="9500" w:hanging="8"/>
        <w:spacing w:after="0" w:line="623" w:lineRule="auto"/>
        <w:tabs>
          <w:tab w:leader="none" w:pos="664" w:val="left"/>
        </w:tabs>
        <w:numPr>
          <w:ilvl w:val="0"/>
          <w:numId w:val="83"/>
        </w:numPr>
        <w:rPr>
          <w:rFonts w:ascii="Arial" w:cs="Arial" w:eastAsia="Arial" w:hAnsi="Arial"/>
          <w:sz w:val="16"/>
          <w:szCs w:val="16"/>
          <w:color w:val="auto"/>
        </w:rPr>
      </w:pPr>
      <w:r>
        <w:rPr>
          <w:rFonts w:ascii="Arial" w:cs="Arial" w:eastAsia="Arial" w:hAnsi="Arial"/>
          <w:sz w:val="16"/>
          <w:szCs w:val="16"/>
          <w:color w:val="auto"/>
        </w:rPr>
        <w:t>Filed herewith. **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 included in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980" w:hanging="324"/>
        <w:spacing w:after="0" w:line="342" w:lineRule="auto"/>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23" w:lineRule="exact"/>
        <w:rPr>
          <w:rFonts w:ascii="Arial" w:cs="Arial" w:eastAsia="Arial" w:hAnsi="Arial"/>
          <w:sz w:val="16"/>
          <w:szCs w:val="16"/>
          <w:color w:val="auto"/>
        </w:rPr>
      </w:pPr>
    </w:p>
    <w:p>
      <w:pPr>
        <w:jc w:val="both"/>
        <w:ind w:left="980" w:hanging="324"/>
        <w:spacing w:after="0" w:line="271" w:lineRule="auto"/>
        <w:tabs>
          <w:tab w:leader="none" w:pos="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jc w:val="both"/>
        <w:ind w:left="1620" w:hanging="316"/>
        <w:spacing w:after="0" w:line="290" w:lineRule="auto"/>
        <w:tabs>
          <w:tab w:leader="none" w:pos="16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5" w:lineRule="exact"/>
        <w:rPr>
          <w:rFonts w:ascii="Arial" w:cs="Arial" w:eastAsia="Arial" w:hAnsi="Arial"/>
          <w:sz w:val="16"/>
          <w:szCs w:val="16"/>
          <w:color w:val="auto"/>
        </w:rPr>
      </w:pPr>
    </w:p>
    <w:p>
      <w:pPr>
        <w:jc w:val="both"/>
        <w:ind w:left="1620" w:hanging="316"/>
        <w:spacing w:after="0" w:line="275" w:lineRule="auto"/>
        <w:tabs>
          <w:tab w:leader="none" w:pos="16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6" w:lineRule="exact"/>
        <w:rPr>
          <w:rFonts w:ascii="Arial" w:cs="Arial" w:eastAsia="Arial" w:hAnsi="Arial"/>
          <w:sz w:val="17"/>
          <w:szCs w:val="17"/>
          <w:color w:val="auto"/>
        </w:rPr>
      </w:pPr>
    </w:p>
    <w:p>
      <w:pPr>
        <w:ind w:left="2280" w:hanging="328"/>
        <w:spacing w:after="0" w:line="277" w:lineRule="auto"/>
        <w:tabs>
          <w:tab w:leader="none" w:pos="22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2280" w:hanging="328"/>
        <w:spacing w:after="0" w:line="277" w:lineRule="auto"/>
        <w:tabs>
          <w:tab w:leader="none" w:pos="22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left="1160" w:hanging="328"/>
        <w:spacing w:after="0" w:line="277" w:lineRule="auto"/>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160" w:hanging="328"/>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March, 2021.</w:t>
      </w:r>
    </w:p>
    <w:p>
      <w:pPr>
        <w:spacing w:after="0" w:line="3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Jonas Grossman, Steven Urbach and Kerry Propper as his or her true and lawful attorney-in-fact,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04"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5031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 Jonas Grossman</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31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/s/ Steven Urbach</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Urbach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31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ind w:left="1420"/>
              <w:spacing w:after="0"/>
              <w:rPr>
                <w:sz w:val="20"/>
                <w:szCs w:val="20"/>
                <w:color w:val="auto"/>
              </w:rPr>
            </w:pPr>
            <w:r>
              <w:rPr>
                <w:rFonts w:ascii="Arial" w:cs="Arial" w:eastAsia="Arial" w:hAnsi="Arial"/>
                <w:sz w:val="18"/>
                <w:szCs w:val="18"/>
                <w:b w:val="1"/>
                <w:bCs w:val="1"/>
                <w:color w:val="auto"/>
              </w:rPr>
              <w:t>Position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0"/>
        </w:trPr>
        <w:tc>
          <w:tcPr>
            <w:tcW w:w="34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line="195" w:lineRule="exact"/>
              <w:rPr>
                <w:sz w:val="20"/>
                <w:szCs w:val="20"/>
                <w:color w:val="auto"/>
              </w:rPr>
            </w:pPr>
            <w:r>
              <w:rPr>
                <w:rFonts w:ascii="Arial" w:cs="Arial" w:eastAsia="Arial" w:hAnsi="Arial"/>
                <w:sz w:val="18"/>
                <w:szCs w:val="18"/>
                <w:color w:val="auto"/>
              </w:rPr>
              <w:t>Chief Executive Officer, President,</w:t>
            </w:r>
          </w:p>
        </w:tc>
        <w:tc>
          <w:tcPr>
            <w:tcW w:w="10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2"/>
              </w:rPr>
              <w:t>March 8, 2021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Secretary, Treasurer and Director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3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March 8, 2021</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471170</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360" w:space="720"/>
            <w:col w:w="7160"/>
          </w:cols>
          <w:pgMar w:left="320" w:top="904" w:right="33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22"/>
          <w:szCs w:val="22"/>
          <w:b w:val="1"/>
          <w:bCs w:val="1"/>
          <w:color w:val="auto"/>
        </w:rPr>
        <w:t>Exhibit 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CHARDAN GLOBAL ACQUISITION 3 CORP.</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in order to form a corporation for the purposes herein stated, under and pursuant to the provisions of the General Corporation Law of the State of Delaware, hereby certifies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Chardan Global Acquisition 3 Corp. (hereinafter called the “Corporation”).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registered office of the Corporation is to be located at 3411 Silverside Road, Tatnall Building, #104, in the City of Wilmington,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County of New Castle, Delaware 19901. The name of its Registered Agent at such address is Corporate Creations Network Inc.</w:t>
      </w:r>
    </w:p>
    <w:p>
      <w:pPr>
        <w:spacing w:after="0" w:line="14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purpose of the Corporation is to engage in any lawful act or activity for which corporations may be organized under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of Delaware.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7"/>
          <w:szCs w:val="17"/>
          <w:color w:val="auto"/>
        </w:rPr>
        <w:t>The name and mailing address of the incorporator is: Jaszick Maldonado, c</w:t>
      </w:r>
      <w:r>
        <w:rPr>
          <w:rFonts w:ascii="Arial" w:cs="Arial" w:eastAsia="Arial" w:hAnsi="Arial"/>
          <w:sz w:val="17"/>
          <w:szCs w:val="17"/>
          <w:color w:val="211C26"/>
        </w:rPr>
        <w:t>/</w:t>
      </w:r>
      <w:r>
        <w:rPr>
          <w:rFonts w:ascii="Arial" w:cs="Arial" w:eastAsia="Arial" w:hAnsi="Arial"/>
          <w:sz w:val="17"/>
          <w:szCs w:val="17"/>
          <w:color w:val="auto"/>
        </w:rPr>
        <w:t>o Loeb &amp; Loeb LLP, 345 Park Avenue, New York 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10154.</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The total number of shares which the Corporation shall have authority to issue is five million (5,000,000)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$0.0001 par value.</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SIXTH: </w:t>
      </w:r>
      <w:r>
        <w:rPr>
          <w:rFonts w:ascii="Arial" w:cs="Arial" w:eastAsia="Arial" w:hAnsi="Arial"/>
          <w:sz w:val="17"/>
          <w:szCs w:val="17"/>
          <w:color w:val="auto"/>
        </w:rPr>
        <w:t>A Director of the Corporation shall not be liable to the Corporation or its stockholders for monetary damages for breach of fiduciary duty</w:t>
      </w:r>
      <w:r>
        <w:rPr>
          <w:rFonts w:ascii="Arial" w:cs="Arial" w:eastAsia="Arial" w:hAnsi="Arial"/>
          <w:sz w:val="17"/>
          <w:szCs w:val="17"/>
          <w:b w:val="1"/>
          <w:bCs w:val="1"/>
          <w:color w:val="auto"/>
        </w:rPr>
        <w:t xml:space="preserve"> </w:t>
      </w:r>
      <w:r>
        <w:rPr>
          <w:rFonts w:ascii="Arial" w:cs="Arial" w:eastAsia="Arial" w:hAnsi="Arial"/>
          <w:sz w:val="17"/>
          <w:szCs w:val="17"/>
          <w:color w:val="auto"/>
        </w:rPr>
        <w:t>as a Director of the Corporation, except to the extent that exculpation from liability is not permitted under the General Corporation Law of the State of Delaware as in effect at the time such liability is determined. No amendment or repeal of this paragraph shall apply to or have any effect on the liability or alleged liability of any Director of the Corporation for or with respect to any acts or omissions of such Director occurring</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SEVENTH: </w:t>
      </w:r>
      <w:r>
        <w:rPr>
          <w:rFonts w:ascii="Arial" w:cs="Arial" w:eastAsia="Arial" w:hAnsi="Arial"/>
          <w:sz w:val="17"/>
          <w:szCs w:val="17"/>
          <w:color w:val="auto"/>
        </w:rPr>
        <w:t>In furtherance and not in imitation of the powers conferred by statute, the Board of Directors of the Corporation is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to make, alter or repeal the By-Laws of the Corporation; provided, however, that no By-Laws hereafter adopted by the Board of Directors or stockholder</w:t>
      </w:r>
      <w:r>
        <w:rPr>
          <w:rFonts w:ascii="Arial" w:cs="Arial" w:eastAsia="Arial" w:hAnsi="Arial"/>
          <w:sz w:val="17"/>
          <w:szCs w:val="17"/>
          <w:color w:val="211C26"/>
        </w:rPr>
        <w:t>s</w:t>
      </w:r>
      <w:r>
        <w:rPr>
          <w:rFonts w:ascii="Arial" w:cs="Arial" w:eastAsia="Arial" w:hAnsi="Arial"/>
          <w:sz w:val="17"/>
          <w:szCs w:val="17"/>
          <w:color w:val="auto"/>
        </w:rPr>
        <w:t xml:space="preserve"> shall invalidate any prior act of the Directors which would have been valid if such By-Laws had not been adopted.</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EIGHTH: </w:t>
      </w:r>
      <w:r>
        <w:rPr>
          <w:rFonts w:ascii="Arial" w:cs="Arial" w:eastAsia="Arial" w:hAnsi="Arial"/>
          <w:sz w:val="16"/>
          <w:szCs w:val="16"/>
          <w:color w:val="auto"/>
        </w:rPr>
        <w:t>The Corporation shall, to the maximum extent permitted from time to time under the law of the State of Delaware, indemnify and upon</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Corporation or while a Director or officer is or was serving at the request of the Corporation as a director</w:t>
      </w:r>
      <w:r>
        <w:rPr>
          <w:rFonts w:ascii="Arial" w:cs="Arial" w:eastAsia="Arial" w:hAnsi="Arial"/>
          <w:sz w:val="16"/>
          <w:szCs w:val="16"/>
          <w:color w:val="211C26"/>
        </w:rPr>
        <w:t>,</w:t>
      </w:r>
      <w:r>
        <w:rPr>
          <w:rFonts w:ascii="Arial" w:cs="Arial" w:eastAsia="Arial" w:hAnsi="Arial"/>
          <w:sz w:val="16"/>
          <w:szCs w:val="16"/>
          <w:color w:val="auto"/>
        </w:rPr>
        <w:t xml:space="preserve"> officer, partner, trustee, employee or agent of any corporation, </w:t>
      </w:r>
      <w:r>
        <w:rPr>
          <w:rFonts w:ascii="Arial" w:cs="Arial" w:eastAsia="Arial" w:hAnsi="Arial"/>
          <w:sz w:val="16"/>
          <w:szCs w:val="16"/>
          <w:color w:val="030303"/>
        </w:rPr>
        <w:t>partnership, joint venture, trust or other enterprise, including service with respect to employee benefit plans, against</w:t>
      </w:r>
      <w:r>
        <w:rPr>
          <w:rFonts w:ascii="Arial" w:cs="Arial" w:eastAsia="Arial" w:hAnsi="Arial"/>
          <w:sz w:val="16"/>
          <w:szCs w:val="16"/>
          <w:color w:val="auto"/>
        </w:rPr>
        <w:t xml:space="preserve"> </w:t>
      </w:r>
      <w:r>
        <w:rPr>
          <w:rFonts w:ascii="Arial" w:cs="Arial" w:eastAsia="Arial" w:hAnsi="Arial"/>
          <w:sz w:val="16"/>
          <w:szCs w:val="16"/>
          <w:color w:val="030303"/>
        </w:rPr>
        <w:t>expenses (including attorneys’ fees and expenses), judgments, fines, penalties and amounts paid in settlement incurred (and not otherwise recovered) in connection with the investigation, preparation to defend or defense of such action, suit, proceeding or claim; provided, however, that the foregoing shall not require the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benefits of the heirs and legal representative</w:t>
      </w:r>
      <w:r>
        <w:rPr>
          <w:rFonts w:ascii="Arial" w:cs="Arial" w:eastAsia="Arial" w:hAnsi="Arial"/>
          <w:sz w:val="16"/>
          <w:szCs w:val="16"/>
          <w:color w:val="1C1C1C"/>
        </w:rPr>
        <w:t>s</w:t>
      </w:r>
      <w:r>
        <w:rPr>
          <w:rFonts w:ascii="Arial" w:cs="Arial" w:eastAsia="Arial" w:hAnsi="Arial"/>
          <w:sz w:val="16"/>
          <w:szCs w:val="16"/>
          <w:color w:val="030303"/>
        </w:rPr>
        <w:t xml:space="preserve"> of such person. Any person seeking indemnification under this paragraph shall be deemed to have met the standard of conduct required for such indemnification unles</w:t>
      </w:r>
      <w:r>
        <w:rPr>
          <w:rFonts w:ascii="Arial" w:cs="Arial" w:eastAsia="Arial" w:hAnsi="Arial"/>
          <w:sz w:val="16"/>
          <w:szCs w:val="16"/>
          <w:color w:val="1C1C1C"/>
        </w:rPr>
        <w:t>s</w:t>
      </w:r>
      <w:r>
        <w:rPr>
          <w:rFonts w:ascii="Arial" w:cs="Arial" w:eastAsia="Arial" w:hAnsi="Arial"/>
          <w:sz w:val="16"/>
          <w:szCs w:val="16"/>
          <w:color w:val="030303"/>
        </w:rPr>
        <w:t xml:space="preserve"> the contrary shall be established. Any repeal or modification of the foregoing provisions of this paragraph shall not adversely affect any right or protection of a Director or officer of the Corporation with respect to any acts or omissions of such Director or officer occurring prior to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2" w:name="page183"/>
    <w:bookmarkEnd w:id="182"/>
    <w:p>
      <w:pPr>
        <w:ind w:left="660"/>
        <w:spacing w:after="0"/>
        <w:rPr>
          <w:sz w:val="20"/>
          <w:szCs w:val="20"/>
          <w:color w:val="auto"/>
        </w:rPr>
      </w:pPr>
      <w:r>
        <w:rPr>
          <w:rFonts w:ascii="Arial" w:cs="Arial" w:eastAsia="Arial" w:hAnsi="Arial"/>
          <w:sz w:val="18"/>
          <w:szCs w:val="18"/>
          <w:b w:val="1"/>
          <w:bCs w:val="1"/>
          <w:color w:val="030303"/>
        </w:rPr>
        <w:t xml:space="preserve">NINTH: </w:t>
      </w:r>
      <w:r>
        <w:rPr>
          <w:rFonts w:ascii="Arial" w:cs="Arial" w:eastAsia="Arial" w:hAnsi="Arial"/>
          <w:sz w:val="18"/>
          <w:szCs w:val="18"/>
          <w:color w:val="030303"/>
        </w:rPr>
        <w:t>In furtherance of and not in limitation of powers conferred by statute</w:t>
      </w:r>
      <w:r>
        <w:rPr>
          <w:rFonts w:ascii="Arial" w:cs="Arial" w:eastAsia="Arial" w:hAnsi="Arial"/>
          <w:sz w:val="18"/>
          <w:szCs w:val="18"/>
          <w:color w:val="1C1C1C"/>
        </w:rPr>
        <w:t>,</w:t>
      </w:r>
      <w:r>
        <w:rPr>
          <w:rFonts w:ascii="Arial" w:cs="Arial" w:eastAsia="Arial" w:hAnsi="Arial"/>
          <w:sz w:val="18"/>
          <w:szCs w:val="18"/>
          <w:b w:val="1"/>
          <w:bCs w:val="1"/>
          <w:color w:val="030303"/>
        </w:rPr>
        <w:t xml:space="preserve"> </w:t>
      </w:r>
      <w:r>
        <w:rPr>
          <w:rFonts w:ascii="Arial" w:cs="Arial" w:eastAsia="Arial" w:hAnsi="Arial"/>
          <w:sz w:val="18"/>
          <w:szCs w:val="18"/>
          <w:color w:val="030303"/>
        </w:rPr>
        <w:t>it is further provided:</w:t>
      </w:r>
    </w:p>
    <w:p>
      <w:pPr>
        <w:spacing w:after="0" w:line="229" w:lineRule="exact"/>
        <w:rPr>
          <w:sz w:val="20"/>
          <w:szCs w:val="20"/>
          <w:color w:val="auto"/>
        </w:rPr>
      </w:pPr>
    </w:p>
    <w:p>
      <w:pPr>
        <w:ind w:left="1060" w:hanging="404"/>
        <w:spacing w:after="0"/>
        <w:tabs>
          <w:tab w:leader="none" w:pos="1060" w:val="left"/>
        </w:tabs>
        <w:numPr>
          <w:ilvl w:val="0"/>
          <w:numId w:val="86"/>
        </w:numPr>
        <w:rPr>
          <w:rFonts w:ascii="Arial" w:cs="Arial" w:eastAsia="Arial" w:hAnsi="Arial"/>
          <w:sz w:val="18"/>
          <w:szCs w:val="18"/>
          <w:color w:val="030303"/>
        </w:rPr>
      </w:pPr>
      <w:r>
        <w:rPr>
          <w:rFonts w:ascii="Arial" w:cs="Arial" w:eastAsia="Arial" w:hAnsi="Arial"/>
          <w:sz w:val="18"/>
          <w:szCs w:val="18"/>
          <w:color w:val="030303"/>
        </w:rPr>
        <w:t>Election of Directors need not be by written ballot unles</w:t>
      </w:r>
      <w:r>
        <w:rPr>
          <w:rFonts w:ascii="Arial" w:cs="Arial" w:eastAsia="Arial" w:hAnsi="Arial"/>
          <w:sz w:val="18"/>
          <w:szCs w:val="18"/>
          <w:color w:val="1C1C1C"/>
        </w:rPr>
        <w:t>s</w:t>
      </w:r>
      <w:r>
        <w:rPr>
          <w:rFonts w:ascii="Arial" w:cs="Arial" w:eastAsia="Arial" w:hAnsi="Arial"/>
          <w:sz w:val="18"/>
          <w:szCs w:val="18"/>
          <w:color w:val="030303"/>
        </w:rPr>
        <w:t xml:space="preserve"> the By-Laws of the Corporation so provide.</w:t>
      </w:r>
    </w:p>
    <w:p>
      <w:pPr>
        <w:spacing w:after="0" w:line="225" w:lineRule="exact"/>
        <w:rPr>
          <w:rFonts w:ascii="Arial" w:cs="Arial" w:eastAsia="Arial" w:hAnsi="Arial"/>
          <w:sz w:val="18"/>
          <w:szCs w:val="18"/>
          <w:color w:val="030303"/>
        </w:rPr>
      </w:pPr>
    </w:p>
    <w:p>
      <w:pPr>
        <w:ind w:left="1060" w:hanging="404"/>
        <w:spacing w:after="0"/>
        <w:tabs>
          <w:tab w:leader="none" w:pos="1060" w:val="left"/>
        </w:tabs>
        <w:numPr>
          <w:ilvl w:val="0"/>
          <w:numId w:val="86"/>
        </w:numPr>
        <w:rPr>
          <w:rFonts w:ascii="Arial" w:cs="Arial" w:eastAsia="Arial" w:hAnsi="Arial"/>
          <w:sz w:val="18"/>
          <w:szCs w:val="18"/>
          <w:color w:val="030303"/>
        </w:rPr>
      </w:pPr>
      <w:r>
        <w:rPr>
          <w:rFonts w:ascii="Arial" w:cs="Arial" w:eastAsia="Arial" w:hAnsi="Arial"/>
          <w:sz w:val="18"/>
          <w:szCs w:val="18"/>
          <w:color w:val="030303"/>
        </w:rPr>
        <w:t>Meetings of stockholders may be held within or without the State of Delaware, as the By Laws may provide.</w:t>
      </w:r>
    </w:p>
    <w:p>
      <w:pPr>
        <w:spacing w:after="0" w:line="225" w:lineRule="exact"/>
        <w:rPr>
          <w:rFonts w:ascii="Arial" w:cs="Arial" w:eastAsia="Arial" w:hAnsi="Arial"/>
          <w:sz w:val="18"/>
          <w:szCs w:val="18"/>
          <w:color w:val="030303"/>
        </w:rPr>
      </w:pPr>
    </w:p>
    <w:p>
      <w:pPr>
        <w:ind w:firstLine="656"/>
        <w:spacing w:after="0" w:line="277" w:lineRule="auto"/>
        <w:tabs>
          <w:tab w:leader="none" w:pos="1053" w:val="left"/>
        </w:tabs>
        <w:numPr>
          <w:ilvl w:val="0"/>
          <w:numId w:val="86"/>
        </w:numPr>
        <w:rPr>
          <w:rFonts w:ascii="Arial" w:cs="Arial" w:eastAsia="Arial" w:hAnsi="Arial"/>
          <w:sz w:val="18"/>
          <w:szCs w:val="18"/>
          <w:color w:val="030303"/>
        </w:rPr>
      </w:pPr>
      <w:r>
        <w:rPr>
          <w:rFonts w:ascii="Arial" w:cs="Arial" w:eastAsia="Arial" w:hAnsi="Arial"/>
          <w:sz w:val="18"/>
          <w:szCs w:val="18"/>
          <w:color w:val="030303"/>
        </w:rPr>
        <w:t>To the extent permitted by law, the books of the Corporation may be kept outside the State of Delaware at such place or places as may be designated from time to time by the Board of Directors or in the By-Laws of the Corporation.</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030303"/>
        </w:rPr>
        <w:t xml:space="preserve">TENTH: </w:t>
      </w:r>
      <w:r>
        <w:rPr>
          <w:rFonts w:ascii="Arial" w:cs="Arial" w:eastAsia="Arial" w:hAnsi="Arial"/>
          <w:sz w:val="18"/>
          <w:szCs w:val="18"/>
          <w:color w:val="030303"/>
        </w:rPr>
        <w:t>Except as otherwise provided herein, the Corporation reserves the right to amend, alter, change or repeal any provision contained in this</w:t>
      </w:r>
      <w:r>
        <w:rPr>
          <w:rFonts w:ascii="Arial" w:cs="Arial" w:eastAsia="Arial" w:hAnsi="Arial"/>
          <w:sz w:val="18"/>
          <w:szCs w:val="18"/>
          <w:b w:val="1"/>
          <w:bCs w:val="1"/>
          <w:color w:val="030303"/>
        </w:rPr>
        <w:t xml:space="preserve"> </w:t>
      </w:r>
      <w:r>
        <w:rPr>
          <w:rFonts w:ascii="Arial" w:cs="Arial" w:eastAsia="Arial" w:hAnsi="Arial"/>
          <w:sz w:val="18"/>
          <w:szCs w:val="18"/>
          <w:color w:val="030303"/>
        </w:rPr>
        <w:t>Certificate of Incorporation</w:t>
      </w:r>
      <w:r>
        <w:rPr>
          <w:rFonts w:ascii="Arial" w:cs="Arial" w:eastAsia="Arial" w:hAnsi="Arial"/>
          <w:sz w:val="18"/>
          <w:szCs w:val="18"/>
          <w:color w:val="1C1C1C"/>
        </w:rPr>
        <w:t>,</w:t>
      </w:r>
      <w:r>
        <w:rPr>
          <w:rFonts w:ascii="Arial" w:cs="Arial" w:eastAsia="Arial" w:hAnsi="Arial"/>
          <w:sz w:val="18"/>
          <w:szCs w:val="18"/>
          <w:color w:val="030303"/>
        </w:rPr>
        <w:t xml:space="preserve"> in the manner now or hereafter prescribed by statute, and all rights conferred upon stockholders herein are granted subject to this reservation.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30303"/>
        </w:rPr>
        <w:t xml:space="preserve">IN </w:t>
      </w:r>
      <w:r>
        <w:rPr>
          <w:rFonts w:ascii="Arial" w:cs="Arial" w:eastAsia="Arial" w:hAnsi="Arial"/>
          <w:sz w:val="18"/>
          <w:szCs w:val="18"/>
          <w:b w:val="1"/>
          <w:bCs w:val="1"/>
          <w:color w:val="030303"/>
        </w:rPr>
        <w:t>WITNESS WHEREOF,</w:t>
      </w:r>
      <w:r>
        <w:rPr>
          <w:rFonts w:ascii="Arial" w:cs="Arial" w:eastAsia="Arial" w:hAnsi="Arial"/>
          <w:sz w:val="18"/>
          <w:szCs w:val="18"/>
          <w:color w:val="030303"/>
        </w:rPr>
        <w:t xml:space="preserve"> the undersigned, being the incorporator herein before named, has executed this Certificate of Incorporation this 23th day of June, 2020.</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1C1C1C"/>
        </w:rPr>
        <w:t xml:space="preserve">/s/ </w:t>
      </w:r>
      <w:r>
        <w:rPr>
          <w:rFonts w:ascii="Arial" w:cs="Arial" w:eastAsia="Arial" w:hAnsi="Arial"/>
          <w:sz w:val="18"/>
          <w:szCs w:val="18"/>
          <w:color w:val="000000"/>
        </w:rPr>
        <w:t>Jaszick Maldonado</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Jaszick Maldonado,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GLOBAL ACQUISITION 3 CORP.</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Chardan Global Acquisition 3 Corp. (hereinafter called the “Corporation”), a corporation organized and existing under and by virtue of the General Corporation Law of the State of Delaware,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DOES HEREBY CERTIFY:</w:t>
      </w:r>
    </w:p>
    <w:p>
      <w:pPr>
        <w:spacing w:after="0" w:line="22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That Article FIRST of the Certificate of Incorporation be and it hereby is amended to read as follow</w:t>
      </w:r>
      <w:r>
        <w:rPr>
          <w:rFonts w:ascii="Arial" w:cs="Arial" w:eastAsia="Arial" w:hAnsi="Arial"/>
          <w:sz w:val="18"/>
          <w:szCs w:val="18"/>
          <w:color w:val="211D28"/>
        </w:rPr>
        <w: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Chardan NexTech Acquisition 2 Corp.”</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That the amendment was duly adopted in accordance with the provision</w:t>
      </w:r>
      <w:r>
        <w:rPr>
          <w:rFonts w:ascii="Arial" w:cs="Arial" w:eastAsia="Arial" w:hAnsi="Arial"/>
          <w:sz w:val="18"/>
          <w:szCs w:val="18"/>
          <w:color w:val="211D28"/>
        </w:rPr>
        <w:t>s</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242 of the General Corporation Law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said Chardan NexTech Acquisition 2 Corp. has caused this Certificate to be signed by Jonas Grossman, its Chief Executive Officer, this 22nd day of February, 2021.</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i w:val="1"/>
          <w:iCs w:val="1"/>
          <w:color w:val="211D28"/>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Jonas Grossman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4" w:name="page185"/>
    <w:bookmarkEnd w:id="1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Exhibit 3.4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GLOBAL ACQUISITION 3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1.01 Offices. </w:t>
      </w:r>
      <w:r>
        <w:rPr>
          <w:rFonts w:ascii="Arial" w:cs="Arial" w:eastAsia="Arial" w:hAnsi="Arial"/>
          <w:sz w:val="18"/>
          <w:szCs w:val="18"/>
          <w:color w:val="auto"/>
        </w:rPr>
        <w:t>The address of the registered office of Chardan Global Acquisition 3 Corp. (hereinafter called the “</w:t>
      </w:r>
      <w:r>
        <w:rPr>
          <w:rFonts w:ascii="Arial" w:cs="Arial" w:eastAsia="Arial" w:hAnsi="Arial"/>
          <w:sz w:val="18"/>
          <w:szCs w:val="18"/>
          <w:b w:val="1"/>
          <w:bCs w:val="1"/>
          <w:color w:val="auto"/>
        </w:rPr>
        <w:t>Corporation</w:t>
      </w:r>
      <w:r>
        <w:rPr>
          <w:rFonts w:ascii="Arial" w:cs="Arial" w:eastAsia="Arial" w:hAnsi="Arial"/>
          <w:sz w:val="18"/>
          <w:szCs w:val="18"/>
          <w:color w:val="auto"/>
        </w:rPr>
        <w: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shall be at 651 N. Broad Street, Suite 301, Middletown, DE 19709. The Corporation may have other offices, both within and without the State of Delaware, as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from time to time shall determine or the business of the Corporation may require.</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1.02 Books and Records. </w:t>
      </w:r>
      <w:r>
        <w:rPr>
          <w:rFonts w:ascii="Arial" w:cs="Arial" w:eastAsia="Arial" w:hAnsi="Arial"/>
          <w:sz w:val="18"/>
          <w:szCs w:val="18"/>
          <w:color w:val="auto"/>
        </w:rPr>
        <w:t>Any records maintained by the Corporation in the regular course of its business, including its stock ledger,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books of account and minute books, may be maintained on any information storage device or method;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records so kept can be converted into clearly legible paper form within a reasonable time. The Corporation shall so convert any records so kept upon the request of any person entitled to inspect such records pursuant to applicable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THE STOCKHOLDERS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2.01 Place of Meetings. </w:t>
      </w:r>
      <w:r>
        <w:rPr>
          <w:rFonts w:ascii="Arial" w:cs="Arial" w:eastAsia="Arial" w:hAnsi="Arial"/>
          <w:sz w:val="18"/>
          <w:szCs w:val="18"/>
          <w:color w:val="auto"/>
        </w:rPr>
        <w:t>All meetings of the stockholders shall be held at such place, if any,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shall be designated from time to time by resolution of the Board of Directors and stated in the notice of meeting.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2.02 Annual Meeting. </w:t>
      </w:r>
      <w:r>
        <w:rPr>
          <w:rFonts w:ascii="Arial" w:cs="Arial" w:eastAsia="Arial" w:hAnsi="Arial"/>
          <w:sz w:val="18"/>
          <w:szCs w:val="18"/>
          <w:color w:val="auto"/>
        </w:rPr>
        <w:t>The annual meeting of the stockholders for the election of directors and for the transaction of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as may properly come before the meeting shall be held at such date, time and place, if any, as shall be determined by the Board of Directors and stated in the notice of the meeting.</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2.03 Special Meetings. </w:t>
      </w:r>
      <w:r>
        <w:rPr>
          <w:rFonts w:ascii="Arial" w:cs="Arial" w:eastAsia="Arial" w:hAnsi="Arial"/>
          <w:sz w:val="18"/>
          <w:szCs w:val="18"/>
          <w:color w:val="auto"/>
        </w:rPr>
        <w:t>Special meetings of stockholders for any purpose or purposes shall be called pursuant to a resolution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and may not be called by any other person or persons. The only business which may be conducted at a special meeting shall be the matter or matters set forth in the notice of such meeting.</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2.04 Adjournments. </w:t>
      </w:r>
      <w:r>
        <w:rPr>
          <w:rFonts w:ascii="Arial" w:cs="Arial" w:eastAsia="Arial" w:hAnsi="Arial"/>
          <w:sz w:val="16"/>
          <w:szCs w:val="16"/>
          <w:color w:val="auto"/>
        </w:rPr>
        <w:t>Any meeting of the stockholders, annual or special, may be adjourned from time to time to reconvene at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or some other place, if any, and notice need not be given of any such adjourned meeting if the time, place, if any, thereof and the means of remote communication, if any,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is fixed for stockholders entitled to vote at the adjourned meeting, the Board of Directors shall fix a new record date for notice of the adjourned meeting and shall give notice of the adjourned meeting to each stockholder of record entitled to vote at the adjourned meeting as of the record date fixed for notice of the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6" w:name="page187"/>
    <w:bookmarkEnd w:id="186"/>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2.05 Notice of Meetings. </w:t>
      </w:r>
      <w:r>
        <w:rPr>
          <w:rFonts w:ascii="Arial" w:cs="Arial" w:eastAsia="Arial" w:hAnsi="Arial"/>
          <w:sz w:val="16"/>
          <w:szCs w:val="16"/>
          <w:color w:val="auto"/>
        </w:rPr>
        <w:t>Notice of the place, if any, date, hour, the record date for determining the stockholders entitled to vote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(if such date is different from the record date for stockholders entitled to notice of the meeting) and means of remote communication, if any, of every meeting of stockholders shall be given by the Corporation not less than ten days nor more than 60 days before the meeting (unless a different time is specified by law) to every stockholder entitled to vote at the meeting as of the record date for determining the stockholders entitled to notice of the meeting. Notices of special meetings shall also specify the purpose or purposes for which the meeting has been called. Except as otherwise provided herein or permitted by applicable law, notice to stockholders shall be in writing and delivered personally or mailed to the stockholders at their address appearing on the books of the Corporation. Without limiting the manner by which notice otherwise may be given effectively to stockholders, notice of meetings may be given to stockholders by means of electronic transmission in accordance with applicable law. Notice of any meeting need not be given to any stockholder who shall, either before or after the meeting, submit a waiver of notice or who shall attend such meeting, except when the stockholder attends for the express purpose of objecting, at the beginning of the meeting, to the transaction of any business because the meeting is not lawfully called or convened. Any stockholder so waiving notice of the meeting shall be bound by the proceedings of the meeting in all respects as if due notice thereof had been given.</w:t>
      </w:r>
    </w:p>
    <w:p>
      <w:pPr>
        <w:spacing w:after="0" w:line="1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2.06 List of Stockholders. </w:t>
      </w:r>
      <w:r>
        <w:rPr>
          <w:rFonts w:ascii="Arial" w:cs="Arial" w:eastAsia="Arial" w:hAnsi="Arial"/>
          <w:sz w:val="17"/>
          <w:szCs w:val="17"/>
          <w:color w:val="auto"/>
        </w:rPr>
        <w:t>The officer of the Corporation who has charge of the stock ledger shall prepare a complete list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entitled to vote at any meeting of stockholders (provided, however,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of each class of capital stock of the Corporation registered in the name of each stockholder at least ten days before any meeting of the stockholders. Such list shall be open to the examination of any stockholder, for any purpose germane to the meeting, on a reasonably accessible electronic network if the information required to gain access to such list was provided with the notice of the meeting or during ordinary business hours, at the principal place of business of the Corporation for a period of at least ten days before the meeting. If the meeting is to be held at a place, the list shall also be produced and kept at the time and place of the meeting the whole time thereof and may be inspected by any stockholder who is present. If the meeting is held solely by means of remote communication, the list shall also be open for inspection by any stockholder during the whole time of the meeting as provided by applicable law. Except as provided by applicable law, the stock ledger of the Corporation shall be the only evidence as to who are the stockholders entitled to examine the stock ledger and the list of stockholders or to vote in person or by proxy at any meeting of stockholders.</w:t>
      </w:r>
    </w:p>
    <w:p>
      <w:pPr>
        <w:spacing w:after="0" w:line="17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2.07 Quorum. </w:t>
      </w:r>
      <w:r>
        <w:rPr>
          <w:rFonts w:ascii="Arial" w:cs="Arial" w:eastAsia="Arial" w:hAnsi="Arial"/>
          <w:sz w:val="16"/>
          <w:szCs w:val="16"/>
          <w:color w:val="auto"/>
        </w:rPr>
        <w:t>Unless otherwise required by law, the Corporation’s Certificate of Incorporation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or these by-laws, at each meeting of the stockholders, a majority in voting power of the shares of the Corporation entitled to vote at the meeting, present in person or represented by proxy, shall constitute a quorum. If, however, such quorum shall not be present or represented at any meeting of the stockholders, the stockholders entitled to vote thereat, present in person or represented by proxy, shall have power, by the affirmative vote of a majority in voting power thereof, to adjourn the meeting from time to time, in the manner provided in Section 2.04, until a quorum shall be present or represented. A quorum, once established, shall not be broken by the subsequent withdrawal of enough votes to leave less than a quorum. At any such adjourned meeting at which there is a quorum, any business may be transacted that might have been transacted at the meeting originally called.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2.08 Conduct of Meetings. </w:t>
      </w:r>
      <w:r>
        <w:rPr>
          <w:rFonts w:ascii="Arial" w:cs="Arial" w:eastAsia="Arial" w:hAnsi="Arial"/>
          <w:sz w:val="16"/>
          <w:szCs w:val="16"/>
          <w:color w:val="auto"/>
        </w:rPr>
        <w:t>The Board of Directors may adopt by resolution such rules and regulations for the conduct of the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stockholders as it shall deem appropriate. At every meeting of the stockholders, the President, or in his or her absence or inability to act, the Secretary, or, in his or her absence or inability to act, the person whom the Treasurer shall appoint, shall act as chairman of, and preside at, the meeting. The secretary or, in his or her absence or inability to act, the person whom the chairman of the meeting shall appoint secretary of the meeting, shall act as secretary of the meeting and keep the minutes thereof. Except to the extent inconsistent with such rules and regulations as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the determination of when the polls shall open and close for any given matter to be voted on at the meeting;</w:t>
      </w:r>
    </w:p>
    <w:p>
      <w:pPr>
        <w:spacing w:after="0" w:line="3" w:lineRule="exact"/>
        <w:rPr>
          <w:sz w:val="20"/>
          <w:szCs w:val="20"/>
          <w:color w:val="auto"/>
        </w:rPr>
      </w:pPr>
    </w:p>
    <w:p>
      <w:pPr>
        <w:jc w:val="both"/>
        <w:ind w:firstLine="8"/>
        <w:spacing w:after="0" w:line="253" w:lineRule="auto"/>
        <w:tabs>
          <w:tab w:leader="none" w:pos="2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rules and procedures for maintaining order at the meeting and the safety of those present; (d) limitations on attendance at or participation in the meeting to stockholders of record of the corporation, their duly authorized and constituted proxies or such other persons as the chairman of the meeting shall determine; (e) restrictions on entry to the meeting after the time fixed for the commencement thereof; and (f) limitations on the time allotted to questions or comments by participants.</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2.09 Voting; Proxies. </w:t>
      </w:r>
      <w:r>
        <w:rPr>
          <w:rFonts w:ascii="Arial" w:cs="Arial" w:eastAsia="Arial" w:hAnsi="Arial"/>
          <w:sz w:val="17"/>
          <w:szCs w:val="17"/>
          <w:color w:val="auto"/>
        </w:rPr>
        <w:t>Unless otherwise required by law or the Certificate of Incorporation the election of directors shall be decided by</w:t>
      </w:r>
      <w:r>
        <w:rPr>
          <w:rFonts w:ascii="Arial" w:cs="Arial" w:eastAsia="Arial" w:hAnsi="Arial"/>
          <w:sz w:val="17"/>
          <w:szCs w:val="17"/>
          <w:b w:val="1"/>
          <w:bCs w:val="1"/>
          <w:color w:val="auto"/>
        </w:rPr>
        <w:t xml:space="preserve"> </w:t>
      </w:r>
      <w:r>
        <w:rPr>
          <w:rFonts w:ascii="Arial" w:cs="Arial" w:eastAsia="Arial" w:hAnsi="Arial"/>
          <w:sz w:val="17"/>
          <w:szCs w:val="17"/>
          <w:color w:val="auto"/>
        </w:rPr>
        <w:t>a plurality of the votes cast at a meeting of the stockholders by the holders of stock entitled to vote in the election. Unless otherwise required by law, the Certificate of Incorporation or these by-laws, any matter, other than the election of directors, brought before any meeting of stockholders shall be decided by the affirmative vote of the majority of shares present in person or represented by proxy at the meeting and entitled to vote on the matter. Each stockholder entitled to vote at a meeting of stockholders or to express consent to corporate action in writing without a meeting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2.10 Inspectors at Meetings of Stockholders. </w:t>
      </w:r>
      <w:r>
        <w:rPr>
          <w:rFonts w:ascii="Arial" w:cs="Arial" w:eastAsia="Arial" w:hAnsi="Arial"/>
          <w:sz w:val="16"/>
          <w:szCs w:val="16"/>
          <w:color w:val="auto"/>
        </w:rPr>
        <w:t>The Board of Directors, in advance of any meeting of stockholders, may, and shall if</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law, appoint one or more inspectors, who may be employees of the Corporation, to act at the meeting or any adjournment thereof and make a written report thereof. The Board of Directors may designate one or more persons as alternate inspectors to replace any inspector who fails to act. If no inspector or alternate is able to act at a meeting,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w:t>
      </w:r>
    </w:p>
    <w:p>
      <w:pPr>
        <w:spacing w:after="0" w:line="3"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determine the shares represented at the meeting, the existence of a quorum and the validity of proxies and ballots, (c) count all votes and ballots,</w:t>
      </w:r>
    </w:p>
    <w:p>
      <w:pPr>
        <w:spacing w:after="0" w:line="20" w:lineRule="exact"/>
        <w:rPr>
          <w:rFonts w:ascii="Arial" w:cs="Arial" w:eastAsia="Arial" w:hAnsi="Arial"/>
          <w:sz w:val="17"/>
          <w:szCs w:val="17"/>
          <w:color w:val="auto"/>
        </w:rPr>
      </w:pPr>
    </w:p>
    <w:p>
      <w:pPr>
        <w:jc w:val="both"/>
        <w:ind w:firstLine="8"/>
        <w:spacing w:after="0" w:line="268" w:lineRule="auto"/>
        <w:tabs>
          <w:tab w:leader="none" w:pos="266" w:val="left"/>
        </w:tabs>
        <w:numPr>
          <w:ilvl w:val="0"/>
          <w:numId w:val="89"/>
        </w:numPr>
        <w:rPr>
          <w:rFonts w:ascii="Arial" w:cs="Arial" w:eastAsia="Arial" w:hAnsi="Arial"/>
          <w:sz w:val="17"/>
          <w:szCs w:val="17"/>
          <w:color w:val="auto"/>
        </w:rPr>
      </w:pPr>
      <w:r>
        <w:rPr>
          <w:rFonts w:ascii="Arial" w:cs="Arial" w:eastAsia="Arial" w:hAnsi="Arial"/>
          <w:sz w:val="17"/>
          <w:szCs w:val="17"/>
          <w:color w:val="auto"/>
        </w:rPr>
        <w:t>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of Directors, the date and time of the opening and the closing of the polls for each matter upon which the stockholders will vote at a meeting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399" w:lineRule="exact"/>
        <w:rPr>
          <w:rFonts w:ascii="Arial" w:cs="Arial" w:eastAsia="Arial" w:hAnsi="Arial"/>
          <w:sz w:val="17"/>
          <w:szCs w:val="17"/>
          <w:color w:val="auto"/>
        </w:rPr>
      </w:pPr>
    </w:p>
    <w:p>
      <w:pPr>
        <w:ind w:left="5580" w:hanging="99"/>
        <w:spacing w:after="0"/>
        <w:tabs>
          <w:tab w:leader="none" w:pos="55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2.11 Written Consent of Stockholders Without a Meeting. </w:t>
      </w:r>
      <w:r>
        <w:rPr>
          <w:rFonts w:ascii="Arial" w:cs="Arial" w:eastAsia="Arial" w:hAnsi="Arial"/>
          <w:sz w:val="16"/>
          <w:szCs w:val="16"/>
          <w:color w:val="auto"/>
        </w:rPr>
        <w:t>Any action to be taken at any annual or special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taken without a meeting, without prior notice and without a vote, if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the Corporation by delivery to its registered office in the State of Delaware, its principal place of business or an officer or agent of the Corporation having custody of the book in which proceedings of meetings of stockholders are recorded. 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2.11, written consents signed by a sufficient number of holders to take action are delivered to the Corporation as aforesaid. Prompt notice of the taking of the corporate action without a meeting by less than unanimous written consent shall, to the extent required by applicable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6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color w:val="auto"/>
        </w:rPr>
        <w:t>Fixing the Record Date.</w:t>
      </w:r>
    </w:p>
    <w:p>
      <w:pPr>
        <w:spacing w:after="0" w:line="229" w:lineRule="exact"/>
        <w:rPr>
          <w:sz w:val="20"/>
          <w:szCs w:val="20"/>
          <w:color w:val="auto"/>
        </w:rPr>
      </w:pPr>
    </w:p>
    <w:p>
      <w:pPr>
        <w:jc w:val="both"/>
        <w:ind w:left="660" w:firstLine="644"/>
        <w:spacing w:after="0" w:line="287" w:lineRule="auto"/>
        <w:tabs>
          <w:tab w:leader="none" w:pos="1791" w:val="left"/>
        </w:tabs>
        <w:numPr>
          <w:ilvl w:val="0"/>
          <w:numId w:val="90"/>
        </w:numPr>
        <w:rPr>
          <w:rFonts w:ascii="Arial" w:cs="Arial" w:eastAsia="Arial" w:hAnsi="Arial"/>
          <w:sz w:val="16"/>
          <w:szCs w:val="16"/>
          <w:color w:val="010000"/>
        </w:rPr>
      </w:pPr>
      <w:r>
        <w:rPr>
          <w:rFonts w:ascii="Arial" w:cs="Arial" w:eastAsia="Arial" w:hAnsi="Arial"/>
          <w:sz w:val="16"/>
          <w:szCs w:val="16"/>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Board of Directors may fix a new record date for the determination of stockholders entitled to vote at the adjourned meeting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in such case shall also fix as the record date for stockholders entitled to notice of such adjourned meeting the same or an earlier date as that fixed for the determination of stockholders entitled to vote therewith at the adjourned meeting.</w:t>
      </w:r>
    </w:p>
    <w:p>
      <w:pPr>
        <w:spacing w:after="0" w:line="383" w:lineRule="exact"/>
        <w:rPr>
          <w:rFonts w:ascii="Arial" w:cs="Arial" w:eastAsia="Arial" w:hAnsi="Arial"/>
          <w:sz w:val="16"/>
          <w:szCs w:val="16"/>
          <w:color w:val="010000"/>
        </w:rPr>
      </w:pPr>
    </w:p>
    <w:p>
      <w:pPr>
        <w:ind w:left="5580" w:hanging="99"/>
        <w:spacing w:after="0"/>
        <w:tabs>
          <w:tab w:leader="none" w:pos="55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left="660" w:firstLine="644"/>
        <w:spacing w:after="0" w:line="288" w:lineRule="auto"/>
        <w:tabs>
          <w:tab w:leader="none" w:pos="1891" w:val="left"/>
        </w:tabs>
        <w:numPr>
          <w:ilvl w:val="0"/>
          <w:numId w:val="91"/>
        </w:numPr>
        <w:rPr>
          <w:rFonts w:ascii="Arial" w:cs="Arial" w:eastAsia="Arial" w:hAnsi="Arial"/>
          <w:sz w:val="16"/>
          <w:szCs w:val="16"/>
          <w:color w:val="010000"/>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(i) when no prior action by the Board of Directors is required by law, the record date for such purpose shall be the first date on which a signed written consent setting forth the action taken or proposed to be taken is delivered to the Corporation by delivery (by hand, or by certified or registered mail, return receipt requested) to its registered office in the State of Delaware, its principal place of business, or an officer or agent of the Corporation having custody of the book in which proceedings of meetings of stockholders are recorded and (ii) if prior action by the Board of Directors is required by law, the record date for such purpose shall be at the close of business on the day on which the Board of Directors adopts the resolution taking such prior action.</w:t>
      </w:r>
    </w:p>
    <w:p>
      <w:pPr>
        <w:spacing w:after="0" w:line="168" w:lineRule="exact"/>
        <w:rPr>
          <w:rFonts w:ascii="Arial" w:cs="Arial" w:eastAsia="Arial" w:hAnsi="Arial"/>
          <w:sz w:val="16"/>
          <w:szCs w:val="16"/>
          <w:color w:val="010000"/>
        </w:rPr>
      </w:pPr>
    </w:p>
    <w:p>
      <w:pPr>
        <w:jc w:val="both"/>
        <w:ind w:left="660" w:firstLine="644"/>
        <w:spacing w:after="0" w:line="255" w:lineRule="auto"/>
        <w:tabs>
          <w:tab w:leader="none" w:pos="1863"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3.01 General Powers. </w:t>
      </w:r>
      <w:r>
        <w:rPr>
          <w:rFonts w:ascii="Arial" w:cs="Arial" w:eastAsia="Arial" w:hAnsi="Arial"/>
          <w:sz w:val="18"/>
          <w:szCs w:val="18"/>
          <w:color w:val="auto"/>
        </w:rPr>
        <w:t>The business and affairs of the Corporation shall be managed by or under the direction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Board of Directors may adopt such rules and procedures, not inconsistent with the Certificate of Incorporation, these by-laws or applicable law, as it may deem proper for the conduct of its meetings and the management of the 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3.02 Number; Term of Office. </w:t>
      </w:r>
      <w:r>
        <w:rPr>
          <w:rFonts w:ascii="Arial" w:cs="Arial" w:eastAsia="Arial" w:hAnsi="Arial"/>
          <w:sz w:val="18"/>
          <w:szCs w:val="18"/>
          <w:color w:val="auto"/>
        </w:rPr>
        <w:t>The Board of Directors shall initially consist of one (1) member;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number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or decreased from time to time by resolution of the stockholders of the Corporation. Each director shall hold office until a successor is duly elected and qualified or until the director’s earlier death, resignation, disqualification or removal.</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3.03 Newly Created Directorships and Vacancies. </w:t>
      </w:r>
      <w:r>
        <w:rPr>
          <w:rFonts w:ascii="Arial" w:cs="Arial" w:eastAsia="Arial" w:hAnsi="Arial"/>
          <w:sz w:val="18"/>
          <w:szCs w:val="18"/>
          <w:color w:val="auto"/>
        </w:rPr>
        <w:t>Any newly created directorships resulting from an increase in the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directors and any vacancies occurring in the Board of Directors, may be filled by the affirmative votes of a majority of the remaining members of the Board of Directors, although less than a quorum, or by a sole remaining director. A director so elected shall be elected to hold office until the earlier of the expiration of the term of office of the director whom he or she has replaced, a successor is duly elected and qualified or the earlier of such director’s death, resignation or removal.</w:t>
      </w:r>
    </w:p>
    <w:p>
      <w:pPr>
        <w:spacing w:after="0" w:line="18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3.04</w:t>
      </w:r>
      <w:r>
        <w:rPr>
          <w:sz w:val="20"/>
          <w:szCs w:val="20"/>
          <w:color w:val="auto"/>
        </w:rPr>
        <w:tab/>
      </w:r>
      <w:r>
        <w:rPr>
          <w:rFonts w:ascii="Arial" w:cs="Arial" w:eastAsia="Arial" w:hAnsi="Arial"/>
          <w:sz w:val="17"/>
          <w:szCs w:val="17"/>
          <w:b w:val="1"/>
          <w:bCs w:val="1"/>
          <w:color w:val="auto"/>
        </w:rPr>
        <w:t xml:space="preserve">Resignation. </w:t>
      </w:r>
      <w:r>
        <w:rPr>
          <w:rFonts w:ascii="Arial" w:cs="Arial" w:eastAsia="Arial" w:hAnsi="Arial"/>
          <w:sz w:val="17"/>
          <w:szCs w:val="17"/>
          <w:color w:val="auto"/>
        </w:rPr>
        <w:t>Any director may resign at any time by notice given in writing or by electronic transmission to the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Such resignation shall take effect at the date of receipt of such notice by the Corporation or at such later time as is therein specified.</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3.05 Removal. </w:t>
      </w:r>
      <w:r>
        <w:rPr>
          <w:rFonts w:ascii="Arial" w:cs="Arial" w:eastAsia="Arial" w:hAnsi="Arial"/>
          <w:sz w:val="16"/>
          <w:szCs w:val="16"/>
          <w:color w:val="auto"/>
        </w:rPr>
        <w:t>Except as prohibited by applicable law or the Certificate of Incorporation, the stockholders entitled to vote in an</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 of directors may remove any director from office at any time, with or without cause, by the affirmative vote of a majority in voting power thereof.</w:t>
      </w:r>
    </w:p>
    <w:p>
      <w:pPr>
        <w:spacing w:after="0" w:line="1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6"/>
          <w:szCs w:val="16"/>
          <w:b w:val="1"/>
          <w:bCs w:val="1"/>
          <w:color w:val="auto"/>
        </w:rPr>
        <w:t xml:space="preserve">Fees and Expenses. </w:t>
      </w:r>
      <w:r>
        <w:rPr>
          <w:rFonts w:ascii="Arial" w:cs="Arial" w:eastAsia="Arial" w:hAnsi="Arial"/>
          <w:sz w:val="16"/>
          <w:szCs w:val="16"/>
          <w:color w:val="auto"/>
        </w:rPr>
        <w:t>Directors shall receive such fees and expenses as the Board of Directors shall from time to time prescribe.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3.07 Regular Meetings. </w:t>
      </w:r>
      <w:r>
        <w:rPr>
          <w:rFonts w:ascii="Arial" w:cs="Arial" w:eastAsia="Arial" w:hAnsi="Arial"/>
          <w:sz w:val="18"/>
          <w:szCs w:val="18"/>
          <w:color w:val="auto"/>
        </w:rPr>
        <w:t>Regular meetings of the Board of Directors may be held without notice at such times and at such places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determined from time to time by the Board of Directors or its chairman.</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3.08 Special Meetings. </w:t>
      </w:r>
      <w:r>
        <w:rPr>
          <w:rFonts w:ascii="Arial" w:cs="Arial" w:eastAsia="Arial" w:hAnsi="Arial"/>
          <w:sz w:val="18"/>
          <w:szCs w:val="18"/>
          <w:color w:val="auto"/>
        </w:rPr>
        <w:t>Special meetings of the Board of Directors may be held at such times and at such places as may be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chairman or the President on at least 24 hours’ notice to each director given by one of the means specified in Section 3.11 hereof other than by mail or on at least three days’ notice if given by mail. Special meetings shall be called by the chairman or the President in like manner and on like notice on the written request of any two or more directors.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3.09 Telephone Meetings. </w:t>
      </w:r>
      <w:r>
        <w:rPr>
          <w:rFonts w:ascii="Arial" w:cs="Arial" w:eastAsia="Arial" w:hAnsi="Arial"/>
          <w:sz w:val="18"/>
          <w:szCs w:val="18"/>
          <w:color w:val="auto"/>
        </w:rPr>
        <w:t>Board of Directors or Board of Directors committee meetings may be held by means of 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conference or other communications equipment by means of which all persons participating in the meeting can hear each other and be heard. Participation by a director in a meeting pursuant to this Section 3.09 shall constitute presence in person at such meeting.</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3.10 Adjourned Meetings. </w:t>
      </w:r>
      <w:r>
        <w:rPr>
          <w:rFonts w:ascii="Arial" w:cs="Arial" w:eastAsia="Arial" w:hAnsi="Arial"/>
          <w:sz w:val="17"/>
          <w:szCs w:val="17"/>
          <w:color w:val="auto"/>
        </w:rPr>
        <w:t>A majority of the directors present at any meeting of the Board of Directors, including an adjourned</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whether or not a quorum is present, may adjourn and reconvene such meeting to another time and place. At least 24 hours’ notice of any adjourned meeting of the Board of Directors shall be given to each director whether or not present at the time of the adjournment, if such notice shall be given by one of the means specified in Section 3.11 hereof other than by mail, or at least three days’ notice if by mail. Any business may be transacted at an adjourned meeting that might have been transacted at the meeting as originally called.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3.11 Notices. </w:t>
      </w:r>
      <w:r>
        <w:rPr>
          <w:rFonts w:ascii="Arial" w:cs="Arial" w:eastAsia="Arial" w:hAnsi="Arial"/>
          <w:sz w:val="18"/>
          <w:szCs w:val="18"/>
          <w:color w:val="auto"/>
        </w:rPr>
        <w:t>Subject to Section 3.08, Section 3.10 and Section 3.12 hereof, whenever notice is required to be given to any director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the Certificate of Incorporation or these by-laws, such notice shall be deemed given effectively if given in person or by telephone, mail addressed to such director at such director’s address as it appears on the records of the Corporation, facsimile, e-mail or by other means of electronic transmission.</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3.12 Waiver of Notice. </w:t>
      </w:r>
      <w:r>
        <w:rPr>
          <w:rFonts w:ascii="Arial" w:cs="Arial" w:eastAsia="Arial" w:hAnsi="Arial"/>
          <w:sz w:val="18"/>
          <w:szCs w:val="18"/>
          <w:color w:val="auto"/>
        </w:rPr>
        <w:t>Whenever notice to directors is required by applicable law, the Certificate of Incorporation or these by-laws,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thereof, in writing signed by, or by electronic transmission by, the director entitled to the notice, whether before or after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of Directors or committee meeting need be specified in any waiver of notice.</w:t>
      </w:r>
    </w:p>
    <w:p>
      <w:pPr>
        <w:spacing w:after="0" w:line="18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3.13 Organization. </w:t>
      </w:r>
      <w:r>
        <w:rPr>
          <w:rFonts w:ascii="Arial" w:cs="Arial" w:eastAsia="Arial" w:hAnsi="Arial"/>
          <w:sz w:val="17"/>
          <w:szCs w:val="17"/>
          <w:color w:val="auto"/>
        </w:rPr>
        <w:t>At each meeting of the Board of Directors, the chairman or, in his or her absence, another director selected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shall preside. The secretary shall act as secretary at each meeting of the Board of Directors. If the secretary is absent from any meeting of the Board of Directors,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16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3.14 Quorum of Directors. </w:t>
      </w:r>
      <w:r>
        <w:rPr>
          <w:rFonts w:ascii="Arial" w:cs="Arial" w:eastAsia="Arial" w:hAnsi="Arial"/>
          <w:sz w:val="18"/>
          <w:szCs w:val="18"/>
          <w:color w:val="auto"/>
        </w:rPr>
        <w:t>The presence of a majority of the Board of Directors shall be necessary and sufficient to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quorum for the transaction of business at any meeting of the Board of Directors.</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Section 3.15 Action by Majority Vote. </w:t>
      </w:r>
      <w:r>
        <w:rPr>
          <w:rFonts w:ascii="Arial" w:cs="Arial" w:eastAsia="Arial" w:hAnsi="Arial"/>
          <w:sz w:val="17"/>
          <w:szCs w:val="17"/>
          <w:color w:val="auto"/>
        </w:rPr>
        <w:t>Except as otherwise expressly required by these by-laws, the Certificate of Incorporation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the vote of a majority of the directors present at a meeting at which a quorum is present shall be the act of the Board of Directors.</w:t>
      </w:r>
    </w:p>
    <w:p>
      <w:pPr>
        <w:spacing w:after="0" w:line="14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3.16 Action Without Meeting. </w:t>
      </w:r>
      <w:r>
        <w:rPr>
          <w:rFonts w:ascii="Arial" w:cs="Arial" w:eastAsia="Arial" w:hAnsi="Arial"/>
          <w:sz w:val="18"/>
          <w:szCs w:val="18"/>
          <w:color w:val="auto"/>
        </w:rPr>
        <w:t>Unless otherwise restricted by the Certificate of Incorporation or these by-laws, any action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be taken at any meeting of the Board of Directors or of any committee thereof may be taken without a meeting if all directors or members of such committee, as the case may be, consent thereto in writing or by electronic transmission, and the writings or electronic transmissions are filed with the minutes of proceedings of the Board of Directors or committee in accordance with applicable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3.17 Committees of the Board of Directors. </w:t>
      </w:r>
      <w:r>
        <w:rPr>
          <w:rFonts w:ascii="Arial" w:cs="Arial" w:eastAsia="Arial" w:hAnsi="Arial"/>
          <w:sz w:val="16"/>
          <w:szCs w:val="16"/>
          <w:color w:val="auto"/>
        </w:rPr>
        <w:t>The Board of Directors may designate one or more committees, each committee to</w:t>
      </w:r>
      <w:r>
        <w:rPr>
          <w:rFonts w:ascii="Arial" w:cs="Arial" w:eastAsia="Arial" w:hAnsi="Arial"/>
          <w:sz w:val="16"/>
          <w:szCs w:val="16"/>
          <w:b w:val="1"/>
          <w:bCs w:val="1"/>
          <w:color w:val="auto"/>
        </w:rPr>
        <w:t xml:space="preserve"> </w:t>
      </w:r>
      <w:r>
        <w:rPr>
          <w:rFonts w:ascii="Arial" w:cs="Arial" w:eastAsia="Arial" w:hAnsi="Arial"/>
          <w:sz w:val="16"/>
          <w:szCs w:val="16"/>
          <w:color w:val="auto"/>
        </w:rPr>
        <w:t>consist of one or more of the directors of the Corporation. The Board of Directors may designate one or more directors as alternate members of any committee, who may replace any absent or disqualified member at any meeting of the committee. If a member of a committee shall be absent from any meeting, or disqualified from voting thereat, the remaining member or members present at the meeting and not disqualified from voting, whether or not such member or members constitute a quorum, may unanimously appoint another member of the Board of Directors to act at the meeting in the place of any such absent or disqualified member. Any such committee, to the extent permitted by applicable law, shall have and may exercise all the powers and authority of the Board of Directors in the management of the business and affairs of the Corporation and may authorize the seal of the Corporation to be affixed to all papers that may require it to the extent so authorized by the Board of Directors. Unless the Board of Directors provides otherwise,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of Directors provides otherwise, each committee designated by the Board of Directors may make, alter and repeal rules and procedures for the conduct of its business. In the absence of such rules and procedures each committee shall conduct its business in the same manner as the Board of Directors conducts its business pursuant to this Article III.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4.01 Positions and Election. </w:t>
      </w:r>
      <w:r>
        <w:rPr>
          <w:rFonts w:ascii="Arial" w:cs="Arial" w:eastAsia="Arial" w:hAnsi="Arial"/>
          <w:sz w:val="18"/>
          <w:szCs w:val="18"/>
          <w:color w:val="auto"/>
        </w:rPr>
        <w:t>The officers of the Corporation shall be elected by the Board of Directors and shall include a president, a</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and a secretary. The Board of Directors, in its discretion, may also elect a chairman (who must be a director), one or more vice chairmen (who must be directors) and one or more vice presidents, assistant treasurers, assistant secretaries and other officers. Any two or more offices may be held by the same person.</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4.02 Term. </w:t>
      </w:r>
      <w:r>
        <w:rPr>
          <w:rFonts w:ascii="Arial" w:cs="Arial" w:eastAsia="Arial" w:hAnsi="Arial"/>
          <w:sz w:val="17"/>
          <w:szCs w:val="17"/>
          <w:color w:val="auto"/>
        </w:rPr>
        <w:t>Each officer of the Corporation shall hold office until such officer’s successor is elected and qualified or until such</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earlier death, resignation or removal. Any officer elected or appointed by the Board of Directors may be removed by the Board of Directors at any time with or without cause by the majority vote of the members of the Board of Directors then in office. The removal of an officer shall be without prejudice to his or her contract rights, if any. The election or appointment of an officer shall not of itself create contract rights. Any officer of the Corporation may resign at any time by giving written notice of his or her resignation to the president or the secretary. Any such resignation shall take effect at the time specified therein or, if the time when it shall become effective shall not be specified therein, immediately upon its receipt. Unless otherwise specified therein, the acceptance of such resignation shall not be necessary to make it effective. Should any vacancy occur among the officers, the position shall be filled for the unexpired portion of the term by appointment made by the Board of Directors.</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4.03 The President. </w:t>
      </w:r>
      <w:r>
        <w:rPr>
          <w:rFonts w:ascii="Arial" w:cs="Arial" w:eastAsia="Arial" w:hAnsi="Arial"/>
          <w:sz w:val="18"/>
          <w:szCs w:val="18"/>
          <w:color w:val="auto"/>
        </w:rPr>
        <w:t>The president shall have general supervision over the business of the Corporation and other duties incident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 of president, and any other duties as may be from time to time assigned to the president by the Board of Directors and subject to the control of the Board of Directors in each case.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4.04 Vice Presidents. </w:t>
      </w:r>
      <w:r>
        <w:rPr>
          <w:rFonts w:ascii="Arial" w:cs="Arial" w:eastAsia="Arial" w:hAnsi="Arial"/>
          <w:sz w:val="18"/>
          <w:szCs w:val="18"/>
          <w:color w:val="auto"/>
        </w:rPr>
        <w:t>Each vice president shall have such powers and perform such duties as may be assigned to him or her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by the chairman of the Board of Directors or the president.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4.05 The Secretary. </w:t>
      </w:r>
      <w:r>
        <w:rPr>
          <w:rFonts w:ascii="Arial" w:cs="Arial" w:eastAsia="Arial" w:hAnsi="Arial"/>
          <w:sz w:val="18"/>
          <w:szCs w:val="18"/>
          <w:color w:val="auto"/>
        </w:rPr>
        <w:t>The secretary shall attend all sessions of the Board of Directors and all meetings of the stockholders and record all</w:t>
      </w:r>
      <w:r>
        <w:rPr>
          <w:rFonts w:ascii="Arial" w:cs="Arial" w:eastAsia="Arial" w:hAnsi="Arial"/>
          <w:sz w:val="18"/>
          <w:szCs w:val="18"/>
          <w:b w:val="1"/>
          <w:bCs w:val="1"/>
          <w:color w:val="auto"/>
        </w:rPr>
        <w:t xml:space="preserve"> </w:t>
      </w:r>
      <w:r>
        <w:rPr>
          <w:rFonts w:ascii="Arial" w:cs="Arial" w:eastAsia="Arial" w:hAnsi="Arial"/>
          <w:sz w:val="18"/>
          <w:szCs w:val="18"/>
          <w:color w:val="auto"/>
        </w:rPr>
        <w:t>votes and the minutes of all proceedings in a book to be kept for that purpose, and shall perform like duties for committees when required. He or she shall give, or cause to be given, notice of all meetings of the stockholders and meetings of the Board of Directors, and shall perform such other duties as may be prescribed by the Board of Directors or the president. The secretary shall keep in safe custody the seal of the Corporation and have authority to affix the seal to all documents requiring it and attest to the same.</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4.06 The Treasurer. </w:t>
      </w:r>
      <w:r>
        <w:rPr>
          <w:rFonts w:ascii="Arial" w:cs="Arial" w:eastAsia="Arial" w:hAnsi="Arial"/>
          <w:sz w:val="17"/>
          <w:szCs w:val="17"/>
          <w:color w:val="auto"/>
        </w:rPr>
        <w:t>The treasurer shall have the custody of the corporate funds and securities, except as otherwise provided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directors, at the regular meetings of the Board of Directors, or whenever they may require it, an account of all his or her transactions as treasurer and of the financial condition of the Corporation.</w:t>
      </w:r>
    </w:p>
    <w:p>
      <w:pPr>
        <w:spacing w:after="0" w:line="17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4.07 Duties of Officers May Be Delegated. </w:t>
      </w:r>
      <w:r>
        <w:rPr>
          <w:rFonts w:ascii="Arial" w:cs="Arial" w:eastAsia="Arial" w:hAnsi="Arial"/>
          <w:sz w:val="16"/>
          <w:szCs w:val="16"/>
          <w:color w:val="auto"/>
        </w:rPr>
        <w:t>In case any officer is absent, or for any other reason that the Board of Directors may deem</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the president or the Board of Directors may delegate for the time being the powers or duties of such officer to any other officer or to any director.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CERTIFICATES AND THEIR TRANSFER</w:t>
      </w:r>
    </w:p>
    <w:p>
      <w:pPr>
        <w:spacing w:after="0" w:line="2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5.01 Certificates Representing Shares. </w:t>
      </w:r>
      <w:r>
        <w:rPr>
          <w:rFonts w:ascii="Arial" w:cs="Arial" w:eastAsia="Arial" w:hAnsi="Arial"/>
          <w:sz w:val="16"/>
          <w:szCs w:val="16"/>
          <w:color w:val="auto"/>
        </w:rPr>
        <w:t>The shares of stock of the Corporation shall be represented by certificates; provided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may provide by resolution or resolutions that some or all of any class or series shall be uncertificated shares that may be evidenced by a book-entry system maintained by the registrar of such stock. If shares are represented by certificates, such certificates shall be in the form, other than bearer form, approved by the Board of Directors. The certificates representing shares of stock of each class shall be signed by, or in the name of, the Corporation by the chairman, any vice chairman, the president or any vice president, and by the secretary, any assistant secretary, the treasurer or any assistant treasurer. Any or all such signatures may be facsimiles.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1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5.02 Transfers of Stock. </w:t>
      </w:r>
      <w:r>
        <w:rPr>
          <w:rFonts w:ascii="Arial" w:cs="Arial" w:eastAsia="Arial" w:hAnsi="Arial"/>
          <w:sz w:val="18"/>
          <w:szCs w:val="18"/>
          <w:color w:val="auto"/>
        </w:rPr>
        <w:t>Stock of the Corporation shall be transferable in the manner prescribed by law and in these by-laws.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of stock shall be made on the books of the Corporation only by the holder of record thereof, by such person’s attorney lawfully constituted in writing and, in the case of certificated shares, upon the surrender of the certificate thereof, which shall be cancelled before a new certificate or uncertificated shares shall be issued. No transfer of stock shall be valid as against the Corporation for any purpose until it shall have been entered in the stock records of the Corporation by an entry showing from and to whom transferred. To the extent designated by the president or any vice president or the treasurer of the Corporation, the Corporation may recognize the transfer of fractional uncertificated shares, but shall not otherwise be required to recognize the transfer of fractional shares.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5.03 Transfer Agents and Registrars. </w:t>
      </w:r>
      <w:r>
        <w:rPr>
          <w:rFonts w:ascii="Arial" w:cs="Arial" w:eastAsia="Arial" w:hAnsi="Arial"/>
          <w:sz w:val="18"/>
          <w:szCs w:val="18"/>
          <w:color w:val="auto"/>
        </w:rPr>
        <w:t>The Board of Directors may appoint, or authorize any officer or officers to appoint,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transfer agents and one or more registrars.</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Section 5.04 Lost, Stolen or Destroyed Certificates. </w:t>
      </w:r>
      <w:r>
        <w:rPr>
          <w:rFonts w:ascii="Arial" w:cs="Arial" w:eastAsia="Arial" w:hAnsi="Arial"/>
          <w:sz w:val="16"/>
          <w:szCs w:val="16"/>
          <w:color w:val="auto"/>
        </w:rPr>
        <w:t>The Board of Directors may direct a new certificate or uncertificated shares to be issued</w:t>
      </w:r>
      <w:r>
        <w:rPr>
          <w:rFonts w:ascii="Arial" w:cs="Arial" w:eastAsia="Arial" w:hAnsi="Arial"/>
          <w:sz w:val="16"/>
          <w:szCs w:val="16"/>
          <w:b w:val="1"/>
          <w:bCs w:val="1"/>
          <w:color w:val="auto"/>
        </w:rPr>
        <w:t xml:space="preserve"> </w:t>
      </w:r>
      <w:r>
        <w:rPr>
          <w:rFonts w:ascii="Arial" w:cs="Arial" w:eastAsia="Arial" w:hAnsi="Arial"/>
          <w:sz w:val="16"/>
          <w:szCs w:val="16"/>
          <w:color w:val="auto"/>
        </w:rPr>
        <w:t>in place of any certificate theretofore issued by the Corporation alleged to have been lost, stolen or destroyed upon the making of an affidavit of that fact by the owner of the allegedly lost, stolen or destroyed certificate. When authorizing such issue of a new certificate or uncertificated shares, the Board of Directors may, in its discretion and as a condition precedent to the issuance thereof, require the owner of the lost, stolen or destroyed certificate, or the owner’s legal representative to give the Corporation a bond sufficient to indemnify it against any claim that may be made against the Corporation with respect to the certificate alleged to have been lost, stolen or destroyed or the issuance of such new certificate or uncertificated shares.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6.01 Seal. </w:t>
      </w:r>
      <w:r>
        <w:rPr>
          <w:rFonts w:ascii="Arial" w:cs="Arial" w:eastAsia="Arial" w:hAnsi="Arial"/>
          <w:sz w:val="16"/>
          <w:szCs w:val="16"/>
          <w:color w:val="auto"/>
        </w:rPr>
        <w:t>The seal of the Corporation shall be in such form as shall be approved by the Board of Directors. The seal may be used by</w:t>
      </w:r>
      <w:r>
        <w:rPr>
          <w:rFonts w:ascii="Arial" w:cs="Arial" w:eastAsia="Arial" w:hAnsi="Arial"/>
          <w:sz w:val="16"/>
          <w:szCs w:val="16"/>
          <w:b w:val="1"/>
          <w:bCs w:val="1"/>
          <w:color w:val="auto"/>
        </w:rPr>
        <w:t xml:space="preserve"> </w:t>
      </w:r>
      <w:r>
        <w:rPr>
          <w:rFonts w:ascii="Arial" w:cs="Arial" w:eastAsia="Arial" w:hAnsi="Arial"/>
          <w:sz w:val="16"/>
          <w:szCs w:val="16"/>
          <w:color w:val="auto"/>
        </w:rPr>
        <w:t>causing it or a facsimile thereof to be impressed or affixed or reproduced or otherwise, as may be prescribed by law or custom or by the Board of Directors.</w:t>
      </w:r>
    </w:p>
    <w:p>
      <w:pPr>
        <w:spacing w:after="0" w:line="11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6.02</w:t>
      </w:r>
      <w:r>
        <w:rPr>
          <w:sz w:val="20"/>
          <w:szCs w:val="20"/>
          <w:color w:val="auto"/>
        </w:rPr>
        <w:tab/>
      </w: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fiscal year of the Corporation shall be the calendar year, unless otherwise determined by the Board of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6.03 Checks, Notes, Drafts, Etc. </w:t>
      </w:r>
      <w:r>
        <w:rPr>
          <w:rFonts w:ascii="Arial" w:cs="Arial" w:eastAsia="Arial" w:hAnsi="Arial"/>
          <w:sz w:val="18"/>
          <w:szCs w:val="18"/>
          <w:color w:val="auto"/>
        </w:rPr>
        <w:t>All checks, notes, drafts or other orders for the payment of money of the Corporation shall be signed,</w:t>
      </w:r>
      <w:r>
        <w:rPr>
          <w:rFonts w:ascii="Arial" w:cs="Arial" w:eastAsia="Arial" w:hAnsi="Arial"/>
          <w:sz w:val="18"/>
          <w:szCs w:val="18"/>
          <w:b w:val="1"/>
          <w:bCs w:val="1"/>
          <w:color w:val="auto"/>
        </w:rPr>
        <w:t xml:space="preserve"> </w:t>
      </w:r>
      <w:r>
        <w:rPr>
          <w:rFonts w:ascii="Arial" w:cs="Arial" w:eastAsia="Arial" w:hAnsi="Arial"/>
          <w:sz w:val="18"/>
          <w:szCs w:val="18"/>
          <w:color w:val="auto"/>
        </w:rPr>
        <w:t>endorsed or accepted in the name of the Corporation by such officer, officers, person or persons as from time to time may be designated by the Board of Directors or by an officer or officers authorized by the Board of Directors to make such designation.</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6.04 Dividends. </w:t>
      </w:r>
      <w:r>
        <w:rPr>
          <w:rFonts w:ascii="Arial" w:cs="Arial" w:eastAsia="Arial" w:hAnsi="Arial"/>
          <w:sz w:val="17"/>
          <w:szCs w:val="17"/>
          <w:color w:val="auto"/>
        </w:rPr>
        <w:t>Subject to applicable law and the Certificate of Incorporation, dividends upon the shares of capital stock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may be declared by the Board of Directors at any regular or special meeting of the Board of Directors. Dividends may be paid in cash, in property or in shares of the Corporation’s capital stock, unless otherwise provided by applicable law or the Certificate of Incorporation.</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6.05 Conflict with Applicable Law or Certificate of Incorporation. </w:t>
      </w:r>
      <w:r>
        <w:rPr>
          <w:rFonts w:ascii="Arial" w:cs="Arial" w:eastAsia="Arial" w:hAnsi="Arial"/>
          <w:sz w:val="18"/>
          <w:szCs w:val="18"/>
          <w:color w:val="auto"/>
        </w:rPr>
        <w:t>These by-laws are adopted subject to any applicable law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Whenever these by-laws may conflict with any applicable law or the Certificate of Incorporation, such conflict shall be resolved in favor of such law or the Certificate of Incorporation.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These by-laws may be amended, altered, changed, adopted and repealed or new by-laws adopted by the Board of Directors. The stockholders may make additional by-laws and may alter and repeal any by-laws whether such by-laws were originally adopted by them or otherwise.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(Adopted on June 23,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b w:val="1"/>
          <w:bCs w:val="1"/>
          <w:color w:val="auto"/>
        </w:rPr>
        <w:t>Exhibit 10.6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July 23, 2020</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the date hereof, Chardan Global Investments 3 LLC, a Delaware limited liability company (the “</w:t>
      </w:r>
      <w:r>
        <w:rPr>
          <w:rFonts w:ascii="Arial" w:cs="Arial" w:eastAsia="Arial" w:hAnsi="Arial"/>
          <w:sz w:val="18"/>
          <w:szCs w:val="18"/>
          <w:u w:val="single" w:color="auto"/>
          <w:color w:val="auto"/>
        </w:rPr>
        <w:t>Subscriber</w:t>
      </w:r>
      <w:r>
        <w:rPr>
          <w:rFonts w:ascii="Arial" w:cs="Arial" w:eastAsia="Arial" w:hAnsi="Arial"/>
          <w:sz w:val="18"/>
          <w:szCs w:val="18"/>
          <w:color w:val="auto"/>
        </w:rPr>
        <w:t>”), hereby subscribes for and purchases from Chardan Global Acquisition 3 Corp.,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one million (1,000,000) shares of the Issuer’s common stock, $0.0001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for an aggregate purchase price equal to $25,000. Upon issuance of such shares of Common Stock by the Issuer to the Subscriber hereunder, such shares of Common Stock shall be duly authorized, fully-paid and non-assessable shares of the Common Stock of the Issuer.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Issuer and the Subscriber have duly executed this Subscription Agreement as of the date first written above.</w:t>
      </w: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SUBSCRIBER: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GLOBAL INVESTMENTS 3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Jonas Grossman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7" w:name="page198"/>
    <w:bookmarkEnd w:id="197"/>
    <w:p>
      <w:pPr>
        <w:ind w:left="10120"/>
        <w:spacing w:after="0"/>
        <w:rPr>
          <w:sz w:val="20"/>
          <w:szCs w:val="20"/>
          <w:color w:val="auto"/>
        </w:rPr>
      </w:pPr>
      <w:r>
        <w:rPr>
          <w:rFonts w:ascii="Arial" w:cs="Arial" w:eastAsia="Arial" w:hAnsi="Arial"/>
          <w:sz w:val="19"/>
          <w:szCs w:val="19"/>
          <w:b w:val="1"/>
          <w:bCs w:val="1"/>
          <w:color w:val="auto"/>
        </w:rPr>
        <w:t>Exhibit 10.7</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tabs>
          <w:tab w:leader="none" w:pos="10100" w:val="left"/>
        </w:tabs>
        <w:rPr>
          <w:sz w:val="20"/>
          <w:szCs w:val="20"/>
          <w:color w:val="auto"/>
        </w:rPr>
      </w:pPr>
      <w:r>
        <w:rPr>
          <w:rFonts w:ascii="Arial" w:cs="Arial" w:eastAsia="Arial" w:hAnsi="Arial"/>
          <w:sz w:val="18"/>
          <w:szCs w:val="18"/>
          <w:color w:val="auto"/>
        </w:rPr>
        <w:t>Not to Exceed $250,000</w:t>
      </w:r>
      <w:r>
        <w:rPr>
          <w:sz w:val="20"/>
          <w:szCs w:val="20"/>
          <w:color w:val="auto"/>
        </w:rPr>
        <w:tab/>
      </w:r>
      <w:r>
        <w:rPr>
          <w:rFonts w:ascii="Arial" w:cs="Arial" w:eastAsia="Arial" w:hAnsi="Arial"/>
          <w:sz w:val="16"/>
          <w:szCs w:val="16"/>
          <w:color w:val="auto"/>
        </w:rPr>
        <w:t>July 23rd, 2020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VALUE RECEIVED, Chardan Global Acquisition 3 Corp., a Delaware corporation (“Maker” or the “Company”), hereby unconditionally promises to pay to the order of Chardan Global Investments 3 LLC, a Delaware limited liability company (“Payee”), the sum of TWO HUNDRED FIFTY THOUSAND DOLLARS ($250,000) or such lesser amount as shall have been advanced by Payee to Maker and shall remain unpaid under this note (this “Note”), in legal and lawful money of the United States of America.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Payee may make advances to Maker from time to time under this Note; provided, however, that notwithstanding anything to the contrary herein, at no time shall the aggregate of all advances and re-advances outstanding under this Note exceed $250,000.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a non-interest bearing Note.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entire unpaid principal balance of this Note shall be due and payable upon the earlier of December 31, 2021 or the consummation of a public offering of the Company’s securities.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payment of this Note or any installment of this Note is not made when due, the entire indebtedness hereunder, at the option of Payee, shall immediately become due and payable, and Payee shall be entitled to pursue any or all remedies to which Payee is entitled hereunder, or at law or in equity.</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Note may be prepaid, in whole or in part, without penalty. This Note may not be changed, amended or modified except in a writing expressly intended for such purpose and executed by the party against whom enforcement of the change, amendment or modification is sought. The loan evidenced by this Note is made solely for business purposes.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NOTE IS BEING EXECUTED AND DELIVERED, AND IS INTENDED TO BE PERFORMED, IN THE STATE OF NEW YORK. EXCEPT TO THE EXTENT THAT THE LAWS OF THE UNITED STATES MAY APPLY TO THE TERMS HEREOF, THE SUBSTANTIVE LAWS OF THE STATE OF NEW YORK SHALL GOVERN THE VALIDITY, CONSTRUCTION, ENFORCEMENT AND INTERPRETATION OF THIS NOTE. IN THE EVENT OF A DISPUTE INVOLVING THIS NOTE OR ANY OTHER INSTRUMENTS EXECUTED IN CONNECTION HEREWITH, THE UNDERSIGNED PARTIES IRREVOCABLY AGREE THAT VENUE FOR SUCH DISPUTE SHALL LIE IN ANY COURT OF COMPETENT JURISDICTION IN THE STATE OF NEW YORK.</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Service of any notice by Maker to Payee or by Payee to Maker, shall be mailed, postage prepaid by certified United States mail, return receipt requested, at the address for such party set forth in this Note, or at such subsequent address provided to the other party hereto in the manner set forth in this paragraph for all notices. Any such notice shall be deemed given three (3) days after deposit thereof in an official depository under the care and custody of the United States Postal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8" w:name="page199"/>
    <w:bookmarkEnd w:id="198"/>
    <w:p>
      <w:pPr>
        <w:jc w:val="both"/>
        <w:ind w:firstLine="648"/>
        <w:spacing w:after="0" w:line="259" w:lineRule="auto"/>
        <w:rPr>
          <w:sz w:val="20"/>
          <w:szCs w:val="20"/>
          <w:color w:val="auto"/>
        </w:rPr>
      </w:pPr>
      <w:r>
        <w:rPr>
          <w:rFonts w:ascii="Arial" w:cs="Arial" w:eastAsia="Arial" w:hAnsi="Arial"/>
          <w:sz w:val="18"/>
          <w:szCs w:val="18"/>
          <w:color w:val="auto"/>
        </w:rPr>
        <w:t>Should the indebtedness represented by this Note or any part thereof be collected at law or in equity or through any bankruptcy, receivership, probate or other court proceedings or if this Note is placed in the hands of attorneys for collection after default, the undersigned and all endorsers, guarantors and sureties of this Note jointly and severally agree to pay to the holder of this Note, in addition to the principal and interest due and payable hereon, reasonable attorneys’ and collection fees.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and all endorsers, guarantors and sureties of this Note and all other persons liable or to become liable on this Note severally waive presentment for payment, demand, notice of demand and of dishonor and nonpayment of this Note, notice of intention to accelerate the maturity of this Note, notice of acceleration, protest and notice of protest, diligence in collecting, and the bringing of suit against any other party, and agree to all renewals, extensions, modifications, partial payments, releases or substitutions of security, in whole or in part, with or without notice, before or after maturity.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expressly and unconditionally waives, in connection with any suit, action or proceeding brought by the payee on this Note, any and every right it may have to (i) injunctive relief, (ii) a trial by jury, (iii) interpose any counterclaim therein and (iv) have the same consolidated with any other or separate suit, action or proceeding. Nothing herein contained shall prevent or prohibit the undersigned from instituting or maintaining a separate action against payee with respect to any asserted claim.</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provision contained in this Notes which is prohibited or unenforceable in any jurisdictions shall, as to such jurisdiction, be ineffective to the extent of such prohibition or unenforceability without invalidating the remaining provisions hereof, and any such prohibitions or unenforceability in any jurisdiction shall not invalidate or render unenforceable such provision in any other jurisdiction.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Note represents the final agreement between the parties and may not be contradicted by evidence of prior, contemporaneous or subsequent oral agreements of the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EXECUTED AND AGREED as of the date first above written.</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CHARDAN GLOBAL ACQUISITION 3 CORP.</w:t>
      </w: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Jonas Grossman</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200" w:name="page201"/>
    <w:bookmarkEnd w:id="200"/>
    <w:p>
      <w:pPr>
        <w:ind w:left="1032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Form S-1 of our report dated March 8, 2021, relating to the financial statements of Chardan NexTech Acquisition 2 Corp., which is contained in that Prospectus. We also consent to the reference to us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22"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Updated Dec. 3, 2020</w:t>
      </w:r>
      <w:r>
        <w:rPr>
          <w:sz w:val="20"/>
          <w:szCs w:val="20"/>
          <w:color w:val="auto"/>
        </w:rPr>
        <w:tab/>
      </w:r>
      <w:r>
        <w:rPr>
          <w:rFonts w:ascii="Arial" w:cs="Arial" w:eastAsia="Arial" w:hAnsi="Arial"/>
          <w:sz w:val="12"/>
          <w:szCs w:val="12"/>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1)"/>
      <w:numFmt w:val="decimal"/>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upperLetter"/>
      <w:start w:val="9"/>
    </w:lvl>
  </w:abstractNum>
  <w:abstractNum w:abstractNumId="8">
    <w:nsid w:val="749ABB43"/>
    <w:multiLevelType w:val="hybridMultilevel"/>
    <w:lvl w:ilvl="0">
      <w:lvlJc w:val="left"/>
      <w:lvlText w:val="(%1)"/>
      <w:numFmt w:val="lowerRoman"/>
      <w:start w:val="2"/>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1."/>
      <w:numFmt w:val="upperLetter"/>
      <w:start w:val="35"/>
    </w:lvl>
  </w:abstractNum>
  <w:abstractNum w:abstractNumId="13">
    <w:nsid w:val="12E685FB"/>
    <w:multiLevelType w:val="hybridMultilevel"/>
    <w:lvl w:ilvl="0">
      <w:lvlJc w:val="left"/>
      <w:lvlText w:val="(%1)"/>
      <w:numFmt w:val="lowerRoman"/>
      <w:start w:val="2"/>
    </w:lvl>
  </w:abstractNum>
  <w:abstractNum w:abstractNumId="14">
    <w:nsid w:val="70C6A529"/>
    <w:multiLevelType w:val="hybridMultilevel"/>
    <w:lvl w:ilvl="0">
      <w:lvlJc w:val="left"/>
      <w:lvlText w:val="%1."/>
      <w:numFmt w:val="upperLetter"/>
      <w:start w:val="6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upperLetter"/>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upperLetter"/>
      <w:start w:val="22"/>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1)"/>
      <w:numFmt w:val="decimal"/>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1)"/>
      <w:numFmt w:val="lowerRoman"/>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decimal"/>
      <w:start w:val="2"/>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1)"/>
      <w:numFmt w:val="decimal"/>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lowerRoman"/>
      <w:start w:val="10"/>
    </w:lvl>
  </w:abstractNum>
  <w:abstractNum w:abstractNumId="55">
    <w:nsid w:val="661E3F1E"/>
    <w:multiLevelType w:val="hybridMultilevel"/>
    <w:lvl w:ilvl="0">
      <w:lvlJc w:val="left"/>
      <w:lvlText w:val="(%1)"/>
      <w:numFmt w:val="lowerRoman"/>
      <w:start w:val="10"/>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emdash "/>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1)"/>
      <w:numFmt w:val="decimal"/>
      <w:start w:val="1"/>
    </w:lvl>
  </w:abstractNum>
  <w:abstractNum w:abstractNumId="77">
    <w:nsid w:val="7FB7E0AA"/>
    <w:multiLevelType w:val="hybridMultilevel"/>
    <w:lvl w:ilvl="0">
      <w:lvlJc w:val="left"/>
      <w:lvlText w:val="(%1)"/>
      <w:numFmt w:val="lowerRoman"/>
      <w:start w:val="2"/>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2"/>
    </w:lvl>
  </w:abstractNum>
  <w:abstractNum w:abstractNumId="81">
    <w:nsid w:val="885E1B"/>
    <w:multiLevelType w:val="hybridMultilevel"/>
    <w:lvl w:ilvl="0">
      <w:lvlJc w:val="left"/>
      <w:lvlText w:val="(%1)"/>
      <w:numFmt w:val="lowerLetter"/>
      <w:start w:val="8"/>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4">
    <w:nsid w:val="1716703B"/>
    <w:multiLevelType w:val="hybridMultilevel"/>
    <w:lvl w:ilvl="0">
      <w:lvlJc w:val="left"/>
      <w:lvlText w:val="(%1)"/>
      <w:numFmt w:val="lowerRoman"/>
      <w:start w:val="3"/>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lowerLetter"/>
      <w:start w:val="3"/>
    </w:lvl>
  </w:abstractNum>
  <w:abstractNum w:abstractNumId="87">
    <w:nsid w:val="74DE0EE3"/>
    <w:multiLevelType w:val="hybridMultilevel"/>
    <w:lvl w:ilvl="0">
      <w:lvlJc w:val="left"/>
      <w:lvlText w:val="(%1)"/>
      <w:numFmt w:val="lowerLetter"/>
      <w:start w:val="2"/>
    </w:lvl>
    <w:lvl w:ilvl="1">
      <w:lvlJc w:val="left"/>
      <w:lvlText w:val="-"/>
      <w:numFmt w:val="bullet"/>
      <w:start w:val="1"/>
    </w:lvl>
  </w:abstractNum>
  <w:abstractNum w:abstractNumId="88">
    <w:nsid w:val="68EBC550"/>
    <w:multiLevelType w:val="hybridMultilevel"/>
    <w:lvl w:ilvl="0">
      <w:lvlJc w:val="left"/>
      <w:lvlText w:val="(%1)"/>
      <w:numFmt w:val="lowerLetter"/>
      <w:start w:val="4"/>
    </w:lvl>
    <w:lvl w:ilvl="1">
      <w:lvlJc w:val="left"/>
      <w:lvlText w:val="-"/>
      <w:numFmt w:val="bullet"/>
      <w:start w:val="1"/>
    </w:lvl>
  </w:abstractNum>
  <w:abstractNum w:abstractNumId="89">
    <w:nsid w:val="2DF6D648"/>
    <w:multiLevelType w:val="hybridMultilevel"/>
    <w:lvl w:ilvl="0">
      <w:lvlJc w:val="left"/>
      <w:lvlText w:val="(%1)"/>
      <w:numFmt w:val="lowerLetter"/>
      <w:start w:val="1"/>
    </w:lvl>
    <w:lvl w:ilvl="1">
      <w:lvlJc w:val="left"/>
      <w:lvlText w:val="-"/>
      <w:numFmt w:val="bullet"/>
      <w:start w:val="1"/>
    </w:lvl>
  </w:abstractNum>
  <w:abstractNum w:abstractNumId="90">
    <w:nsid w:val="46B7D44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2021-03-08T16:40:53Z</dcterms:created>
  <dcterms:modified xsi:type="dcterms:W3CDTF">2021-03-08T16:40:53Z</dcterms:modified>
</cp:coreProperties>
</file>