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10-ka.htm"/>
      <w:bookmarkStart w:id="1" w:name="ksform10ka"/>
      <w:bookmarkEnd w:id="0"/>
      <w:bookmarkEnd w:id="1"/>
      <w:r>
        <w:rPr>
          <w:caps w:val="false"/>
          <w:smallCaps w:val="false"/>
        </w:rPr>
        <w:t> </w:t>
      </w:r>
    </w:p>
    <w:p>
      <w:pPr>
        <w:pStyle w:val="TextBody"/>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20101__20"/>
      <w:bookmarkEnd w:id="2"/>
      <w:r>
        <w:rPr>
          <w:rFonts w:ascii="Times New Roman;Times;Serif" w:hAnsi="Times New Roman;Times;Serif"/>
          <w:b/>
          <w:i w:val="false"/>
          <w:caps w:val="false"/>
          <w:smallCaps w:val="false"/>
          <w:sz w:val="36"/>
        </w:rPr>
        <w:t>10-K/A</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jc w:val="center"/>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rPr>
          <w:caps w:val="false"/>
          <w:smallCaps w:val="false"/>
        </w:rPr>
      </w:pPr>
      <w:r>
        <w:rPr>
          <w:caps w:val="false"/>
          <w:smallCaps w:val="false"/>
        </w:rPr>
        <w:t> </w:t>
      </w:r>
    </w:p>
    <w:tbl>
      <w:tblPr>
        <w:tblW w:w="9715" w:type="dxa"/>
        <w:jc w:val="left"/>
        <w:tblInd w:w="0" w:type="dxa"/>
        <w:tblCellMar>
          <w:top w:w="0" w:type="dxa"/>
          <w:left w:w="0" w:type="dxa"/>
          <w:bottom w:w="0" w:type="dxa"/>
          <w:right w:w="0" w:type="dxa"/>
        </w:tblCellMar>
      </w:tblPr>
      <w:tblGrid>
        <w:gridCol w:w="245"/>
        <w:gridCol w:w="9470"/>
      </w:tblGrid>
      <w:tr>
        <w:trPr/>
        <w:tc>
          <w:tcPr>
            <w:tcW w:w="245" w:type="dxa"/>
            <w:tcBorders/>
            <w:shd w:fill="auto" w:val="clear"/>
            <w:vAlign w:val="center"/>
          </w:tcPr>
          <w:p>
            <w:pPr>
              <w:pStyle w:val="TableContents"/>
              <w:spacing w:before="0" w:after="283"/>
              <w:rPr>
                <w:caps w:val="false"/>
                <w:smallCaps w:val="false"/>
              </w:rPr>
            </w:pPr>
            <w:bookmarkStart w:id="3" w:name="xdx_904_edei--DocumentAnnualReport_c2022"/>
            <w:bookmarkEnd w:id="3"/>
            <w:r>
              <w:rPr>
                <w:caps w:val="false"/>
                <w:smallCaps w:val="false"/>
              </w:rPr>
              <w:t>☒</w:t>
            </w:r>
          </w:p>
        </w:tc>
        <w:tc>
          <w:tcPr>
            <w:tcW w:w="947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E_edei--CurrentFiscalYearEndDate_c"/>
      <w:bookmarkStart w:id="5" w:name="xdx_90E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8_edei--DocumentFiscalYearFocus_c2"/>
      <w:bookmarkEnd w:id="6"/>
      <w:r>
        <w:rPr>
          <w:rFonts w:ascii="Times New Roman;Times;Serif" w:hAnsi="Times New Roman;Times;Serif"/>
          <w:b/>
          <w:i w:val="false"/>
          <w:caps w:val="false"/>
          <w:smallCaps w:val="false"/>
          <w:sz w:val="20"/>
        </w:rPr>
        <w:t>2022</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caps w:val="false"/>
                <w:smallCaps w:val="false"/>
              </w:rPr>
            </w:pPr>
            <w:bookmarkStart w:id="7" w:name="xdx_90C_edei--DocumentTransitionReport_c"/>
            <w:bookmarkEnd w:id="7"/>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1934ed</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4_edei--EntityFileNumber_c20220101"/>
      <w:bookmarkEnd w:id="8"/>
      <w:r>
        <w:rPr>
          <w:rFonts w:ascii="Times New Roman;Times;Serif" w:hAnsi="Times New Roman;Times;Serif"/>
          <w:b/>
          <w:i w:val="false"/>
          <w:caps w:val="false"/>
          <w:smallCaps w:val="false"/>
          <w:sz w:val="20"/>
        </w:rPr>
        <w:t>001-40730</w:t>
      </w:r>
    </w:p>
    <w:p>
      <w:pPr>
        <w:pStyle w:val="TextBody"/>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bookmarkStart w:id="9" w:name="xdx_90E_edei--EntityRegistrantName_c2022"/>
      <w:bookmarkEnd w:id="9"/>
      <w:r>
        <w:rPr>
          <w:rFonts w:ascii="Times New Roman;Times;Serif" w:hAnsi="Times New Roman;Times;Serif"/>
          <w:b/>
          <w:i w:val="false"/>
          <w:caps w:val="false"/>
          <w:smallCaps w:val="false"/>
          <w:sz w:val="36"/>
        </w:rPr>
        <w:t>DRAGONFLY ENERGY HOLDINGS CORP.</w:t>
      </w:r>
    </w:p>
    <w:p>
      <w:pPr>
        <w:pStyle w:val="TextBody"/>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870" w:type="dxa"/>
        <w:jc w:val="left"/>
        <w:tblInd w:w="0" w:type="dxa"/>
        <w:tblCellMar>
          <w:top w:w="0" w:type="dxa"/>
          <w:left w:w="0" w:type="dxa"/>
          <w:bottom w:w="28" w:type="dxa"/>
          <w:right w:w="0" w:type="dxa"/>
        </w:tblCellMar>
      </w:tblPr>
      <w:tblGrid>
        <w:gridCol w:w="3275"/>
        <w:gridCol w:w="60"/>
        <w:gridCol w:w="1535"/>
      </w:tblGrid>
      <w:tr>
        <w:trPr/>
        <w:tc>
          <w:tcPr>
            <w:tcW w:w="32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0" w:name="xdx_905_edei--EntityIncorporationStateCo"/>
            <w:bookmarkEnd w:id="10"/>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1" w:name="xdx_902_edei--EntityTaxIdentificationNum"/>
            <w:bookmarkEnd w:id="11"/>
            <w:r>
              <w:rPr>
                <w:rFonts w:ascii="Times New Roman;Times;Serif" w:hAnsi="Times New Roman;Times;Serif"/>
                <w:b/>
                <w:i w:val="false"/>
                <w:caps w:val="false"/>
                <w:smallCaps w:val="false"/>
                <w:sz w:val="20"/>
              </w:rPr>
              <w:t>85-1873463</w:t>
            </w:r>
          </w:p>
        </w:tc>
      </w:tr>
      <w:tr>
        <w:trPr/>
        <w:tc>
          <w:tcPr>
            <w:tcW w:w="327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3275"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12" w:name="xdx_908_edei--EntityAddressAddressLine1_"/>
            <w:bookmarkEnd w:id="12"/>
            <w:r>
              <w:rPr>
                <w:rFonts w:ascii="Times New Roman;Times;Serif" w:hAnsi="Times New Roman;Times;Serif"/>
                <w:b/>
                <w:i w:val="false"/>
                <w:caps w:val="false"/>
                <w:smallCaps w:val="false"/>
                <w:sz w:val="20"/>
              </w:rPr>
              <w:t xml:space="preserve">1190 Trademark Drive, </w:t>
            </w:r>
            <w:bookmarkStart w:id="13" w:name="xdx_90F_edei--EntityAddressAddressLine2_"/>
            <w:bookmarkEnd w:id="13"/>
            <w:r>
              <w:rPr>
                <w:rFonts w:ascii="Times New Roman;Times;Serif" w:hAnsi="Times New Roman;Times;Serif"/>
                <w:b/>
                <w:i w:val="false"/>
                <w:caps w:val="false"/>
                <w:smallCaps w:val="false"/>
                <w:sz w:val="20"/>
              </w:rPr>
              <w:t>#108</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2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4" w:name="xdx_906_edei--EntityAddressCityOrTown_c2"/>
            <w:bookmarkEnd w:id="14"/>
            <w:r>
              <w:rPr>
                <w:rFonts w:ascii="Times New Roman;Times;Serif" w:hAnsi="Times New Roman;Times;Serif"/>
                <w:b/>
                <w:i w:val="false"/>
                <w:caps w:val="false"/>
                <w:smallCaps w:val="false"/>
                <w:sz w:val="20"/>
              </w:rPr>
              <w:t xml:space="preserve">Reno, </w:t>
            </w:r>
            <w:bookmarkStart w:id="15" w:name="xdx_90C_edei--EntityAddressStateOrProvin"/>
            <w:bookmarkEnd w:id="15"/>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16" w:name="xdx_90A_edei--EntityAddressPostalZipCode"/>
            <w:bookmarkEnd w:id="16"/>
            <w:r>
              <w:rPr>
                <w:rFonts w:ascii="Times New Roman;Times;Serif" w:hAnsi="Times New Roman;Times;Serif"/>
                <w:b/>
                <w:i w:val="false"/>
                <w:caps w:val="false"/>
                <w:smallCaps w:val="false"/>
                <w:sz w:val="20"/>
              </w:rPr>
              <w:t>89521</w:t>
            </w:r>
          </w:p>
        </w:tc>
      </w:tr>
      <w:tr>
        <w:trPr/>
        <w:tc>
          <w:tcPr>
            <w:tcW w:w="327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7" w:name="xdx_90F_edei--CityAreaCode_c20220101__20"/>
      <w:bookmarkEnd w:id="17"/>
      <w:r>
        <w:rPr>
          <w:rFonts w:ascii="Times New Roman;Times;Serif" w:hAnsi="Times New Roman;Times;Serif"/>
          <w:b/>
          <w:i w:val="false"/>
          <w:caps w:val="false"/>
          <w:smallCaps w:val="false"/>
          <w:sz w:val="20"/>
          <w:u w:val="single"/>
        </w:rPr>
        <w:t xml:space="preserve">775) </w:t>
      </w:r>
      <w:bookmarkStart w:id="18" w:name="xdx_902_edei--LocalPhoneNumber_c20220101"/>
      <w:bookmarkEnd w:id="18"/>
      <w:r>
        <w:rPr>
          <w:rFonts w:ascii="Times New Roman;Times;Serif" w:hAnsi="Times New Roman;Times;Serif"/>
          <w:b/>
          <w:i w:val="false"/>
          <w:caps w:val="false"/>
          <w:smallCaps w:val="false"/>
          <w:sz w:val="20"/>
          <w:u w:val="single"/>
        </w:rPr>
        <w:t>622-3448</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277"/>
        <w:gridCol w:w="60"/>
        <w:gridCol w:w="1231"/>
        <w:gridCol w:w="60"/>
        <w:gridCol w:w="2577"/>
      </w:tblGrid>
      <w:tr>
        <w:trPr/>
        <w:tc>
          <w:tcPr>
            <w:tcW w:w="627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1"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7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7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5_edei--Security12bTitle_c20220101"/>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1"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8_edei--TradingSymbol_c20220101__2"/>
            <w:bookmarkEnd w:id="20"/>
            <w:r>
              <w:rPr>
                <w:rFonts w:ascii="Times New Roman;Times;Serif" w:hAnsi="Times New Roman;Times;Serif"/>
                <w:b w:val="false"/>
                <w:i w:val="false"/>
                <w:caps w:val="false"/>
                <w:smallCaps w:val="false"/>
                <w:sz w:val="20"/>
              </w:rPr>
              <w:t>DFLI</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7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B_edei--SecurityExchangeName_c2022"/>
            <w:bookmarkEnd w:id="21"/>
            <w:r>
              <w:rPr>
                <w:rFonts w:ascii="Times New Roman;Times;Serif" w:hAnsi="Times New Roman;Times;Serif"/>
                <w:b w:val="false"/>
                <w:i w:val="false"/>
                <w:caps w:val="false"/>
                <w:smallCaps w:val="false"/>
                <w:sz w:val="20"/>
              </w:rPr>
              <w:t>Nasdaq Global Market</w:t>
            </w:r>
          </w:p>
        </w:tc>
      </w:tr>
      <w:tr>
        <w:trPr/>
        <w:tc>
          <w:tcPr>
            <w:tcW w:w="627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2" w:name="xdx_90D_edei--Security12bTitle_c20220101"/>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1"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3" w:name="xdx_905_edei--TradingSymbol_c20220101__2"/>
            <w:bookmarkEnd w:id="23"/>
            <w:r>
              <w:rPr>
                <w:rFonts w:ascii="Times New Roman;Times;Serif" w:hAnsi="Times New Roman;Times;Serif"/>
                <w:b w:val="false"/>
                <w:i w:val="false"/>
                <w:caps w:val="false"/>
                <w:smallCaps w:val="false"/>
                <w:sz w:val="20"/>
              </w:rPr>
              <w:t>DFLIW</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77"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A_edei--SecurityExchangeName_c2022"/>
            <w:bookmarkEnd w:id="24"/>
            <w:r>
              <w:rPr>
                <w:rFonts w:ascii="Times New Roman;Times;Serif" w:hAnsi="Times New Roman;Times;Serif"/>
                <w:b w:val="false"/>
                <w:i w:val="false"/>
                <w:caps w:val="false"/>
                <w:smallCaps w:val="false"/>
                <w:sz w:val="20"/>
              </w:rPr>
              <w:t>Nasdaq Capital Market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u w:val="single"/>
        </w:rPr>
        <w:t>None</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B_edei--EntityWellKnownSeasonedIss"/>
      <w:bookmarkStart w:id="26" w:name="xdx_90A_edei--EntityWellKnownSeasonedIss"/>
      <w:bookmarkEnd w:id="25"/>
      <w:bookmarkEnd w:id="26"/>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7" w:name="xdx_907_edei--EntityVoluntaryFilers_c202"/>
      <w:bookmarkStart w:id="28" w:name="xdx_907_edei--EntityVoluntaryFilers_c202"/>
      <w:bookmarkEnd w:id="27"/>
      <w:bookmarkEnd w:id="28"/>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9" w:name="xdx_90F_edei--EntityCurrentReportingStat"/>
      <w:bookmarkEnd w:id="29"/>
      <w:r>
        <w:rPr>
          <w:rFonts w:ascii="Times New Roman;Times;Serif" w:hAnsi="Times New Roman;Times;Serif"/>
          <w:b w:val="false"/>
          <w:i w:val="false"/>
          <w:caps w:val="false"/>
          <w:smallCaps w:val="false"/>
          <w:sz w:val="20"/>
        </w:rPr>
        <w:t>Yes ☒ 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30" w:name="xdx_907_edei--EntityInteractiveDataCurre"/>
      <w:bookmarkEnd w:id="30"/>
      <w:r>
        <w:rPr>
          <w:rFonts w:ascii="Times New Roman;Times;Serif" w:hAnsi="Times New Roman;Times;Serif"/>
          <w:b w:val="false"/>
          <w:i w:val="false"/>
          <w:caps w:val="false"/>
          <w:smallCaps w:val="false"/>
          <w:sz w:val="20"/>
        </w:rPr>
        <w:t>Yes ☒ 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jc w:val="both"/>
        <w:rPr>
          <w:caps w:val="false"/>
          <w:smallCaps w:val="false"/>
        </w:rPr>
      </w:pPr>
      <w:r>
        <w:rPr>
          <w:caps w:val="false"/>
          <w:smallCaps w:val="false"/>
        </w:rPr>
        <w:t> </w:t>
      </w:r>
    </w:p>
    <w:tbl>
      <w:tblPr>
        <w:tblW w:w="4595" w:type="dxa"/>
        <w:jc w:val="left"/>
        <w:tblInd w:w="0" w:type="dxa"/>
        <w:tblCellMar>
          <w:top w:w="0" w:type="dxa"/>
          <w:left w:w="0" w:type="dxa"/>
          <w:bottom w:w="0" w:type="dxa"/>
          <w:right w:w="0" w:type="dxa"/>
        </w:tblCellMar>
      </w:tblPr>
      <w:tblGrid>
        <w:gridCol w:w="1835"/>
        <w:gridCol w:w="230"/>
        <w:gridCol w:w="60"/>
        <w:gridCol w:w="2225"/>
        <w:gridCol w:w="245"/>
      </w:tblGrid>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auto" w:val="clear"/>
            <w:vAlign w:val="center"/>
          </w:tcPr>
          <w:p>
            <w:pPr>
              <w:pStyle w:val="TableContents"/>
              <w:spacing w:before="0" w:after="283"/>
              <w:jc w:val="center"/>
              <w:rPr>
                <w:caps w:val="false"/>
                <w:smallCaps w:val="false"/>
              </w:rPr>
            </w:pPr>
            <w:r>
              <w:rPr>
                <w:caps w:val="false"/>
                <w:smallCaps w:val="false"/>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auto" w:val="clear"/>
            <w:vAlign w:val="center"/>
          </w:tcPr>
          <w:p>
            <w:pPr>
              <w:pStyle w:val="TableContents"/>
              <w:spacing w:before="0" w:after="283"/>
              <w:jc w:val="center"/>
              <w:rPr>
                <w:caps w:val="false"/>
                <w:smallCaps w:val="false"/>
              </w:rPr>
            </w:pPr>
            <w:r>
              <w:rPr>
                <w:caps w:val="false"/>
                <w:smallCaps w:val="false"/>
              </w:rPr>
              <w:t>☐</w:t>
            </w:r>
          </w:p>
        </w:tc>
      </w:tr>
      <w:tr>
        <w:trPr/>
        <w:tc>
          <w:tcPr>
            <w:tcW w:w="18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31" w:name="xdx_90C_edei--EntityFilerCategory_c20220"/>
            <w:bookmarkEnd w:id="31"/>
            <w:r>
              <w:rPr>
                <w:rFonts w:ascii="Times New Roman;Times;Serif" w:hAnsi="Times New Roman;Times;Serif"/>
                <w:b w:val="false"/>
                <w:i w:val="false"/>
                <w:caps w:val="false"/>
                <w:smallCaps w:val="false"/>
                <w:sz w:val="20"/>
              </w:rPr>
              <w:t>Non-accelerated filer</w:t>
            </w:r>
          </w:p>
        </w:tc>
        <w:tc>
          <w:tcPr>
            <w:tcW w:w="230" w:type="dxa"/>
            <w:tcBorders/>
            <w:shd w:fill="auto" w:val="clear"/>
            <w:vAlign w:val="center"/>
          </w:tcPr>
          <w:p>
            <w:pPr>
              <w:pStyle w:val="TableContents"/>
              <w:spacing w:before="0" w:after="283"/>
              <w:jc w:val="center"/>
              <w:rPr>
                <w:caps w:val="false"/>
                <w:smallCaps w:val="false"/>
              </w:rPr>
            </w:pPr>
            <w:r>
              <w:rPr>
                <w:caps w:val="false"/>
                <w:smallCaps w:val="false"/>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auto" w:val="clear"/>
            <w:vAlign w:val="center"/>
          </w:tcPr>
          <w:p>
            <w:pPr>
              <w:pStyle w:val="TableContents"/>
              <w:spacing w:before="0" w:after="283"/>
              <w:jc w:val="center"/>
              <w:rPr>
                <w:caps w:val="false"/>
                <w:smallCaps w:val="false"/>
              </w:rPr>
            </w:pPr>
            <w:bookmarkStart w:id="32" w:name="xdx_907_edei--EntitySmallBusiness_c20220"/>
            <w:bookmarkEnd w:id="32"/>
            <w:r>
              <w:rPr>
                <w:caps w:val="false"/>
                <w:smallCaps w:val="false"/>
              </w:rPr>
              <w:t>☒</w:t>
            </w:r>
          </w:p>
        </w:tc>
      </w:tr>
      <w:tr>
        <w:trPr/>
        <w:tc>
          <w:tcPr>
            <w:tcW w:w="1835"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auto" w:val="clear"/>
            <w:vAlign w:val="center"/>
          </w:tcPr>
          <w:p>
            <w:pPr>
              <w:pStyle w:val="TableContents"/>
              <w:spacing w:before="0" w:after="283"/>
              <w:jc w:val="center"/>
              <w:rPr>
                <w:caps w:val="false"/>
                <w:smallCaps w:val="false"/>
              </w:rPr>
            </w:pPr>
            <w:bookmarkStart w:id="33" w:name="xdx_90B_edei--EntityEmergingGrowthCompan"/>
            <w:bookmarkEnd w:id="33"/>
            <w:r>
              <w:rPr>
                <w:caps w:val="false"/>
                <w:smallCaps w:val="false"/>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4" w:name="xdx_90C_edei--EntityExTransitionPeriod_c"/>
      <w:bookmarkEnd w:id="34"/>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5" w:name="xdx_90C_edei--IcfrAuditorAttestationFlag"/>
      <w:bookmarkEnd w:id="35"/>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statements.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w:t>
      </w:r>
      <w:bookmarkStart w:id="36" w:name="xdx_900_edei--EntityShellCompany_c202201"/>
      <w:bookmarkEnd w:id="36"/>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voting stock held by non-affiliates of the Registrant on June 30, 2022, based on the closing price of $10.1499 for shares of the registrant’s common stock as reported by the Nasdaq Global Market, was approximately $</w:t>
      </w:r>
      <w:bookmarkStart w:id="37" w:name="xdx_907_edei--EntityPublicFloat_iI_pn5n6"/>
      <w:bookmarkEnd w:id="37"/>
      <w:r>
        <w:rPr>
          <w:rFonts w:ascii="Times New Roman;Times;Serif" w:hAnsi="Times New Roman;Times;Serif"/>
          <w:b w:val="false"/>
          <w:i w:val="false"/>
          <w:caps w:val="false"/>
          <w:smallCaps w:val="false"/>
          <w:sz w:val="20"/>
        </w:rPr>
        <w:t>128.4 million.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21, 2023, there were </w:t>
      </w:r>
      <w:bookmarkStart w:id="38" w:name="xdx_905_edei--EntityCommonStockSharesOut"/>
      <w:bookmarkEnd w:id="38"/>
      <w:r>
        <w:rPr>
          <w:rFonts w:ascii="Times New Roman;Times;Serif" w:hAnsi="Times New Roman;Times;Serif"/>
          <w:b w:val="false"/>
          <w:i w:val="false"/>
          <w:caps w:val="false"/>
          <w:smallCaps w:val="false"/>
          <w:sz w:val="20"/>
        </w:rPr>
        <w:t>45,794,923 shares of the registrant’s common stock, par value $0.0001 per share, issued and outstanding.</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39" w:name="xdx_90D_edei--DocumentsIncorporatedByRef"/>
      <w:bookmarkEnd w:id="39"/>
      <w:r>
        <w:rPr>
          <w:rFonts w:ascii="Times New Roman;Times;Serif" w:hAnsi="Times New Roman;Times;Serif"/>
          <w:b w:val="false"/>
          <w:i w:val="false"/>
          <w:caps w:val="false"/>
          <w:smallCaps w:val="false"/>
          <w:sz w:val="20"/>
        </w:rPr>
        <w:t>None.</w:t>
      </w:r>
    </w:p>
    <w:p>
      <w:pPr>
        <w:pStyle w:val="TextBody"/>
        <w:jc w:val="both"/>
        <w:rPr>
          <w:caps w:val="false"/>
          <w:smallCaps w:val="false"/>
        </w:rPr>
      </w:pPr>
      <w:r>
        <w:rPr>
          <w:caps w:val="false"/>
          <w:smallCaps w:val="false"/>
        </w:rPr>
        <w:t> </w:t>
      </w:r>
    </w:p>
    <w:tbl>
      <w:tblPr>
        <w:tblW w:w="4410" w:type="dxa"/>
        <w:jc w:val="left"/>
        <w:tblInd w:w="0" w:type="dxa"/>
        <w:tblCellMar>
          <w:top w:w="0" w:type="dxa"/>
          <w:left w:w="0" w:type="dxa"/>
          <w:bottom w:w="28" w:type="dxa"/>
          <w:right w:w="0" w:type="dxa"/>
        </w:tblCellMar>
      </w:tblPr>
      <w:tblGrid>
        <w:gridCol w:w="1235"/>
        <w:gridCol w:w="60"/>
        <w:gridCol w:w="1235"/>
        <w:gridCol w:w="60"/>
        <w:gridCol w:w="1820"/>
      </w:tblGrid>
      <w:tr>
        <w:trPr/>
        <w:tc>
          <w:tcPr>
            <w:tcW w:w="12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Firm ID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2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Location</w:t>
            </w:r>
          </w:p>
        </w:tc>
      </w:tr>
      <w:tr>
        <w:trPr/>
        <w:tc>
          <w:tcPr>
            <w:tcW w:w="12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40" w:name="xdx_90F_edei--AuditorFirmId_c20220101__2"/>
            <w:bookmarkEnd w:id="40"/>
            <w:r>
              <w:rPr>
                <w:rFonts w:ascii="Times New Roman;Times;Serif" w:hAnsi="Times New Roman;Times;Serif"/>
                <w:b w:val="false"/>
                <w:i w:val="false"/>
                <w:caps w:val="false"/>
                <w:smallCaps w:val="false"/>
                <w:sz w:val="20"/>
              </w:rPr>
              <w:t>243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3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41" w:name="xdx_90F_edei--AuditorName_c20220101__202"/>
            <w:bookmarkEnd w:id="41"/>
            <w:r>
              <w:rPr>
                <w:rFonts w:ascii="Times New Roman;Times;Serif" w:hAnsi="Times New Roman;Times;Serif"/>
                <w:b w:val="false"/>
                <w:i w:val="false"/>
                <w:caps w:val="false"/>
                <w:smallCaps w:val="false"/>
                <w:sz w:val="20"/>
              </w:rPr>
              <w:t>BDO USA LLP</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42" w:name="xdx_902_edei--AuditorLocation_c20220101_"/>
            <w:bookmarkEnd w:id="42"/>
            <w:r>
              <w:rPr>
                <w:rFonts w:ascii="Times New Roman;Times;Serif" w:hAnsi="Times New Roman;Times;Serif"/>
                <w:b w:val="false"/>
                <w:i w:val="false"/>
                <w:caps w:val="false"/>
                <w:smallCaps w:val="false"/>
                <w:sz w:val="20"/>
              </w:rPr>
              <w:t>Spokane, Washington</w:t>
            </w:r>
          </w:p>
        </w:tc>
      </w:tr>
    </w:tbl>
    <w:p>
      <w:pPr>
        <w:pStyle w:val="TextBody"/>
        <w:jc w:val="both"/>
        <w:rPr>
          <w:caps w:val="false"/>
          <w:smallCaps w:val="false"/>
        </w:rPr>
      </w:pPr>
      <w:r>
        <w:rPr>
          <w:caps w:val="false"/>
          <w:smallCaps w:val="false"/>
        </w:rPr>
        <w:t> </w:t>
      </w:r>
    </w:p>
    <w:p>
      <w:pPr>
        <w:pStyle w:val="TextBody"/>
        <w:rPr>
          <w:bdr w:val="single" w:sz="32" w:space="1" w:color="000000"/>
        </w:rPr>
      </w:pPr>
      <w:r>
        <w:rPr>
          <w:bdr w:val="single" w:sz="32" w:space="1" w:color="000000"/>
        </w:rPr>
        <w:t> </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shd w:fill="FFFFFF" w:val="clear"/>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jc w:val="center"/>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bookmarkStart w:id="43" w:name="xdx_907_edei--AmendmentDescription_c2022"/>
      <w:bookmarkEnd w:id="43"/>
      <w:r>
        <w:rPr>
          <w:rFonts w:ascii="Times New Roman;Times;Serif" w:hAnsi="Times New Roman;Times;Serif"/>
          <w:b w:val="false"/>
          <w:i w:val="false"/>
          <w:caps w:val="false"/>
          <w:smallCaps w:val="false"/>
          <w:sz w:val="20"/>
        </w:rPr>
        <w:t>This Amendment No. 1 on Form 10-K/A (this “</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amends the Annual Report on Form 10-K for the fiscal year ended December 31, 2022 (the “</w:t>
      </w:r>
      <w:r>
        <w:rPr>
          <w:rFonts w:ascii="Times New Roman;Times;Serif" w:hAnsi="Times New Roman;Times;Serif"/>
          <w:b/>
          <w:i w:val="false"/>
          <w:caps w:val="false"/>
          <w:smallCaps w:val="false"/>
          <w:sz w:val="20"/>
        </w:rPr>
        <w:t>2022 Annual Report</w:t>
      </w:r>
      <w:r>
        <w:rPr>
          <w:rFonts w:ascii="Times New Roman;Times;Serif" w:hAnsi="Times New Roman;Times;Serif"/>
          <w:b w:val="false"/>
          <w:i w:val="false"/>
          <w:caps w:val="false"/>
          <w:smallCaps w:val="false"/>
          <w:sz w:val="20"/>
        </w:rPr>
        <w:t>”) of Dragonfly Energy Holdings Corp.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17, 2023. In this Amendment No. 1, unless the context indicates otherwise, the designations “Dragonfly,” the “Company,” “we,” “us” or “our” refer to Dragonfly Energy Holdings, Corp.</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is being filed solely to include information required by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and Item 14 - “Principal Accounting Fees and Services” of Part III of Form 10-K. The reference on the cover page of the 2022 Annual Report to the incorporation by reference of portions of our definitive proxy statement into Part III of the 2022 Annual Report is hereby deleted. Items 10, 11, 12, 13 and 14 of Part III of the 2022 Annual Report are amended and restated in their entirety as set forth in this Amendment No. 1. In addition, pursuant to Rule 13a-14(a)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we are including with this Amendment No. 1 certain currently dated certifications. We are not including the certifications under Section 906 of the Sarbanes-Oxley Act of 2002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as no financial statements are being filed with this Amendment No. 1.</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other amendments are being made to the Annual Report. This Amendment No. 1 does not reflect events occurring after the April 17, 2023 filing of the 2022 Annual Report or modify or update the disclosure contained in the 2022 Annual Report in any way other than as required to reflect the amendments discussed above and reflected below. Accordingly, this Amendment No. 1 should be read in conjunction with the 2022 Annual Report and our other filings with the SEC.</w:t>
      </w:r>
    </w:p>
    <w:p>
      <w:pPr>
        <w:pStyle w:val="TextBody"/>
        <w:shd w:fill="FFFFFF" w:val="clear"/>
        <w:ind w:left="0" w:right="0" w:firstLine="720"/>
        <w:jc w:val="both"/>
        <w:rPr>
          <w:caps w:val="false"/>
          <w:smallCaps w:val="false"/>
        </w:rPr>
      </w:pPr>
      <w:r>
        <w:rPr>
          <w:caps w:val="false"/>
          <w:smallCaps w:val="false"/>
        </w:rPr>
        <w:t> </w:t>
      </w:r>
    </w:p>
    <w:tbl>
      <w:tblPr>
        <w:tblW w:w="110" w:type="dxa"/>
        <w:jc w:val="left"/>
        <w:tblInd w:w="0" w:type="dxa"/>
        <w:tblCellMar>
          <w:top w:w="0" w:type="dxa"/>
          <w:left w:w="0" w:type="dxa"/>
          <w:bottom w:w="0" w:type="dxa"/>
          <w:right w:w="0" w:type="dxa"/>
        </w:tblCellMar>
      </w:tblPr>
      <w:tblGrid>
        <w:gridCol w:w="110"/>
      </w:tblGrid>
      <w:tr>
        <w:trPr/>
        <w:tc>
          <w:tcPr>
            <w:tcW w:w="110" w:type="dxa"/>
            <w:tcBorders/>
            <w:shd w:fill="auto" w:val="clear"/>
            <w:vAlign w:val="center"/>
          </w:tcPr>
          <w:p>
            <w:pPr>
              <w:pStyle w:val="TableContents"/>
              <w:spacing w:before="0" w:after="283"/>
              <w:jc w:val="center"/>
              <w:rPr/>
            </w:pPr>
            <w:r>
              <w:rPr/>
              <w:t>i</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shd w:fill="FFFFFF" w:val="clear"/>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jc w:val="center"/>
        <w:rPr>
          <w:caps w:val="false"/>
          <w:smallCaps w:val="false"/>
        </w:rPr>
      </w:pPr>
      <w:r>
        <w:rPr>
          <w:caps w:val="false"/>
          <w:smallCaps w:val="false"/>
        </w:rPr>
        <w:t> </w:t>
      </w:r>
    </w:p>
    <w:tbl>
      <w:tblPr>
        <w:tblW w:w="9390" w:type="dxa"/>
        <w:jc w:val="left"/>
        <w:tblInd w:w="0" w:type="dxa"/>
        <w:tblCellMar>
          <w:top w:w="0" w:type="dxa"/>
          <w:left w:w="0" w:type="dxa"/>
          <w:bottom w:w="0" w:type="dxa"/>
          <w:right w:w="0" w:type="dxa"/>
        </w:tblCellMar>
      </w:tblPr>
      <w:tblGrid>
        <w:gridCol w:w="695"/>
        <w:gridCol w:w="8165"/>
        <w:gridCol w:w="530"/>
      </w:tblGrid>
      <w:tr>
        <w:trPr/>
        <w:tc>
          <w:tcPr>
            <w:tcW w:w="695" w:type="dxa"/>
            <w:tcBorders/>
            <w:shd w:fill="auto" w:val="clear"/>
            <w:vAlign w:val="center"/>
          </w:tcPr>
          <w:p>
            <w:pPr>
              <w:pStyle w:val="TableContents"/>
              <w:spacing w:before="0" w:after="283"/>
              <w:rPr>
                <w:caps w:val="false"/>
                <w:smallCaps w:val="false"/>
              </w:rPr>
            </w:pPr>
            <w:r>
              <w:rPr>
                <w:caps w:val="false"/>
                <w:smallCaps w:val="false"/>
              </w:rPr>
              <w:t> </w:t>
            </w:r>
          </w:p>
        </w:tc>
        <w:tc>
          <w:tcPr>
            <w:tcW w:w="8165" w:type="dxa"/>
            <w:tcBorders/>
            <w:shd w:fill="auto" w:val="clear"/>
            <w:vAlign w:val="center"/>
          </w:tcPr>
          <w:p>
            <w:pPr>
              <w:pStyle w:val="TableContents"/>
              <w:spacing w:before="0" w:after="283"/>
              <w:rPr>
                <w:caps w:val="false"/>
                <w:smallCaps w:val="false"/>
              </w:rPr>
            </w:pPr>
            <w:r>
              <w:rPr>
                <w:caps w:val="false"/>
                <w:smallCaps w:val="false"/>
              </w:rPr>
              <w:t> </w:t>
            </w:r>
          </w:p>
        </w:tc>
        <w:tc>
          <w:tcPr>
            <w:tcW w:w="53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95" w:type="dxa"/>
            <w:tcBorders/>
            <w:shd w:fill="auto" w:val="clear"/>
            <w:vAlign w:val="center"/>
          </w:tcPr>
          <w:p>
            <w:pPr>
              <w:pStyle w:val="TableContents"/>
              <w:spacing w:before="0" w:after="283"/>
              <w:rPr>
                <w:caps w:val="false"/>
                <w:smallCaps w:val="false"/>
              </w:rPr>
            </w:pPr>
            <w:r>
              <w:rPr>
                <w:caps w:val="false"/>
                <w:smallCaps w:val="false"/>
              </w:rPr>
              <w:t> </w:t>
            </w:r>
          </w:p>
        </w:tc>
        <w:tc>
          <w:tcPr>
            <w:tcW w:w="8165" w:type="dxa"/>
            <w:tcBorders/>
            <w:shd w:fill="auto" w:val="clear"/>
            <w:vAlign w:val="center"/>
          </w:tcPr>
          <w:p>
            <w:pPr>
              <w:pStyle w:val="TableContents"/>
              <w:spacing w:before="0" w:after="283"/>
              <w:rPr>
                <w:caps w:val="false"/>
                <w:smallCaps w:val="false"/>
              </w:rPr>
            </w:pPr>
            <w:r>
              <w:rPr>
                <w:caps w:val="false"/>
                <w:smallCaps w:val="false"/>
              </w:rPr>
              <w:t> </w:t>
            </w:r>
          </w:p>
        </w:tc>
        <w:tc>
          <w:tcPr>
            <w:tcW w:w="530"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caps w:val="false"/>
                <w:smallCaps w:val="false"/>
              </w:rPr>
            </w:pPr>
            <w:r>
              <w:rPr>
                <w:caps w:val="false"/>
                <w:smallCaps w:val="false"/>
              </w:rPr>
              <w:t> </w:t>
            </w:r>
          </w:p>
        </w:tc>
        <w:tc>
          <w:tcPr>
            <w:tcW w:w="8165" w:type="dxa"/>
            <w:tcBorders/>
            <w:shd w:fill="CCEEFF" w:val="clear"/>
            <w:vAlign w:val="center"/>
          </w:tcPr>
          <w:p>
            <w:pPr>
              <w:pStyle w:val="TableContents"/>
              <w:spacing w:before="0" w:after="283"/>
              <w:jc w:val="center"/>
              <w:rPr/>
            </w:pPr>
            <w:hyperlink w:anchor="AR_001">
              <w:r>
                <w:rPr>
                  <w:rStyle w:val="InternetLink"/>
                  <w:rFonts w:ascii="Times New Roman;Times;Serif" w:hAnsi="Times New Roman;Times;Serif"/>
                  <w:b/>
                  <w:i w:val="false"/>
                  <w:caps w:val="false"/>
                  <w:smallCaps w:val="false"/>
                  <w:sz w:val="20"/>
                </w:rPr>
                <w:t>PART III</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165" w:type="dxa"/>
            <w:tcBorders/>
            <w:shd w:fill="CCEEFF" w:val="clear"/>
            <w:vAlign w:val="center"/>
          </w:tcPr>
          <w:p>
            <w:pPr>
              <w:pStyle w:val="TableContents"/>
              <w:spacing w:before="0" w:after="283"/>
              <w:rPr/>
            </w:pPr>
            <w:hyperlink w:anchor="AR_002">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165" w:type="dxa"/>
            <w:tcBorders/>
            <w:shd w:fill="CCEEFF" w:val="clear"/>
            <w:vAlign w:val="center"/>
          </w:tcPr>
          <w:p>
            <w:pPr>
              <w:pStyle w:val="TableContents"/>
              <w:spacing w:before="0" w:after="283"/>
              <w:rPr/>
            </w:pPr>
            <w:hyperlink w:anchor="AR_003">
              <w:r>
                <w:rPr>
                  <w:rStyle w:val="InternetLink"/>
                  <w:rFonts w:ascii="Times New Roman;Times;Serif" w:hAnsi="Times New Roman;Times;Serif"/>
                  <w:b w:val="false"/>
                  <w:i w:val="false"/>
                  <w:caps w:val="false"/>
                  <w:smallCaps w:val="false"/>
                  <w:sz w:val="20"/>
                </w:rPr>
                <w:t>Executive Compensation</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165" w:type="dxa"/>
            <w:tcBorders/>
            <w:shd w:fill="CCEEFF" w:val="clear"/>
            <w:vAlign w:val="center"/>
          </w:tcPr>
          <w:p>
            <w:pPr>
              <w:pStyle w:val="TableContents"/>
              <w:spacing w:before="0" w:after="283"/>
              <w:rPr/>
            </w:pPr>
            <w:hyperlink w:anchor="AR_004">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165" w:type="dxa"/>
            <w:tcBorders/>
            <w:shd w:fill="CCEEFF" w:val="clear"/>
            <w:vAlign w:val="center"/>
          </w:tcPr>
          <w:p>
            <w:pPr>
              <w:pStyle w:val="TableContents"/>
              <w:spacing w:before="0" w:after="283"/>
              <w:rPr/>
            </w:pPr>
            <w:hyperlink w:anchor="AR_005">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165" w:type="dxa"/>
            <w:tcBorders/>
            <w:shd w:fill="CCEEFF" w:val="clear"/>
            <w:vAlign w:val="center"/>
          </w:tcPr>
          <w:p>
            <w:pPr>
              <w:pStyle w:val="TableContents"/>
              <w:spacing w:before="0" w:after="283"/>
              <w:rPr/>
            </w:pPr>
            <w:hyperlink w:anchor="AR_006">
              <w:r>
                <w:rPr>
                  <w:rStyle w:val="InternetLink"/>
                  <w:rFonts w:ascii="Times New Roman;Times;Serif" w:hAnsi="Times New Roman;Times;Serif"/>
                  <w:b w:val="false"/>
                  <w:i w:val="false"/>
                  <w:caps w:val="false"/>
                  <w:smallCaps w:val="false"/>
                  <w:sz w:val="20"/>
                </w:rPr>
                <w:t>Principal Accounting Fees and Services</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caps w:val="false"/>
                <w:smallCaps w:val="false"/>
              </w:rPr>
            </w:pPr>
            <w:r>
              <w:rPr>
                <w:caps w:val="false"/>
                <w:smallCaps w:val="false"/>
              </w:rPr>
              <w:t> </w:t>
            </w:r>
          </w:p>
        </w:tc>
        <w:tc>
          <w:tcPr>
            <w:tcW w:w="8165" w:type="dxa"/>
            <w:tcBorders/>
            <w:shd w:fill="CCEEFF" w:val="clear"/>
            <w:vAlign w:val="center"/>
          </w:tcPr>
          <w:p>
            <w:pPr>
              <w:pStyle w:val="TableContents"/>
              <w:spacing w:before="0" w:after="283"/>
              <w:jc w:val="center"/>
              <w:rPr/>
            </w:pPr>
            <w:hyperlink w:anchor="AR_007">
              <w:r>
                <w:rPr>
                  <w:rStyle w:val="InternetLink"/>
                  <w:rFonts w:ascii="Times New Roman;Times;Serif" w:hAnsi="Times New Roman;Times;Serif"/>
                  <w:b/>
                  <w:i w:val="false"/>
                  <w:caps w:val="false"/>
                  <w:smallCaps w:val="false"/>
                  <w:sz w:val="20"/>
                </w:rPr>
                <w:t>PART IV</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95" w:type="dxa"/>
            <w:tcBorders/>
            <w:shd w:fill="FFFFFF" w:val="clear"/>
            <w:vAlign w:val="center"/>
          </w:tcPr>
          <w:p>
            <w:pPr>
              <w:pStyle w:val="TableContents"/>
              <w:spacing w:before="0" w:after="283"/>
              <w:rPr>
                <w:caps w:val="false"/>
                <w:smallCaps w:val="false"/>
              </w:rPr>
            </w:pPr>
            <w:r>
              <w:rPr>
                <w:caps w:val="false"/>
                <w:smallCaps w:val="false"/>
              </w:rPr>
              <w:t> </w:t>
            </w:r>
          </w:p>
        </w:tc>
        <w:tc>
          <w:tcPr>
            <w:tcW w:w="8165" w:type="dxa"/>
            <w:tcBorders/>
            <w:shd w:fill="FFFFFF" w:val="clear"/>
            <w:vAlign w:val="center"/>
          </w:tcPr>
          <w:p>
            <w:pPr>
              <w:pStyle w:val="TableContents"/>
              <w:spacing w:before="0" w:after="283"/>
              <w:rPr>
                <w:caps w:val="false"/>
                <w:smallCaps w:val="false"/>
              </w:rPr>
            </w:pPr>
            <w:r>
              <w:rPr>
                <w:caps w:val="false"/>
                <w:smallCaps w:val="false"/>
              </w:rPr>
              <w:t> </w:t>
            </w:r>
          </w:p>
        </w:tc>
        <w:tc>
          <w:tcPr>
            <w:tcW w:w="53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165" w:type="dxa"/>
            <w:tcBorders/>
            <w:shd w:fill="CCEEFF" w:val="clear"/>
            <w:vAlign w:val="center"/>
          </w:tcPr>
          <w:p>
            <w:pPr>
              <w:pStyle w:val="TableContents"/>
              <w:spacing w:before="0" w:after="283"/>
              <w:rPr/>
            </w:pPr>
            <w:hyperlink w:anchor="AR_008">
              <w:r>
                <w:rPr>
                  <w:rStyle w:val="InternetLink"/>
                  <w:rFonts w:ascii="Times New Roman;Times;Serif" w:hAnsi="Times New Roman;Times;Serif"/>
                  <w:b w:val="false"/>
                  <w:i w:val="false"/>
                  <w:caps w:val="false"/>
                  <w:smallCaps w:val="false"/>
                  <w:sz w:val="20"/>
                </w:rPr>
                <w:t>Exhibits and Financial Statement Schedules</w:t>
              </w:r>
            </w:hyperlink>
          </w:p>
        </w:tc>
        <w:tc>
          <w:tcPr>
            <w:tcW w:w="53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ii</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shd w:fill="FFFFFF" w:val="clear"/>
        <w:jc w:val="center"/>
        <w:rPr>
          <w:rFonts w:ascii="Times New Roman;Times;Serif" w:hAnsi="Times New Roman;Times;Serif"/>
          <w:b/>
          <w:i w:val="false"/>
          <w:caps w:val="false"/>
          <w:smallCaps w:val="false"/>
          <w:sz w:val="20"/>
        </w:rPr>
      </w:pPr>
      <w:bookmarkStart w:id="44" w:name="AR_001"/>
      <w:bookmarkEnd w:id="44"/>
      <w:r>
        <w:rPr>
          <w:rFonts w:ascii="Times New Roman;Times;Serif" w:hAnsi="Times New Roman;Times;Serif"/>
          <w:b/>
          <w:i w:val="false"/>
          <w:caps w:val="false"/>
          <w:smallCaps w:val="false"/>
          <w:sz w:val="20"/>
        </w:rPr>
        <w:t>PART III</w:t>
      </w:r>
    </w:p>
    <w:p>
      <w:pPr>
        <w:pStyle w:val="TextBody"/>
        <w:shd w:fill="FFFFFF" w:val="clear"/>
        <w:jc w:val="center"/>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 </w:t>
      </w:r>
      <w:bookmarkStart w:id="45" w:name="AR_002"/>
      <w:bookmarkEnd w:id="45"/>
      <w:r>
        <w:rPr>
          <w:rFonts w:ascii="Times New Roman;Times;Serif" w:hAnsi="Times New Roman;Times;Serif"/>
          <w:b/>
          <w:i w:val="false"/>
          <w:caps/>
          <w:sz w:val="20"/>
        </w:rPr>
        <w:t>Directors, Executive Officers and Corporate Governance.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members of our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with their respective ages as of April 17, 2023:</w:t>
      </w:r>
    </w:p>
    <w:p>
      <w:pPr>
        <w:pStyle w:val="TextBody"/>
        <w:shd w:fill="FFFFFF" w:val="clear"/>
        <w:jc w:val="both"/>
        <w:rPr>
          <w:caps w:val="false"/>
          <w:smallCaps w:val="false"/>
        </w:rPr>
      </w:pPr>
      <w:r>
        <w:rPr>
          <w:caps w:val="false"/>
          <w:smallCaps w:val="false"/>
        </w:rPr>
        <w:t> </w:t>
      </w:r>
    </w:p>
    <w:tbl>
      <w:tblPr>
        <w:tblW w:w="7650" w:type="dxa"/>
        <w:jc w:val="left"/>
        <w:tblInd w:w="0" w:type="dxa"/>
        <w:tblCellMar>
          <w:top w:w="0" w:type="dxa"/>
          <w:left w:w="0" w:type="dxa"/>
          <w:bottom w:w="28" w:type="dxa"/>
          <w:right w:w="0" w:type="dxa"/>
        </w:tblCellMar>
      </w:tblPr>
      <w:tblGrid>
        <w:gridCol w:w="2150"/>
        <w:gridCol w:w="60"/>
        <w:gridCol w:w="350"/>
        <w:gridCol w:w="60"/>
        <w:gridCol w:w="5030"/>
      </w:tblGrid>
      <w:tr>
        <w:trPr/>
        <w:tc>
          <w:tcPr>
            <w:tcW w:w="2150" w:type="dxa"/>
            <w:tcBorders>
              <w:bottom w:val="single" w:sz="12" w:space="0" w:color="000000"/>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bottom w:val="single" w:sz="12" w:space="0" w:color="000000"/>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bottom w:val="single" w:sz="12" w:space="0" w:color="000000"/>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Dragonfly</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Bourns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1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030"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Denis Phares</w:t>
      </w:r>
      <w:r>
        <w:rPr>
          <w:rFonts w:ascii="Times New Roman;Times;Serif" w:hAnsi="Times New Roman;Times;Serif"/>
          <w:b w:val="false"/>
          <w:i w:val="false"/>
          <w:caps w:val="false"/>
          <w:smallCaps w:val="false"/>
          <w:sz w:val="20"/>
        </w:rPr>
        <w:t xml:space="preserve"> has served as our Chief Executive Officer and Chairman of our Board since October 2022. Dr. Phares is the co-founder of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John Marchetti</w:t>
      </w:r>
      <w:r>
        <w:rPr>
          <w:rFonts w:ascii="Times New Roman;Times;Serif" w:hAnsi="Times New Roman;Times;Serif"/>
          <w:b w:val="false"/>
          <w:i w:val="false"/>
          <w:caps w:val="false"/>
          <w:smallCaps w:val="false"/>
          <w:sz w:val="20"/>
        </w:rPr>
        <w:t xml:space="preserve"> has served as our Chief Financial Officer since October 2022. Mr. Marchetti has also served as the Chief Financial Officer of Legacy Dragonfly since September 2021. Mr. Marchetti has over 20 years of experience in the technology and financial services industries. Previously, Mr. Marchetti served as a Managing Director and senior research analyst at Stifel Financial Corp. from April 2018 until September 2021, where he was focused on communications infrastructure and applied technology markets, including advanced battery technologies. From 2016 to May 2018, Mr. Marchetti served as Senior Vice President for Strategy and Business Development of Cloudbus, a technology research and development company, and, from 2012 to 2015, he served as Chief Strategy Officer and Executive Vice President at Fabrinet, a publicly-traded manufacturing services company.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r>
        <w:rPr>
          <w:rFonts w:ascii="Times New Roman;Times;Serif" w:hAnsi="Times New Roman;Times;Serif"/>
          <w:b/>
          <w:i w:val="false"/>
          <w:caps w:val="false"/>
          <w:smallCaps w:val="false"/>
          <w:sz w:val="20"/>
        </w:rPr>
        <w: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Tyler Bourns</w:t>
      </w:r>
      <w:r>
        <w:rPr>
          <w:rFonts w:ascii="Times New Roman;Times;Serif" w:hAnsi="Times New Roman;Times;Serif"/>
          <w:b w:val="false"/>
          <w:i w:val="false"/>
          <w:caps w:val="false"/>
          <w:smallCaps w:val="false"/>
          <w:sz w:val="20"/>
        </w:rPr>
        <w:t xml:space="preserve"> has served as our Chief Marketing Officer since November 2022. Prior to the merger and the other transactions contemplated by that certain Agreement and Plan of Merger, dated May 15, 2022, as amended on July 12, 2022, by and among Chardan NexTech Acquisition 2 Corporation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Merger Sub and Dragonfly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Business Combination, Mr. Bourns served as the Senior Vice President of Marketing of Legacy Dragonfly from December 2021 through October 2022. Previously, Mr. Bourns is the owner and serves as the present of Bourns Productions Inc., a video production and marketing company focused on content creation, messaging and strategy for various brands across multiple industries, for twelve years. At Bourns Productions Inc., he oversees the day-to-day business of the company, works closely with clients and provides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Rick Parod </w:t>
      </w:r>
      <w:r>
        <w:rPr>
          <w:rFonts w:ascii="Times New Roman;Times;Serif" w:hAnsi="Times New Roman;Times;Serif"/>
          <w:b w:val="false"/>
          <w:i w:val="false"/>
          <w:caps w:val="false"/>
          <w:smallCaps w:val="false"/>
          <w:sz w:val="20"/>
        </w:rPr>
        <w:t>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Karina Montilla Edmonds, Ph.D. </w:t>
      </w:r>
      <w:r>
        <w:rPr>
          <w:rFonts w:ascii="Times New Roman;Times;Serif" w:hAnsi="Times New Roman;Times;Serif"/>
          <w:b w:val="false"/>
          <w:i w:val="false"/>
          <w:caps w:val="false"/>
          <w:smallCaps w:val="false"/>
          <w:sz w:val="20"/>
        </w:rPr>
        <w:t>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Brian Nelson </w:t>
      </w:r>
      <w:r>
        <w:rPr>
          <w:rFonts w:ascii="Times New Roman;Times;Serif" w:hAnsi="Times New Roman;Times;Serif"/>
          <w:b w:val="false"/>
          <w:i w:val="false"/>
          <w:caps w:val="false"/>
          <w:smallCaps w:val="false"/>
          <w:sz w:val="20"/>
        </w:rPr>
        <w:t>has served as a member of our Board since October 2022. Prior to the Business Combination, Mr. Nelson served on the board of directors of 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Jonathan Bellows </w:t>
      </w:r>
      <w:r>
        <w:rPr>
          <w:rFonts w:ascii="Times New Roman;Times;Serif" w:hAnsi="Times New Roman;Times;Serif"/>
          <w:b w:val="false"/>
          <w:i w:val="false"/>
          <w:caps w:val="false"/>
          <w:smallCaps w:val="false"/>
          <w:sz w:val="20"/>
        </w:rPr>
        <w:t>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pStyle w:val="TextBody"/>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Luisa Ingargiola </w:t>
      </w:r>
      <w:r>
        <w:rPr>
          <w:rFonts w:ascii="Times New Roman;Times;Serif" w:hAnsi="Times New Roman;Times;Serif"/>
          <w:b w:val="false"/>
          <w:i w:val="false"/>
          <w:caps w:val="false"/>
          <w:smallCaps w:val="false"/>
          <w:sz w:val="20"/>
        </w:rPr>
        <w:t>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Perry Boyle</w:t>
      </w:r>
      <w:r>
        <w:rPr>
          <w:rFonts w:ascii="Times New Roman;Times;Serif" w:hAnsi="Times New Roman;Times;Serif"/>
          <w:b w:val="false"/>
          <w:i w:val="false"/>
          <w:caps w:val="false"/>
          <w:smallCaps w:val="false"/>
          <w:sz w:val="20"/>
        </w:rPr>
        <w:t xml:space="preserve"> has served as a member of our Board since October 2022. Prior to the Business Combination, he served on the board of directors of CNTQ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of a total of seven directors. Our directors each serve staggered three-year terms with one class being elected at each year’s annual meeting of stockholders, as follows: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which consists of Rick Parod and Karina Edmonds, whose terms will expire at the 2023 annual meeting of stockholders;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which consists of Brian Nelson and Jonathan Bellows, whose terms will expire at the 2024 annual meeting of stockholders;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which consists of Denis Phares, Luisa Ingargiola and Perry Boyle, whose terms will expire at the 2025 annual meeting of stockholders.</w:t>
            </w:r>
          </w:p>
        </w:tc>
      </w:tr>
    </w:tbl>
    <w:p>
      <w:pPr>
        <w:pStyle w:val="TextBody"/>
        <w:ind w:left="720" w:right="0" w:hanging="36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720" w:right="0" w:hanging="36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in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our business and monitors the performance of our management. In accordance with our corporate governance procedures, the Board does not involve itself in our day-to-day operations.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pStyle w:val="TextBody"/>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Times;Serif" w:hAnsi="Times New Roman;Times;Serif"/>
          <w:b w:val="false"/>
          <w:i/>
          <w:caps w:val="false"/>
          <w:smallCaps w:val="false"/>
          <w:sz w:val="20"/>
          <w:u w:val="single"/>
        </w:rPr>
        <w:t>https://dragonflyenergy.com</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Ms. Ingargiola qualifies as an audit committee financial expert within the meaning of SEC regulations and the Nasdaq Marketplace Rules.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which consists of Luisa Ingargiola, Brian Nelson, and Rick Parod, all of whom are independent (as that term is defined under the Nasdaq Marketplace Rules). Brian Nelson serves as the chair of the Compensation Committee.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 Our Board determined that each of the members of the compensation committee are a non-employee director, as defined in Rule 16b-3 promulgated under the Exchange Act and satisfies the independence requirements of Nasdaq.</w:t>
      </w:r>
    </w:p>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Nominating and Corporate Governance Committee, which currently consists of Karina Montilla Edmonds, Brian Nelson and Jonathan Bellows, all of whom are independent (as that term is defined under the Nasdaq Marketplace Rules). Karina Montilla Edmonds serves as the chair of the Nominating and Corporate Governance Committee. The Nominating and Corporate Governance Committee assesses potential candidates to fill perceived needs on the Board for required, skills, expertise, independence and other factors.</w:t>
      </w:r>
    </w:p>
    <w:p>
      <w:pPr>
        <w:pStyle w:val="TextBody"/>
        <w:shd w:fill="FFFFFF" w:val="clear"/>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assesses potential candidates to fill perceived needs on the Board of Directors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Dr. Phares, as our President, Chief Executive Officer and Chairman, has extensive knowledge of all aspects of Dragonfly and our business. Our Board has appointed Ms. Ingargiola as Lead Independent Director. We have no policy requiring the combination or separation of leadership roles and our governing documents do not mandate a particular structure. This has allowed, and will continue to allow, our Board the flexibility to establish the most appropriate structure for the Company at any given time.</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hd w:fill="FFFFFF" w:val="clear"/>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Times;Serif" w:hAnsi="Times New Roman;Times;Serif"/>
          <w:b w:val="false"/>
          <w:i/>
          <w:caps w:val="false"/>
          <w:smallCaps w:val="false"/>
          <w:sz w:val="20"/>
        </w:rPr>
        <w:t>https://dragonflyenergy.com/.</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shd w:fill="FFFFFF" w:val="clear"/>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the Company’s directors, executive officers and persons who own more than 10% of a registered class of the Company’s securities to file with the SEC initial reports of ownership and reports of changes in ownership of common stock and other equity securities of the Company. Directors, executive officers and greater than 10% stockholders are required by SEC regulation to furnish the Company with copies of all Section 16(a) reports they file. To our knowledge, based solely on the review of the copies of these forms furnished to us and representations that no other reports were required, the Company believes that all forms required to be filed under Section 16 of the Exchange Act for the year ended December 31, 2022 were filed timely.</w:t>
      </w:r>
    </w:p>
    <w:p>
      <w:pPr>
        <w:pStyle w:val="TextBody"/>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6" w:name="AR_003"/>
      <w:bookmarkEnd w:id="46"/>
      <w:r>
        <w:rPr>
          <w:rFonts w:ascii="Times New Roman;Times;Serif" w:hAnsi="Times New Roman;Times;Serif"/>
          <w:b/>
          <w:i w:val="false"/>
          <w:caps w:val="false"/>
          <w:smallCaps w:val="false"/>
          <w:sz w:val="20"/>
        </w:rPr>
        <w:t>ITEM 11. EXECUTIVE COMPENSATION.</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awarded to, earned by, or paid to each person serving as our Chief Executive Officer during the fiscal year ended December 31, 2022, the two most highly-compensated executive officers (other than the Chief Executive Officer) who were serving as executive officers during the fiscal years ended December 31, 2022 and December 31, 2021, and up to two additional individuals for whom disclosure would have been provided but for the fact that such individuals were not serving as an executive officer as of December 31, 2022 for services rendered in all capacities to us for the fiscal year ended December 31, 2022. These individuals are our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for fiscal 2022.</w:t>
      </w:r>
    </w:p>
    <w:p>
      <w:pPr>
        <w:pStyle w:val="TextBody"/>
        <w:ind w:left="0" w:right="0" w:firstLine="720"/>
        <w:jc w:val="both"/>
        <w:rPr>
          <w:caps w:val="false"/>
          <w:smallCaps w:val="false"/>
        </w:rPr>
      </w:pPr>
      <w:r>
        <w:rPr>
          <w:caps w:val="false"/>
          <w:smallCaps w:val="false"/>
        </w:rPr>
        <w:t> </w:t>
      </w:r>
    </w:p>
    <w:tbl>
      <w:tblPr>
        <w:tblW w:w="11795" w:type="dxa"/>
        <w:jc w:val="left"/>
        <w:tblInd w:w="0" w:type="dxa"/>
        <w:tblCellMar>
          <w:top w:w="0" w:type="dxa"/>
          <w:left w:w="0" w:type="dxa"/>
          <w:bottom w:w="0" w:type="dxa"/>
          <w:right w:w="0" w:type="dxa"/>
        </w:tblCellMar>
      </w:tblPr>
      <w:tblGrid>
        <w:gridCol w:w="1010"/>
        <w:gridCol w:w="60"/>
        <w:gridCol w:w="60"/>
        <w:gridCol w:w="500"/>
        <w:gridCol w:w="60"/>
        <w:gridCol w:w="60"/>
        <w:gridCol w:w="60"/>
        <w:gridCol w:w="800"/>
        <w:gridCol w:w="60"/>
        <w:gridCol w:w="60"/>
        <w:gridCol w:w="60"/>
        <w:gridCol w:w="800"/>
        <w:gridCol w:w="60"/>
        <w:gridCol w:w="60"/>
        <w:gridCol w:w="60"/>
        <w:gridCol w:w="980"/>
        <w:gridCol w:w="60"/>
        <w:gridCol w:w="60"/>
        <w:gridCol w:w="60"/>
        <w:gridCol w:w="800"/>
        <w:gridCol w:w="60"/>
        <w:gridCol w:w="60"/>
        <w:gridCol w:w="103"/>
        <w:gridCol w:w="1387"/>
        <w:gridCol w:w="60"/>
        <w:gridCol w:w="60"/>
        <w:gridCol w:w="278"/>
        <w:gridCol w:w="1212"/>
        <w:gridCol w:w="60"/>
        <w:gridCol w:w="60"/>
        <w:gridCol w:w="103"/>
        <w:gridCol w:w="1387"/>
        <w:gridCol w:w="60"/>
        <w:gridCol w:w="60"/>
        <w:gridCol w:w="60"/>
        <w:gridCol w:w="980"/>
        <w:gridCol w:w="75"/>
      </w:tblGrid>
      <w:tr>
        <w:trPr/>
        <w:tc>
          <w:tcPr>
            <w:tcW w:w="10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Non-Qualified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0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Non-Equity</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Deferred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01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b/>
              </w:rPr>
            </w:pPr>
            <w:r>
              <w:rPr>
                <w:b/>
              </w:rPr>
              <w:t>Stock</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Incentive Plan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All Other</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010" w:type="dxa"/>
            <w:tcBorders/>
            <w:shd w:fill="auto" w:val="clear"/>
            <w:vAlign w:val="center"/>
          </w:tcPr>
          <w:p>
            <w:pPr>
              <w:pStyle w:val="TableContents"/>
              <w:spacing w:before="0" w:after="283"/>
              <w:jc w:val="center"/>
              <w:rPr>
                <w:b/>
              </w:rPr>
            </w:pPr>
            <w:r>
              <w:rPr>
                <w:b/>
              </w:rPr>
              <w:t>Name and</w:t>
            </w:r>
          </w:p>
        </w:tc>
        <w:tc>
          <w:tcPr>
            <w:tcW w:w="60" w:type="dxa"/>
            <w:tcBorders/>
            <w:shd w:fill="auto" w:val="clear"/>
            <w:vAlign w:val="center"/>
          </w:tcPr>
          <w:p>
            <w:pPr>
              <w:pStyle w:val="TableContents"/>
              <w:spacing w:before="0" w:after="283"/>
              <w:jc w:val="center"/>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b/>
              </w:rPr>
            </w:pPr>
            <w:r>
              <w:rPr>
                <w:b/>
              </w:rPr>
              <w:t>Salary</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b/>
              </w:rPr>
            </w:pPr>
            <w:r>
              <w:rPr>
                <w:b/>
              </w:rPr>
              <w:t>Bonus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Earnings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shd w:fill="auto" w:val="cle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jc w:val="center"/>
              <w:rPr/>
            </w:pPr>
            <w:r>
              <w:rPr/>
              <w:t> </w:t>
            </w:r>
          </w:p>
        </w:tc>
      </w:tr>
      <w:tr>
        <w:trPr/>
        <w:tc>
          <w:tcPr>
            <w:tcW w:w="1010" w:type="dxa"/>
            <w:tcBorders>
              <w:bottom w:val="single" w:sz="12" w:space="0" w:color="000000"/>
            </w:tcBorders>
            <w:shd w:fill="auto" w:val="clear"/>
            <w:tcMar>
              <w:bottom w:w="28" w:type="dxa"/>
            </w:tcMar>
            <w:vAlign w:val="center"/>
          </w:tcPr>
          <w:p>
            <w:pPr>
              <w:pStyle w:val="TableContents"/>
              <w:spacing w:before="0" w:after="283"/>
              <w:jc w:val="center"/>
              <w:rPr>
                <w:b/>
              </w:rPr>
            </w:pPr>
            <w:r>
              <w:rPr>
                <w:b/>
              </w:rPr>
              <w:t>Principal Position</w:t>
            </w:r>
          </w:p>
        </w:tc>
        <w:tc>
          <w:tcPr>
            <w:tcW w:w="60" w:type="dxa"/>
            <w:tcBorders/>
            <w:shd w:fill="auto" w:val="clear"/>
            <w:vAlign w:val="center"/>
          </w:tcPr>
          <w:p>
            <w:pPr>
              <w:pStyle w:val="TableContents"/>
              <w:spacing w:before="0" w:after="283"/>
              <w:jc w:val="center"/>
              <w:rPr/>
            </w:pPr>
            <w:r>
              <w:rPr/>
              <w:t> </w:t>
            </w:r>
          </w:p>
        </w:tc>
        <w:tc>
          <w:tcPr>
            <w:tcW w:w="5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($)(3)</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($)(4)</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jc w:val="center"/>
              <w:rPr/>
            </w:pPr>
            <w:r>
              <w:rPr/>
              <w:t> </w:t>
            </w:r>
          </w:p>
        </w:tc>
      </w:tr>
      <w:tr>
        <w:trPr/>
        <w:tc>
          <w:tcPr>
            <w:tcW w:w="1010" w:type="dxa"/>
            <w:tcBorders/>
            <w:shd w:fill="CCEEFF" w:val="clear"/>
            <w:vAlign w:val="center"/>
          </w:tcPr>
          <w:p>
            <w:pPr>
              <w:pStyle w:val="TableContents"/>
              <w:spacing w:before="0" w:after="283"/>
              <w:jc w:val="left"/>
              <w:rPr/>
            </w:pPr>
            <w:r>
              <w:rPr/>
              <w:t>Dr. Denis Phares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682,000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806,207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980" w:type="dxa"/>
            <w:tcBorders/>
            <w:shd w:fill="CCEEFF" w:val="clear"/>
            <w:vAlign w:val="center"/>
          </w:tcPr>
          <w:p>
            <w:pPr>
              <w:pStyle w:val="TableContents"/>
              <w:spacing w:before="0" w:after="283"/>
              <w:jc w:val="center"/>
              <w:rPr/>
            </w:pPr>
            <w:r>
              <w:rPr/>
              <w:t>1,531,545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0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center"/>
              <w:rPr/>
            </w:pPr>
            <w:r>
              <w:rPr/>
              <w:t> </w:t>
            </w:r>
          </w:p>
        </w:tc>
        <w:tc>
          <w:tcPr>
            <w:tcW w:w="1212"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3,019,752</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i/>
              </w:rPr>
            </w:pPr>
            <w:r>
              <w:rPr>
                <w:i/>
              </w:rPr>
              <w:t>Chief Executive Officer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579,593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362,137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98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0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center"/>
              <w:rPr/>
            </w:pPr>
            <w:r>
              <w:rPr/>
              <w:t> </w:t>
            </w:r>
          </w:p>
        </w:tc>
        <w:tc>
          <w:tcPr>
            <w:tcW w:w="1212"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22,234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963,964</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rPr/>
            </w:pPr>
            <w:r>
              <w:rPr/>
              <w:t>Sean Nichols(5)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2022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598,462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655,587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98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80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center"/>
              <w:rPr/>
            </w:pPr>
            <w:r>
              <w:rPr/>
              <w:t> </w:t>
            </w:r>
          </w:p>
        </w:tc>
        <w:tc>
          <w:tcPr>
            <w:tcW w:w="1212"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157,693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1,411,742</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i/>
              </w:rPr>
            </w:pPr>
            <w:r>
              <w:rPr>
                <w:i/>
              </w:rPr>
              <w:t>Former Chief Operating Officer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2021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579,593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362,137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98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80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center"/>
              <w:rPr/>
            </w:pPr>
            <w:r>
              <w:rPr/>
              <w:t> </w:t>
            </w:r>
          </w:p>
        </w:tc>
        <w:tc>
          <w:tcPr>
            <w:tcW w:w="1212"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20,244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961,974</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rPr/>
            </w:pPr>
            <w:r>
              <w:rPr/>
              <w:t>John Marchetti(6)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316,153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769,366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980" w:type="dxa"/>
            <w:tcBorders/>
            <w:shd w:fill="CCEEFF" w:val="clear"/>
            <w:vAlign w:val="center"/>
          </w:tcPr>
          <w:p>
            <w:pPr>
              <w:pStyle w:val="TableContents"/>
              <w:spacing w:before="0" w:after="283"/>
              <w:jc w:val="center"/>
              <w:rPr/>
            </w:pPr>
            <w:r>
              <w:rPr/>
              <w:t>645,998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0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center"/>
              <w:rPr/>
            </w:pPr>
            <w:r>
              <w:rPr/>
              <w:t> </w:t>
            </w:r>
          </w:p>
        </w:tc>
        <w:tc>
          <w:tcPr>
            <w:tcW w:w="1212"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11,057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1,742,574</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i/>
              </w:rPr>
            </w:pPr>
            <w:r>
              <w:rPr>
                <w:i/>
              </w:rPr>
              <w:t>Chief Financial Officer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91,154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82,000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980"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00" w:type="dxa"/>
            <w:tcBorders/>
            <w:shd w:fill="CCEEFF" w:val="clear"/>
            <w:vAlign w:val="center"/>
          </w:tcPr>
          <w:p>
            <w:pPr>
              <w:pStyle w:val="TableContents"/>
              <w:spacing w:before="0" w:after="283"/>
              <w:jc w:val="center"/>
              <w:rPr/>
            </w:pPr>
            <w:r>
              <w:rPr/>
              <w:t>399,999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283,249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8" w:type="dxa"/>
            <w:tcBorders/>
            <w:shd w:fill="CCEEFF" w:val="clear"/>
            <w:vAlign w:val="center"/>
          </w:tcPr>
          <w:p>
            <w:pPr>
              <w:pStyle w:val="TableContents"/>
              <w:spacing w:before="0" w:after="283"/>
              <w:jc w:val="center"/>
              <w:rPr/>
            </w:pPr>
            <w:r>
              <w:rPr/>
              <w:t> </w:t>
            </w:r>
          </w:p>
        </w:tc>
        <w:tc>
          <w:tcPr>
            <w:tcW w:w="1212"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center"/>
              <w:rPr/>
            </w:pPr>
            <w:r>
              <w:rPr/>
              <w:t> </w:t>
            </w:r>
          </w:p>
        </w:tc>
        <w:tc>
          <w:tcPr>
            <w:tcW w:w="1387"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856,402</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rPr/>
            </w:pPr>
            <w:r>
              <w:rPr/>
              <w:t>Nicole Harvey(7)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2022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242,461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80,000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980" w:type="dxa"/>
            <w:tcBorders/>
            <w:shd w:fill="FFFFFF" w:val="clear"/>
            <w:vAlign w:val="center"/>
          </w:tcPr>
          <w:p>
            <w:pPr>
              <w:pStyle w:val="TableContents"/>
              <w:spacing w:before="0" w:after="283"/>
              <w:jc w:val="center"/>
              <w:rPr/>
            </w:pPr>
            <w:r>
              <w:rPr/>
              <w:t>561,000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80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center"/>
              <w:rPr/>
            </w:pPr>
            <w:r>
              <w:rPr/>
              <w:t> </w:t>
            </w:r>
          </w:p>
        </w:tc>
        <w:tc>
          <w:tcPr>
            <w:tcW w:w="1212"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883,461</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i/>
              </w:rPr>
            </w:pPr>
            <w:r>
              <w:rPr>
                <w:i/>
              </w:rPr>
              <w:t>Former Chief Legal Officer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2021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66,346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25,000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980"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800" w:type="dxa"/>
            <w:tcBorders/>
            <w:shd w:fill="FFFFFF" w:val="clear"/>
            <w:vAlign w:val="center"/>
          </w:tcPr>
          <w:p>
            <w:pPr>
              <w:pStyle w:val="TableContents"/>
              <w:spacing w:before="0" w:after="283"/>
              <w:jc w:val="center"/>
              <w:rPr/>
            </w:pPr>
            <w:r>
              <w:rPr/>
              <w:t>341,621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78" w:type="dxa"/>
            <w:tcBorders/>
            <w:shd w:fill="FFFFFF" w:val="clear"/>
            <w:vAlign w:val="center"/>
          </w:tcPr>
          <w:p>
            <w:pPr>
              <w:pStyle w:val="TableContents"/>
              <w:spacing w:before="0" w:after="283"/>
              <w:jc w:val="center"/>
              <w:rPr/>
            </w:pPr>
            <w:r>
              <w:rPr/>
              <w:t> </w:t>
            </w:r>
          </w:p>
        </w:tc>
        <w:tc>
          <w:tcPr>
            <w:tcW w:w="1212"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center"/>
              <w:rPr/>
            </w:pPr>
            <w:r>
              <w:rPr/>
              <w:t> </w:t>
            </w:r>
          </w:p>
        </w:tc>
        <w:tc>
          <w:tcPr>
            <w:tcW w:w="1387"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432,967</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75"/>
        <w:gridCol w:w="197"/>
        <w:gridCol w:w="9933"/>
      </w:tblGrid>
      <w:tr>
        <w:trPr/>
        <w:tc>
          <w:tcPr>
            <w:tcW w:w="75"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2022 and December 31, 2021.</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 ended December 31, 2022 under the 2022 Plan (as defined below)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Annual Report for a discussion of the relevant assumptions used in calculating these amounts.</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elsewhere in this Annual Report for a discussion of the relevant assumptions used in calculating these amounts.</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reflects our matching contribution to the executive’s account under our 401(k) plan.</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Legacy Dragonfly’s Chief Financial Officer on September 6, 2021.</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97"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3"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Harvey’s employment with us ended on April 26, 2023.</w:t>
            </w:r>
          </w:p>
        </w:tc>
      </w:tr>
    </w:tbl>
    <w:p>
      <w:pPr>
        <w:pStyle w:val="TextBody"/>
        <w:shd w:fill="FFFFFF" w:val="clear"/>
        <w:ind w:left="0" w:right="0" w:firstLine="72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engaged Compensia, Inc. as our independent compensation consultant. In 2022,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Ms. Nicole Harvey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Ms. Harvey — $334,000; Mr. Marchetti — $370,000) and to be eligible for an annual bonus of up to a specified percentage of the executive’s base salary (Dr. Phares — 100%; Ms. Harvey — 46%; Mr. Marchetti — 63%). The executive is generally eligible for an annual bonus only if he or she remains employed with us through the date the bonus is paid (or if the executive’s employment terminates due to his or her death or disability during the year). The executive is also eligible to receive a long-term incentive award each fiscal year with a grant-date value not less than a dollar amount specified in the agreement (Dr. Phares — $1,532,000; Ms. Harvey — $561,000;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and Ms. Harvey) or 1.0 times the executive’s annual base salary (in the case of Mr. Marchetti), payable in installments over two years following the termination date, (ii) reimbursement of monthly COBRA premiums for the executive and his or her dependents for up to 18 months (in the case of Dr. Phares) or 12 months (in the case of Ms. Harvey and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Ms. Harvey and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his or her providing a release of claims to us and his or her continued compliance with the restrictive covenants in favor of us in the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ind w:left="0" w:right="0" w:firstLine="72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pStyle w:val="TextBody"/>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would be deemed terminated as of that date by us without cause for purposes of determining severance thereunder.</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outstanding options to acquire our common stock held by each of the NEOs as of December 31, 2022, including the vesting dates for the portions of these awards that had not vested as of that date. The NEO did not hold any other outstanding equity awards as of that date.</w:t>
      </w:r>
    </w:p>
    <w:p>
      <w:pPr>
        <w:pStyle w:val="TextBody"/>
        <w:ind w:left="0" w:right="0" w:firstLine="720"/>
        <w:jc w:val="both"/>
        <w:rPr>
          <w:caps w:val="false"/>
          <w:smallCaps w:val="false"/>
        </w:rPr>
      </w:pPr>
      <w:r>
        <w:rPr>
          <w:caps w:val="false"/>
          <w:smallCaps w:val="false"/>
        </w:rPr>
        <w:t> </w:t>
      </w:r>
    </w:p>
    <w:tbl>
      <w:tblPr>
        <w:tblW w:w="8859" w:type="dxa"/>
        <w:jc w:val="left"/>
        <w:tblInd w:w="0" w:type="dxa"/>
        <w:tblCellMar>
          <w:top w:w="0" w:type="dxa"/>
          <w:left w:w="0" w:type="dxa"/>
          <w:bottom w:w="0" w:type="dxa"/>
          <w:right w:w="0" w:type="dxa"/>
        </w:tblCellMar>
      </w:tblPr>
      <w:tblGrid>
        <w:gridCol w:w="1655"/>
        <w:gridCol w:w="60"/>
        <w:gridCol w:w="99"/>
        <w:gridCol w:w="1166"/>
        <w:gridCol w:w="290"/>
        <w:gridCol w:w="60"/>
        <w:gridCol w:w="113"/>
        <w:gridCol w:w="1332"/>
        <w:gridCol w:w="290"/>
        <w:gridCol w:w="60"/>
        <w:gridCol w:w="266"/>
        <w:gridCol w:w="1163"/>
        <w:gridCol w:w="60"/>
        <w:gridCol w:w="60"/>
        <w:gridCol w:w="105"/>
        <w:gridCol w:w="770"/>
        <w:gridCol w:w="60"/>
        <w:gridCol w:w="60"/>
        <w:gridCol w:w="92"/>
        <w:gridCol w:w="1023"/>
        <w:gridCol w:w="75"/>
      </w:tblGrid>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69" w:type="dxa"/>
            <w:gridSpan w:val="18"/>
            <w:tcBorders>
              <w:bottom w:val="single" w:sz="12" w:space="0" w:color="000000"/>
            </w:tcBorders>
            <w:shd w:fill="auto" w:val="clear"/>
            <w:tcMar>
              <w:bottom w:w="28" w:type="dxa"/>
            </w:tcMar>
            <w:vAlign w:val="center"/>
          </w:tcPr>
          <w:p>
            <w:pPr>
              <w:pStyle w:val="TableContents"/>
              <w:spacing w:before="0" w:after="283"/>
              <w:jc w:val="center"/>
              <w:rPr>
                <w:b/>
              </w:rPr>
            </w:pPr>
            <w:r>
              <w:rPr>
                <w:b/>
              </w:rPr>
              <w:t>Option Awards</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Equity</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Incentive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pPr>
            <w:r>
              <w:rPr/>
              <w:t>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Plan Awards: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b/>
              </w:rPr>
            </w:pPr>
            <w:r>
              <w:rPr>
                <w:b/>
              </w:rPr>
              <w:t>Number of</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b/>
              </w:rPr>
            </w:pPr>
            <w:r>
              <w:rPr>
                <w:b/>
              </w:rPr>
              <w:t>Number of</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Number of</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b/>
              </w:rPr>
            </w:pPr>
            <w:r>
              <w:rPr>
                <w:b/>
              </w:rPr>
              <w:t>Securities</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b/>
              </w:rPr>
            </w:pPr>
            <w:r>
              <w:rPr>
                <w:b/>
              </w:rPr>
              <w:t>Securities</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Securities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b/>
              </w:rPr>
            </w:pPr>
            <w:r>
              <w:rPr>
                <w:b/>
              </w:rPr>
              <w:t>Underlying</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b/>
              </w:rPr>
            </w:pPr>
            <w:r>
              <w:rPr>
                <w:b/>
              </w:rPr>
              <w:t>Underlying</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Underlying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b/>
              </w:rPr>
            </w:pPr>
            <w:r>
              <w:rPr>
                <w:b/>
              </w:rPr>
              <w:t>Unexercised</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b/>
              </w:rPr>
            </w:pPr>
            <w:r>
              <w:rPr>
                <w:b/>
              </w:rPr>
              <w:t>Unexercised</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Unexercised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b/>
              </w:rPr>
            </w:pPr>
            <w:r>
              <w:rPr>
                <w:b/>
              </w:rPr>
              <w:t>Option</w:t>
            </w:r>
          </w:p>
        </w:tc>
        <w:tc>
          <w:tcPr>
            <w:tcW w:w="75" w:type="dxa"/>
            <w:tcBorders/>
            <w:shd w:fill="auto" w:val="clear"/>
            <w:vAlign w:val="center"/>
          </w:tcPr>
          <w:p>
            <w:pPr>
              <w:pStyle w:val="TableContents"/>
              <w:spacing w:before="0" w:after="283"/>
              <w:jc w:val="center"/>
              <w:rPr/>
            </w:pPr>
            <w:r>
              <w:rPr/>
              <w:t> </w:t>
            </w:r>
          </w:p>
        </w:tc>
      </w:tr>
      <w:tr>
        <w:trPr/>
        <w:tc>
          <w:tcPr>
            <w:tcW w:w="1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65" w:type="dxa"/>
            <w:gridSpan w:val="2"/>
            <w:tcBorders/>
            <w:shd w:fill="auto" w:val="clear"/>
            <w:vAlign w:val="center"/>
          </w:tcPr>
          <w:p>
            <w:pPr>
              <w:pStyle w:val="TableContents"/>
              <w:spacing w:before="0" w:after="283"/>
              <w:jc w:val="center"/>
              <w:rPr>
                <w:b/>
              </w:rPr>
            </w:pPr>
            <w:r>
              <w:rPr>
                <w:b/>
              </w:rPr>
              <w:t>Options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shd w:fill="auto" w:val="clear"/>
            <w:vAlign w:val="center"/>
          </w:tcPr>
          <w:p>
            <w:pPr>
              <w:pStyle w:val="TableContents"/>
              <w:spacing w:before="0" w:after="283"/>
              <w:jc w:val="center"/>
              <w:rPr>
                <w:b/>
              </w:rPr>
            </w:pPr>
            <w:r>
              <w:rPr>
                <w:b/>
              </w:rPr>
              <w:t>Options (#)</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shd w:fill="auto" w:val="clear"/>
            <w:vAlign w:val="center"/>
          </w:tcPr>
          <w:p>
            <w:pPr>
              <w:pStyle w:val="TableContents"/>
              <w:spacing w:before="0" w:after="283"/>
              <w:jc w:val="center"/>
              <w:rPr>
                <w:b/>
              </w:rPr>
            </w:pPr>
            <w:r>
              <w:rPr>
                <w:b/>
              </w:rPr>
              <w:t>Unearned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shd w:fill="auto" w:val="clear"/>
            <w:vAlign w:val="center"/>
          </w:tcPr>
          <w:p>
            <w:pPr>
              <w:pStyle w:val="TableContents"/>
              <w:spacing w:before="0" w:after="283"/>
              <w:jc w:val="center"/>
              <w:rPr>
                <w:b/>
              </w:rPr>
            </w:pPr>
            <w:r>
              <w:rPr>
                <w:b/>
              </w:rPr>
              <w:t>Exercise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shd w:fill="auto" w:val="clear"/>
            <w:vAlign w:val="center"/>
          </w:tcPr>
          <w:p>
            <w:pPr>
              <w:pStyle w:val="TableContents"/>
              <w:spacing w:before="0" w:after="283"/>
              <w:jc w:val="center"/>
              <w:rPr>
                <w:b/>
              </w:rPr>
            </w:pPr>
            <w:r>
              <w:rPr>
                <w:b/>
              </w:rPr>
              <w:t>Expiration</w:t>
            </w:r>
          </w:p>
        </w:tc>
        <w:tc>
          <w:tcPr>
            <w:tcW w:w="75" w:type="dxa"/>
            <w:tcBorders/>
            <w:shd w:fill="auto" w:val="clear"/>
            <w:vAlign w:val="center"/>
          </w:tcPr>
          <w:p>
            <w:pPr>
              <w:pStyle w:val="TableContents"/>
              <w:spacing w:before="0" w:after="283"/>
              <w:jc w:val="center"/>
              <w:rPr/>
            </w:pPr>
            <w:r>
              <w:rPr/>
              <w:t> </w:t>
            </w:r>
          </w:p>
        </w:tc>
      </w:tr>
      <w:tr>
        <w:trPr/>
        <w:tc>
          <w:tcPr>
            <w:tcW w:w="1655" w:type="dxa"/>
            <w:tcBorders>
              <w:bottom w:val="single" w:sz="12" w:space="0" w:color="000000"/>
            </w:tcBorders>
            <w:shd w:fill="auto" w:val="clear"/>
            <w:tcMar>
              <w:bottom w:w="28" w:type="dxa"/>
            </w:tcMar>
            <w:vAlign w:val="center"/>
          </w:tcPr>
          <w:p>
            <w:pPr>
              <w:pStyle w:val="TableContents"/>
              <w:spacing w:before="0" w:after="283"/>
              <w:jc w:val="left"/>
              <w:rPr>
                <w:b/>
              </w:rPr>
            </w:pPr>
            <w:r>
              <w:rPr>
                <w:b/>
              </w:rPr>
              <w:t>Name</w:t>
            </w:r>
          </w:p>
        </w:tc>
        <w:tc>
          <w:tcPr>
            <w:tcW w:w="60" w:type="dxa"/>
            <w:tcBorders/>
            <w:shd w:fill="auto" w:val="clear"/>
            <w:vAlign w:val="center"/>
          </w:tcPr>
          <w:p>
            <w:pPr>
              <w:pStyle w:val="TableContents"/>
              <w:spacing w:before="0" w:after="283"/>
              <w:jc w:val="center"/>
              <w:rPr/>
            </w:pPr>
            <w:r>
              <w:rPr/>
              <w:t> </w:t>
            </w:r>
          </w:p>
        </w:tc>
        <w:tc>
          <w:tcPr>
            <w:tcW w:w="126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Exercisable</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Unexercisable</w:t>
            </w:r>
          </w:p>
        </w:tc>
        <w:tc>
          <w:tcPr>
            <w:tcW w:w="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Options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Price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Date</w:t>
            </w:r>
          </w:p>
        </w:tc>
        <w:tc>
          <w:tcPr>
            <w:tcW w:w="75"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283"/>
              <w:jc w:val="left"/>
              <w:rPr/>
            </w:pPr>
            <w:r>
              <w:rPr/>
              <w:t>Dr. Denis Phares</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66" w:type="dxa"/>
            <w:tcBorders/>
            <w:shd w:fill="CCEEFF" w:val="clear"/>
            <w:vAlign w:val="center"/>
          </w:tcPr>
          <w:p>
            <w:pPr>
              <w:pStyle w:val="TableContents"/>
              <w:spacing w:before="0" w:after="283"/>
              <w:jc w:val="right"/>
              <w:rPr/>
            </w:pPr>
            <w:r>
              <w:rPr/>
              <w:t>118,208</w:t>
            </w:r>
          </w:p>
        </w:tc>
        <w:tc>
          <w:tcPr>
            <w:tcW w:w="2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59,108</w:t>
            </w:r>
          </w:p>
        </w:tc>
        <w:tc>
          <w:tcPr>
            <w:tcW w:w="290" w:type="dxa"/>
            <w:tcBorders/>
            <w:shd w:fill="CCEEFF" w:val="clear"/>
            <w:vAlign w:val="center"/>
          </w:tcPr>
          <w:p>
            <w:pPr>
              <w:pStyle w:val="TableContents"/>
              <w:spacing w:before="0" w:after="283"/>
              <w:jc w:val="left"/>
              <w:rPr/>
            </w:pPr>
            <w:r>
              <w:rPr/>
              <w:t>(1)</w:t>
            </w:r>
          </w:p>
        </w:tc>
        <w:tc>
          <w:tcPr>
            <w:tcW w:w="6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jc w:val="center"/>
              <w:rPr/>
            </w:pPr>
            <w:r>
              <w:rPr/>
              <w:t> </w:t>
            </w:r>
          </w:p>
        </w:tc>
        <w:tc>
          <w:tcPr>
            <w:tcW w:w="1163"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jc w:val="left"/>
              <w:rPr/>
            </w:pPr>
            <w:r>
              <w:rPr/>
              <w:t> </w:t>
            </w:r>
          </w:p>
        </w:tc>
        <w:tc>
          <w:tcPr>
            <w:tcW w:w="770" w:type="dxa"/>
            <w:tcBorders/>
            <w:shd w:fill="CCEEFF" w:val="clear"/>
            <w:vAlign w:val="center"/>
          </w:tcPr>
          <w:p>
            <w:pPr>
              <w:pStyle w:val="TableContents"/>
              <w:spacing w:before="0" w:after="283"/>
              <w:jc w:val="right"/>
              <w:rPr/>
            </w:pPr>
            <w:r>
              <w:rPr/>
              <w:t>0.32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jc w:val="left"/>
              <w:rPr/>
            </w:pPr>
            <w:r>
              <w:rPr/>
              <w:t> </w:t>
            </w:r>
          </w:p>
        </w:tc>
        <w:tc>
          <w:tcPr>
            <w:tcW w:w="1023"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12/5/2029</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left"/>
              <w:rPr/>
            </w:pPr>
            <w:r>
              <w:rPr/>
              <w:t>Sean Nichols</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right"/>
              <w:rPr/>
            </w:pPr>
            <w:r>
              <w:rPr/>
              <w:t>177,316</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290" w:type="dxa"/>
            <w:tcBorders/>
            <w:shd w:fill="FFFFFF" w:val="clear"/>
            <w:vAlign w:val="center"/>
          </w:tcPr>
          <w:p>
            <w:pPr>
              <w:pStyle w:val="TableContents"/>
              <w:spacing w:before="0" w:after="283"/>
              <w:jc w:val="left"/>
              <w:rPr/>
            </w:pPr>
            <w:r>
              <w:rPr/>
              <w:t>(1)</w:t>
            </w:r>
          </w:p>
        </w:tc>
        <w:tc>
          <w:tcPr>
            <w:tcW w:w="60" w:type="dxa"/>
            <w:tcBorders/>
            <w:shd w:fill="FFFFFF" w:val="clear"/>
            <w:vAlign w:val="center"/>
          </w:tcPr>
          <w:p>
            <w:pPr>
              <w:pStyle w:val="TableContents"/>
              <w:spacing w:before="0" w:after="283"/>
              <w:rPr/>
            </w:pPr>
            <w:r>
              <w:rPr/>
              <w:t> </w:t>
            </w:r>
          </w:p>
        </w:tc>
        <w:tc>
          <w:tcPr>
            <w:tcW w:w="266" w:type="dxa"/>
            <w:tcBorders/>
            <w:shd w:fill="FFFFFF" w:val="clear"/>
            <w:vAlign w:val="center"/>
          </w:tcPr>
          <w:p>
            <w:pPr>
              <w:pStyle w:val="TableContents"/>
              <w:spacing w:before="0" w:after="283"/>
              <w:jc w:val="center"/>
              <w:rPr/>
            </w:pPr>
            <w:r>
              <w:rPr/>
              <w:t> </w:t>
            </w:r>
          </w:p>
        </w:tc>
        <w:tc>
          <w:tcPr>
            <w:tcW w:w="1163"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770" w:type="dxa"/>
            <w:tcBorders/>
            <w:shd w:fill="FFFFFF" w:val="clear"/>
            <w:vAlign w:val="center"/>
          </w:tcPr>
          <w:p>
            <w:pPr>
              <w:pStyle w:val="TableContents"/>
              <w:spacing w:before="0" w:after="283"/>
              <w:jc w:val="right"/>
              <w:rPr/>
            </w:pPr>
            <w:r>
              <w:rPr/>
              <w:t>0.32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jc w:val="left"/>
              <w:rPr/>
            </w:pPr>
            <w:r>
              <w:rPr/>
              <w:t> </w:t>
            </w:r>
          </w:p>
        </w:tc>
        <w:tc>
          <w:tcPr>
            <w:tcW w:w="1023"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11/7/2023</w:t>
            </w:r>
          </w:p>
        </w:tc>
        <w:tc>
          <w:tcPr>
            <w:tcW w:w="75" w:type="dxa"/>
            <w:tcBorders/>
            <w:shd w:fill="FFFFFF" w:val="clear"/>
            <w:vAlign w:val="center"/>
          </w:tcPr>
          <w:p>
            <w:pPr>
              <w:pStyle w:val="TableContents"/>
              <w:spacing w:before="0" w:after="283"/>
              <w:jc w:val="left"/>
              <w:rPr/>
            </w:pPr>
            <w:r>
              <w:rPr/>
              <w:t> </w:t>
            </w:r>
          </w:p>
        </w:tc>
      </w:tr>
      <w:tr>
        <w:trPr/>
        <w:tc>
          <w:tcPr>
            <w:tcW w:w="1655" w:type="dxa"/>
            <w:tcBorders/>
            <w:shd w:fill="CCEEFF" w:val="clear"/>
            <w:vAlign w:val="center"/>
          </w:tcPr>
          <w:p>
            <w:pPr>
              <w:pStyle w:val="TableContents"/>
              <w:spacing w:before="0" w:after="283"/>
              <w:jc w:val="left"/>
              <w:rPr/>
            </w:pPr>
            <w:r>
              <w:rPr/>
              <w:t>John Marchetti</w:t>
            </w:r>
          </w:p>
        </w:tc>
        <w:tc>
          <w:tcPr>
            <w:tcW w:w="6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jc w:val="left"/>
              <w:rPr/>
            </w:pPr>
            <w:r>
              <w:rPr/>
              <w:t> </w:t>
            </w:r>
          </w:p>
        </w:tc>
        <w:tc>
          <w:tcPr>
            <w:tcW w:w="116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 xml:space="preserve">93,587 </w:t>
            </w:r>
          </w:p>
        </w:tc>
        <w:tc>
          <w:tcPr>
            <w:tcW w:w="290" w:type="dxa"/>
            <w:tcBorders/>
            <w:shd w:fill="CCEEFF" w:val="clear"/>
            <w:vAlign w:val="center"/>
          </w:tcPr>
          <w:p>
            <w:pPr>
              <w:pStyle w:val="TableContents"/>
              <w:spacing w:before="0" w:after="283"/>
              <w:jc w:val="left"/>
              <w:rPr/>
            </w:pPr>
            <w:r>
              <w:rPr/>
              <w:t>(2)</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142,831</w:t>
            </w:r>
          </w:p>
        </w:tc>
        <w:tc>
          <w:tcPr>
            <w:tcW w:w="29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jc w:val="center"/>
              <w:rPr/>
            </w:pPr>
            <w:r>
              <w:rPr/>
              <w:t> </w:t>
            </w:r>
          </w:p>
        </w:tc>
        <w:tc>
          <w:tcPr>
            <w:tcW w:w="1163" w:type="dxa"/>
            <w:tcBorders/>
            <w:shd w:fill="CCEEFF" w:val="clear"/>
            <w:vAlign w:val="center"/>
          </w:tcPr>
          <w:p>
            <w:pPr>
              <w:pStyle w:val="TableContents"/>
              <w:spacing w:before="0" w:after="283"/>
              <w:jc w:val="center"/>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jc w:val="left"/>
              <w:rPr/>
            </w:pPr>
            <w:r>
              <w:rPr/>
              <w:t> </w:t>
            </w:r>
          </w:p>
        </w:tc>
        <w:tc>
          <w:tcPr>
            <w:tcW w:w="770" w:type="dxa"/>
            <w:tcBorders/>
            <w:shd w:fill="CCEEFF" w:val="clear"/>
            <w:vAlign w:val="center"/>
          </w:tcPr>
          <w:p>
            <w:pPr>
              <w:pStyle w:val="TableContents"/>
              <w:spacing w:before="0" w:after="283"/>
              <w:jc w:val="right"/>
              <w:rPr/>
            </w:pPr>
            <w:r>
              <w:rPr/>
              <w:t>2.89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jc w:val="left"/>
              <w:rPr/>
            </w:pPr>
            <w:r>
              <w:rPr/>
              <w:t> </w:t>
            </w:r>
          </w:p>
        </w:tc>
        <w:tc>
          <w:tcPr>
            <w:tcW w:w="1023"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9/13/31</w:t>
            </w:r>
          </w:p>
        </w:tc>
        <w:tc>
          <w:tcPr>
            <w:tcW w:w="75" w:type="dxa"/>
            <w:tcBorders/>
            <w:shd w:fill="CCEEFF" w:val="clear"/>
            <w:vAlign w:val="center"/>
          </w:tcPr>
          <w:p>
            <w:pPr>
              <w:pStyle w:val="TableContents"/>
              <w:spacing w:before="0" w:after="283"/>
              <w:jc w:val="left"/>
              <w:rPr/>
            </w:pPr>
            <w:r>
              <w:rPr/>
              <w:t> </w:t>
            </w:r>
          </w:p>
        </w:tc>
      </w:tr>
      <w:tr>
        <w:trPr/>
        <w:tc>
          <w:tcPr>
            <w:tcW w:w="1655" w:type="dxa"/>
            <w:tcBorders/>
            <w:shd w:fill="FFFFFF" w:val="clear"/>
            <w:vAlign w:val="center"/>
          </w:tcPr>
          <w:p>
            <w:pPr>
              <w:pStyle w:val="TableContents"/>
              <w:spacing w:before="0" w:after="283"/>
              <w:jc w:val="left"/>
              <w:rPr/>
            </w:pPr>
            <w:r>
              <w:rPr/>
              <w:t>Nicole Harvey</w:t>
            </w:r>
          </w:p>
        </w:tc>
        <w:tc>
          <w:tcPr>
            <w:tcW w:w="60"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right"/>
              <w:rPr/>
            </w:pPr>
            <w:r>
              <w:rPr/>
              <w:t>51,497</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57,257</w:t>
            </w:r>
          </w:p>
        </w:tc>
        <w:tc>
          <w:tcPr>
            <w:tcW w:w="29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6" w:type="dxa"/>
            <w:tcBorders/>
            <w:shd w:fill="FFFFFF" w:val="clear"/>
            <w:vAlign w:val="center"/>
          </w:tcPr>
          <w:p>
            <w:pPr>
              <w:pStyle w:val="TableContents"/>
              <w:spacing w:before="0" w:after="283"/>
              <w:jc w:val="center"/>
              <w:rPr/>
            </w:pPr>
            <w:r>
              <w:rPr/>
              <w:t> </w:t>
            </w:r>
          </w:p>
        </w:tc>
        <w:tc>
          <w:tcPr>
            <w:tcW w:w="1163" w:type="dxa"/>
            <w:tcBorders/>
            <w:shd w:fill="FFFFFF" w:val="clear"/>
            <w:vAlign w:val="center"/>
          </w:tcPr>
          <w:p>
            <w:pPr>
              <w:pStyle w:val="TableContents"/>
              <w:spacing w:before="0" w:after="283"/>
              <w:jc w:val="center"/>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jc w:val="left"/>
              <w:rPr/>
            </w:pPr>
            <w:r>
              <w:rPr/>
              <w:t> </w:t>
            </w:r>
          </w:p>
        </w:tc>
        <w:tc>
          <w:tcPr>
            <w:tcW w:w="770" w:type="dxa"/>
            <w:tcBorders/>
            <w:shd w:fill="FFFFFF" w:val="clear"/>
            <w:vAlign w:val="center"/>
          </w:tcPr>
          <w:p>
            <w:pPr>
              <w:pStyle w:val="TableContents"/>
              <w:spacing w:before="0" w:after="283"/>
              <w:jc w:val="right"/>
              <w:rPr/>
            </w:pPr>
            <w:r>
              <w:rPr/>
              <w:t>2.89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jc w:val="left"/>
              <w:rPr/>
            </w:pPr>
            <w:r>
              <w:rPr/>
              <w:t> </w:t>
            </w:r>
          </w:p>
        </w:tc>
        <w:tc>
          <w:tcPr>
            <w:tcW w:w="1023" w:type="dxa"/>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10/22/2031</w:t>
            </w:r>
          </w:p>
        </w:tc>
        <w:tc>
          <w:tcPr>
            <w:tcW w:w="75" w:type="dxa"/>
            <w:tcBorders/>
            <w:shd w:fill="FFFFFF" w:val="clear"/>
            <w:vAlign w:val="center"/>
          </w:tcPr>
          <w:p>
            <w:pPr>
              <w:pStyle w:val="TableContents"/>
              <w:spacing w:before="0" w:after="283"/>
              <w:jc w:val="left"/>
              <w:rPr/>
            </w:pPr>
            <w:r>
              <w:rPr/>
              <w:t> </w:t>
            </w:r>
          </w:p>
        </w:tc>
      </w:tr>
    </w:tbl>
    <w:p>
      <w:pPr>
        <w:pStyle w:val="TextBody"/>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0"/>
        <w:gridCol w:w="9947"/>
      </w:tblGrid>
      <w:tr>
        <w:trPr/>
        <w:tc>
          <w:tcPr>
            <w:tcW w:w="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in 20 monthly installments from January 12, 2022 and August 12, 2023.</w:t>
            </w:r>
          </w:p>
        </w:tc>
      </w:tr>
      <w:tr>
        <w:trPr/>
        <w:tc>
          <w:tcPr>
            <w:tcW w:w="3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as to 25% of the option on September 10, 2022 and as to 75% of the option in 36 monthly installments from October 10, 2022 through September 10, 2025.</w:t>
            </w:r>
          </w:p>
        </w:tc>
      </w:tr>
    </w:tbl>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Equity Grants</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pStyle w:val="TextBody"/>
        <w:ind w:left="0" w:right="0" w:firstLine="360"/>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Mr. Marchetti was granted 86,133 RSUs, and Ms. Harvey was granted 74,800 RSUs. Each grant vested in full on the date of grant.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Business Combination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we adopted a policy that provides for cash and equity compensation for members of our Board of directors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policy provides that each Non-Employee Director is entitled to receive the following cash compensation for board service, as applicable:</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Board member;</w:t>
            </w:r>
          </w:p>
        </w:tc>
      </w:tr>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jc w:val="both"/>
        <w:rPr>
          <w:caps w:val="false"/>
          <w:smallCaps w:val="false"/>
        </w:rPr>
      </w:pPr>
      <w:r>
        <w:rPr>
          <w:caps w:val="false"/>
          <w:smallCaps w:val="false"/>
        </w:rPr>
        <w:t> </w:t>
      </w:r>
    </w:p>
    <w:p>
      <w:pPr>
        <w:pStyle w:val="TextBody"/>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also has discretion under the director compensation policy to grant Non-Employee Directors equity-based awards under our Dragonfly Energy Holdings 2022 Equity Incentive Plan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(or any successor equity compensation plan approved 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October 7, 2022,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 — Fiscal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896"/>
        <w:gridCol w:w="60"/>
        <w:gridCol w:w="145"/>
        <w:gridCol w:w="1671"/>
        <w:gridCol w:w="60"/>
        <w:gridCol w:w="60"/>
        <w:gridCol w:w="94"/>
        <w:gridCol w:w="1262"/>
        <w:gridCol w:w="60"/>
        <w:gridCol w:w="60"/>
        <w:gridCol w:w="98"/>
        <w:gridCol w:w="1314"/>
        <w:gridCol w:w="246"/>
        <w:gridCol w:w="60"/>
        <w:gridCol w:w="179"/>
        <w:gridCol w:w="1869"/>
        <w:gridCol w:w="60"/>
        <w:gridCol w:w="60"/>
        <w:gridCol w:w="60"/>
        <w:gridCol w:w="811"/>
        <w:gridCol w:w="80"/>
      </w:tblGrid>
      <w:tr>
        <w:trPr/>
        <w:tc>
          <w:tcPr>
            <w:tcW w:w="1896" w:type="dxa"/>
            <w:tcBorders>
              <w:bottom w:val="single" w:sz="12" w:space="0" w:color="000000"/>
            </w:tcBorders>
            <w:shd w:fill="auto" w:val="clear"/>
            <w:vAlign w:val="center"/>
          </w:tcPr>
          <w:p>
            <w:pPr>
              <w:pStyle w:val="TableContents"/>
              <w:spacing w:before="0" w:after="283"/>
              <w:jc w:val="left"/>
              <w:rPr>
                <w:b/>
              </w:rPr>
            </w:pPr>
            <w:r>
              <w:rPr>
                <w:b/>
              </w:rPr>
              <w:t>Name</w:t>
            </w:r>
          </w:p>
        </w:tc>
        <w:tc>
          <w:tcPr>
            <w:tcW w:w="60" w:type="dxa"/>
            <w:tcBorders/>
            <w:shd w:fill="auto" w:val="clear"/>
            <w:tcMar>
              <w:bottom w:w="0" w:type="dxa"/>
            </w:tcMar>
            <w:vAlign w:val="center"/>
          </w:tcPr>
          <w:p>
            <w:pPr>
              <w:pStyle w:val="TableContents"/>
              <w:spacing w:before="0" w:after="283"/>
              <w:jc w:val="left"/>
              <w:rPr/>
            </w:pPr>
            <w:r>
              <w:rPr/>
              <w:t> </w:t>
            </w:r>
          </w:p>
        </w:tc>
        <w:tc>
          <w:tcPr>
            <w:tcW w:w="1816" w:type="dxa"/>
            <w:gridSpan w:val="2"/>
            <w:tcBorders>
              <w:bottom w:val="single" w:sz="12" w:space="0" w:color="000000"/>
            </w:tcBorders>
            <w:shd w:fill="auto" w:val="clear"/>
            <w:vAlign w:val="center"/>
          </w:tcPr>
          <w:p>
            <w:pPr>
              <w:pStyle w:val="TableContents"/>
              <w:spacing w:before="0" w:after="283"/>
              <w:jc w:val="left"/>
              <w:rPr>
                <w:b/>
              </w:rPr>
            </w:pPr>
            <w:r>
              <w:rPr>
                <w:b/>
              </w:rPr>
              <w:t>Fees Earned or Paid in Cash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1356" w:type="dxa"/>
            <w:gridSpan w:val="2"/>
            <w:tcBorders>
              <w:bottom w:val="single" w:sz="12" w:space="0" w:color="000000"/>
            </w:tcBorders>
            <w:shd w:fill="auto" w:val="clear"/>
            <w:vAlign w:val="center"/>
          </w:tcPr>
          <w:p>
            <w:pPr>
              <w:pStyle w:val="TableContents"/>
              <w:spacing w:before="0" w:after="283"/>
              <w:jc w:val="left"/>
              <w:rPr>
                <w:b/>
              </w:rPr>
            </w:pPr>
            <w:r>
              <w:rPr>
                <w:b/>
              </w:rPr>
              <w:t>Stock Awards ($)(1)</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1412" w:type="dxa"/>
            <w:gridSpan w:val="2"/>
            <w:tcBorders>
              <w:bottom w:val="single" w:sz="12" w:space="0" w:color="000000"/>
            </w:tcBorders>
            <w:shd w:fill="auto" w:val="clear"/>
            <w:vAlign w:val="center"/>
          </w:tcPr>
          <w:p>
            <w:pPr>
              <w:pStyle w:val="TableContents"/>
              <w:spacing w:before="0" w:after="283"/>
              <w:jc w:val="left"/>
              <w:rPr>
                <w:b/>
              </w:rPr>
            </w:pPr>
            <w:r>
              <w:rPr>
                <w:b/>
              </w:rPr>
              <w:t>Option Awards ($)(1)</w:t>
            </w:r>
          </w:p>
        </w:tc>
        <w:tc>
          <w:tcPr>
            <w:tcW w:w="246"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2048" w:type="dxa"/>
            <w:gridSpan w:val="2"/>
            <w:tcBorders>
              <w:bottom w:val="single" w:sz="12" w:space="0" w:color="000000"/>
            </w:tcBorders>
            <w:shd w:fill="auto" w:val="clear"/>
            <w:vAlign w:val="center"/>
          </w:tcPr>
          <w:p>
            <w:pPr>
              <w:pStyle w:val="TableContents"/>
              <w:spacing w:before="0" w:after="283"/>
              <w:jc w:val="left"/>
              <w:rPr>
                <w:b/>
              </w:rPr>
            </w:pPr>
            <w:r>
              <w:rPr>
                <w:b/>
              </w:rPr>
              <w:t>All Other Compensation ($)</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jc w:val="left"/>
              <w:rPr/>
            </w:pPr>
            <w:r>
              <w:rPr/>
              <w:t> </w:t>
            </w:r>
          </w:p>
        </w:tc>
        <w:tc>
          <w:tcPr>
            <w:tcW w:w="871" w:type="dxa"/>
            <w:gridSpan w:val="2"/>
            <w:tcBorders>
              <w:bottom w:val="single" w:sz="12" w:space="0" w:color="000000"/>
            </w:tcBorders>
            <w:shd w:fill="auto" w:val="clear"/>
            <w:vAlign w:val="center"/>
          </w:tcPr>
          <w:p>
            <w:pPr>
              <w:pStyle w:val="TableContents"/>
              <w:spacing w:before="0" w:after="283"/>
              <w:jc w:val="left"/>
              <w:rPr>
                <w:b/>
              </w:rPr>
            </w:pPr>
            <w:r>
              <w:rPr>
                <w:b/>
              </w:rPr>
              <w:t>Total ($)</w:t>
            </w:r>
          </w:p>
        </w:tc>
        <w:tc>
          <w:tcPr>
            <w:tcW w:w="80" w:type="dxa"/>
            <w:tcBorders/>
            <w:shd w:fill="auto" w:val="clear"/>
            <w:tcMar>
              <w:bottom w:w="0" w:type="dxa"/>
            </w:tcMar>
            <w:vAlign w:val="center"/>
          </w:tcPr>
          <w:p>
            <w:pPr>
              <w:pStyle w:val="TableContents"/>
              <w:spacing w:before="0" w:after="283"/>
              <w:jc w:val="left"/>
              <w:rPr/>
            </w:pPr>
            <w:r>
              <w:rPr/>
              <w:t> </w:t>
            </w:r>
          </w:p>
        </w:tc>
      </w:tr>
      <w:tr>
        <w:trPr/>
        <w:tc>
          <w:tcPr>
            <w:tcW w:w="1896" w:type="dxa"/>
            <w:tcBorders/>
            <w:shd w:fill="CCEEFF" w:val="clear"/>
            <w:tcMar>
              <w:bottom w:w="0" w:type="dxa"/>
            </w:tcMar>
            <w:vAlign w:val="center"/>
          </w:tcPr>
          <w:p>
            <w:pPr>
              <w:pStyle w:val="TableContents"/>
              <w:spacing w:before="0" w:after="283"/>
              <w:jc w:val="left"/>
              <w:rPr/>
            </w:pPr>
            <w:r>
              <w:rPr/>
              <w:t>Jonathan Bellows</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right"/>
              <w:rPr/>
            </w:pPr>
            <w:r>
              <w:rPr/>
              <w:t> </w:t>
            </w:r>
          </w:p>
        </w:tc>
        <w:tc>
          <w:tcPr>
            <w:tcW w:w="1671" w:type="dxa"/>
            <w:tcBorders/>
            <w:shd w:fill="CCEEFF" w:val="clear"/>
            <w:tcMar>
              <w:bottom w:w="0" w:type="dxa"/>
            </w:tcMar>
            <w:vAlign w:val="center"/>
          </w:tcPr>
          <w:p>
            <w:pPr>
              <w:pStyle w:val="TableContents"/>
              <w:spacing w:before="0" w:after="283"/>
              <w:jc w:val="right"/>
              <w:rPr/>
            </w:pPr>
            <w:r>
              <w:rPr/>
              <w:t>13,741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4" w:type="dxa"/>
            <w:tcBorders/>
            <w:shd w:fill="CCEEFF" w:val="clear"/>
            <w:tcMar>
              <w:bottom w:w="0" w:type="dxa"/>
            </w:tcMar>
            <w:vAlign w:val="center"/>
          </w:tcPr>
          <w:p>
            <w:pPr>
              <w:pStyle w:val="TableContents"/>
              <w:spacing w:before="0" w:after="283"/>
              <w:jc w:val="left"/>
              <w:rPr/>
            </w:pPr>
            <w:r>
              <w:rPr/>
              <w:t> </w:t>
            </w:r>
          </w:p>
        </w:tc>
        <w:tc>
          <w:tcPr>
            <w:tcW w:w="1262" w:type="dxa"/>
            <w:tcBorders/>
            <w:shd w:fill="CCEEFF" w:val="clear"/>
            <w:tcMar>
              <w:bottom w:w="0" w:type="dxa"/>
            </w:tcMar>
            <w:vAlign w:val="center"/>
          </w:tcPr>
          <w:p>
            <w:pPr>
              <w:pStyle w:val="TableContents"/>
              <w:spacing w:before="0" w:after="283"/>
              <w:jc w:val="right"/>
              <w:rPr/>
            </w:pPr>
            <w:r>
              <w:rPr/>
              <w:t>420,000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8" w:type="dxa"/>
            <w:tcBorders/>
            <w:shd w:fill="CCEEFF" w:val="clear"/>
            <w:tcMar>
              <w:bottom w:w="0" w:type="dxa"/>
            </w:tcMar>
            <w:vAlign w:val="center"/>
          </w:tcPr>
          <w:p>
            <w:pPr>
              <w:pStyle w:val="TableContents"/>
              <w:spacing w:before="0" w:after="283"/>
              <w:jc w:val="right"/>
              <w:rPr/>
            </w:pPr>
            <w:r>
              <w:rPr/>
              <w:t> </w:t>
            </w:r>
          </w:p>
        </w:tc>
        <w:tc>
          <w:tcPr>
            <w:tcW w:w="1314" w:type="dxa"/>
            <w:tcBorders/>
            <w:shd w:fill="CCEEFF" w:val="clear"/>
            <w:tcMar>
              <w:bottom w:w="0" w:type="dxa"/>
            </w:tcMar>
            <w:vAlign w:val="center"/>
          </w:tcPr>
          <w:p>
            <w:pPr>
              <w:pStyle w:val="TableContents"/>
              <w:spacing w:before="0" w:after="283"/>
              <w:jc w:val="right"/>
              <w:rPr/>
            </w:pPr>
            <w:r>
              <w:rPr/>
              <w:t>—</w:t>
            </w:r>
          </w:p>
        </w:tc>
        <w:tc>
          <w:tcPr>
            <w:tcW w:w="24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9" w:type="dxa"/>
            <w:tcBorders/>
            <w:shd w:fill="CCEEFF" w:val="clear"/>
            <w:tcMar>
              <w:bottom w:w="0" w:type="dxa"/>
            </w:tcMar>
            <w:vAlign w:val="center"/>
          </w:tcPr>
          <w:p>
            <w:pPr>
              <w:pStyle w:val="TableContents"/>
              <w:spacing w:before="0" w:after="283"/>
              <w:jc w:val="right"/>
              <w:rPr/>
            </w:pPr>
            <w:r>
              <w:rPr/>
              <w:t> </w:t>
            </w:r>
          </w:p>
        </w:tc>
        <w:tc>
          <w:tcPr>
            <w:tcW w:w="1869"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811" w:type="dxa"/>
            <w:tcBorders/>
            <w:shd w:fill="CCEEFF" w:val="clear"/>
            <w:tcMar>
              <w:bottom w:w="0" w:type="dxa"/>
            </w:tcMar>
            <w:vAlign w:val="center"/>
          </w:tcPr>
          <w:p>
            <w:pPr>
              <w:pStyle w:val="TableContents"/>
              <w:spacing w:before="0" w:after="283"/>
              <w:jc w:val="right"/>
              <w:rPr/>
            </w:pPr>
            <w:r>
              <w:rPr/>
              <w:t>433,741</w:t>
            </w:r>
          </w:p>
        </w:tc>
        <w:tc>
          <w:tcPr>
            <w:tcW w:w="80" w:type="dxa"/>
            <w:tcBorders/>
            <w:shd w:fill="CCEEFF" w:val="clear"/>
            <w:tcMar>
              <w:bottom w:w="0" w:type="dxa"/>
            </w:tcMar>
            <w:vAlign w:val="center"/>
          </w:tcPr>
          <w:p>
            <w:pPr>
              <w:pStyle w:val="TableContents"/>
              <w:spacing w:before="0" w:after="283"/>
              <w:jc w:val="left"/>
              <w:rPr/>
            </w:pPr>
            <w:r>
              <w:rPr/>
              <w:t> </w:t>
            </w:r>
          </w:p>
        </w:tc>
      </w:tr>
      <w:tr>
        <w:trPr/>
        <w:tc>
          <w:tcPr>
            <w:tcW w:w="1896" w:type="dxa"/>
            <w:tcBorders/>
            <w:shd w:fill="FFFFFF" w:val="clear"/>
            <w:tcMar>
              <w:bottom w:w="0" w:type="dxa"/>
            </w:tcMar>
            <w:vAlign w:val="center"/>
          </w:tcPr>
          <w:p>
            <w:pPr>
              <w:pStyle w:val="TableContents"/>
              <w:spacing w:before="0" w:after="283"/>
              <w:jc w:val="left"/>
              <w:rPr/>
            </w:pPr>
            <w:r>
              <w:rPr/>
              <w:t>Perry Boyle</w:t>
            </w:r>
          </w:p>
        </w:tc>
        <w:tc>
          <w:tcPr>
            <w:tcW w:w="60"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center"/>
          </w:tcPr>
          <w:p>
            <w:pPr>
              <w:pStyle w:val="TableContents"/>
              <w:spacing w:before="0" w:after="283"/>
              <w:jc w:val="right"/>
              <w:rPr/>
            </w:pPr>
            <w:r>
              <w:rPr/>
              <w:t> </w:t>
            </w:r>
          </w:p>
        </w:tc>
        <w:tc>
          <w:tcPr>
            <w:tcW w:w="1671" w:type="dxa"/>
            <w:tcBorders/>
            <w:shd w:fill="FFFFFF" w:val="clear"/>
            <w:tcMar>
              <w:bottom w:w="0" w:type="dxa"/>
            </w:tcMar>
            <w:vAlign w:val="center"/>
          </w:tcPr>
          <w:p>
            <w:pPr>
              <w:pStyle w:val="TableContents"/>
              <w:spacing w:before="0" w:after="283"/>
              <w:jc w:val="right"/>
              <w:rPr/>
            </w:pPr>
            <w:r>
              <w:rPr/>
              <w:t>13,741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4" w:type="dxa"/>
            <w:tcBorders/>
            <w:shd w:fill="FFFFFF" w:val="clear"/>
            <w:tcMar>
              <w:bottom w:w="0" w:type="dxa"/>
            </w:tcMar>
            <w:vAlign w:val="center"/>
          </w:tcPr>
          <w:p>
            <w:pPr>
              <w:pStyle w:val="TableContents"/>
              <w:spacing w:before="0" w:after="283"/>
              <w:jc w:val="left"/>
              <w:rPr/>
            </w:pPr>
            <w:r>
              <w:rPr/>
              <w:t> </w:t>
            </w:r>
          </w:p>
        </w:tc>
        <w:tc>
          <w:tcPr>
            <w:tcW w:w="1262" w:type="dxa"/>
            <w:tcBorders/>
            <w:shd w:fill="FFFFFF" w:val="clear"/>
            <w:tcMar>
              <w:bottom w:w="0" w:type="dxa"/>
            </w:tcMar>
            <w:vAlign w:val="center"/>
          </w:tcPr>
          <w:p>
            <w:pPr>
              <w:pStyle w:val="TableContents"/>
              <w:spacing w:before="0" w:after="283"/>
              <w:jc w:val="right"/>
              <w:rPr/>
            </w:pPr>
            <w:r>
              <w:rPr/>
              <w:t>420,000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8" w:type="dxa"/>
            <w:tcBorders/>
            <w:shd w:fill="FFFFFF" w:val="clear"/>
            <w:tcMar>
              <w:bottom w:w="0" w:type="dxa"/>
            </w:tcMar>
            <w:vAlign w:val="center"/>
          </w:tcPr>
          <w:p>
            <w:pPr>
              <w:pStyle w:val="TableContents"/>
              <w:spacing w:before="0" w:after="283"/>
              <w:jc w:val="right"/>
              <w:rPr/>
            </w:pPr>
            <w:r>
              <w:rPr/>
              <w:t> </w:t>
            </w:r>
          </w:p>
        </w:tc>
        <w:tc>
          <w:tcPr>
            <w:tcW w:w="1314" w:type="dxa"/>
            <w:tcBorders/>
            <w:shd w:fill="FFFFFF" w:val="clear"/>
            <w:tcMar>
              <w:bottom w:w="0" w:type="dxa"/>
            </w:tcMar>
            <w:vAlign w:val="center"/>
          </w:tcPr>
          <w:p>
            <w:pPr>
              <w:pStyle w:val="TableContents"/>
              <w:spacing w:before="0" w:after="283"/>
              <w:jc w:val="right"/>
              <w:rPr/>
            </w:pPr>
            <w:r>
              <w:rPr/>
              <w:t>—</w:t>
            </w:r>
          </w:p>
        </w:tc>
        <w:tc>
          <w:tcPr>
            <w:tcW w:w="24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9" w:type="dxa"/>
            <w:tcBorders/>
            <w:shd w:fill="FFFFFF" w:val="clear"/>
            <w:tcMar>
              <w:bottom w:w="0" w:type="dxa"/>
            </w:tcMar>
            <w:vAlign w:val="center"/>
          </w:tcPr>
          <w:p>
            <w:pPr>
              <w:pStyle w:val="TableContents"/>
              <w:spacing w:before="0" w:after="283"/>
              <w:jc w:val="right"/>
              <w:rPr/>
            </w:pPr>
            <w:r>
              <w:rPr/>
              <w:t> </w:t>
            </w:r>
          </w:p>
        </w:tc>
        <w:tc>
          <w:tcPr>
            <w:tcW w:w="1869" w:type="dxa"/>
            <w:tcBorders/>
            <w:shd w:fill="FFFFFF" w:val="clear"/>
            <w:tcMar>
              <w:bottom w:w="0" w:type="dxa"/>
            </w:tcMar>
            <w:vAlign w:val="center"/>
          </w:tcPr>
          <w:p>
            <w:pPr>
              <w:pStyle w:val="TableContents"/>
              <w:spacing w:before="0" w:after="283"/>
              <w:jc w:val="right"/>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11" w:type="dxa"/>
            <w:tcBorders/>
            <w:shd w:fill="FFFFFF" w:val="clear"/>
            <w:tcMar>
              <w:bottom w:w="0" w:type="dxa"/>
            </w:tcMar>
            <w:vAlign w:val="center"/>
          </w:tcPr>
          <w:p>
            <w:pPr>
              <w:pStyle w:val="TableContents"/>
              <w:spacing w:before="0" w:after="283"/>
              <w:jc w:val="right"/>
              <w:rPr/>
            </w:pPr>
            <w:r>
              <w:rPr/>
              <w:t>433,741</w:t>
            </w:r>
          </w:p>
        </w:tc>
        <w:tc>
          <w:tcPr>
            <w:tcW w:w="80" w:type="dxa"/>
            <w:tcBorders/>
            <w:shd w:fill="FFFFFF" w:val="clear"/>
            <w:tcMar>
              <w:bottom w:w="0" w:type="dxa"/>
            </w:tcMar>
            <w:vAlign w:val="center"/>
          </w:tcPr>
          <w:p>
            <w:pPr>
              <w:pStyle w:val="TableContents"/>
              <w:spacing w:before="0" w:after="283"/>
              <w:jc w:val="left"/>
              <w:rPr/>
            </w:pPr>
            <w:r>
              <w:rPr/>
              <w:t> </w:t>
            </w:r>
          </w:p>
        </w:tc>
      </w:tr>
      <w:tr>
        <w:trPr/>
        <w:tc>
          <w:tcPr>
            <w:tcW w:w="1896" w:type="dxa"/>
            <w:tcBorders/>
            <w:shd w:fill="CCEEFF" w:val="clear"/>
            <w:tcMar>
              <w:bottom w:w="0" w:type="dxa"/>
            </w:tcMar>
            <w:vAlign w:val="center"/>
          </w:tcPr>
          <w:p>
            <w:pPr>
              <w:pStyle w:val="TableContents"/>
              <w:spacing w:before="0" w:after="283"/>
              <w:jc w:val="left"/>
              <w:rPr/>
            </w:pPr>
            <w:r>
              <w:rPr/>
              <w:t>Karina Montilla Edmonds, Ph.D.</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right"/>
              <w:rPr/>
            </w:pPr>
            <w:r>
              <w:rPr/>
              <w:t> </w:t>
            </w:r>
          </w:p>
        </w:tc>
        <w:tc>
          <w:tcPr>
            <w:tcW w:w="1671" w:type="dxa"/>
            <w:tcBorders/>
            <w:shd w:fill="CCEEFF" w:val="clear"/>
            <w:tcMar>
              <w:bottom w:w="0" w:type="dxa"/>
            </w:tcMar>
            <w:vAlign w:val="center"/>
          </w:tcPr>
          <w:p>
            <w:pPr>
              <w:pStyle w:val="TableContents"/>
              <w:spacing w:before="0" w:after="283"/>
              <w:jc w:val="right"/>
              <w:rPr/>
            </w:pPr>
            <w:r>
              <w:rPr/>
              <w:t>16,078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4" w:type="dxa"/>
            <w:tcBorders/>
            <w:shd w:fill="CCEEFF" w:val="clear"/>
            <w:tcMar>
              <w:bottom w:w="0" w:type="dxa"/>
            </w:tcMar>
            <w:vAlign w:val="center"/>
          </w:tcPr>
          <w:p>
            <w:pPr>
              <w:pStyle w:val="TableContents"/>
              <w:spacing w:before="0" w:after="283"/>
              <w:jc w:val="left"/>
              <w:rPr/>
            </w:pPr>
            <w:r>
              <w:rPr/>
              <w:t> </w:t>
            </w:r>
          </w:p>
        </w:tc>
        <w:tc>
          <w:tcPr>
            <w:tcW w:w="1262" w:type="dxa"/>
            <w:tcBorders/>
            <w:shd w:fill="CCEEFF" w:val="clear"/>
            <w:tcMar>
              <w:bottom w:w="0" w:type="dxa"/>
            </w:tcMar>
            <w:vAlign w:val="center"/>
          </w:tcPr>
          <w:p>
            <w:pPr>
              <w:pStyle w:val="TableContents"/>
              <w:spacing w:before="0" w:after="283"/>
              <w:jc w:val="right"/>
              <w:rPr/>
            </w:pPr>
            <w:r>
              <w:rPr/>
              <w:t>420,000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8" w:type="dxa"/>
            <w:tcBorders/>
            <w:shd w:fill="CCEEFF" w:val="clear"/>
            <w:tcMar>
              <w:bottom w:w="0" w:type="dxa"/>
            </w:tcMar>
            <w:vAlign w:val="center"/>
          </w:tcPr>
          <w:p>
            <w:pPr>
              <w:pStyle w:val="TableContents"/>
              <w:spacing w:before="0" w:after="283"/>
              <w:jc w:val="right"/>
              <w:rPr/>
            </w:pPr>
            <w:r>
              <w:rPr/>
              <w:t> </w:t>
            </w:r>
          </w:p>
        </w:tc>
        <w:tc>
          <w:tcPr>
            <w:tcW w:w="1314" w:type="dxa"/>
            <w:tcBorders/>
            <w:shd w:fill="CCEEFF" w:val="clear"/>
            <w:tcMar>
              <w:bottom w:w="0" w:type="dxa"/>
            </w:tcMar>
            <w:vAlign w:val="center"/>
          </w:tcPr>
          <w:p>
            <w:pPr>
              <w:pStyle w:val="TableContents"/>
              <w:spacing w:before="0" w:after="283"/>
              <w:jc w:val="right"/>
              <w:rPr/>
            </w:pPr>
            <w:r>
              <w:rPr/>
              <w:t>—</w:t>
            </w:r>
          </w:p>
        </w:tc>
        <w:tc>
          <w:tcPr>
            <w:tcW w:w="246"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79" w:type="dxa"/>
            <w:tcBorders/>
            <w:shd w:fill="CCEEFF" w:val="clear"/>
            <w:tcMar>
              <w:bottom w:w="0" w:type="dxa"/>
            </w:tcMar>
            <w:vAlign w:val="center"/>
          </w:tcPr>
          <w:p>
            <w:pPr>
              <w:pStyle w:val="TableContents"/>
              <w:spacing w:before="0" w:after="283"/>
              <w:jc w:val="right"/>
              <w:rPr/>
            </w:pPr>
            <w:r>
              <w:rPr/>
              <w:t> </w:t>
            </w:r>
          </w:p>
        </w:tc>
        <w:tc>
          <w:tcPr>
            <w:tcW w:w="1869"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811" w:type="dxa"/>
            <w:tcBorders/>
            <w:shd w:fill="CCEEFF" w:val="clear"/>
            <w:tcMar>
              <w:bottom w:w="0" w:type="dxa"/>
            </w:tcMar>
            <w:vAlign w:val="center"/>
          </w:tcPr>
          <w:p>
            <w:pPr>
              <w:pStyle w:val="TableContents"/>
              <w:spacing w:before="0" w:after="283"/>
              <w:jc w:val="right"/>
              <w:rPr/>
            </w:pPr>
            <w:r>
              <w:rPr/>
              <w:t>436,078</w:t>
            </w:r>
          </w:p>
        </w:tc>
        <w:tc>
          <w:tcPr>
            <w:tcW w:w="80" w:type="dxa"/>
            <w:tcBorders/>
            <w:shd w:fill="CCEEFF" w:val="clear"/>
            <w:tcMar>
              <w:bottom w:w="0" w:type="dxa"/>
            </w:tcMar>
            <w:vAlign w:val="center"/>
          </w:tcPr>
          <w:p>
            <w:pPr>
              <w:pStyle w:val="TableContents"/>
              <w:spacing w:before="0" w:after="283"/>
              <w:jc w:val="left"/>
              <w:rPr/>
            </w:pPr>
            <w:r>
              <w:rPr/>
              <w:t> </w:t>
            </w:r>
          </w:p>
        </w:tc>
      </w:tr>
      <w:tr>
        <w:trPr/>
        <w:tc>
          <w:tcPr>
            <w:tcW w:w="1896" w:type="dxa"/>
            <w:tcBorders/>
            <w:shd w:fill="FFFFFF" w:val="clear"/>
            <w:tcMar>
              <w:bottom w:w="0" w:type="dxa"/>
            </w:tcMar>
            <w:vAlign w:val="center"/>
          </w:tcPr>
          <w:p>
            <w:pPr>
              <w:pStyle w:val="TableContents"/>
              <w:spacing w:before="0" w:after="283"/>
              <w:jc w:val="left"/>
              <w:rPr/>
            </w:pPr>
            <w:r>
              <w:rPr/>
              <w:t>Luisa Ingargiola</w:t>
            </w:r>
          </w:p>
        </w:tc>
        <w:tc>
          <w:tcPr>
            <w:tcW w:w="60"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center"/>
          </w:tcPr>
          <w:p>
            <w:pPr>
              <w:pStyle w:val="TableContents"/>
              <w:spacing w:before="0" w:after="283"/>
              <w:jc w:val="right"/>
              <w:rPr/>
            </w:pPr>
            <w:r>
              <w:rPr/>
              <w:t> </w:t>
            </w:r>
          </w:p>
        </w:tc>
        <w:tc>
          <w:tcPr>
            <w:tcW w:w="1671" w:type="dxa"/>
            <w:tcBorders/>
            <w:shd w:fill="FFFFFF" w:val="clear"/>
            <w:tcMar>
              <w:bottom w:w="0" w:type="dxa"/>
            </w:tcMar>
            <w:vAlign w:val="center"/>
          </w:tcPr>
          <w:p>
            <w:pPr>
              <w:pStyle w:val="TableContents"/>
              <w:spacing w:before="0" w:after="283"/>
              <w:jc w:val="right"/>
              <w:rPr/>
            </w:pPr>
            <w:r>
              <w:rPr/>
              <w:t>23,089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4" w:type="dxa"/>
            <w:tcBorders/>
            <w:shd w:fill="FFFFFF" w:val="clear"/>
            <w:tcMar>
              <w:bottom w:w="0" w:type="dxa"/>
            </w:tcMar>
            <w:vAlign w:val="center"/>
          </w:tcPr>
          <w:p>
            <w:pPr>
              <w:pStyle w:val="TableContents"/>
              <w:spacing w:before="0" w:after="283"/>
              <w:jc w:val="left"/>
              <w:rPr/>
            </w:pPr>
            <w:r>
              <w:rPr/>
              <w:t> </w:t>
            </w:r>
          </w:p>
        </w:tc>
        <w:tc>
          <w:tcPr>
            <w:tcW w:w="1262" w:type="dxa"/>
            <w:tcBorders/>
            <w:shd w:fill="FFFFFF" w:val="clear"/>
            <w:tcMar>
              <w:bottom w:w="0" w:type="dxa"/>
            </w:tcMar>
            <w:vAlign w:val="center"/>
          </w:tcPr>
          <w:p>
            <w:pPr>
              <w:pStyle w:val="TableContents"/>
              <w:spacing w:before="0" w:after="283"/>
              <w:jc w:val="right"/>
              <w:rPr/>
            </w:pPr>
            <w:r>
              <w:rPr/>
              <w:t>420,000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8" w:type="dxa"/>
            <w:tcBorders/>
            <w:shd w:fill="FFFFFF" w:val="clear"/>
            <w:tcMar>
              <w:bottom w:w="0" w:type="dxa"/>
            </w:tcMar>
            <w:vAlign w:val="center"/>
          </w:tcPr>
          <w:p>
            <w:pPr>
              <w:pStyle w:val="TableContents"/>
              <w:spacing w:before="0" w:after="283"/>
              <w:jc w:val="right"/>
              <w:rPr/>
            </w:pPr>
            <w:r>
              <w:rPr/>
              <w:t> </w:t>
            </w:r>
          </w:p>
        </w:tc>
        <w:tc>
          <w:tcPr>
            <w:tcW w:w="1314" w:type="dxa"/>
            <w:tcBorders/>
            <w:shd w:fill="FFFFFF" w:val="clear"/>
            <w:tcMar>
              <w:bottom w:w="0" w:type="dxa"/>
            </w:tcMar>
            <w:vAlign w:val="center"/>
          </w:tcPr>
          <w:p>
            <w:pPr>
              <w:pStyle w:val="TableContents"/>
              <w:spacing w:before="0" w:after="283"/>
              <w:jc w:val="right"/>
              <w:rPr/>
            </w:pPr>
            <w:r>
              <w:rPr/>
              <w:t>—</w:t>
            </w:r>
          </w:p>
        </w:tc>
        <w:tc>
          <w:tcPr>
            <w:tcW w:w="246" w:type="dxa"/>
            <w:tcBorders/>
            <w:shd w:fill="FFFFFF" w:val="clear"/>
            <w:tcMar>
              <w:bottom w:w="0" w:type="dxa"/>
            </w:tcMar>
            <w:vAlign w:val="center"/>
          </w:tcPr>
          <w:p>
            <w:pPr>
              <w:pStyle w:val="TableContents"/>
              <w:spacing w:before="0" w:after="283"/>
              <w:jc w:val="left"/>
              <w:rPr/>
            </w:pPr>
            <w:r>
              <w:rPr/>
              <w:t>(2)</w:t>
            </w:r>
          </w:p>
        </w:tc>
        <w:tc>
          <w:tcPr>
            <w:tcW w:w="60" w:type="dxa"/>
            <w:tcBorders/>
            <w:shd w:fill="FFFFFF" w:val="clear"/>
            <w:tcMar>
              <w:bottom w:w="0" w:type="dxa"/>
            </w:tcMar>
            <w:vAlign w:val="center"/>
          </w:tcPr>
          <w:p>
            <w:pPr>
              <w:pStyle w:val="TableContents"/>
              <w:spacing w:before="0" w:after="283"/>
              <w:rPr/>
            </w:pPr>
            <w:r>
              <w:rPr/>
              <w:t> </w:t>
            </w:r>
          </w:p>
        </w:tc>
        <w:tc>
          <w:tcPr>
            <w:tcW w:w="179" w:type="dxa"/>
            <w:tcBorders/>
            <w:shd w:fill="FFFFFF" w:val="clear"/>
            <w:tcMar>
              <w:bottom w:w="0" w:type="dxa"/>
            </w:tcMar>
            <w:vAlign w:val="center"/>
          </w:tcPr>
          <w:p>
            <w:pPr>
              <w:pStyle w:val="TableContents"/>
              <w:spacing w:before="0" w:after="283"/>
              <w:jc w:val="right"/>
              <w:rPr/>
            </w:pPr>
            <w:r>
              <w:rPr/>
              <w:t> </w:t>
            </w:r>
          </w:p>
        </w:tc>
        <w:tc>
          <w:tcPr>
            <w:tcW w:w="1869"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11" w:type="dxa"/>
            <w:tcBorders/>
            <w:shd w:fill="FFFFFF" w:val="clear"/>
            <w:tcMar>
              <w:bottom w:w="0" w:type="dxa"/>
            </w:tcMar>
            <w:vAlign w:val="center"/>
          </w:tcPr>
          <w:p>
            <w:pPr>
              <w:pStyle w:val="TableContents"/>
              <w:spacing w:before="0" w:after="283"/>
              <w:jc w:val="right"/>
              <w:rPr/>
            </w:pPr>
            <w:r>
              <w:rPr/>
              <w:t>443,089</w:t>
            </w:r>
          </w:p>
        </w:tc>
        <w:tc>
          <w:tcPr>
            <w:tcW w:w="80" w:type="dxa"/>
            <w:tcBorders/>
            <w:shd w:fill="FFFFFF" w:val="clear"/>
            <w:tcMar>
              <w:bottom w:w="0" w:type="dxa"/>
            </w:tcMar>
            <w:vAlign w:val="center"/>
          </w:tcPr>
          <w:p>
            <w:pPr>
              <w:pStyle w:val="TableContents"/>
              <w:spacing w:before="0" w:after="283"/>
              <w:jc w:val="left"/>
              <w:rPr/>
            </w:pPr>
            <w:r>
              <w:rPr/>
              <w:t> </w:t>
            </w:r>
          </w:p>
        </w:tc>
      </w:tr>
      <w:tr>
        <w:trPr/>
        <w:tc>
          <w:tcPr>
            <w:tcW w:w="1896" w:type="dxa"/>
            <w:tcBorders/>
            <w:shd w:fill="CCEEFF" w:val="clear"/>
            <w:tcMar>
              <w:bottom w:w="0" w:type="dxa"/>
            </w:tcMar>
            <w:vAlign w:val="center"/>
          </w:tcPr>
          <w:p>
            <w:pPr>
              <w:pStyle w:val="TableContents"/>
              <w:spacing w:before="0" w:after="283"/>
              <w:jc w:val="left"/>
              <w:rPr/>
            </w:pPr>
            <w:r>
              <w:rPr/>
              <w:t>Brian Nelson</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right"/>
              <w:rPr/>
            </w:pPr>
            <w:r>
              <w:rPr/>
              <w:t> </w:t>
            </w:r>
          </w:p>
        </w:tc>
        <w:tc>
          <w:tcPr>
            <w:tcW w:w="1671" w:type="dxa"/>
            <w:tcBorders/>
            <w:shd w:fill="CCEEFF" w:val="clear"/>
            <w:tcMar>
              <w:bottom w:w="0" w:type="dxa"/>
            </w:tcMar>
            <w:vAlign w:val="center"/>
          </w:tcPr>
          <w:p>
            <w:pPr>
              <w:pStyle w:val="TableContents"/>
              <w:spacing w:before="0" w:after="283"/>
              <w:jc w:val="right"/>
              <w:rPr/>
            </w:pPr>
            <w:r>
              <w:rPr/>
              <w:t>17,247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4" w:type="dxa"/>
            <w:tcBorders/>
            <w:shd w:fill="CCEEFF" w:val="clear"/>
            <w:tcMar>
              <w:bottom w:w="0" w:type="dxa"/>
            </w:tcMar>
            <w:vAlign w:val="center"/>
          </w:tcPr>
          <w:p>
            <w:pPr>
              <w:pStyle w:val="TableContents"/>
              <w:spacing w:before="0" w:after="283"/>
              <w:jc w:val="left"/>
              <w:rPr/>
            </w:pPr>
            <w:r>
              <w:rPr/>
              <w:t> </w:t>
            </w:r>
          </w:p>
        </w:tc>
        <w:tc>
          <w:tcPr>
            <w:tcW w:w="1262" w:type="dxa"/>
            <w:tcBorders/>
            <w:shd w:fill="CCEEFF" w:val="clear"/>
            <w:tcMar>
              <w:bottom w:w="0" w:type="dxa"/>
            </w:tcMar>
            <w:vAlign w:val="center"/>
          </w:tcPr>
          <w:p>
            <w:pPr>
              <w:pStyle w:val="TableContents"/>
              <w:spacing w:before="0" w:after="283"/>
              <w:jc w:val="right"/>
              <w:rPr/>
            </w:pPr>
            <w:r>
              <w:rPr/>
              <w:t>420,000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98" w:type="dxa"/>
            <w:tcBorders/>
            <w:shd w:fill="CCEEFF" w:val="clear"/>
            <w:tcMar>
              <w:bottom w:w="0" w:type="dxa"/>
            </w:tcMar>
            <w:vAlign w:val="center"/>
          </w:tcPr>
          <w:p>
            <w:pPr>
              <w:pStyle w:val="TableContents"/>
              <w:spacing w:before="0" w:after="283"/>
              <w:jc w:val="right"/>
              <w:rPr/>
            </w:pPr>
            <w:r>
              <w:rPr/>
              <w:t> </w:t>
            </w:r>
          </w:p>
        </w:tc>
        <w:tc>
          <w:tcPr>
            <w:tcW w:w="1314" w:type="dxa"/>
            <w:tcBorders/>
            <w:shd w:fill="CCEEFF" w:val="clear"/>
            <w:tcMar>
              <w:bottom w:w="0" w:type="dxa"/>
            </w:tcMar>
            <w:vAlign w:val="center"/>
          </w:tcPr>
          <w:p>
            <w:pPr>
              <w:pStyle w:val="TableContents"/>
              <w:spacing w:before="0" w:after="283"/>
              <w:jc w:val="right"/>
              <w:rPr/>
            </w:pPr>
            <w:r>
              <w:rPr/>
              <w:t>245,401</w:t>
            </w:r>
          </w:p>
        </w:tc>
        <w:tc>
          <w:tcPr>
            <w:tcW w:w="246" w:type="dxa"/>
            <w:tcBorders/>
            <w:shd w:fill="CCEEFF" w:val="clear"/>
            <w:tcMar>
              <w:bottom w:w="0" w:type="dxa"/>
            </w:tcMar>
            <w:vAlign w:val="center"/>
          </w:tcPr>
          <w:p>
            <w:pPr>
              <w:pStyle w:val="TableContents"/>
              <w:spacing w:before="0" w:after="283"/>
              <w:jc w:val="left"/>
              <w:rPr/>
            </w:pPr>
            <w:r>
              <w:rPr/>
              <w:t>(3)</w:t>
            </w:r>
          </w:p>
        </w:tc>
        <w:tc>
          <w:tcPr>
            <w:tcW w:w="60" w:type="dxa"/>
            <w:tcBorders/>
            <w:shd w:fill="CCEEFF" w:val="clear"/>
            <w:tcMar>
              <w:bottom w:w="0" w:type="dxa"/>
            </w:tcMar>
            <w:vAlign w:val="center"/>
          </w:tcPr>
          <w:p>
            <w:pPr>
              <w:pStyle w:val="TableContents"/>
              <w:spacing w:before="0" w:after="283"/>
              <w:rPr/>
            </w:pPr>
            <w:r>
              <w:rPr/>
              <w:t> </w:t>
            </w:r>
          </w:p>
        </w:tc>
        <w:tc>
          <w:tcPr>
            <w:tcW w:w="179" w:type="dxa"/>
            <w:tcBorders/>
            <w:shd w:fill="CCEEFF" w:val="clear"/>
            <w:tcMar>
              <w:bottom w:w="0" w:type="dxa"/>
            </w:tcMar>
            <w:vAlign w:val="center"/>
          </w:tcPr>
          <w:p>
            <w:pPr>
              <w:pStyle w:val="TableContents"/>
              <w:spacing w:before="0" w:after="283"/>
              <w:jc w:val="right"/>
              <w:rPr/>
            </w:pPr>
            <w:r>
              <w:rPr/>
              <w:t> </w:t>
            </w:r>
          </w:p>
        </w:tc>
        <w:tc>
          <w:tcPr>
            <w:tcW w:w="1869" w:type="dxa"/>
            <w:tcBorders/>
            <w:shd w:fill="CCEEFF" w:val="clear"/>
            <w:tcMar>
              <w:bottom w:w="0" w:type="dxa"/>
            </w:tcMar>
            <w:vAlign w:val="center"/>
          </w:tcPr>
          <w:p>
            <w:pPr>
              <w:pStyle w:val="TableContents"/>
              <w:spacing w:before="0" w:after="283"/>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811" w:type="dxa"/>
            <w:tcBorders/>
            <w:shd w:fill="CCEEFF" w:val="clear"/>
            <w:tcMar>
              <w:bottom w:w="0" w:type="dxa"/>
            </w:tcMar>
            <w:vAlign w:val="center"/>
          </w:tcPr>
          <w:p>
            <w:pPr>
              <w:pStyle w:val="TableContents"/>
              <w:spacing w:before="0" w:after="283"/>
              <w:jc w:val="right"/>
              <w:rPr/>
            </w:pPr>
            <w:r>
              <w:rPr/>
              <w:t>682,648</w:t>
            </w:r>
          </w:p>
        </w:tc>
        <w:tc>
          <w:tcPr>
            <w:tcW w:w="80" w:type="dxa"/>
            <w:tcBorders/>
            <w:shd w:fill="CCEEFF" w:val="clear"/>
            <w:tcMar>
              <w:bottom w:w="0" w:type="dxa"/>
            </w:tcMar>
            <w:vAlign w:val="center"/>
          </w:tcPr>
          <w:p>
            <w:pPr>
              <w:pStyle w:val="TableContents"/>
              <w:spacing w:before="0" w:after="283"/>
              <w:jc w:val="left"/>
              <w:rPr/>
            </w:pPr>
            <w:r>
              <w:rPr/>
              <w:t> </w:t>
            </w:r>
          </w:p>
        </w:tc>
      </w:tr>
      <w:tr>
        <w:trPr/>
        <w:tc>
          <w:tcPr>
            <w:tcW w:w="1896" w:type="dxa"/>
            <w:tcBorders/>
            <w:shd w:fill="FFFFFF" w:val="clear"/>
            <w:tcMar>
              <w:bottom w:w="0" w:type="dxa"/>
            </w:tcMar>
            <w:vAlign w:val="center"/>
          </w:tcPr>
          <w:p>
            <w:pPr>
              <w:pStyle w:val="TableContents"/>
              <w:spacing w:before="0" w:after="283"/>
              <w:jc w:val="left"/>
              <w:rPr/>
            </w:pPr>
            <w:r>
              <w:rPr/>
              <w:t>Rick Parod</w:t>
            </w:r>
          </w:p>
        </w:tc>
        <w:tc>
          <w:tcPr>
            <w:tcW w:w="60"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center"/>
          </w:tcPr>
          <w:p>
            <w:pPr>
              <w:pStyle w:val="TableContents"/>
              <w:spacing w:before="0" w:after="283"/>
              <w:jc w:val="right"/>
              <w:rPr/>
            </w:pPr>
            <w:r>
              <w:rPr/>
              <w:t> </w:t>
            </w:r>
          </w:p>
        </w:tc>
        <w:tc>
          <w:tcPr>
            <w:tcW w:w="1671" w:type="dxa"/>
            <w:tcBorders/>
            <w:shd w:fill="FFFFFF" w:val="clear"/>
            <w:tcMar>
              <w:bottom w:w="0" w:type="dxa"/>
            </w:tcMar>
            <w:vAlign w:val="center"/>
          </w:tcPr>
          <w:p>
            <w:pPr>
              <w:pStyle w:val="TableContents"/>
              <w:spacing w:before="0" w:after="283"/>
              <w:jc w:val="right"/>
              <w:rPr/>
            </w:pPr>
            <w:r>
              <w:rPr/>
              <w:t>13,741</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4" w:type="dxa"/>
            <w:tcBorders/>
            <w:shd w:fill="FFFFFF" w:val="clear"/>
            <w:tcMar>
              <w:bottom w:w="0" w:type="dxa"/>
            </w:tcMar>
            <w:vAlign w:val="center"/>
          </w:tcPr>
          <w:p>
            <w:pPr>
              <w:pStyle w:val="TableContents"/>
              <w:spacing w:before="0" w:after="283"/>
              <w:jc w:val="left"/>
              <w:rPr/>
            </w:pPr>
            <w:r>
              <w:rPr/>
              <w:t> </w:t>
            </w:r>
          </w:p>
        </w:tc>
        <w:tc>
          <w:tcPr>
            <w:tcW w:w="1262" w:type="dxa"/>
            <w:tcBorders/>
            <w:shd w:fill="FFFFFF" w:val="clear"/>
            <w:tcMar>
              <w:bottom w:w="0" w:type="dxa"/>
            </w:tcMar>
            <w:vAlign w:val="center"/>
          </w:tcPr>
          <w:p>
            <w:pPr>
              <w:pStyle w:val="TableContents"/>
              <w:spacing w:before="0" w:after="283"/>
              <w:jc w:val="right"/>
              <w:rPr/>
            </w:pPr>
            <w:r>
              <w:rPr/>
              <w:t>420,000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98" w:type="dxa"/>
            <w:tcBorders/>
            <w:shd w:fill="FFFFFF" w:val="clear"/>
            <w:tcMar>
              <w:bottom w:w="0" w:type="dxa"/>
            </w:tcMar>
            <w:vAlign w:val="center"/>
          </w:tcPr>
          <w:p>
            <w:pPr>
              <w:pStyle w:val="TableContents"/>
              <w:spacing w:before="0" w:after="283"/>
              <w:jc w:val="right"/>
              <w:rPr/>
            </w:pPr>
            <w:r>
              <w:rPr/>
              <w:t> </w:t>
            </w:r>
          </w:p>
        </w:tc>
        <w:tc>
          <w:tcPr>
            <w:tcW w:w="1314" w:type="dxa"/>
            <w:tcBorders/>
            <w:shd w:fill="FFFFFF" w:val="clear"/>
            <w:tcMar>
              <w:bottom w:w="0" w:type="dxa"/>
            </w:tcMar>
            <w:vAlign w:val="center"/>
          </w:tcPr>
          <w:p>
            <w:pPr>
              <w:pStyle w:val="TableContents"/>
              <w:spacing w:before="0" w:after="283"/>
              <w:jc w:val="right"/>
              <w:rPr/>
            </w:pPr>
            <w:r>
              <w:rPr/>
              <w:t>—</w:t>
            </w:r>
          </w:p>
        </w:tc>
        <w:tc>
          <w:tcPr>
            <w:tcW w:w="246"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79" w:type="dxa"/>
            <w:tcBorders/>
            <w:shd w:fill="FFFFFF" w:val="clear"/>
            <w:tcMar>
              <w:bottom w:w="0" w:type="dxa"/>
            </w:tcMar>
            <w:vAlign w:val="center"/>
          </w:tcPr>
          <w:p>
            <w:pPr>
              <w:pStyle w:val="TableContents"/>
              <w:spacing w:before="0" w:after="283"/>
              <w:jc w:val="right"/>
              <w:rPr/>
            </w:pPr>
            <w:r>
              <w:rPr/>
              <w:t> </w:t>
            </w:r>
          </w:p>
        </w:tc>
        <w:tc>
          <w:tcPr>
            <w:tcW w:w="1869" w:type="dxa"/>
            <w:tcBorders/>
            <w:shd w:fill="FFFFFF" w:val="clear"/>
            <w:tcMar>
              <w:bottom w:w="0" w:type="dxa"/>
            </w:tcMar>
            <w:vAlign w:val="center"/>
          </w:tcPr>
          <w:p>
            <w:pPr>
              <w:pStyle w:val="TableContents"/>
              <w:spacing w:before="0" w:after="283"/>
              <w:jc w:val="right"/>
              <w:rPr/>
            </w:pPr>
            <w:r>
              <w:rPr/>
              <w:t>—</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jc w:val="left"/>
              <w:rPr/>
            </w:pPr>
            <w:r>
              <w:rPr/>
              <w:t> </w:t>
            </w:r>
          </w:p>
        </w:tc>
        <w:tc>
          <w:tcPr>
            <w:tcW w:w="811" w:type="dxa"/>
            <w:tcBorders/>
            <w:shd w:fill="FFFFFF" w:val="clear"/>
            <w:tcMar>
              <w:bottom w:w="0" w:type="dxa"/>
            </w:tcMar>
            <w:vAlign w:val="center"/>
          </w:tcPr>
          <w:p>
            <w:pPr>
              <w:pStyle w:val="TableContents"/>
              <w:spacing w:before="0" w:after="283"/>
              <w:jc w:val="right"/>
              <w:rPr/>
            </w:pPr>
            <w:r>
              <w:rPr/>
              <w:t>433,741</w:t>
            </w:r>
          </w:p>
        </w:tc>
        <w:tc>
          <w:tcPr>
            <w:tcW w:w="80" w:type="dxa"/>
            <w:tcBorders/>
            <w:shd w:fill="FFFFFF" w:val="clear"/>
            <w:tcMar>
              <w:bottom w:w="0" w:type="dxa"/>
            </w:tcMar>
            <w:vAlign w:val="center"/>
          </w:tcPr>
          <w:p>
            <w:pPr>
              <w:pStyle w:val="TableContents"/>
              <w:spacing w:before="0" w:after="283"/>
              <w:jc w:val="left"/>
              <w:rPr/>
            </w:pPr>
            <w:r>
              <w:rPr/>
              <w:t> </w:t>
            </w:r>
          </w:p>
        </w:tc>
      </w:tr>
    </w:tbl>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in our Annual Report. As of December 31, 2022, each Non-Employee Director held 30,000 unvested RSUs.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aggregate number of shares of common stock underlying stock options and unvested RSUs outstanding as of December 31, 2022 held by Ms. Ingargiola was 127,521.</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stock option awards to purchase 70,925 shares of our common stock were granted to Mr. Nelson on May 9, 2022 and vest in 36 equal monthly installments beginning on May 15, 2022.</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7" w:name="AR_004"/>
      <w:bookmarkEnd w:id="47"/>
      <w:r>
        <w:rPr>
          <w:rFonts w:ascii="Times New Roman;Times;Serif" w:hAnsi="Times New Roman;Times;Serif"/>
          <w:b/>
          <w:i w:val="false"/>
          <w:caps w:val="false"/>
          <w:smallCaps w:val="false"/>
          <w:sz w:val="20"/>
        </w:rPr>
        <w:t xml:space="preserve">ITEM 12. </w:t>
      </w:r>
      <w:r>
        <w:rPr>
          <w:rFonts w:ascii="Times New Roman;Times;Serif" w:hAnsi="Times New Roman;Times;Serif"/>
          <w:b/>
          <w:i w:val="false"/>
          <w:caps/>
          <w:sz w:val="20"/>
        </w:rPr>
        <w:t>Security Ownership of Certain Beneficial Owners and Management and Related Stockholder Matters.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April 17, 2023, with respect to the beneficial ownership of common stock by the following:</w:t>
      </w:r>
    </w:p>
    <w:p>
      <w:pPr>
        <w:pStyle w:val="TextBody"/>
        <w:shd w:fill="FFFFFF" w:val="clear"/>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person, or group of affiliated persons, known by us to beneficially own more than 5% of any class of our outstanding shares of common stock;</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beneficial ownership of the voting securities by our principal stockholders and management is based upon each person’s information using “beneficial ownership” concepts under the SEC rules. Under these rules, a person is deemed to be a beneficial owner of a security if that person has or shares voting power, which includes the power to vote or direct the voting of the security, or investment power, which includes the power to vote or direct the voting of the security. For purposes of computing the number and percentage of shares beneficially owned by a security holder, any shares which such person has the right to acquire within 60 days of April 17, 2023 (“</w:t>
      </w:r>
      <w:r>
        <w:rPr>
          <w:rFonts w:ascii="Times New Roman;Times;Serif" w:hAnsi="Times New Roman;Times;Serif"/>
          <w:b/>
          <w:i w:val="false"/>
          <w:caps w:val="false"/>
          <w:smallCaps w:val="false"/>
          <w:sz w:val="20"/>
        </w:rPr>
        <w:t>Presently Exercisable Securities</w:t>
      </w:r>
      <w:r>
        <w:rPr>
          <w:rFonts w:ascii="Times New Roman;Times;Serif" w:hAnsi="Times New Roman;Times;Serif"/>
          <w:b w:val="false"/>
          <w:i w:val="false"/>
          <w:caps w:val="false"/>
          <w:smallCaps w:val="false"/>
          <w:sz w:val="20"/>
        </w:rPr>
        <w:t>”), are deemed to be outstanding, but those shares are not deemed to be outstanding for the purpose of computing the percentage ownership of any other security holder.</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reflects 45,820,750 shares common stock outstanding as of April 17, 2023 plus any shares issuable upon exercise of Presently Exercisable Securities held by such person or entity.</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 rules, more than one person may be deemed to be a beneficial owner of the same securities and a person may be deemed to be a beneficial owner of securities as to which he or she may not have any pecuniary beneficial interest. Except as noted below, ownership consists of sole ownership, voting and investment rights, and the address for each stockholder listed is c/o 1190 Trademark Drive, #108, Reno, Nevada 89521.</w:t>
      </w:r>
    </w:p>
    <w:p>
      <w:pPr>
        <w:pStyle w:val="TextBody"/>
        <w:shd w:fill="FFFFFF" w:val="clear"/>
        <w:spacing w:before="0" w:after="0"/>
        <w:ind w:left="0" w:right="0" w:firstLine="720"/>
        <w:jc w:val="both"/>
        <w:rPr>
          <w:caps w:val="false"/>
          <w:smallCaps w:val="false"/>
        </w:rPr>
      </w:pPr>
      <w:r>
        <w:rPr>
          <w:caps w:val="false"/>
          <w:smallCaps w:val="false"/>
        </w:rPr>
        <w:t> </w:t>
      </w:r>
    </w:p>
    <w:tbl>
      <w:tblPr>
        <w:tblW w:w="7053" w:type="dxa"/>
        <w:jc w:val="left"/>
        <w:tblInd w:w="0" w:type="dxa"/>
        <w:tblCellMar>
          <w:top w:w="0" w:type="dxa"/>
          <w:left w:w="0" w:type="dxa"/>
          <w:bottom w:w="28" w:type="dxa"/>
          <w:right w:w="0" w:type="dxa"/>
        </w:tblCellMar>
      </w:tblPr>
      <w:tblGrid>
        <w:gridCol w:w="4940"/>
        <w:gridCol w:w="60"/>
        <w:gridCol w:w="62"/>
        <w:gridCol w:w="992"/>
        <w:gridCol w:w="60"/>
        <w:gridCol w:w="60"/>
        <w:gridCol w:w="74"/>
        <w:gridCol w:w="605"/>
        <w:gridCol w:w="200"/>
      </w:tblGrid>
      <w:tr>
        <w:trPr/>
        <w:tc>
          <w:tcPr>
            <w:tcW w:w="4940"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54"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and</w:t>
              <w:br/>
              <w:t>Nature of</w:t>
              <w:br/>
              <w:t>Beneficial</w:t>
              <w:br/>
              <w:t>Ownership</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7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br/>
              <w:t>of Class</w:t>
            </w:r>
          </w:p>
        </w:tc>
        <w:tc>
          <w:tcPr>
            <w:tcW w:w="20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 Holders: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Dynavolt Technology (HK) Ltd.</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11,820,900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25.80</w:t>
            </w:r>
          </w:p>
        </w:tc>
        <w:tc>
          <w:tcPr>
            <w:tcW w:w="20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NexTech Investments 2 LLC</w:t>
            </w:r>
            <w:r>
              <w:rPr>
                <w:rFonts w:ascii="Times New Roman;Times;Serif" w:hAnsi="Times New Roman;Times;Serif"/>
                <w:b w:val="false"/>
                <w:i w:val="false"/>
                <w:caps w:val="false"/>
                <w:smallCaps w:val="false"/>
                <w:position w:val="7"/>
                <w:sz w:val="16"/>
                <w:sz w:val="20"/>
              </w:rPr>
              <w:t>(2)(3)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Jonas Grossman</w:t>
            </w:r>
            <w:r>
              <w:rPr>
                <w:rFonts w:ascii="Times New Roman;Times;Serif" w:hAnsi="Times New Roman;Times;Serif"/>
                <w:b w:val="false"/>
                <w:i w:val="false"/>
                <w:caps w:val="false"/>
                <w:smallCaps w:val="false"/>
                <w:position w:val="7"/>
                <w:sz w:val="16"/>
                <w:sz w:val="20"/>
              </w:rPr>
              <w:t>(2)(3)(4)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3,469,500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20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Gong</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3,073,434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FFFFFF"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Named Executive Officers and Directors: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20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Denis Phares</w:t>
            </w:r>
            <w:r>
              <w:rPr>
                <w:rFonts w:ascii="Times New Roman;Times;Serif" w:hAnsi="Times New Roman;Times;Serif"/>
                <w:b w:val="false"/>
                <w:i w:val="false"/>
                <w:caps w:val="false"/>
                <w:smallCaps w:val="false"/>
                <w:position w:val="7"/>
                <w:sz w:val="16"/>
                <w:sz w:val="20"/>
              </w:rPr>
              <w:t>(6)(7)</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16,251,136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w:t>
            </w:r>
          </w:p>
        </w:tc>
        <w:tc>
          <w:tcPr>
            <w:tcW w:w="20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Nichols</w:t>
            </w:r>
            <w:r>
              <w:rPr>
                <w:rFonts w:ascii="Times New Roman;Times;Serif" w:hAnsi="Times New Roman;Times;Serif"/>
                <w:b w:val="false"/>
                <w:i w:val="false"/>
                <w:caps w:val="false"/>
                <w:smallCaps w:val="false"/>
                <w:position w:val="7"/>
                <w:sz w:val="16"/>
                <w:sz w:val="20"/>
              </w:rPr>
              <w:t>(6)(8)</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3,735,999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Nicole Harvey</w:t>
            </w:r>
            <w:r>
              <w:rPr>
                <w:rFonts w:ascii="Times New Roman;Times;Serif" w:hAnsi="Times New Roman;Times;Serif"/>
                <w:b w:val="false"/>
                <w:i w:val="false"/>
                <w:caps w:val="false"/>
                <w:smallCaps w:val="false"/>
                <w:position w:val="7"/>
                <w:sz w:val="16"/>
                <w:sz w:val="20"/>
              </w:rPr>
              <w:t>(9)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141,809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r>
              <w:rPr>
                <w:rFonts w:ascii="Times New Roman;Times;Serif" w:hAnsi="Times New Roman;Times;Serif"/>
                <w:b w:val="false"/>
                <w:i w:val="false"/>
                <w:caps w:val="false"/>
                <w:smallCaps w:val="false"/>
                <w:position w:val="7"/>
                <w:sz w:val="16"/>
                <w:sz w:val="20"/>
              </w:rPr>
              <w:t>(10)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Tyler Bourns </w:t>
            </w:r>
            <w:r>
              <w:rPr>
                <w:rFonts w:ascii="Times New Roman;Times;Serif" w:hAnsi="Times New Roman;Times;Serif"/>
                <w:b w:val="false"/>
                <w:i w:val="false"/>
                <w:caps w:val="false"/>
                <w:smallCaps w:val="false"/>
                <w:position w:val="7"/>
                <w:sz w:val="16"/>
                <w:sz w:val="20"/>
              </w:rPr>
              <w:t>(11)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58,512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r>
              <w:rPr>
                <w:rFonts w:ascii="Times New Roman;Times;Serif" w:hAnsi="Times New Roman;Times;Serif"/>
                <w:b w:val="false"/>
                <w:i w:val="false"/>
                <w:caps w:val="false"/>
                <w:smallCaps w:val="false"/>
                <w:position w:val="7"/>
                <w:sz w:val="16"/>
                <w:sz w:val="20"/>
              </w:rPr>
              <w:t>(12)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59,598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r>
              <w:rPr>
                <w:rFonts w:ascii="Times New Roman;Times;Serif" w:hAnsi="Times New Roman;Times;Serif"/>
                <w:b w:val="false"/>
                <w:i w:val="false"/>
                <w:caps w:val="false"/>
                <w:smallCaps w:val="false"/>
                <w:position w:val="7"/>
                <w:sz w:val="16"/>
                <w:sz w:val="20"/>
              </w:rPr>
              <w:t>(13)</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27,594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4940" w:type="dxa"/>
            <w:tcBorders/>
            <w:shd w:fill="CCEEFF" w:val="clear"/>
            <w:tcMar>
              <w:bottom w:w="0" w:type="dxa"/>
            </w:tcMar>
            <w:vAlign w:val="center"/>
          </w:tcPr>
          <w:p>
            <w:pPr>
              <w:pStyle w:val="TableContents"/>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Executive Officers and Directors as a group (9 persons):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20,344,401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44.40</w:t>
            </w:r>
          </w:p>
        </w:tc>
        <w:tc>
          <w:tcPr>
            <w:tcW w:w="20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Less than one percent.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w:t>
            </w:r>
            <w:r>
              <w:rPr>
                <w:rFonts w:ascii="Times New Roman;Times;Serif" w:hAnsi="Times New Roman;Times;Serif"/>
                <w:b/>
                <w:i w:val="false"/>
                <w:caps w:val="false"/>
                <w:smallCaps w:val="false"/>
                <w:sz w:val="20"/>
              </w:rPr>
              <w:t>Dynavolt</w:t>
            </w:r>
            <w:r>
              <w:rPr>
                <w:rFonts w:ascii="Times New Roman;Times;Serif" w:hAnsi="Times New Roman;Times;Serif"/>
                <w:b w:val="false"/>
                <w:i w:val="false"/>
                <w:caps w:val="false"/>
                <w:smallCaps w:val="false"/>
                <w:sz w:val="20"/>
              </w:rPr>
              <w:t>”) on October 12, 2022. The business address of Dynavolt is Flat/Room 02-03 26/F, Bea Tower Millennium City 5, 418 Kwun Tong Road, Kwun Tong, Hong Kong.</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joint Schedule 13D/A filed by Sponsor and Jonas Grossman on January 9, 2023. Mr. Grossman is the managing member of the Sponsor and the President and managing partner of CCM, an affiliate of the Sponsor. As such, Mr. Grossman may be deemed to have beneficial ownership of the 3,030,500 shares of common stock held directly by Chardan. Mr. Grossman disclaims any beneficial ownership of the reported shares other than to the extent of any pecuniary interest he may have therein, directly or indirectly. </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15,000 shares issued to CCM.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Sponsor, CCM, and Mr. Grossman is 17 State Street, 21st Floor, New York, NY 10004. CCM, an affiliate of the Sponsor and Warrant Holdings, is a broker-dealer and a member of the Financial Industry Regulatory Authority, Inc.</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439,000 private warrants issuable upon exercise of outstanding warrants within 60 days of the Record Date. Excludes 1,062,386 private warrants, which Warrant Holdings LLC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exercise of outstanding stock options exercisable within 60 days of April 17, 2023. The business address of Mr. Gong is 930 Tahoe Blvd. Suite 802, PMB 860, Incline Village, Nevada 89451.</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shares of common stock not yet payable as the earnout contingencies have not yet been met and will not be met within 60 days of April 17, 2023.</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147,760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55,188 shares of common stock issuable upon exercise of outstanding stock options exercisable within 60 days of April 17, 2023. On April 26, 2023, Ms. Harvey’s employment with us ended. </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103,439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19,953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59,598 shares of common stock issuable upon exercise of outstanding stock options exercisable within 60 days of April 17, 2023.</w:t>
            </w:r>
          </w:p>
        </w:tc>
      </w:tr>
      <w:tr>
        <w:trPr/>
        <w:tc>
          <w:tcPr>
            <w:tcW w:w="31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8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3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27,594 shares of common stock issuable upon exercise of outstanding stock options exercisable within 60 days of April 17, 2023.</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our Board and stockholders adopted the 2022 Plan, which provides for the grant of incentive stock options and non-qualified stock options to purchase shares of our common stock and other types of awards, as well as the Dragonfly Energy Holdings Corp.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2022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 By means of the 2021 Plan, we seek to retain the services of such eligible persons and to provide incentives for such persons to exert maximum efforts for our success and the success of our subsidiaries.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purpose of the ESPP is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Business Combination, our Board and stockholders approved the adoption of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in connection with the consummation of the Business Combination.</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our common stock authorized for issuance under our equity compensation plans as of December 31, 2022.</w:t>
      </w:r>
    </w:p>
    <w:p>
      <w:pPr>
        <w:pStyle w:val="TextBody"/>
        <w:shd w:fill="FFFFFF" w:val="clear"/>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33"/>
        <w:gridCol w:w="60"/>
        <w:gridCol w:w="140"/>
        <w:gridCol w:w="2011"/>
        <w:gridCol w:w="60"/>
        <w:gridCol w:w="60"/>
        <w:gridCol w:w="599"/>
        <w:gridCol w:w="1822"/>
        <w:gridCol w:w="60"/>
        <w:gridCol w:w="60"/>
        <w:gridCol w:w="224"/>
        <w:gridCol w:w="3198"/>
        <w:gridCol w:w="78"/>
      </w:tblGrid>
      <w:tr>
        <w:trPr/>
        <w:tc>
          <w:tcPr>
            <w:tcW w:w="1833"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51"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to be issued upon exercise of outstanding options, warrants and rights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21"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exercise price of outstanding options, warrants and rights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22"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remaining available for future issuances under equity compensation plans under equity compensation (excluding) securities reflected in column (a)</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33"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 Category</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5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2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42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(c)(2)</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33" w:type="dxa"/>
            <w:tcBorders/>
            <w:shd w:fill="CCEEFF" w:val="clear"/>
            <w:vAlign w:val="center"/>
          </w:tcPr>
          <w:p>
            <w:pPr>
              <w:pStyle w:val="TableContents"/>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 compensation plans approved by security holders </w:t>
            </w:r>
            <w:r>
              <w:rPr>
                <w:rFonts w:ascii="Times New Roman;Times;Serif" w:hAnsi="Times New Roman;Times;Serif"/>
                <w:b w:val="false"/>
                <w:i/>
                <w:caps w:val="false"/>
                <w:smallCaps w:val="false"/>
                <w:position w:val="7"/>
                <w:sz w:val="16"/>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0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3,941,632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9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2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19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1,058,368</w:t>
            </w:r>
          </w:p>
        </w:tc>
        <w:tc>
          <w:tcPr>
            <w:tcW w:w="78"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833"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011"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9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82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19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833" w:type="dxa"/>
            <w:tcBorders/>
            <w:shd w:fill="CCEEFF" w:val="clear"/>
            <w:vAlign w:val="center"/>
          </w:tcPr>
          <w:p>
            <w:pPr>
              <w:pStyle w:val="TableContents"/>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 plans not approved by security holders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011"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9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22"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198"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78"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833"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011"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9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22"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4"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198"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833" w:type="dxa"/>
            <w:tcBorders/>
            <w:shd w:fill="CCEEFF" w:val="clear"/>
            <w:vAlign w:val="center"/>
          </w:tcPr>
          <w:p>
            <w:pPr>
              <w:pStyle w:val="TableContents"/>
              <w:spacing w:before="0" w:after="283"/>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01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3,941,632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99"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2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4"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19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1,058,368</w:t>
            </w:r>
          </w:p>
        </w:tc>
        <w:tc>
          <w:tcPr>
            <w:tcW w:w="78"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shown in this row include securities under the 2022 Plan, 2021 Plan and 2019 Plan and the ESPP.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accordance with the “evergreen” provision in the 2022 Plan, an additional 1,730,909 shares were automatically made available for issuance on the first trading day of 2023, which represents an amount equal 4% of the number of shares outstanding on December 31, 2022. In accordance with the “evergreen” provision in the ESPP, an additional 432,727 shares were automatically made available for issuance on the first trading day of 2023, which represents an amount equal to one percent 1% of the number of shares of common stock issued and outstanding on December 31, 2022. The shares made available pursuant to the “evergreen” provisions are excluded from this calculation.</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48" w:name="AR_005"/>
      <w:bookmarkEnd w:id="48"/>
      <w:r>
        <w:rPr>
          <w:rFonts w:ascii="Times New Roman;Times;Serif" w:hAnsi="Times New Roman;Times;Serif"/>
          <w:b/>
          <w:i w:val="false"/>
          <w:caps/>
          <w:sz w:val="20"/>
        </w:rPr>
        <w:t>ITEM 13. Certain Relationships and Related Transactions, and Director Independence.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which are described in the section entitled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we have had the following transactions or series of similar transactions, since January 1, 2021, to which we were a party or will be a party, in which:</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caps w:val="false"/>
                <w:smallCaps w:val="false"/>
              </w:rPr>
            </w:pPr>
            <w:r>
              <w:rPr>
                <w:caps w:val="false"/>
                <w:smallCaps w:val="false"/>
              </w:rPr>
              <w:t>●</w:t>
            </w:r>
          </w:p>
        </w:tc>
        <w:tc>
          <w:tcPr>
            <w:tcW w:w="9997"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r>
        <w:trPr/>
        <w:tc>
          <w:tcPr>
            <w:tcW w:w="38"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caps w:val="false"/>
                <w:smallCaps w:val="false"/>
              </w:rPr>
            </w:pPr>
            <w:r>
              <w:rPr>
                <w:caps w:val="false"/>
                <w:smallCaps w:val="false"/>
              </w:rPr>
              <w:t>●</w:t>
            </w:r>
          </w:p>
        </w:tc>
        <w:tc>
          <w:tcPr>
            <w:tcW w:w="9997"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shd w:fill="FFFFFF" w:val="clear"/>
        <w:spacing w:before="0" w:after="0"/>
        <w:ind w:left="144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Directors and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 with John Marchetti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Separation Agreement with Sean Nichols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 with Brian Nelson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unsecured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pStyle w:val="TextBody"/>
        <w:shd w:fill="FFFFFF" w:val="clear"/>
        <w:spacing w:before="0" w:after="0"/>
        <w:ind w:left="0" w:right="0" w:firstLine="47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Articles of Incorporation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and our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shd w:fill="FFFFFF" w:val="clear"/>
        <w:spacing w:before="0" w:after="0"/>
        <w:ind w:left="0" w:right="0" w:firstLine="47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spacing w:before="0" w:after="0"/>
        <w:ind w:left="0" w:right="0" w:firstLine="47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that certain agreement and plan of merger entered into on October 7, 2022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by and between us and Chardan and Chardan NexTech Investments 2 LLC (or an affiliate thereof if assigned pursuant to the Subscription Agreement,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but does not purport to describe all of the terms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Registration Rights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CNTQ, the Sponsor and certain other CNTQ shareholders parties thereto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Legacy Dragonfly, and certain Legacy Dragonfly stockholders entered into an Amended and Restated Registration Rights Agreement (the “</w:t>
      </w:r>
      <w:r>
        <w:rPr>
          <w:rFonts w:ascii="Times New Roman;Times;Serif" w:hAnsi="Times New Roman;Times;Serif"/>
          <w:b/>
          <w:i w:val="false"/>
          <w:caps w:val="false"/>
          <w:smallCaps w:val="false"/>
          <w:sz w:val="20"/>
        </w:rPr>
        <w:t>Amended Registration Rights Agreement</w:t>
      </w:r>
      <w:r>
        <w:rPr>
          <w:rFonts w:ascii="Times New Roman;Times;Serif" w:hAnsi="Times New Roman;Times;Serif"/>
          <w:b w:val="false"/>
          <w:i w:val="false"/>
          <w:caps w:val="false"/>
          <w:smallCaps w:val="false"/>
          <w:sz w:val="20"/>
        </w:rPr>
        <w:t>”). Pursuant to the Amended Registration Rights Agreement, the Insiders and the undersigned parties listed thereto were provided the right to demand registrations, piggy-back registrations and shelf registrations with respect to Registrable Securities (as defined in the Amended Registration Rights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(the “</w:t>
      </w:r>
      <w:r>
        <w:rPr>
          <w:rFonts w:ascii="Times New Roman;Times;Serif" w:hAnsi="Times New Roman;Times;Serif"/>
          <w:b/>
          <w:i w:val="false"/>
          <w:caps w:val="false"/>
          <w:smallCaps w:val="false"/>
          <w:sz w:val="20"/>
        </w:rPr>
        <w:t xml:space="preserve">Subscription </w:t>
      </w:r>
      <w:r>
        <w:rPr>
          <w:rFonts w:ascii="Times New Roman;Times;Serif" w:hAnsi="Times New Roman;Times;Serif"/>
          <w:b w:val="false"/>
          <w:i w:val="false"/>
          <w:caps w:val="false"/>
          <w:smallCaps w:val="false"/>
          <w:sz w:val="20"/>
        </w:rPr>
        <w:t>Agreement”) by and between Chardan and the Sponsor, the Sponsor agreed to purchase, and Chardan agreed to sell to the Sponsor, an aggregate of 500,000 shares of CNTQ common stock (“</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for gross proceeds Chardan to Chardan of $5 million in a private placement. On September 28, 2022, the Sponsor and Chardan Capital Markets LLC, a New York limited liability company (“</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entered into an assignment, assumption and joinder agreement, pursuant to which the Sponsor assigned all of the Sponsor’s rights, benefits and obligations under the Subscription Agreement to CCM.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Financing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dated May 15, 2022 by and between Chardan and Legacy Dragonfly, CCM Investments 5 LLC, an affiliate of CCM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w:t>
      </w:r>
      <w:r>
        <w:rPr>
          <w:rFonts w:ascii="Times New Roman;Times;Serif" w:hAnsi="Times New Roman;Times;Serif"/>
          <w:b/>
          <w:i w:val="false"/>
          <w:caps w:val="false"/>
          <w:smallCaps w:val="false"/>
          <w:sz w:val="20"/>
        </w:rPr>
        <w:t>Chardan Lender</w:t>
      </w:r>
      <w:r>
        <w:rPr>
          <w:rFonts w:ascii="Times New Roman;Times;Serif" w:hAnsi="Times New Roman;Times;Serif"/>
          <w:b w:val="false"/>
          <w:i w:val="false"/>
          <w:caps w:val="false"/>
          <w:smallCaps w:val="false"/>
          <w:sz w:val="20"/>
        </w:rPr>
        <w:t>”),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“Initial Term Loan Lenders”), in connection with the Closing, Chardan, Legacy Dragonfly and the Initial Term Loan Lenders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Chardan Lender backstopped its commitment under the Debt Commitment Letter by entering into a backstop commitment letter, dated as of May 20, 2022 (the “</w:t>
      </w:r>
      <w:r>
        <w:rPr>
          <w:rFonts w:ascii="Times New Roman;Times;Serif" w:hAnsi="Times New Roman;Times;Serif"/>
          <w:b/>
          <w:i w:val="false"/>
          <w:caps w:val="false"/>
          <w:smallCaps w:val="false"/>
          <w:sz w:val="20"/>
        </w:rPr>
        <w:t>Backstop Commitment Letter</w:t>
      </w:r>
      <w:r>
        <w:rPr>
          <w:rFonts w:ascii="Times New Roman;Times;Serif" w:hAnsi="Times New Roman;Times;Serif"/>
          <w:b w:val="false"/>
          <w:i w:val="false"/>
          <w:caps w:val="false"/>
          <w:smallCaps w:val="false"/>
          <w:sz w:val="20"/>
        </w:rPr>
        <w:t>”)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Term Loan amortizes in the amount of 5% per annum beginning 24 months after the Closing Date and matures on the fourth anniversary of the Closing Date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will be no less than 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from time to time as guarantors. In addition, we entered into a pledge agreement pursuant to which we pledged to Alter Domus (US) LLC, as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our equity interests in Legacy Dragonfly as further collateral security for the obligations under the Term Loan Agreement (the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and (ii) warrants to the Term Loan Lenders under the Term Loan exercisable to purchase 1,600,000 shares of our common stock at an exercise price of $10.00 per share (the “</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and, together with the Penny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ChEF Equity Facility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we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(the “</w:t>
      </w:r>
      <w:r>
        <w:rPr>
          <w:rFonts w:ascii="Times New Roman;Times;Serif" w:hAnsi="Times New Roman;Times;Serif"/>
          <w:b/>
          <w:i w:val="false"/>
          <w:caps w:val="false"/>
          <w:smallCaps w:val="false"/>
          <w:sz w:val="20"/>
        </w:rPr>
        <w:t>ChEF RRA</w:t>
      </w:r>
      <w:r>
        <w:rPr>
          <w:rFonts w:ascii="Times New Roman;Times;Serif" w:hAnsi="Times New Roman;Times;Serif"/>
          <w:b w:val="false"/>
          <w:i w:val="false"/>
          <w:caps w:val="false"/>
          <w:smallCaps w:val="false"/>
          <w:sz w:val="20"/>
        </w:rPr>
        <w:t>”) with CCM in connection with the Closing. In addition, we appointed LifeSci Capital, LLC as “qualified independent underwriter” with respect to the transactions contemplated by the Purchase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April 17, 2023, we have sold 98,500 shares under the ChEF Equity Facility for aggregate net proceeds to us of $670,593.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spacing w:before="0" w:after="0"/>
        <w:ind w:left="0" w:right="0" w:hanging="36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by our audit committee.</w:t>
      </w:r>
    </w:p>
    <w:p>
      <w:pPr>
        <w:pStyle w:val="TextBody"/>
        <w:shd w:fill="FFFFFF" w:val="clear"/>
        <w:spacing w:before="0" w:after="0"/>
        <w:ind w:left="0" w:right="0" w:firstLine="47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firstLine="4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Rick Parod, Perry Boyle, Jonathan Bellows, Karina Montilla Edmonds, Brian Nelson, and Luisa Ingargiola are an “independent directors” as such term is defined under the applicable rules of Nasdaq.</w:t>
      </w:r>
    </w:p>
    <w:p>
      <w:pPr>
        <w:pStyle w:val="TextBody"/>
        <w:shd w:fill="FFFFFF" w:val="clear"/>
        <w:spacing w:before="0" w:after="0"/>
        <w:ind w:left="0" w:right="0" w:firstLine="470"/>
        <w:jc w:val="both"/>
        <w:rPr>
          <w:caps w:val="false"/>
          <w:smallCaps w:val="false"/>
        </w:rPr>
      </w:pPr>
      <w:r>
        <w:rPr>
          <w:caps w:val="false"/>
          <w:smallCaps w:val="false"/>
        </w:rPr>
        <w:t> </w:t>
      </w:r>
    </w:p>
    <w:p>
      <w:pPr>
        <w:pStyle w:val="TextBody"/>
        <w:shd w:fill="FFFFFF" w:val="clear"/>
        <w:spacing w:before="0" w:after="0"/>
        <w:ind w:left="0" w:right="0" w:firstLine="4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Our Board of Directors has determined that Ms. Ingargiola is an “audit committee financial expert,” as defined under the applicable rules of the SEC, and that all members of the Audit Committee are “independent” within the meaning of the applicable Nasdaq rule and the independence standards of Rule 10A-3 of the Exchange Act. Each of the members of the Audit Committee meets the requirements for financial literacy under the applicable rules and regulations of the SEC and Nasdaq.</w:t>
      </w:r>
    </w:p>
    <w:p>
      <w:pPr>
        <w:pStyle w:val="TextBody"/>
        <w:shd w:fill="FFFFFF" w:val="clear"/>
        <w:spacing w:before="0" w:after="0"/>
        <w:ind w:left="0" w:right="0" w:firstLine="47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bookmarkStart w:id="49" w:name="AR_006"/>
      <w:bookmarkEnd w:id="49"/>
      <w:r>
        <w:rPr>
          <w:rFonts w:ascii="Times New Roman;Times;Serif" w:hAnsi="Times New Roman;Times;Serif"/>
          <w:b/>
          <w:i w:val="false"/>
          <w:caps/>
          <w:sz w:val="20"/>
        </w:rPr>
        <w:t>ITEM 14. Principal Accountant Fees and Servicers.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Fees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billed to us by our principal accountants, BDO USA LLP, for professional services rendered during the twelve months ended December 31, 2022, and 2021, are set forth in the table below:</w:t>
      </w:r>
    </w:p>
    <w:p>
      <w:pPr>
        <w:pStyle w:val="TextBody"/>
        <w:shd w:fill="FFFFFF" w:val="clear"/>
        <w:spacing w:before="0" w:after="0"/>
        <w:ind w:left="0" w:right="0" w:firstLine="720"/>
        <w:jc w:val="both"/>
        <w:rPr>
          <w:caps w:val="false"/>
          <w:smallCaps w:val="false"/>
        </w:rPr>
      </w:pPr>
      <w:r>
        <w:rPr>
          <w:caps w:val="false"/>
          <w:smallCaps w:val="false"/>
        </w:rPr>
        <w:t> </w:t>
      </w:r>
    </w:p>
    <w:tbl>
      <w:tblPr>
        <w:tblW w:w="5608" w:type="dxa"/>
        <w:jc w:val="left"/>
        <w:tblInd w:w="0" w:type="dxa"/>
        <w:tblCellMar>
          <w:top w:w="0" w:type="dxa"/>
          <w:left w:w="0" w:type="dxa"/>
          <w:bottom w:w="28" w:type="dxa"/>
          <w:right w:w="0" w:type="dxa"/>
        </w:tblCellMar>
      </w:tblPr>
      <w:tblGrid>
        <w:gridCol w:w="1745"/>
        <w:gridCol w:w="60"/>
        <w:gridCol w:w="232"/>
        <w:gridCol w:w="1572"/>
        <w:gridCol w:w="60"/>
        <w:gridCol w:w="60"/>
        <w:gridCol w:w="274"/>
        <w:gridCol w:w="1530"/>
        <w:gridCol w:w="75"/>
      </w:tblGrid>
      <w:tr>
        <w:trPr/>
        <w:tc>
          <w:tcPr>
            <w:tcW w:w="1745"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Category</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04" w:type="dxa"/>
            <w:gridSpan w:val="2"/>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Twelve months ended</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04" w:type="dxa"/>
            <w:gridSpan w:val="2"/>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Twelve months ended</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2021</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74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1,277,189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379,060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4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(2)</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3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7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0"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4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7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53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4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(4)</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32"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572" w:type="dxa"/>
            <w:tcBorders>
              <w:bottom w:val="single" w:sz="12" w:space="0" w:color="000000"/>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74"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530" w:type="dxa"/>
            <w:tcBorders>
              <w:bottom w:val="single" w:sz="12" w:space="0" w:color="000000"/>
            </w:tcBorders>
            <w:shd w:fill="FFFFFF" w:val="cle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74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32"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2"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1,277,189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74" w:type="dxa"/>
            <w:tcBorders>
              <w:bottom w:val="double" w:sz="6"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0"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379,060</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221"/>
        <w:gridCol w:w="9984"/>
      </w:tblGrid>
      <w:tr>
        <w:trPr/>
        <w:tc>
          <w:tcPr>
            <w:tcW w:w="221"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tc>
      </w:tr>
      <w:tr>
        <w:trPr/>
        <w:tc>
          <w:tcPr>
            <w:tcW w:w="221"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professional services that are reasonably related to the performance of the audit or review of our financial statements but are not reported under “Audit fees.”</w:t>
            </w:r>
          </w:p>
        </w:tc>
      </w:tr>
      <w:tr>
        <w:trPr/>
        <w:tc>
          <w:tcPr>
            <w:tcW w:w="221"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billed for professional services relating to tax compliance, tax planning, and tax advice.</w:t>
            </w:r>
          </w:p>
        </w:tc>
      </w:tr>
      <w:tr>
        <w:trPr/>
        <w:tc>
          <w:tcPr>
            <w:tcW w:w="221" w:type="dxa"/>
            <w:tcBorders/>
            <w:shd w:fill="FFFFFF" w:val="clear"/>
            <w:vAlign w:val="center"/>
          </w:tcPr>
          <w:p>
            <w:pPr>
              <w:pStyle w:val="TableContents"/>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consist of fees billed for services not associated with audit or tax.</w:t>
            </w:r>
          </w:p>
        </w:tc>
      </w:tr>
    </w:tbl>
    <w:p>
      <w:pPr>
        <w:pStyle w:val="TextBody"/>
        <w:shd w:fill="FFFFFF" w:val="clear"/>
        <w:spacing w:before="0" w:after="0"/>
        <w:ind w:left="80" w:right="0" w:hanging="0"/>
        <w:jc w:val="both"/>
        <w:rPr>
          <w:caps w:val="false"/>
          <w:smallCaps w:val="false"/>
        </w:rPr>
      </w:pPr>
      <w:r>
        <w:rPr>
          <w:caps w:val="false"/>
          <w:smallCaps w:val="false"/>
        </w:rPr>
        <w:t> </w:t>
      </w:r>
    </w:p>
    <w:p>
      <w:pPr>
        <w:pStyle w:val="TextBody"/>
        <w:shd w:fill="FFFFFF" w:val="clear"/>
        <w:spacing w:before="0" w:after="0"/>
        <w:ind w:left="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Practices and Procedures</w:t>
      </w:r>
    </w:p>
    <w:p>
      <w:pPr>
        <w:pStyle w:val="TextBody"/>
        <w:shd w:fill="FFFFFF" w:val="clear"/>
        <w:spacing w:before="0" w:after="0"/>
        <w:ind w:left="8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established a policy governing our use of the services of our independent registered public accounting firm. The purpose of the Audit Committee is to assist the Board of Directors in fulfilling its responsibilities as it relates to our financial accounting, reporting and controls. The Audit Committee’s principal functions are to assist the Board of Directors in its oversight of:</w:t>
      </w:r>
    </w:p>
    <w:p>
      <w:pPr>
        <w:pStyle w:val="TextBody"/>
        <w:shd w:fill="FFFFFF" w:val="clear"/>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caps w:val="false"/>
                <w:smallCaps w:val="false"/>
              </w:rPr>
            </w:pPr>
            <w:r>
              <w:rPr>
                <w:caps w:val="false"/>
                <w:smallCaps w:val="false"/>
              </w:rPr>
              <w:t>●</w:t>
            </w:r>
          </w:p>
        </w:tc>
        <w:tc>
          <w:tcPr>
            <w:tcW w:w="9960"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integrity of our accounting and financial reporting processes and the audits of our financial statements by our independent auditors (the “</w:t>
            </w:r>
            <w:r>
              <w:rPr>
                <w:rFonts w:ascii="Times New Roman;Times;Serif" w:hAnsi="Times New Roman;Times;Serif"/>
                <w:b/>
                <w:i w:val="false"/>
                <w:caps w:val="false"/>
                <w:smallCaps w:val="false"/>
                <w:sz w:val="20"/>
              </w:rPr>
              <w:t>Independent Auditors</w:t>
            </w:r>
            <w:r>
              <w:rPr>
                <w:rFonts w:ascii="Times New Roman;Times;Serif" w:hAnsi="Times New Roman;Times;Serif"/>
                <w:b w:val="false"/>
                <w:i w:val="false"/>
                <w:caps w:val="false"/>
                <w:smallCaps w:val="false"/>
                <w:sz w:val="20"/>
              </w:rPr>
              <w:t>”);</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70" w:type="dxa"/>
            <w:tcBorders/>
            <w:shd w:fill="FFFFFF" w:val="clear"/>
            <w:vAlign w:val="center"/>
          </w:tcPr>
          <w:p>
            <w:pPr>
              <w:pStyle w:val="TableContents"/>
              <w:spacing w:before="0" w:after="283"/>
              <w:rPr>
                <w:caps w:val="false"/>
                <w:smallCaps w:val="false"/>
              </w:rPr>
            </w:pPr>
            <w:r>
              <w:rPr>
                <w:caps w:val="false"/>
                <w:smallCaps w:val="false"/>
              </w:rPr>
              <w:t> </w:t>
            </w:r>
          </w:p>
        </w:tc>
        <w:tc>
          <w:tcPr>
            <w:tcW w:w="9960" w:type="dxa"/>
            <w:tcBorders/>
            <w:shd w:fill="FFFFFF"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caps w:val="false"/>
                <w:smallCaps w:val="false"/>
              </w:rPr>
            </w:pPr>
            <w:r>
              <w:rPr>
                <w:caps w:val="false"/>
                <w:smallCaps w:val="false"/>
              </w:rPr>
              <w:t>●</w:t>
            </w:r>
          </w:p>
        </w:tc>
        <w:tc>
          <w:tcPr>
            <w:tcW w:w="9960"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periodic reviews of the adequacy of the accounting and financial reporting processes and systems of internal control that are conducted by the Independent Auditors and our senior management;</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70" w:type="dxa"/>
            <w:tcBorders/>
            <w:shd w:fill="FFFFFF" w:val="clear"/>
            <w:vAlign w:val="center"/>
          </w:tcPr>
          <w:p>
            <w:pPr>
              <w:pStyle w:val="TableContents"/>
              <w:spacing w:before="0" w:after="283"/>
              <w:rPr>
                <w:caps w:val="false"/>
                <w:smallCaps w:val="false"/>
              </w:rPr>
            </w:pPr>
            <w:r>
              <w:rPr>
                <w:caps w:val="false"/>
                <w:smallCaps w:val="false"/>
              </w:rPr>
              <w:t> </w:t>
            </w:r>
          </w:p>
        </w:tc>
        <w:tc>
          <w:tcPr>
            <w:tcW w:w="9960" w:type="dxa"/>
            <w:tcBorders/>
            <w:shd w:fill="FFFFFF"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caps w:val="false"/>
                <w:smallCaps w:val="false"/>
              </w:rPr>
            </w:pPr>
            <w:r>
              <w:rPr>
                <w:caps w:val="false"/>
                <w:smallCaps w:val="false"/>
              </w:rPr>
              <w:t>●</w:t>
            </w:r>
          </w:p>
        </w:tc>
        <w:tc>
          <w:tcPr>
            <w:tcW w:w="9960"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independence and performance of the Independent Auditors; and</w:t>
            </w:r>
          </w:p>
        </w:tc>
      </w:tr>
      <w:tr>
        <w:trPr/>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70" w:type="dxa"/>
            <w:tcBorders/>
            <w:shd w:fill="FFFFFF" w:val="clear"/>
            <w:vAlign w:val="center"/>
          </w:tcPr>
          <w:p>
            <w:pPr>
              <w:pStyle w:val="TableContents"/>
              <w:spacing w:before="0" w:after="283"/>
              <w:rPr>
                <w:caps w:val="false"/>
                <w:smallCaps w:val="false"/>
              </w:rPr>
            </w:pPr>
            <w:r>
              <w:rPr>
                <w:caps w:val="false"/>
                <w:smallCaps w:val="false"/>
              </w:rPr>
              <w:t> </w:t>
            </w:r>
          </w:p>
        </w:tc>
        <w:tc>
          <w:tcPr>
            <w:tcW w:w="9960" w:type="dxa"/>
            <w:tcBorders/>
            <w:shd w:fill="FFFFFF"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caps w:val="false"/>
                <w:smallCaps w:val="false"/>
              </w:rPr>
            </w:pPr>
            <w:r>
              <w:rPr>
                <w:caps w:val="false"/>
                <w:smallCaps w:val="false"/>
              </w:rPr>
              <w:t>●</w:t>
            </w:r>
          </w:p>
        </w:tc>
        <w:tc>
          <w:tcPr>
            <w:tcW w:w="9960"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legal and regulatory requirements.</w:t>
            </w:r>
          </w:p>
        </w:tc>
      </w:tr>
    </w:tbl>
    <w:p>
      <w:pPr>
        <w:pStyle w:val="TextBody"/>
        <w:shd w:fill="FFFFFF" w:val="clear"/>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0" w:name="AR_007"/>
      <w:bookmarkEnd w:id="50"/>
      <w:r>
        <w:rPr>
          <w:rFonts w:ascii="Times New Roman;Times;Serif" w:hAnsi="Times New Roman;Times;Serif"/>
          <w:b/>
          <w:i w:val="false"/>
          <w:caps w:val="false"/>
          <w:smallCaps w:val="false"/>
          <w:sz w:val="20"/>
        </w:rPr>
        <w:t>PART IV</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1" w:name="AR_008"/>
      <w:bookmarkEnd w:id="51"/>
      <w:r>
        <w:rPr>
          <w:rFonts w:ascii="Times New Roman;Times;Serif" w:hAnsi="Times New Roman;Times;Serif"/>
          <w:b/>
          <w:i w:val="false"/>
          <w:caps w:val="false"/>
          <w:smallCaps w:val="false"/>
          <w:sz w:val="20"/>
        </w:rPr>
        <w:t>Item 15. Exhibits, Financial Statement Schedules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Financial Statements. </w:t>
      </w:r>
      <w:r>
        <w:rPr>
          <w:rFonts w:ascii="Times New Roman;Times;Serif" w:hAnsi="Times New Roman;Times;Serif"/>
          <w:b w:val="false"/>
          <w:i w:val="false"/>
          <w:caps w:val="false"/>
          <w:smallCaps w:val="false"/>
          <w:sz w:val="20"/>
        </w:rPr>
        <w:t>No financial statements are filed with this Amendment. These items were included as part of the 2022 Annual Report.</w:t>
      </w:r>
    </w:p>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Financial Statement Schedules. </w:t>
      </w:r>
      <w:r>
        <w:rPr>
          <w:rFonts w:ascii="Times New Roman;Times;Serif" w:hAnsi="Times New Roman;Times;Serif"/>
          <w:b w:val="false"/>
          <w:i w:val="false"/>
          <w:caps w:val="false"/>
          <w:smallCaps w:val="false"/>
          <w:sz w:val="20"/>
        </w:rPr>
        <w:t>Financial statement schedules have been omitted because they are either not required, not applicable, or the information is otherwise included in the 2022 Annual Report.</w:t>
      </w:r>
    </w:p>
    <w:p>
      <w:pPr>
        <w:pStyle w:val="TextBody"/>
        <w:spacing w:before="0" w:after="0"/>
        <w:ind w:left="0" w:right="0" w:firstLine="490"/>
        <w:jc w:val="both"/>
        <w:rPr>
          <w:caps w:val="false"/>
          <w:smallCaps w:val="false"/>
        </w:rPr>
      </w:pPr>
      <w:r>
        <w:rPr>
          <w:caps w:val="false"/>
          <w:smallCaps w:val="false"/>
        </w:rPr>
        <w:t> </w:t>
      </w:r>
    </w:p>
    <w:p>
      <w:pPr>
        <w:pStyle w:val="TextBody"/>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Exhibits. </w:t>
      </w:r>
      <w:r>
        <w:rPr>
          <w:rFonts w:ascii="Times New Roman;Times;Serif" w:hAnsi="Times New Roman;Times;Serif"/>
          <w:b w:val="false"/>
          <w:i w:val="false"/>
          <w:caps w:val="false"/>
          <w:smallCaps w:val="false"/>
          <w:sz w:val="20"/>
        </w:rPr>
        <w:t>The exhibits listed in the Original Filing are required by Item 601 of Regulation S-K. A list of the exhibits filed with this Amendment are provided below.</w:t>
      </w:r>
    </w:p>
    <w:p>
      <w:pPr>
        <w:pStyle w:val="TextBody"/>
        <w:spacing w:before="0" w:after="0"/>
        <w:ind w:left="0" w:right="0" w:firstLine="49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72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0"/>
              <w:ind w:left="0" w:right="0" w:hanging="0"/>
              <w:jc w:val="both"/>
              <w:rPr/>
            </w:pPr>
            <w:hyperlink w:anchor="ex10-1.htm">
              <w:r>
                <w:rPr>
                  <w:rStyle w:val="InternetLink"/>
                  <w:rFonts w:ascii="Times New Roman;Times;Serif" w:hAnsi="Times New Roman;Times;Serif"/>
                  <w:b w:val="false"/>
                  <w:i w:val="false"/>
                  <w:caps w:val="false"/>
                  <w:smallCaps w:val="false"/>
                  <w:sz w:val="20"/>
                </w:rPr>
                <w:t>Employment Agreement, dated as of October 11, 2022, by and between Dragonfly Energy Holdings Corp. and Nicole Harvey.</w:t>
              </w:r>
            </w:hyperlink>
          </w:p>
        </w:tc>
      </w:tr>
      <w:tr>
        <w:trPr/>
        <w:tc>
          <w:tcPr>
            <w:tcW w:w="725"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72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the Principal Executive Officer pursuant to Rule 13a-14(a) or 15d-14(a) of the Securities Exchange Act of 1934.</w:t>
              </w:r>
            </w:hyperlink>
          </w:p>
        </w:tc>
      </w:tr>
      <w:tr>
        <w:trPr/>
        <w:tc>
          <w:tcPr>
            <w:tcW w:w="725"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80" w:type="dxa"/>
            <w:gridSpan w:val="2"/>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72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the Principal Financial Officer pursuant to Rule 13a-14(a) or 15d-14(a) of the Securities Exchange Act of 1934.</w:t>
              </w:r>
            </w:hyperlink>
          </w:p>
        </w:tc>
      </w:tr>
      <w:tr>
        <w:trPr/>
        <w:tc>
          <w:tcPr>
            <w:tcW w:w="725"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72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94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230"/>
        <w:gridCol w:w="4520"/>
      </w:tblGrid>
      <w:tr>
        <w:trPr/>
        <w:tc>
          <w:tcPr>
            <w:tcW w:w="2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bookmarkStart w:id="52" w:name="AR_009"/>
      <w:bookmarkEnd w:id="52"/>
      <w:r>
        <w:rPr>
          <w:rFonts w:ascii="Times New Roman;Times;Serif" w:hAnsi="Times New Roman;Times;Serif"/>
          <w:b/>
          <w:i w:val="false"/>
          <w:caps w:val="false"/>
          <w:smallCaps w:val="false"/>
          <w:sz w:val="20"/>
        </w:rPr>
        <w:t>SIGNATURES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Form 10-K/A to be signed on its behalf by the undersigned, thereunto duly authorized, in Reno, Nevada, on the 1st day of May, 2023.</w:t>
      </w:r>
    </w:p>
    <w:p>
      <w:pPr>
        <w:pStyle w:val="TextBody"/>
        <w:shd w:fill="FFFFFF" w:val="clear"/>
        <w:spacing w:before="0" w:after="0"/>
        <w:ind w:left="0" w:right="0" w:hanging="0"/>
        <w:jc w:val="both"/>
        <w:rPr>
          <w:caps w:val="false"/>
          <w:smallCaps w:val="false"/>
        </w:rPr>
      </w:pPr>
      <w:r>
        <w:rPr>
          <w:caps w:val="false"/>
          <w:smallCaps w:val="false"/>
        </w:rPr>
        <w:t> </w:t>
      </w:r>
    </w:p>
    <w:tbl>
      <w:tblPr>
        <w:tblW w:w="4329" w:type="dxa"/>
        <w:jc w:val="left"/>
        <w:tblInd w:w="0" w:type="dxa"/>
        <w:tblCellMar>
          <w:top w:w="0" w:type="dxa"/>
          <w:left w:w="0" w:type="dxa"/>
          <w:bottom w:w="0" w:type="dxa"/>
          <w:right w:w="0" w:type="dxa"/>
        </w:tblCellMar>
      </w:tblPr>
      <w:tblGrid>
        <w:gridCol w:w="1550"/>
        <w:gridCol w:w="331"/>
        <w:gridCol w:w="2448"/>
      </w:tblGrid>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277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331" w:type="dxa"/>
            <w:tcBorders/>
            <w:shd w:fill="auto" w:val="clear"/>
            <w:vAlign w:val="center"/>
          </w:tcPr>
          <w:p>
            <w:pPr>
              <w:pStyle w:val="TableContents"/>
              <w:spacing w:before="0" w:after="283"/>
              <w:rPr>
                <w:caps w:val="false"/>
                <w:smallCaps w:val="false"/>
              </w:rPr>
            </w:pPr>
            <w:r>
              <w:rPr>
                <w:caps w:val="false"/>
                <w:smallCaps w:val="false"/>
              </w:rPr>
              <w:t> </w:t>
            </w:r>
          </w:p>
        </w:tc>
        <w:tc>
          <w:tcPr>
            <w:tcW w:w="24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tc>
        <w:tc>
          <w:tcPr>
            <w:tcW w:w="3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48"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331" w:type="dxa"/>
            <w:tcBorders/>
            <w:shd w:fill="auto" w:val="clear"/>
            <w:vAlign w:val="center"/>
          </w:tcPr>
          <w:p>
            <w:pPr>
              <w:pStyle w:val="TableContents"/>
              <w:spacing w:before="0" w:after="283"/>
              <w:rPr>
                <w:caps w:val="false"/>
                <w:smallCaps w:val="false"/>
              </w:rPr>
            </w:pPr>
            <w:r>
              <w:rPr>
                <w:caps w:val="false"/>
                <w:smallCaps w:val="false"/>
              </w:rPr>
              <w:t> </w:t>
            </w:r>
          </w:p>
        </w:tc>
        <w:tc>
          <w:tcPr>
            <w:tcW w:w="24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331" w:type="dxa"/>
            <w:tcBorders/>
            <w:shd w:fill="auto" w:val="clear"/>
            <w:vAlign w:val="center"/>
          </w:tcPr>
          <w:p>
            <w:pPr>
              <w:pStyle w:val="TableContents"/>
              <w:spacing w:before="0" w:after="283"/>
              <w:rPr>
                <w:caps w:val="false"/>
                <w:smallCaps w:val="false"/>
              </w:rPr>
            </w:pPr>
            <w:r>
              <w:rPr>
                <w:caps w:val="false"/>
                <w:smallCaps w:val="false"/>
              </w:rPr>
              <w:t> </w:t>
            </w:r>
          </w:p>
        </w:tc>
        <w:tc>
          <w:tcPr>
            <w:tcW w:w="24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331" w:type="dxa"/>
            <w:tcBorders/>
            <w:shd w:fill="auto" w:val="clear"/>
            <w:vAlign w:val="center"/>
          </w:tcPr>
          <w:p>
            <w:pPr>
              <w:pStyle w:val="TableContents"/>
              <w:spacing w:before="0" w:after="283"/>
              <w:rPr>
                <w:caps w:val="false"/>
                <w:smallCaps w:val="false"/>
              </w:rPr>
            </w:pPr>
            <w:r>
              <w:rPr>
                <w:caps w:val="false"/>
                <w:smallCaps w:val="false"/>
              </w:rPr>
              <w:t> </w:t>
            </w:r>
          </w:p>
        </w:tc>
        <w:tc>
          <w:tcPr>
            <w:tcW w:w="24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p>
      <w:pPr>
        <w:pStyle w:val="TextBody"/>
        <w:ind w:left="0" w:right="0" w:hanging="0"/>
        <w:jc w:val="center"/>
        <w:rPr/>
      </w:pPr>
      <w:r>
        <w:br w:type="page"/>
      </w:r>
      <w:bookmarkStart w:id="53" w:name="ex10-1.htm"/>
      <w:bookmarkStart w:id="54" w:name="ksex101"/>
      <w:bookmarkEnd w:id="53"/>
      <w:bookmarkEnd w:id="54"/>
      <w:r>
        <w:rPr/>
        <w:t> </w:t>
      </w:r>
    </w:p>
    <w:p>
      <w:pPr>
        <w:pStyle w:val="TextBody"/>
        <w:jc w:val="right"/>
        <w:rPr>
          <w:b/>
        </w:rPr>
      </w:pPr>
      <w:r>
        <w:rPr>
          <w:b/>
        </w:rPr>
        <w:t>Exhibit 10.1</w:t>
      </w:r>
    </w:p>
    <w:p>
      <w:pPr>
        <w:pStyle w:val="TextBody"/>
        <w:jc w:val="center"/>
        <w:rPr/>
      </w:pPr>
      <w:r>
        <w:rPr/>
        <w:t> </w:t>
      </w:r>
    </w:p>
    <w:p>
      <w:pPr>
        <w:pStyle w:val="TextBody"/>
        <w:jc w:val="center"/>
        <w:rPr/>
      </w:pPr>
      <w:r>
        <w:rPr/>
        <w:drawing>
          <wp:inline distT="0" distB="0" distL="0" distR="0">
            <wp:extent cx="6381750" cy="826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6381750" cy="8267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381750" cy="82677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br w:type="page"/>
      </w:r>
      <w:bookmarkStart w:id="55" w:name="ex31-1.htm"/>
      <w:bookmarkStart w:id="56" w:name="ksex311"/>
      <w:bookmarkEnd w:id="55"/>
      <w:bookmarkEnd w:id="56"/>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9"/>
        <w:gridCol w:w="143"/>
        <w:gridCol w:w="984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to the annual report on Form 10-K for the period ended December 31, 2022 of Dragonfly Energy Holdings Corp.;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2435" w:type="dxa"/>
        <w:jc w:val="left"/>
        <w:tblInd w:w="0" w:type="dxa"/>
        <w:tblCellMar>
          <w:top w:w="0" w:type="dxa"/>
          <w:left w:w="0" w:type="dxa"/>
          <w:bottom w:w="0" w:type="dxa"/>
          <w:right w:w="0" w:type="dxa"/>
        </w:tblCellMar>
      </w:tblPr>
      <w:tblGrid>
        <w:gridCol w:w="75"/>
        <w:gridCol w:w="23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right"/>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57" w:name="ex31-2.htm"/>
      <w:bookmarkStart w:id="58" w:name="ksex312"/>
      <w:bookmarkEnd w:id="57"/>
      <w:bookmarkEnd w:id="58"/>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Marchetti, certify that:</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9"/>
        <w:gridCol w:w="143"/>
        <w:gridCol w:w="984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amendment to the annual report on Form 10-K for the period ended December 31, 2022 of Dragonfly Energy Holdings Corp.;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caps w:val="false"/>
                <w:smallCaps w:val="false"/>
              </w:rPr>
            </w:pPr>
            <w:r>
              <w:rPr>
                <w:caps w:val="false"/>
                <w:smallCaps w:val="false"/>
              </w:rPr>
              <w:t> </w:t>
            </w:r>
          </w:p>
        </w:tc>
        <w:tc>
          <w:tcPr>
            <w:tcW w:w="984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9"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2375" w:type="dxa"/>
        <w:jc w:val="left"/>
        <w:tblInd w:w="0" w:type="dxa"/>
        <w:tblCellMar>
          <w:top w:w="0" w:type="dxa"/>
          <w:left w:w="0" w:type="dxa"/>
          <w:bottom w:w="0" w:type="dxa"/>
          <w:right w:w="0" w:type="dxa"/>
        </w:tblCellMar>
      </w:tblPr>
      <w:tblGrid>
        <w:gridCol w:w="75"/>
        <w:gridCol w:w="230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0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Marchetti</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Marchetti</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right"/>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13669</Words>
  <CharactersWithSpaces>87904</CharactersWithSpaces>
  <Paragraphs>2205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