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Chardan NexTech Acquisition 2 Corp.</w:t>
      </w:r>
    </w:p>
    <w:p>
      <w:pPr>
        <w:ind w:left="4640"/>
        <w:spacing w:after="0" w:line="2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17 State Street, 21</w:t>
      </w:r>
      <w:r>
        <w:rPr>
          <w:rFonts w:ascii="Arial" w:cs="Arial" w:eastAsia="Arial" w:hAnsi="Arial"/>
          <w:sz w:val="29"/>
          <w:szCs w:val="29"/>
          <w:b w:val="1"/>
          <w:bCs w:val="1"/>
          <w:color w:val="auto"/>
          <w:vertAlign w:val="superscript"/>
        </w:rPr>
        <w:t>st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York, NY 10004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August 9, 2021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Deanna Virginio</w:t>
      </w:r>
    </w:p>
    <w:p>
      <w:pPr>
        <w:sectPr>
          <w:pgSz w:w="11900" w:h="16838" w:orient="portrait"/>
          <w:cols w:equalWidth="0" w:num="1">
            <w:col w:w="11240"/>
          </w:cols>
          <w:pgMar w:left="320" w:top="229" w:right="33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Chardan NexTech Acquisition 2 Corp.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S-1, as amended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August 5, 2021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333-254010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060" w:space="300"/>
            <w:col w:w="9880"/>
          </w:cols>
          <w:pgMar w:left="320" w:top="229" w:right="3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Virginio: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441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Chardan NexTech Acquisition 2 Corp. hereby requests acceleration of effectiveness of the above referenced Registration Statement so that it will become effective at 4:00 p.m. EST on Tuesday, August 10, 2021, or as soon as thereafter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Jonas Grossman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14605</wp:posOffset>
            </wp:positionV>
            <wp:extent cx="284607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Jonas Grossman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620" w:right="8880" w:hanging="329"/>
        <w:spacing w:after="0" w:line="342" w:lineRule="auto"/>
        <w:tabs>
          <w:tab w:leader="none" w:pos="62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Reed Smith LLP Greenberg Traurig,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379095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229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2021-09-08T23:10:13Z</dcterms:created>
  <dcterms:modified xsi:type="dcterms:W3CDTF">2021-09-08T23:10:13Z</dcterms:modified>
</cp:coreProperties>
</file>