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142875</wp:posOffset>
            </wp:positionV>
            <wp:extent cx="148272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2725" cy="10369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 No. 333-268185</w:t>
      </w:r>
    </w:p>
    <w:p>
      <w:pPr>
        <w:spacing w:after="0" w:line="200" w:lineRule="exact"/>
        <w:rPr>
          <w:sz w:val="24"/>
          <w:szCs w:val="24"/>
          <w:color w:val="auto"/>
        </w:rPr>
      </w:pPr>
    </w:p>
    <w:p>
      <w:pPr>
        <w:sectPr>
          <w:pgSz w:w="11900" w:h="16838" w:orient="portrait"/>
          <w:cols w:equalWidth="0" w:num="2">
            <w:col w:w="8040" w:space="720"/>
            <w:col w:w="2480"/>
          </w:cols>
          <w:pgMar w:left="320" w:top="46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38,590,131 Shares of 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16,708,414 Warrants to Purchase Shares of Common Stock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16,708,414 Shares of Common Stock Underlying Warrants</w:t>
      </w:r>
    </w:p>
    <w:p>
      <w:pPr>
        <w:spacing w:after="0" w:line="203" w:lineRule="exact"/>
        <w:rPr>
          <w:sz w:val="24"/>
          <w:szCs w:val="24"/>
          <w:color w:val="auto"/>
        </w:rPr>
      </w:pPr>
    </w:p>
    <w:p>
      <w:pPr>
        <w:ind w:right="40" w:firstLine="432"/>
        <w:spacing w:after="0" w:line="268" w:lineRule="auto"/>
        <w:rPr>
          <w:sz w:val="20"/>
          <w:szCs w:val="20"/>
          <w:color w:val="auto"/>
        </w:rPr>
      </w:pPr>
      <w:r>
        <w:rPr>
          <w:rFonts w:ascii="Times New Roman" w:cs="Times New Roman" w:eastAsia="Times New Roman" w:hAnsi="Times New Roman"/>
          <w:sz w:val="18"/>
          <w:szCs w:val="18"/>
          <w:color w:val="auto"/>
        </w:rPr>
        <w:t>This prospectus supplement relates to the prospectus dated December 22, 2022 (as amended and supplemented,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related to the offer and sale, from time to time, by the selling securityholders of up to 38,590,131 shares of our common stock, 16,708,414 warrants to purchase shares of common stock and 16,708,414 shares of common stock that are issuable upon the exercise of such warrants, consisting of:</w:t>
      </w:r>
    </w:p>
    <w:p>
      <w:pPr>
        <w:spacing w:after="0" w:line="175" w:lineRule="exact"/>
        <w:rPr>
          <w:sz w:val="24"/>
          <w:szCs w:val="24"/>
          <w:color w:val="auto"/>
        </w:rPr>
      </w:pPr>
    </w:p>
    <w:p>
      <w:pPr>
        <w:ind w:left="760" w:hanging="33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31,290,514 Consideration Shares;</w:t>
      </w:r>
    </w:p>
    <w:p>
      <w:pPr>
        <w:spacing w:after="0" w:line="144"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3,664,975 Option Shares;</w:t>
      </w:r>
    </w:p>
    <w:p>
      <w:pPr>
        <w:spacing w:after="0" w:line="144"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3,162,500 Founder Shares;</w:t>
      </w:r>
    </w:p>
    <w:p>
      <w:pPr>
        <w:spacing w:after="0" w:line="144"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4,627,858 Private Warrants;</w:t>
      </w:r>
    </w:p>
    <w:p>
      <w:pPr>
        <w:spacing w:after="0" w:line="144"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Penny Warrants;</w:t>
      </w:r>
    </w:p>
    <w:p>
      <w:pPr>
        <w:spacing w:after="0" w:line="144"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 Shares;</w:t>
      </w:r>
    </w:p>
    <w:p>
      <w:pPr>
        <w:spacing w:after="0" w:line="144"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457,142 $10 Warrant Shares;</w:t>
      </w:r>
    </w:p>
    <w:p>
      <w:pPr>
        <w:spacing w:after="0" w:line="144"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Penny Warrant Shares; and</w:t>
      </w:r>
    </w:p>
    <w:p>
      <w:pPr>
        <w:spacing w:after="0" w:line="144"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PIPE Investment Shares.</w:t>
      </w:r>
    </w:p>
    <w:p>
      <w:pPr>
        <w:spacing w:after="0" w:line="225" w:lineRule="exact"/>
        <w:rPr>
          <w:sz w:val="24"/>
          <w:szCs w:val="24"/>
          <w:color w:val="auto"/>
        </w:rPr>
      </w:pPr>
    </w:p>
    <w:p>
      <w:pPr>
        <w:ind w:right="740" w:firstLine="432"/>
        <w:spacing w:after="0" w:line="282" w:lineRule="auto"/>
        <w:rPr>
          <w:sz w:val="20"/>
          <w:szCs w:val="20"/>
          <w:color w:val="auto"/>
        </w:rPr>
      </w:pPr>
      <w:r>
        <w:rPr>
          <w:rFonts w:ascii="Times New Roman" w:cs="Times New Roman" w:eastAsia="Times New Roman" w:hAnsi="Times New Roman"/>
          <w:sz w:val="18"/>
          <w:szCs w:val="18"/>
          <w:color w:val="auto"/>
        </w:rPr>
        <w:t>The Prospectus also relates to the issuance by us of up to 16,708,414 Warrant Shares, comprised of (i) 9,487,500 Public Warrant Shares, (ii) 4,627,858 Private Warrant Shares and (iii) 2,593,056 Penny Warrant Shares.</w:t>
      </w:r>
    </w:p>
    <w:p>
      <w:pPr>
        <w:spacing w:after="0" w:line="162" w:lineRule="exact"/>
        <w:rPr>
          <w:sz w:val="24"/>
          <w:szCs w:val="24"/>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supplement certain information contained in the Prospectus relating to the table of selling securityholders. The selling securityholders table previously omitted the securities held by BP Holdings XVII LP, Energy Impact Credit Fund II LP and Energy Impact Credit Fund I LP from the column “Securities Being Offered in the Offering”. No other changes are being made to the Prospectus.</w:t>
      </w:r>
    </w:p>
    <w:p>
      <w:pPr>
        <w:spacing w:after="0" w:line="176" w:lineRule="exact"/>
        <w:rPr>
          <w:sz w:val="24"/>
          <w:szCs w:val="24"/>
          <w:color w:val="auto"/>
        </w:rPr>
      </w:pPr>
    </w:p>
    <w:p>
      <w:pPr>
        <w:ind w:right="280" w:firstLine="432"/>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3" w:lineRule="exact"/>
        <w:rPr>
          <w:sz w:val="24"/>
          <w:szCs w:val="24"/>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“DFLI” and our public warrants are currently listed on the Nasdaq Capital Market under the symbol “DFLIW”. As of December 29, 2022, the closing price of our common stock and warrants was $10.75 and $0.44, respectively.</w:t>
      </w:r>
    </w:p>
    <w:p>
      <w:pPr>
        <w:spacing w:after="0" w:line="172" w:lineRule="exact"/>
        <w:rPr>
          <w:sz w:val="24"/>
          <w:szCs w:val="24"/>
          <w:color w:val="auto"/>
        </w:rPr>
      </w:pPr>
    </w:p>
    <w:p>
      <w:pPr>
        <w:ind w:right="30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under applicable federal securities laws and will be subject to reduced public company reporting requirements.</w:t>
      </w:r>
    </w:p>
    <w:p>
      <w:pPr>
        <w:spacing w:after="0" w:line="155" w:lineRule="exact"/>
        <w:rPr>
          <w:sz w:val="24"/>
          <w:szCs w:val="24"/>
          <w:color w:val="auto"/>
        </w:rPr>
      </w:pPr>
    </w:p>
    <w:p>
      <w:pPr>
        <w:ind w:right="18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11 OF THE PROSPECTUS.</w:t>
      </w:r>
    </w:p>
    <w:p>
      <w:pPr>
        <w:spacing w:after="0" w:line="155" w:lineRule="exact"/>
        <w:rPr>
          <w:sz w:val="24"/>
          <w:szCs w:val="24"/>
          <w:color w:val="auto"/>
        </w:rPr>
      </w:pPr>
    </w:p>
    <w:p>
      <w:pPr>
        <w:ind w:right="12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are registering the offer and sale of these securities to satisfy certain registration rights we have granted to the selling securityholders pursuant to the terms of the Registration Rights Agreement, the Private Warrants, the Public Warrants, the $10 Warrants and the Penny Warrants. The selling securityholders may offer and sell, from time to time, any or all of the shares of common stock or Private Warrants, Public Warrants and Penny Warrants being offered for resale by this prospectus, which consists of up to:</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31,290,514 Consideration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3,664,975​ Option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3,162,500 Founder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9,487,500​ Public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Penny​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457,142​ $10 Warrant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Penny Warrant Shares;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PIPE Investment Shares.</w:t>
      </w:r>
    </w:p>
    <w:p>
      <w:pPr>
        <w:spacing w:after="0" w:line="22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common stock or Private Warrants and Penny Warrants set forth below pursuant to this prospectus. In this prospectus, the term “selling securityholders” includes (i) the entities identified in the table below (as such table may be amended from time to time by means of an amendment to the registration statement of which this prospectus forms a part or by a supplement to this prospectus) and (ii) any donees, pledgees, transferees or other successors-in-interest that acquire any of the securities covered by this prospectus after the date of this prospectus from the named selling securityholders as a gift, pledge, partnership distribution or other non-sale related transfer.</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provides, as of the date of this prospectus, information regarding the beneficial ownership of our common stock and Private Warrants and Penny Warrants of each selling securityholder, the number of shares of common stock and number of Private Warrants and Penny Warrants that may be sold by each selling securityholder under this prospectus and that each selling securityholder will beneficially own after this offering. The immediately following table also sets forth the percentage of common stock beneficially owned by a selling securityholder after giving effect to the sale by the selling securityholder of all offered securities, based on 43,272,728 shares of common stock outstanding as of November 14, 2022.</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purposes of the table below, we have assumed that (i) no holders of Public Warrants exercise any of the outstanding Warrants, (ii) after termination of this offering, none of the shares of common stock covered by this prospectus will be beneficially owned by the selling securityholders and (iii) the selling securityholders will not acquire beneficial ownership of any additional securities during the offering. In addition, we assume that the selling securityholders have not sold, transferred or otherwise disposed of, our securities in transactions exempt from the registration requirements of the Securities Act. See “</w:t>
      </w:r>
      <w:r>
        <w:rPr>
          <w:rFonts w:ascii="Times New Roman" w:cs="Times New Roman" w:eastAsia="Times New Roman" w:hAnsi="Times New Roman"/>
          <w:sz w:val="18"/>
          <w:szCs w:val="18"/>
          <w:i w:val="1"/>
          <w:iCs w:val="1"/>
          <w:color w:val="auto"/>
        </w:rPr>
        <w:t>Certain Relationships and Related Person 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common stock or warrants. In addition, the selling securityholders may sell, transfer or otherwise dispose of, at any time and from time to time, common stock and warrants in transactions exempt from the registration requirements of the Securities Act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firstLine="324"/>
        <w:spacing w:after="0" w:line="255" w:lineRule="auto"/>
        <w:rPr>
          <w:sz w:val="20"/>
          <w:szCs w:val="20"/>
          <w:color w:val="auto"/>
        </w:rPr>
      </w:pPr>
      <w:r>
        <w:rPr>
          <w:rFonts w:ascii="Times New Roman" w:cs="Times New Roman" w:eastAsia="Times New Roman" w:hAnsi="Times New Roman"/>
          <w:sz w:val="18"/>
          <w:szCs w:val="18"/>
          <w:color w:val="auto"/>
        </w:rPr>
        <w:t>Certain of the selling securityholders have an incentive to sell because they purchased shares and/or warrants at prices below the initial public offering price of $10 per share and/or below the recent trading prices of our securities. Given the substantial number of shares of common stock being registered for potential resale by the selling securityholders pursuant to this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initial public offering price and may cause the trading prices of our securities to experience a further decline. Since many of our public stockholders purchased shares at prices above, and the exercise price of our warrants exceeds, the recent trading prices for shares of our common stock, other of our securityholders may not experience a positive rate of return if they were to sell at the same prices.</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Selling securityholders information for each additional selling securityholders, if any, will be set forth by a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shares of common stock or Private Warrants, shares underlying the Penny Warrants registered on its behalf.</w:t>
      </w:r>
    </w:p>
    <w:p>
      <w:pPr>
        <w:spacing w:after="0" w:line="178"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further information regarding the selling securityholders’ method of distributing these shares of common stock and Private Warrants and Penny Warrants.</w:t>
      </w:r>
    </w:p>
    <w:p>
      <w:pPr>
        <w:spacing w:after="0" w:line="16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for each selling securityholders is c/o Dragonfly Energy Holdings Corp., 1190 Trademark Drive #108, Reno, Nevada 89521.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center"/>
              <w:ind w:left="637"/>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gridSpan w:val="5"/>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Securities Beneficially</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Owned After the</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Owned Prior to</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gridSpan w:val="4"/>
          </w:tcPr>
          <w:p>
            <w:pPr>
              <w:ind w:left="440"/>
              <w:spacing w:after="0" w:line="135" w:lineRule="exact"/>
              <w:rPr>
                <w:sz w:val="20"/>
                <w:szCs w:val="20"/>
                <w:color w:val="auto"/>
              </w:rPr>
            </w:pPr>
            <w:r>
              <w:rPr>
                <w:rFonts w:ascii="Times New Roman" w:cs="Times New Roman" w:eastAsia="Times New Roman" w:hAnsi="Times New Roman"/>
                <w:sz w:val="13"/>
                <w:szCs w:val="13"/>
                <w:b w:val="1"/>
                <w:bCs w:val="1"/>
                <w:color w:val="auto"/>
              </w:rPr>
              <w:t>Securities Being Offered</w:t>
            </w: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3"/>
          </w:tcPr>
          <w:p>
            <w:pPr>
              <w:jc w:val="center"/>
              <w:ind w:left="6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Offered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center"/>
              <w:ind w:left="737"/>
              <w:spacing w:after="0"/>
              <w:rPr>
                <w:sz w:val="20"/>
                <w:szCs w:val="20"/>
                <w:color w:val="auto"/>
              </w:rPr>
            </w:pPr>
            <w:r>
              <w:rPr>
                <w:rFonts w:ascii="Times New Roman" w:cs="Times New Roman" w:eastAsia="Times New Roman" w:hAnsi="Times New Roman"/>
                <w:sz w:val="13"/>
                <w:szCs w:val="13"/>
                <w:b w:val="1"/>
                <w:bCs w:val="1"/>
                <w:color w:val="auto"/>
                <w:w w:val="96"/>
              </w:rPr>
              <w:t>the Offering</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4"/>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in the Offering</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Securities are Sold</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Borders>
              <w:top w:val="single" w:sz="8" w:color="auto"/>
            </w:tcBorders>
            <w:gridSpan w:val="3"/>
          </w:tcPr>
          <w:p>
            <w:pPr>
              <w:jc w:val="center"/>
              <w:ind w:right="440"/>
              <w:spacing w:after="0" w:line="109" w:lineRule="exact"/>
              <w:rPr>
                <w:sz w:val="20"/>
                <w:szCs w:val="20"/>
                <w:color w:val="auto"/>
              </w:rPr>
            </w:pPr>
            <w:r>
              <w:rPr>
                <w:rFonts w:ascii="Times New Roman" w:cs="Times New Roman" w:eastAsia="Times New Roman" w:hAnsi="Times New Roman"/>
                <w:sz w:val="12"/>
                <w:szCs w:val="12"/>
                <w:b w:val="1"/>
                <w:bCs w:val="1"/>
                <w:color w:val="auto"/>
              </w:rPr>
              <w:t>Shares of</w:t>
            </w:r>
          </w:p>
        </w:tc>
        <w:tc>
          <w:tcPr>
            <w:tcW w:w="8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Borders>
              <w:top w:val="single" w:sz="8" w:color="auto"/>
            </w:tcBorders>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Shares of</w:t>
            </w:r>
          </w:p>
        </w:tc>
        <w:tc>
          <w:tcPr>
            <w:tcW w:w="10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top w:val="single" w:sz="8" w:color="auto"/>
            </w:tcBorders>
            <w:gridSpan w:val="3"/>
          </w:tcPr>
          <w:p>
            <w:pPr>
              <w:jc w:val="center"/>
              <w:ind w:right="380"/>
              <w:spacing w:after="0" w:line="109" w:lineRule="exact"/>
              <w:rPr>
                <w:sz w:val="20"/>
                <w:szCs w:val="20"/>
                <w:color w:val="auto"/>
              </w:rPr>
            </w:pPr>
            <w:r>
              <w:rPr>
                <w:rFonts w:ascii="Times New Roman" w:cs="Times New Roman" w:eastAsia="Times New Roman" w:hAnsi="Times New Roman"/>
                <w:sz w:val="12"/>
                <w:szCs w:val="12"/>
                <w:b w:val="1"/>
                <w:bCs w:val="1"/>
                <w:color w:val="auto"/>
              </w:rPr>
              <w:t>Shares of</w:t>
            </w:r>
          </w:p>
        </w:tc>
        <w:tc>
          <w:tcPr>
            <w:tcW w:w="7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1260" w:type="dxa"/>
            <w:vAlign w:val="bottom"/>
            <w:gridSpan w:val="3"/>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2"/>
                <w:szCs w:val="12"/>
                <w:color w:val="auto"/>
              </w:rPr>
              <w:t>Dr. Denis Phares</w:t>
            </w:r>
            <w:r>
              <w:rPr>
                <w:rFonts w:ascii="Times New Roman" w:cs="Times New Roman" w:eastAsia="Times New Roman" w:hAnsi="Times New Roman"/>
                <w:sz w:val="18"/>
                <w:szCs w:val="18"/>
                <w:color w:val="auto"/>
                <w:vertAlign w:val="subscript"/>
              </w:rPr>
              <w:t>(1)(2)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15,899,110</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15,899,110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7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Dynavolt Technology (HK)</w:t>
            </w: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Ltd.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11,820,900</w:t>
            </w:r>
          </w:p>
        </w:tc>
        <w:tc>
          <w:tcPr>
            <w:tcW w:w="22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11,820,900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7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Jonas Grossman</w:t>
            </w:r>
            <w:r>
              <w:rPr>
                <w:rFonts w:ascii="Times New Roman" w:cs="Times New Roman" w:eastAsia="Times New Roman" w:hAnsi="Times New Roman"/>
                <w:sz w:val="18"/>
                <w:szCs w:val="18"/>
                <w:color w:val="auto"/>
                <w:vertAlign w:val="subscript"/>
              </w:rPr>
              <w:t>(3)(4)(5)</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3,030,500</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3,030,500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7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Chardan NexTech Investments</w:t>
            </w: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700" w:type="dxa"/>
            <w:vAlign w:val="bottom"/>
            <w:gridSpan w:val="2"/>
          </w:tcPr>
          <w:p>
            <w:pPr>
              <w:spacing w:after="0" w:line="181" w:lineRule="exact"/>
              <w:rPr>
                <w:sz w:val="20"/>
                <w:szCs w:val="20"/>
                <w:color w:val="auto"/>
              </w:rPr>
            </w:pPr>
            <w:r>
              <w:rPr>
                <w:rFonts w:ascii="Times New Roman" w:cs="Times New Roman" w:eastAsia="Times New Roman" w:hAnsi="Times New Roman"/>
                <w:sz w:val="13"/>
                <w:szCs w:val="13"/>
                <w:color w:val="auto"/>
              </w:rPr>
              <w:t xml:space="preserve">2 LLC </w:t>
            </w:r>
            <w:r>
              <w:rPr>
                <w:rFonts w:ascii="Times New Roman" w:cs="Times New Roman" w:eastAsia="Times New Roman" w:hAnsi="Times New Roman"/>
                <w:sz w:val="20"/>
                <w:szCs w:val="20"/>
                <w:color w:val="auto"/>
                <w:vertAlign w:val="subscript"/>
              </w:rPr>
              <w:t>(5)</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3,030,500</w:t>
            </w:r>
          </w:p>
        </w:tc>
        <w:tc>
          <w:tcPr>
            <w:tcW w:w="2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3,030,500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7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Chardan NexTech 2 Warrant</w:t>
            </w: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3"/>
                <w:szCs w:val="13"/>
                <w:color w:val="auto"/>
              </w:rPr>
              <w:t xml:space="preserve">Holdings LLC </w:t>
            </w:r>
            <w:r>
              <w:rPr>
                <w:rFonts w:ascii="Times New Roman" w:cs="Times New Roman" w:eastAsia="Times New Roman" w:hAnsi="Times New Roman"/>
                <w:sz w:val="20"/>
                <w:szCs w:val="20"/>
                <w:color w:val="auto"/>
                <w:vertAlign w:val="subscript"/>
              </w:rPr>
              <w:t>(6)</w:t>
            </w:r>
          </w:p>
        </w:tc>
        <w:tc>
          <w:tcPr>
            <w:tcW w:w="15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4,627,858</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4,627,858</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700" w:type="dxa"/>
            <w:vAlign w:val="bottom"/>
            <w:gridSpan w:val="2"/>
          </w:tcPr>
          <w:p>
            <w:pPr>
              <w:spacing w:after="0" w:line="162" w:lineRule="exact"/>
              <w:rPr>
                <w:sz w:val="20"/>
                <w:szCs w:val="20"/>
                <w:color w:val="auto"/>
              </w:rPr>
            </w:pPr>
            <w:r>
              <w:rPr>
                <w:rFonts w:ascii="Times New Roman" w:cs="Times New Roman" w:eastAsia="Times New Roman" w:hAnsi="Times New Roman"/>
                <w:sz w:val="12"/>
                <w:szCs w:val="12"/>
                <w:color w:val="auto"/>
              </w:rPr>
              <w:t>Sean Nichols</w:t>
            </w:r>
            <w:r>
              <w:rPr>
                <w:rFonts w:ascii="Times New Roman" w:cs="Times New Roman" w:eastAsia="Times New Roman" w:hAnsi="Times New Roman"/>
                <w:sz w:val="18"/>
                <w:szCs w:val="18"/>
                <w:color w:val="auto"/>
                <w:vertAlign w:val="subscript"/>
              </w:rPr>
              <w:t>(1)(7)</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3,558,683</w:t>
            </w:r>
          </w:p>
        </w:tc>
        <w:tc>
          <w:tcPr>
            <w:tcW w:w="2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3,558,683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7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John Marchetti</w:t>
            </w:r>
            <w:r>
              <w:rPr>
                <w:rFonts w:ascii="Times New Roman" w:cs="Times New Roman" w:eastAsia="Times New Roman" w:hAnsi="Times New Roman"/>
                <w:sz w:val="18"/>
                <w:szCs w:val="18"/>
                <w:color w:val="auto"/>
                <w:vertAlign w:val="subscript"/>
              </w:rPr>
              <w:t>(8)</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236,417</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236,417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Nicole Harvey</w:t>
            </w:r>
          </w:p>
        </w:tc>
        <w:tc>
          <w:tcPr>
            <w:tcW w:w="12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11,821</w:t>
            </w:r>
          </w:p>
        </w:tc>
        <w:tc>
          <w:tcPr>
            <w:tcW w:w="22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11,821</w:t>
            </w:r>
          </w:p>
        </w:tc>
        <w:tc>
          <w:tcPr>
            <w:tcW w:w="12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ind w:left="8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tcPr>
          <w:p>
            <w:pPr>
              <w:ind w:left="7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7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Chardan Capital Markets</w:t>
            </w: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3"/>
                <w:szCs w:val="13"/>
                <w:color w:val="auto"/>
              </w:rPr>
              <w:t xml:space="preserve">LLC </w:t>
            </w:r>
            <w:r>
              <w:rPr>
                <w:rFonts w:ascii="Times New Roman" w:cs="Times New Roman" w:eastAsia="Times New Roman" w:hAnsi="Times New Roman"/>
                <w:sz w:val="20"/>
                <w:szCs w:val="20"/>
                <w:color w:val="auto"/>
                <w:vertAlign w:val="subscript"/>
              </w:rPr>
              <w:t>(9)</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15,000</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15,000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Jonathan Biele</w:t>
            </w:r>
          </w:p>
        </w:tc>
        <w:tc>
          <w:tcPr>
            <w:tcW w:w="12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22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12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ind w:left="8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tcPr>
          <w:p>
            <w:pPr>
              <w:ind w:left="7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Perry Boyle</w:t>
            </w:r>
          </w:p>
        </w:tc>
        <w:tc>
          <w:tcPr>
            <w:tcW w:w="12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12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ind w:left="8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shd w:val="clear" w:color="auto" w:fill="CCEEFF"/>
          </w:tcPr>
          <w:p>
            <w:pPr>
              <w:ind w:left="7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Roderick Hardamon</w:t>
            </w:r>
          </w:p>
        </w:tc>
        <w:tc>
          <w:tcPr>
            <w:tcW w:w="12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22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12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ind w:left="8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tcPr>
          <w:p>
            <w:pPr>
              <w:ind w:left="7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Jory Des Jardins</w:t>
            </w:r>
          </w:p>
        </w:tc>
        <w:tc>
          <w:tcPr>
            <w:tcW w:w="12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12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ind w:left="8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shd w:val="clear" w:color="auto" w:fill="CCEEFF"/>
          </w:tcPr>
          <w:p>
            <w:pPr>
              <w:ind w:left="7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Hitesh Thakrar</w:t>
            </w:r>
          </w:p>
        </w:tc>
        <w:tc>
          <w:tcPr>
            <w:tcW w:w="12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22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12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ind w:left="8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tcPr>
          <w:p>
            <w:pPr>
              <w:ind w:left="7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Todd Thomson</w:t>
            </w:r>
          </w:p>
        </w:tc>
        <w:tc>
          <w:tcPr>
            <w:tcW w:w="12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2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12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ind w:left="8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shd w:val="clear" w:color="auto" w:fill="CCEEFF"/>
          </w:tcPr>
          <w:p>
            <w:pPr>
              <w:ind w:left="7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ind w:left="6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700" w:type="dxa"/>
            <w:vAlign w:val="bottom"/>
            <w:gridSpan w:val="2"/>
          </w:tcPr>
          <w:p>
            <w:pPr>
              <w:spacing w:after="0" w:line="162" w:lineRule="exact"/>
              <w:rPr>
                <w:sz w:val="20"/>
                <w:szCs w:val="20"/>
                <w:color w:val="auto"/>
              </w:rPr>
            </w:pPr>
            <w:r>
              <w:rPr>
                <w:rFonts w:ascii="Times New Roman" w:cs="Times New Roman" w:eastAsia="Times New Roman" w:hAnsi="Times New Roman"/>
                <w:sz w:val="12"/>
                <w:szCs w:val="12"/>
                <w:color w:val="auto"/>
              </w:rPr>
              <w:t>BP Holdings XVII LP</w:t>
            </w:r>
            <w:r>
              <w:rPr>
                <w:rFonts w:ascii="Times New Roman" w:cs="Times New Roman" w:eastAsia="Times New Roman" w:hAnsi="Times New Roman"/>
                <w:sz w:val="18"/>
                <w:szCs w:val="18"/>
                <w:color w:val="auto"/>
                <w:vertAlign w:val="subscript"/>
              </w:rPr>
              <w:t>(10)</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274,285</w:t>
            </w:r>
          </w:p>
        </w:tc>
        <w:tc>
          <w:tcPr>
            <w:tcW w:w="2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1,555,834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274,285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1,555,834</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7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Energy Impact Credit Fund II</w:t>
            </w:r>
          </w:p>
        </w:tc>
        <w:tc>
          <w:tcPr>
            <w:tcW w:w="1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20"/>
                <w:szCs w:val="20"/>
                <w:color w:val="auto"/>
                <w:vertAlign w:val="superscript"/>
              </w:rPr>
              <w:t xml:space="preserve">LP </w:t>
            </w:r>
            <w:r>
              <w:rPr>
                <w:rFonts w:ascii="Times New Roman" w:cs="Times New Roman" w:eastAsia="Times New Roman" w:hAnsi="Times New Roman"/>
                <w:sz w:val="9"/>
                <w:szCs w:val="9"/>
                <w:color w:val="auto"/>
              </w:rPr>
              <w:t>(11)</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121,920</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691,568</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121,920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691,568</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70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Energy Impact Credit Fund I</w:t>
            </w: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700" w:type="dxa"/>
            <w:vAlign w:val="bottom"/>
            <w:gridSpan w:val="2"/>
          </w:tcPr>
          <w:p>
            <w:pPr>
              <w:spacing w:after="0" w:line="182" w:lineRule="exact"/>
              <w:rPr>
                <w:sz w:val="20"/>
                <w:szCs w:val="20"/>
                <w:color w:val="auto"/>
              </w:rPr>
            </w:pPr>
            <w:r>
              <w:rPr>
                <w:rFonts w:ascii="Times New Roman" w:cs="Times New Roman" w:eastAsia="Times New Roman" w:hAnsi="Times New Roman"/>
                <w:sz w:val="21"/>
                <w:szCs w:val="21"/>
                <w:color w:val="auto"/>
                <w:vertAlign w:val="superscript"/>
              </w:rPr>
              <w:t xml:space="preserve">LP </w:t>
            </w:r>
            <w:r>
              <w:rPr>
                <w:rFonts w:ascii="Times New Roman" w:cs="Times New Roman" w:eastAsia="Times New Roman" w:hAnsi="Times New Roman"/>
                <w:sz w:val="10"/>
                <w:szCs w:val="10"/>
                <w:color w:val="auto"/>
              </w:rPr>
              <w:t>(12)</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60,937</w:t>
            </w:r>
          </w:p>
        </w:tc>
        <w:tc>
          <w:tcPr>
            <w:tcW w:w="2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345,654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60,937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345,654</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*Indicates less than one percent.</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1,217,906 shares held on behalf of the Phares 2021 GRAT dated July 9, 2021, of which Dr. Phares is trustee.</w:t>
      </w:r>
    </w:p>
    <w:p>
      <w:pPr>
        <w:spacing w:after="0" w:line="63"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is the managing member of Sponsor. As such, Mr. Grossman may be deemed to have beneficial ownership of the common stock held directly by Sponsor. Mr. Grossman disclaims any beneficial ownership of the reported shares other than to the extent of any pecuniary interest he may have therein, directly or indirectly. Certain other employees of CCM or its affiliates, have direct or indirect membership interests in Sponsor, and thus have pecuniary interests in certain of the reported shares. The business address of Sponsor and Mr. Grossman is 17 State Street, 21st Floor, New York, NY 10004.</w:t>
      </w:r>
    </w:p>
    <w:p>
      <w:pPr>
        <w:spacing w:after="0" w:line="21"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the Sponsor on October 12, 2022.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w:t>
      </w:r>
    </w:p>
    <w:p>
      <w:pPr>
        <w:spacing w:after="0" w:line="2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CNTQ private warrants, which Warrant Holdings has agreed not to exercise to the extent that Warrant Holdings and its affiliates would be deemed to beneficially own more than 7.5% of the shares of common stock outstanding immediately after giving effect to such exercise. Warrant Holdings is an affiliate of the Sponsor. The business address of Warrant Holdings is 17 State Street, 21st Floor, New York, NY 10004.</w:t>
      </w:r>
    </w:p>
    <w:p>
      <w:pPr>
        <w:spacing w:after="0" w:line="1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4,627,858 CNTQ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 w:name="page5"/>
    <w:bookmarkEnd w:id="4"/>
    <w:p>
      <w:pPr>
        <w:ind w:left="328" w:right="40" w:hanging="328"/>
        <w:spacing w:after="0" w:line="26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54,393 shares held on behalf of the Nichols GRAT I dated June 14, 2021, and 3,383,142 held on behalf of the Nichols Living Trust 2015, each of which Mr. Nichols is trustee. On November 4, 2022, Dragonfly announced that Mr. Nichols would be leaving Dragonfly on November 7, 2022.</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236,417 shares of common stock issuable upon the exercise of stock options.</w:t>
      </w:r>
    </w:p>
    <w:p>
      <w:pPr>
        <w:spacing w:after="0" w:line="63" w:lineRule="exact"/>
        <w:rPr>
          <w:rFonts w:ascii="Times New Roman" w:cs="Times New Roman" w:eastAsia="Times New Roman" w:hAnsi="Times New Roman"/>
          <w:sz w:val="18"/>
          <w:szCs w:val="18"/>
          <w:color w:val="auto"/>
        </w:rPr>
      </w:pPr>
    </w:p>
    <w:p>
      <w:pPr>
        <w:ind w:left="328" w:hanging="328"/>
        <w:spacing w:after="0" w:line="253"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Following the Closing, all investment and voting power over the shares held by CCM was delegated to Mr. Urbach. The business address of CCM is 17 State Street, Suite 2130, New York, NY 10004. We have excluded from the number of shares beneficially owned prior to the offering all of the shares that CCM may be required to purchase upon the terms of the ChEF Equity Facility, because the issuance of such shares of common stock is solely at our discretion and is subject to conditions and limitations contained in the Purchase Agreement, the satisfaction of which are entirely outside of CCM’s control.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p>
      <w:pPr>
        <w:spacing w:after="0" w:line="3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274,285 shares purchased upon exercise of the $10 Warrants and 1,555,834 shares underlying the Penny Warrants.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121,920 shares purchased upon exercise of the $10 Warrants and 691,568 shares underlying the Penny Warrants.</w:t>
      </w:r>
    </w:p>
    <w:p>
      <w:pPr>
        <w:spacing w:after="0" w:line="6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60,937 shares purchased upon exercise of the $10 Warrants and 345,654 shares underlying the Penny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325755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88"/>
      </w:cols>
      <w:pgMar w:left="652" w:top="36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2022-12-30T16:04:19Z</dcterms:created>
  <dcterms:modified xsi:type="dcterms:W3CDTF">2022-12-30T16:04:19Z</dcterms:modified>
</cp:coreProperties>
</file>