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jc w:val="center"/>
        <w:ind w:left="3880" w:right="1260" w:hanging="2611"/>
        <w:spacing w:after="0" w:line="484" w:lineRule="auto"/>
        <w:tabs>
          <w:tab w:leader="none" w:pos="1471"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UNDER SECTION 13 OR 15(d) OF THE SECURITIES EXCHANGE ACT OF 1934 For the quarterly period ended June 30, 2022</w:t>
      </w:r>
    </w:p>
    <w:p>
      <w:pPr>
        <w:spacing w:after="0" w:line="29"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460"/>
        <w:spacing w:after="0"/>
        <w:tabs>
          <w:tab w:leader="none" w:pos="6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3705225</wp:posOffset>
            </wp:positionH>
            <wp:positionV relativeFrom="paragraph">
              <wp:posOffset>-7620</wp:posOffset>
            </wp:positionV>
            <wp:extent cx="12090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001-40730</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CHARDAN NEXTECH ACQUISITION 2 CORP.</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660" w:type="dxa"/>
            <w:vAlign w:val="bottom"/>
            <w:gridSpan w:val="3"/>
          </w:tcPr>
          <w:p>
            <w:pPr>
              <w:jc w:val="center"/>
              <w:ind w:right="2140"/>
              <w:spacing w:after="0"/>
              <w:rPr>
                <w:sz w:val="20"/>
                <w:szCs w:val="20"/>
                <w:color w:val="auto"/>
              </w:rPr>
            </w:pPr>
            <w:r>
              <w:rPr>
                <w:rFonts w:ascii="Arial" w:cs="Arial" w:eastAsia="Arial" w:hAnsi="Arial"/>
                <w:sz w:val="18"/>
                <w:szCs w:val="18"/>
                <w:b w:val="1"/>
                <w:bCs w:val="1"/>
                <w:color w:val="auto"/>
                <w:w w:val="91"/>
              </w:rPr>
              <w:t>Delaware</w:t>
            </w:r>
          </w:p>
        </w:tc>
        <w:tc>
          <w:tcPr>
            <w:tcW w:w="3580" w:type="dxa"/>
            <w:vAlign w:val="bottom"/>
          </w:tcPr>
          <w:p>
            <w:pPr>
              <w:jc w:val="right"/>
              <w:ind w:right="2230"/>
              <w:spacing w:after="0"/>
              <w:rPr>
                <w:sz w:val="20"/>
                <w:szCs w:val="20"/>
                <w:color w:val="auto"/>
              </w:rPr>
            </w:pPr>
            <w:r>
              <w:rPr>
                <w:rFonts w:ascii="Arial" w:cs="Arial" w:eastAsia="Arial" w:hAnsi="Arial"/>
                <w:sz w:val="18"/>
                <w:szCs w:val="18"/>
                <w:b w:val="1"/>
                <w:bCs w:val="1"/>
                <w:color w:val="auto"/>
              </w:rPr>
              <w:t>85-1873463</w:t>
            </w:r>
          </w:p>
        </w:tc>
      </w:tr>
      <w:tr>
        <w:trPr>
          <w:trHeight w:val="195"/>
        </w:trPr>
        <w:tc>
          <w:tcPr>
            <w:tcW w:w="5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6"/>
                <w:szCs w:val="16"/>
                <w:color w:val="auto"/>
              </w:rPr>
            </w:pPr>
          </w:p>
        </w:tc>
        <w:tc>
          <w:tcPr>
            <w:tcW w:w="1920" w:type="dxa"/>
            <w:vAlign w:val="bottom"/>
            <w:tcBorders>
              <w:top w:val="single" w:sz="8" w:color="auto"/>
            </w:tcBorders>
          </w:tcPr>
          <w:p>
            <w:pPr>
              <w:spacing w:after="0"/>
              <w:rPr>
                <w:sz w:val="16"/>
                <w:szCs w:val="16"/>
                <w:color w:val="auto"/>
              </w:rPr>
            </w:pPr>
          </w:p>
        </w:tc>
        <w:tc>
          <w:tcPr>
            <w:tcW w:w="3580" w:type="dxa"/>
            <w:vAlign w:val="bottom"/>
            <w:tcBorders>
              <w:top w:val="single" w:sz="8" w:color="auto"/>
            </w:tcBorders>
          </w:tcPr>
          <w:p>
            <w:pPr>
              <w:jc w:val="center"/>
              <w:ind w:right="1830"/>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7660" w:type="dxa"/>
            <w:vAlign w:val="bottom"/>
            <w:gridSpan w:val="3"/>
          </w:tcPr>
          <w:p>
            <w:pPr>
              <w:jc w:val="center"/>
              <w:ind w:right="2140"/>
              <w:spacing w:after="0"/>
              <w:rPr>
                <w:sz w:val="20"/>
                <w:szCs w:val="20"/>
                <w:color w:val="auto"/>
              </w:rPr>
            </w:pPr>
            <w:r>
              <w:rPr>
                <w:rFonts w:ascii="Arial" w:cs="Arial" w:eastAsia="Arial" w:hAnsi="Arial"/>
                <w:sz w:val="18"/>
                <w:szCs w:val="18"/>
                <w:color w:val="auto"/>
                <w:w w:val="92"/>
              </w:rPr>
              <w:t>incorporation or organization)</w:t>
            </w:r>
          </w:p>
        </w:tc>
        <w:tc>
          <w:tcPr>
            <w:tcW w:w="3580" w:type="dxa"/>
            <w:vAlign w:val="bottom"/>
          </w:tcPr>
          <w:p>
            <w:pPr>
              <w:ind w:left="140"/>
              <w:spacing w:after="0"/>
              <w:rPr>
                <w:sz w:val="20"/>
                <w:szCs w:val="20"/>
                <w:color w:val="auto"/>
              </w:rPr>
            </w:pPr>
            <w:r>
              <w:rPr>
                <w:rFonts w:ascii="Arial" w:cs="Arial" w:eastAsia="Arial" w:hAnsi="Arial"/>
                <w:sz w:val="18"/>
                <w:szCs w:val="18"/>
                <w:color w:val="auto"/>
              </w:rPr>
              <w:t>Identification No.)</w:t>
            </w:r>
          </w:p>
        </w:tc>
      </w:tr>
      <w:tr>
        <w:trPr>
          <w:trHeight w:val="414"/>
        </w:trPr>
        <w:tc>
          <w:tcPr>
            <w:tcW w:w="7660" w:type="dxa"/>
            <w:vAlign w:val="bottom"/>
            <w:gridSpan w:val="3"/>
          </w:tcPr>
          <w:p>
            <w:pPr>
              <w:jc w:val="center"/>
              <w:ind w:left="3510"/>
              <w:spacing w:after="0"/>
              <w:rPr>
                <w:sz w:val="20"/>
                <w:szCs w:val="20"/>
                <w:color w:val="auto"/>
              </w:rPr>
            </w:pPr>
            <w:r>
              <w:rPr>
                <w:rFonts w:ascii="Arial" w:cs="Arial" w:eastAsia="Arial" w:hAnsi="Arial"/>
                <w:sz w:val="18"/>
                <w:szCs w:val="18"/>
                <w:b w:val="1"/>
                <w:bCs w:val="1"/>
                <w:color w:val="auto"/>
                <w:w w:val="89"/>
              </w:rPr>
              <w:t>17 State Street, 21st Floor</w:t>
            </w:r>
          </w:p>
        </w:tc>
        <w:tc>
          <w:tcPr>
            <w:tcW w:w="3580" w:type="dxa"/>
            <w:vAlign w:val="bottom"/>
          </w:tcPr>
          <w:p>
            <w:pPr>
              <w:spacing w:after="0"/>
              <w:rPr>
                <w:sz w:val="24"/>
                <w:szCs w:val="24"/>
                <w:color w:val="auto"/>
              </w:rPr>
            </w:pPr>
          </w:p>
        </w:tc>
      </w:tr>
      <w:tr>
        <w:trPr>
          <w:trHeight w:val="220"/>
        </w:trPr>
        <w:tc>
          <w:tcPr>
            <w:tcW w:w="7660" w:type="dxa"/>
            <w:vAlign w:val="bottom"/>
            <w:gridSpan w:val="3"/>
          </w:tcPr>
          <w:p>
            <w:pPr>
              <w:jc w:val="center"/>
              <w:ind w:left="3490"/>
              <w:spacing w:after="0"/>
              <w:rPr>
                <w:sz w:val="20"/>
                <w:szCs w:val="20"/>
                <w:color w:val="auto"/>
              </w:rPr>
            </w:pPr>
            <w:r>
              <w:rPr>
                <w:rFonts w:ascii="Arial" w:cs="Arial" w:eastAsia="Arial" w:hAnsi="Arial"/>
                <w:sz w:val="18"/>
                <w:szCs w:val="18"/>
                <w:b w:val="1"/>
                <w:bCs w:val="1"/>
                <w:color w:val="auto"/>
                <w:w w:val="92"/>
              </w:rPr>
              <w:t>New York, NY 10004</w:t>
            </w:r>
          </w:p>
        </w:tc>
        <w:tc>
          <w:tcPr>
            <w:tcW w:w="3580" w:type="dxa"/>
            <w:vAlign w:val="bottom"/>
          </w:tcPr>
          <w:p>
            <w:pPr>
              <w:spacing w:after="0"/>
              <w:rPr>
                <w:sz w:val="19"/>
                <w:szCs w:val="19"/>
                <w:color w:val="auto"/>
              </w:rPr>
            </w:pPr>
          </w:p>
        </w:tc>
      </w:tr>
      <w:tr>
        <w:trPr>
          <w:trHeight w:val="230"/>
        </w:trPr>
        <w:tc>
          <w:tcPr>
            <w:tcW w:w="7660" w:type="dxa"/>
            <w:vAlign w:val="bottom"/>
            <w:gridSpan w:val="3"/>
          </w:tcPr>
          <w:p>
            <w:pPr>
              <w:jc w:val="center"/>
              <w:ind w:left="3490"/>
              <w:spacing w:after="0"/>
              <w:rPr>
                <w:sz w:val="20"/>
                <w:szCs w:val="20"/>
                <w:color w:val="auto"/>
              </w:rPr>
            </w:pPr>
            <w:r>
              <w:rPr>
                <w:rFonts w:ascii="Arial" w:cs="Arial" w:eastAsia="Arial" w:hAnsi="Arial"/>
                <w:sz w:val="18"/>
                <w:szCs w:val="18"/>
                <w:color w:val="auto"/>
                <w:w w:val="91"/>
              </w:rPr>
              <w:t>(Address of principal executive offices and zip code)</w:t>
            </w:r>
          </w:p>
        </w:tc>
        <w:tc>
          <w:tcPr>
            <w:tcW w:w="3580" w:type="dxa"/>
            <w:vAlign w:val="bottom"/>
          </w:tcPr>
          <w:p>
            <w:pPr>
              <w:spacing w:after="0"/>
              <w:rPr>
                <w:sz w:val="20"/>
                <w:szCs w:val="20"/>
                <w:color w:val="auto"/>
              </w:rPr>
            </w:pPr>
          </w:p>
        </w:tc>
      </w:tr>
      <w:tr>
        <w:trPr>
          <w:trHeight w:val="418"/>
        </w:trPr>
        <w:tc>
          <w:tcPr>
            <w:tcW w:w="7660" w:type="dxa"/>
            <w:vAlign w:val="bottom"/>
            <w:gridSpan w:val="3"/>
          </w:tcPr>
          <w:p>
            <w:pPr>
              <w:jc w:val="center"/>
              <w:ind w:left="3490"/>
              <w:spacing w:after="0"/>
              <w:rPr>
                <w:sz w:val="20"/>
                <w:szCs w:val="20"/>
                <w:color w:val="auto"/>
              </w:rPr>
            </w:pPr>
            <w:r>
              <w:rPr>
                <w:rFonts w:ascii="Arial" w:cs="Arial" w:eastAsia="Arial" w:hAnsi="Arial"/>
                <w:sz w:val="18"/>
                <w:szCs w:val="18"/>
                <w:b w:val="1"/>
                <w:bCs w:val="1"/>
                <w:color w:val="auto"/>
                <w:w w:val="90"/>
              </w:rPr>
              <w:t>(646) 465-9000</w:t>
            </w:r>
          </w:p>
        </w:tc>
        <w:tc>
          <w:tcPr>
            <w:tcW w:w="3580" w:type="dxa"/>
            <w:vAlign w:val="bottom"/>
          </w:tcPr>
          <w:p>
            <w:pPr>
              <w:spacing w:after="0"/>
              <w:rPr>
                <w:sz w:val="24"/>
                <w:szCs w:val="24"/>
                <w:color w:val="auto"/>
              </w:rPr>
            </w:pPr>
          </w:p>
        </w:tc>
      </w:tr>
      <w:tr>
        <w:trPr>
          <w:trHeight w:val="230"/>
        </w:trPr>
        <w:tc>
          <w:tcPr>
            <w:tcW w:w="7660" w:type="dxa"/>
            <w:vAlign w:val="bottom"/>
            <w:gridSpan w:val="3"/>
          </w:tcPr>
          <w:p>
            <w:pPr>
              <w:jc w:val="center"/>
              <w:ind w:left="3490"/>
              <w:spacing w:after="0"/>
              <w:rPr>
                <w:sz w:val="20"/>
                <w:szCs w:val="20"/>
                <w:color w:val="auto"/>
              </w:rPr>
            </w:pPr>
            <w:r>
              <w:rPr>
                <w:rFonts w:ascii="Arial" w:cs="Arial" w:eastAsia="Arial" w:hAnsi="Arial"/>
                <w:sz w:val="18"/>
                <w:szCs w:val="18"/>
                <w:color w:val="auto"/>
                <w:w w:val="89"/>
              </w:rPr>
              <w:t>(Registrant’s telephone number, including area code)</w:t>
            </w:r>
          </w:p>
        </w:tc>
        <w:tc>
          <w:tcPr>
            <w:tcW w:w="358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34"/>
        </w:trPr>
        <w:tc>
          <w:tcPr>
            <w:tcW w:w="4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4040" w:type="dxa"/>
            <w:vAlign w:val="bottom"/>
          </w:tcPr>
          <w:p>
            <w:pPr>
              <w:jc w:val="center"/>
              <w:spacing w:after="0"/>
              <w:rPr>
                <w:sz w:val="20"/>
                <w:szCs w:val="20"/>
                <w:color w:val="auto"/>
              </w:rPr>
            </w:pPr>
            <w:r>
              <w:rPr>
                <w:rFonts w:ascii="Arial" w:cs="Arial" w:eastAsia="Arial" w:hAnsi="Arial"/>
                <w:sz w:val="18"/>
                <w:szCs w:val="18"/>
                <w:b w:val="1"/>
                <w:bCs w:val="1"/>
                <w:color w:val="auto"/>
                <w:w w:val="89"/>
              </w:rPr>
              <w:t>which registered</w:t>
            </w:r>
          </w:p>
        </w:tc>
      </w:tr>
      <w:tr>
        <w:trPr>
          <w:trHeight w:val="195"/>
        </w:trPr>
        <w:tc>
          <w:tcPr>
            <w:tcW w:w="47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Units, consisting of one share of Common Stock, par value</w:t>
            </w:r>
          </w:p>
        </w:tc>
        <w:tc>
          <w:tcPr>
            <w:tcW w:w="220" w:type="dxa"/>
            <w:vAlign w:val="bottom"/>
          </w:tcPr>
          <w:p>
            <w:pPr>
              <w:spacing w:after="0"/>
              <w:rPr>
                <w:sz w:val="16"/>
                <w:szCs w:val="16"/>
                <w:color w:val="auto"/>
              </w:rPr>
            </w:pPr>
          </w:p>
        </w:tc>
        <w:tc>
          <w:tcPr>
            <w:tcW w:w="2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CNTQU</w:t>
            </w:r>
          </w:p>
        </w:tc>
        <w:tc>
          <w:tcPr>
            <w:tcW w:w="220" w:type="dxa"/>
            <w:vAlign w:val="bottom"/>
          </w:tcPr>
          <w:p>
            <w:pPr>
              <w:spacing w:after="0"/>
              <w:rPr>
                <w:sz w:val="16"/>
                <w:szCs w:val="16"/>
                <w:color w:val="auto"/>
              </w:rPr>
            </w:pPr>
          </w:p>
        </w:tc>
        <w:tc>
          <w:tcPr>
            <w:tcW w:w="4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r>
      <w:tr>
        <w:trPr>
          <w:trHeight w:val="216"/>
        </w:trPr>
        <w:tc>
          <w:tcPr>
            <w:tcW w:w="49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$0.0001 per share, and three-quarters of one Redeemable</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216"/>
        </w:trPr>
        <w:tc>
          <w:tcPr>
            <w:tcW w:w="49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Warrant</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216"/>
        </w:trPr>
        <w:tc>
          <w:tcPr>
            <w:tcW w:w="49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Common Stock, par value $0.0001 per share, included as part of</w:t>
            </w: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CNTQ</w:t>
            </w:r>
          </w:p>
        </w:tc>
        <w:tc>
          <w:tcPr>
            <w:tcW w:w="404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16"/>
        </w:trPr>
        <w:tc>
          <w:tcPr>
            <w:tcW w:w="49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the Units</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216"/>
        </w:trPr>
        <w:tc>
          <w:tcPr>
            <w:tcW w:w="49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Redeemable Warrants included as part of the Units, each</w:t>
            </w: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CNTQW</w:t>
            </w:r>
          </w:p>
        </w:tc>
        <w:tc>
          <w:tcPr>
            <w:tcW w:w="404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49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exercisable for one share of Common Stock for $11.50 per share</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83" w:right="339" w:bottom="0" w:gutter="0" w:footer="0" w:header="0"/>
        </w:sectPr>
      </w:pPr>
    </w:p>
    <w:p>
      <w:pPr>
        <w:spacing w:after="0" w:line="184" w:lineRule="exact"/>
        <w:rPr>
          <w:sz w:val="24"/>
          <w:szCs w:val="24"/>
          <w:color w:val="auto"/>
        </w:rPr>
      </w:pPr>
    </w:p>
    <w:p>
      <w:pPr>
        <w:spacing w:after="0"/>
        <w:rPr>
          <w:sz w:val="20"/>
          <w:szCs w:val="20"/>
          <w:color w:val="auto"/>
        </w:rPr>
      </w:pPr>
      <w:r>
        <w:rPr>
          <w:rFonts w:ascii="Arial" w:cs="Arial" w:eastAsia="Arial" w:hAnsi="Arial"/>
          <w:sz w:val="17"/>
          <w:szCs w:val="17"/>
          <w:color w:val="auto"/>
        </w:rPr>
        <w:t>Large accelerated filer</w:t>
      </w:r>
    </w:p>
    <w:p>
      <w:pPr>
        <w:spacing w:after="0" w:line="3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4360" w:space="720"/>
            <w:col w:w="6160"/>
          </w:cols>
          <w:pgMar w:left="320" w:top="783" w:right="339" w:bottom="0" w:gutter="0" w:footer="0" w:header="0"/>
          <w:type w:val="continuous"/>
        </w:sectPr>
      </w:pPr>
    </w:p>
    <w:p>
      <w:pPr>
        <w:spacing w:after="0" w:line="3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August 11, 2022, there were 6,255,848 shares of the registrant’s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3" w:right="339"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purpose of this Amendment No. 1 (this “</w:t>
      </w:r>
      <w:r>
        <w:rPr>
          <w:rFonts w:ascii="Arial" w:cs="Arial" w:eastAsia="Arial" w:hAnsi="Arial"/>
          <w:sz w:val="18"/>
          <w:szCs w:val="18"/>
          <w:u w:val="single" w:color="auto"/>
          <w:color w:val="auto"/>
        </w:rPr>
        <w:t>Amendment</w:t>
      </w:r>
      <w:r>
        <w:rPr>
          <w:rFonts w:ascii="Arial" w:cs="Arial" w:eastAsia="Arial" w:hAnsi="Arial"/>
          <w:sz w:val="18"/>
          <w:szCs w:val="18"/>
          <w:color w:val="auto"/>
        </w:rPr>
        <w:t>”) to our Quarterly Report on Form 10-Q for the period ended June 30, 2022 (the “</w:t>
      </w:r>
      <w:r>
        <w:rPr>
          <w:rFonts w:ascii="Arial" w:cs="Arial" w:eastAsia="Arial" w:hAnsi="Arial"/>
          <w:sz w:val="18"/>
          <w:szCs w:val="18"/>
          <w:u w:val="single" w:color="auto"/>
          <w:color w:val="auto"/>
        </w:rPr>
        <w:t>Form 10-Q</w:t>
      </w:r>
      <w:r>
        <w:rPr>
          <w:rFonts w:ascii="Arial" w:cs="Arial" w:eastAsia="Arial" w:hAnsi="Arial"/>
          <w:sz w:val="18"/>
          <w:szCs w:val="18"/>
          <w:color w:val="auto"/>
        </w:rPr>
        <w:t>”), as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August 15, 2022, is solely to correct the number of shares of the Company’s shares of common stock issued and outstanding on August 11, 2022, the date of filing the Form 10-Q. The Form 10-Q disclosed 15,812,500 instead of 6,255,848 shares of the Company’s shares of common stock due to a clerical error.</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addition, as required by Rule 12b-15 under the Securities Exchange Act of 1934, as amended, new certifications of our principal executive officer and principal financial officer are filed as exhibits to this Amendment.</w:t>
      </w:r>
    </w:p>
    <w:p>
      <w:pPr>
        <w:spacing w:after="0" w:line="170"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auto"/>
        </w:rPr>
        <w:t>This Amendment makes no other changes to the Form 10-Q as filed with the SEC on August 15, 2022, and no attempt has been made in this Amendment to modify or update the other disclosures presented in the Form 10-Q. This Amendment does not reflect subsequent events occurring after the original filing of the Form 10-Q (i.e., those events occurring after August 15, 2022) or modify or update in any way those disclosures that may be affected by subsequent events. Accordingly, this Amendment should be read in conjunction with the Form 10-Q and our other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4"/>
          </w:tcPr>
          <w:p>
            <w:pPr>
              <w:spacing w:after="0"/>
              <w:rPr>
                <w:sz w:val="20"/>
                <w:szCs w:val="20"/>
                <w:color w:val="auto"/>
              </w:rPr>
            </w:pPr>
            <w:r>
              <w:rPr>
                <w:rFonts w:ascii="Arial" w:cs="Arial" w:eastAsia="Arial" w:hAnsi="Arial"/>
                <w:sz w:val="18"/>
                <w:szCs w:val="18"/>
                <w:b w:val="1"/>
                <w:bCs w:val="1"/>
                <w:color w:val="auto"/>
              </w:rPr>
              <w:t>Exhibit No.</w:t>
            </w:r>
          </w:p>
        </w:tc>
        <w:tc>
          <w:tcPr>
            <w:tcW w:w="9880" w:type="dxa"/>
            <w:vAlign w:val="bottom"/>
            <w:gridSpan w:val="8"/>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4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80" w:type="dxa"/>
            <w:vAlign w:val="bottom"/>
            <w:tcBorders>
              <w:top w:val="single" w:sz="8" w:color="auto"/>
              <w:bottom w:val="single" w:sz="8" w:color="0000EE"/>
            </w:tcBorders>
            <w:gridSpan w:val="8"/>
          </w:tcPr>
          <w:p>
            <w:pPr>
              <w:spacing w:after="0" w:line="169" w:lineRule="exact"/>
              <w:rPr>
                <w:sz w:val="20"/>
                <w:szCs w:val="20"/>
                <w:color w:val="auto"/>
              </w:rPr>
            </w:pPr>
            <w:r>
              <w:rPr>
                <w:rFonts w:ascii="Arial" w:cs="Arial" w:eastAsia="Arial" w:hAnsi="Arial"/>
                <w:sz w:val="18"/>
                <w:szCs w:val="18"/>
                <w:color w:val="0000EE"/>
                <w:w w:val="92"/>
              </w:rPr>
              <w:t>Certification of Principal Executive Officer Pursuant to Securities Exchange Act Rules 13a-14(a) and 15(d)-14(a), as adopted Pursuant</w:t>
            </w:r>
          </w:p>
        </w:tc>
        <w:tc>
          <w:tcPr>
            <w:tcW w:w="0" w:type="dxa"/>
            <w:vAlign w:val="bottom"/>
          </w:tcPr>
          <w:p>
            <w:pPr>
              <w:spacing w:after="0"/>
              <w:rPr>
                <w:sz w:val="1"/>
                <w:szCs w:val="1"/>
                <w:color w:val="auto"/>
              </w:rPr>
            </w:pPr>
          </w:p>
        </w:tc>
      </w:tr>
      <w:tr>
        <w:trPr>
          <w:trHeight w:val="169"/>
        </w:trPr>
        <w:tc>
          <w:tcPr>
            <w:tcW w:w="420" w:type="dxa"/>
            <w:vAlign w:val="bottom"/>
            <w:vMerge w:val="restart"/>
          </w:tcPr>
          <w:p>
            <w:pPr>
              <w:spacing w:after="0"/>
              <w:rPr>
                <w:sz w:val="20"/>
                <w:szCs w:val="20"/>
                <w:color w:val="auto"/>
              </w:rPr>
            </w:pPr>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1*</w:t>
            </w:r>
          </w:p>
        </w:tc>
        <w:tc>
          <w:tcPr>
            <w:tcW w:w="80" w:type="dxa"/>
            <w:vAlign w:val="bottom"/>
            <w:vMerge w:val="restart"/>
          </w:tcPr>
          <w:p>
            <w:pPr>
              <w:spacing w:after="0"/>
              <w:rPr>
                <w:sz w:val="14"/>
                <w:szCs w:val="14"/>
                <w:color w:val="auto"/>
              </w:rPr>
            </w:pPr>
          </w:p>
        </w:tc>
        <w:tc>
          <w:tcPr>
            <w:tcW w:w="64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3600" w:type="dxa"/>
            <w:vAlign w:val="bottom"/>
            <w:gridSpan w:val="5"/>
            <w:vMerge w:val="restart"/>
          </w:tcPr>
          <w:p>
            <w:pPr>
              <w:spacing w:after="0"/>
              <w:rPr>
                <w:sz w:val="20"/>
                <w:szCs w:val="20"/>
                <w:color w:val="auto"/>
              </w:rPr>
            </w:pPr>
            <w:r>
              <w:rPr>
                <w:rFonts w:ascii="Arial" w:cs="Arial" w:eastAsia="Arial" w:hAnsi="Arial"/>
                <w:sz w:val="18"/>
                <w:szCs w:val="18"/>
                <w:color w:val="0000EE"/>
                <w:w w:val="90"/>
              </w:rPr>
              <w:t>to Section 302 of the Sarbanes-Oxley Act of 2002</w:t>
            </w:r>
          </w:p>
        </w:tc>
        <w:tc>
          <w:tcPr>
            <w:tcW w:w="180" w:type="dxa"/>
            <w:vAlign w:val="bottom"/>
            <w:tcBorders>
              <w:bottom w:val="single" w:sz="8" w:color="0000EE"/>
            </w:tcBorders>
          </w:tcPr>
          <w:p>
            <w:pPr>
              <w:jc w:val="right"/>
              <w:spacing w:after="0" w:line="156" w:lineRule="exact"/>
              <w:rPr>
                <w:sz w:val="20"/>
                <w:szCs w:val="20"/>
                <w:color w:val="auto"/>
              </w:rPr>
            </w:pPr>
            <w:r>
              <w:rPr>
                <w:rFonts w:ascii="Arial" w:cs="Arial" w:eastAsia="Arial" w:hAnsi="Arial"/>
                <w:sz w:val="15"/>
                <w:szCs w:val="15"/>
                <w:color w:val="0000EE"/>
                <w:w w:val="87"/>
              </w:rPr>
              <w:t>(1)</w:t>
            </w:r>
          </w:p>
        </w:tc>
        <w:tc>
          <w:tcPr>
            <w:tcW w:w="608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20" w:type="dxa"/>
            <w:vAlign w:val="bottom"/>
            <w:tcBorders>
              <w:bottom w:val="single" w:sz="8" w:color="0000EE"/>
            </w:tcBorders>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3600" w:type="dxa"/>
            <w:vAlign w:val="bottom"/>
            <w:tcBorders>
              <w:bottom w:val="single" w:sz="8" w:color="0000EE"/>
            </w:tcBorders>
            <w:gridSpan w:val="5"/>
            <w:vMerge w:val="continue"/>
          </w:tcPr>
          <w:p>
            <w:pPr>
              <w:spacing w:after="0"/>
              <w:rPr>
                <w:sz w:val="4"/>
                <w:szCs w:val="4"/>
                <w:color w:val="auto"/>
              </w:rPr>
            </w:pPr>
          </w:p>
        </w:tc>
        <w:tc>
          <w:tcPr>
            <w:tcW w:w="180" w:type="dxa"/>
            <w:vAlign w:val="bottom"/>
          </w:tcPr>
          <w:p>
            <w:pPr>
              <w:spacing w:after="0"/>
              <w:rPr>
                <w:sz w:val="4"/>
                <w:szCs w:val="4"/>
                <w:color w:val="auto"/>
              </w:rPr>
            </w:pPr>
          </w:p>
        </w:tc>
        <w:tc>
          <w:tcPr>
            <w:tcW w:w="608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1"/>
              </w:rPr>
              <w:t>Certification of Principal Financial Officer Pursuant to Securities Exchange Act Rules 13a-14(a) and 15(d)-14(a), as adopted Pursuant to</w:t>
            </w:r>
          </w:p>
        </w:tc>
        <w:tc>
          <w:tcPr>
            <w:tcW w:w="0" w:type="dxa"/>
            <w:vAlign w:val="bottom"/>
          </w:tcPr>
          <w:p>
            <w:pPr>
              <w:spacing w:after="0"/>
              <w:rPr>
                <w:sz w:val="1"/>
                <w:szCs w:val="1"/>
                <w:color w:val="auto"/>
              </w:rPr>
            </w:pPr>
          </w:p>
        </w:tc>
      </w:tr>
      <w:tr>
        <w:trPr>
          <w:trHeight w:val="169"/>
        </w:trPr>
        <w:tc>
          <w:tcPr>
            <w:tcW w:w="420" w:type="dxa"/>
            <w:vAlign w:val="bottom"/>
            <w:vMerge w:val="restart"/>
          </w:tcPr>
          <w:p>
            <w:pPr>
              <w:spacing w:after="0"/>
              <w:rPr>
                <w:sz w:val="20"/>
                <w:szCs w:val="20"/>
                <w:color w:val="auto"/>
              </w:rPr>
            </w:pPr>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2*</w:t>
            </w:r>
          </w:p>
        </w:tc>
        <w:tc>
          <w:tcPr>
            <w:tcW w:w="80" w:type="dxa"/>
            <w:vAlign w:val="bottom"/>
            <w:vMerge w:val="restart"/>
          </w:tcPr>
          <w:p>
            <w:pPr>
              <w:spacing w:after="0"/>
              <w:rPr>
                <w:sz w:val="14"/>
                <w:szCs w:val="14"/>
                <w:color w:val="auto"/>
              </w:rPr>
            </w:pPr>
          </w:p>
        </w:tc>
        <w:tc>
          <w:tcPr>
            <w:tcW w:w="64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3420" w:type="dxa"/>
            <w:vAlign w:val="bottom"/>
            <w:gridSpan w:val="3"/>
            <w:vMerge w:val="restart"/>
          </w:tcPr>
          <w:p>
            <w:pPr>
              <w:spacing w:after="0"/>
              <w:rPr>
                <w:sz w:val="20"/>
                <w:szCs w:val="20"/>
                <w:color w:val="auto"/>
              </w:rPr>
            </w:pPr>
            <w:r>
              <w:rPr>
                <w:rFonts w:ascii="Arial" w:cs="Arial" w:eastAsia="Arial" w:hAnsi="Arial"/>
                <w:sz w:val="18"/>
                <w:szCs w:val="18"/>
                <w:color w:val="0000EE"/>
                <w:w w:val="90"/>
              </w:rPr>
              <w:t>Section 302 of the Sarbanes-Oxley Act of 2002</w:t>
            </w:r>
          </w:p>
        </w:tc>
        <w:tc>
          <w:tcPr>
            <w:tcW w:w="160" w:type="dxa"/>
            <w:vAlign w:val="bottom"/>
            <w:tcBorders>
              <w:bottom w:val="single" w:sz="8" w:color="0000EE"/>
            </w:tcBorders>
          </w:tcPr>
          <w:p>
            <w:pPr>
              <w:jc w:val="right"/>
              <w:spacing w:after="0" w:line="156" w:lineRule="exact"/>
              <w:rPr>
                <w:sz w:val="20"/>
                <w:szCs w:val="20"/>
                <w:color w:val="auto"/>
              </w:rPr>
            </w:pPr>
            <w:r>
              <w:rPr>
                <w:rFonts w:ascii="Arial" w:cs="Arial" w:eastAsia="Arial" w:hAnsi="Arial"/>
                <w:sz w:val="15"/>
                <w:szCs w:val="15"/>
                <w:color w:val="0000EE"/>
                <w:w w:val="76"/>
              </w:rPr>
              <w:t>(1)</w:t>
            </w:r>
          </w:p>
        </w:tc>
        <w:tc>
          <w:tcPr>
            <w:tcW w:w="6280" w:type="dxa"/>
            <w:vAlign w:val="bottom"/>
            <w:gridSpan w:val="3"/>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20" w:type="dxa"/>
            <w:vAlign w:val="bottom"/>
            <w:tcBorders>
              <w:bottom w:val="single" w:sz="8" w:color="0000EE"/>
            </w:tcBorders>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3420" w:type="dxa"/>
            <w:vAlign w:val="bottom"/>
            <w:tcBorders>
              <w:bottom w:val="single" w:sz="8" w:color="0000EE"/>
            </w:tcBorders>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6280" w:type="dxa"/>
            <w:vAlign w:val="bottom"/>
            <w:gridSpan w:val="3"/>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3"/>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69"/>
        </w:trPr>
        <w:tc>
          <w:tcPr>
            <w:tcW w:w="500" w:type="dxa"/>
            <w:vAlign w:val="bottom"/>
            <w:gridSpan w:val="2"/>
            <w:vMerge w:val="restart"/>
          </w:tcPr>
          <w:p>
            <w:pPr>
              <w:spacing w:after="0"/>
              <w:rPr>
                <w:sz w:val="20"/>
                <w:szCs w:val="20"/>
                <w:color w:val="auto"/>
              </w:rPr>
            </w:pPr>
            <w:r>
              <w:rPr>
                <w:rFonts w:ascii="Arial" w:cs="Arial" w:eastAsia="Arial" w:hAnsi="Arial"/>
                <w:sz w:val="18"/>
                <w:szCs w:val="18"/>
                <w:color w:val="0000EE"/>
                <w:w w:val="97"/>
              </w:rPr>
              <w:t>32.</w:t>
            </w:r>
            <w:r>
              <w:rPr>
                <w:rFonts w:ascii="Arial" w:cs="Arial" w:eastAsia="Arial" w:hAnsi="Arial"/>
                <w:sz w:val="18"/>
                <w:szCs w:val="18"/>
                <w:u w:val="single" w:color="auto"/>
                <w:color w:val="0000EE"/>
                <w:w w:val="97"/>
              </w:rPr>
              <w:t>1**</w:t>
            </w:r>
          </w:p>
        </w:tc>
        <w:tc>
          <w:tcPr>
            <w:tcW w:w="64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vMerge w:val="restart"/>
          </w:tcPr>
          <w:p>
            <w:pPr>
              <w:spacing w:after="0"/>
              <w:rPr>
                <w:sz w:val="20"/>
                <w:szCs w:val="20"/>
                <w:color w:val="auto"/>
              </w:rPr>
            </w:pPr>
            <w:r>
              <w:rPr>
                <w:rFonts w:ascii="Arial" w:cs="Arial" w:eastAsia="Arial" w:hAnsi="Arial"/>
                <w:sz w:val="18"/>
                <w:szCs w:val="18"/>
                <w:color w:val="0000EE"/>
                <w:w w:val="92"/>
              </w:rPr>
              <w:t>Oxley Act of 2002</w:t>
            </w:r>
          </w:p>
        </w:tc>
        <w:tc>
          <w:tcPr>
            <w:tcW w:w="180" w:type="dxa"/>
            <w:vAlign w:val="bottom"/>
            <w:tcBorders>
              <w:bottom w:val="single" w:sz="8" w:color="0000EE"/>
            </w:tcBorders>
          </w:tcPr>
          <w:p>
            <w:pPr>
              <w:jc w:val="right"/>
              <w:spacing w:after="0" w:line="156" w:lineRule="exact"/>
              <w:rPr>
                <w:sz w:val="20"/>
                <w:szCs w:val="20"/>
                <w:color w:val="auto"/>
              </w:rPr>
            </w:pPr>
            <w:r>
              <w:rPr>
                <w:rFonts w:ascii="Arial" w:cs="Arial" w:eastAsia="Arial" w:hAnsi="Arial"/>
                <w:sz w:val="15"/>
                <w:szCs w:val="15"/>
                <w:color w:val="0000EE"/>
                <w:w w:val="87"/>
              </w:rPr>
              <w:t>(1)</w:t>
            </w:r>
          </w:p>
        </w:tc>
        <w:tc>
          <w:tcPr>
            <w:tcW w:w="8340" w:type="dxa"/>
            <w:vAlign w:val="bottom"/>
            <w:gridSpan w:val="5"/>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500" w:type="dxa"/>
            <w:vAlign w:val="bottom"/>
            <w:tcBorders>
              <w:bottom w:val="single" w:sz="8" w:color="0000EE"/>
            </w:tcBorders>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340" w:type="dxa"/>
            <w:vAlign w:val="bottom"/>
            <w:tcBorders>
              <w:bottom w:val="single" w:sz="8" w:color="0000EE"/>
            </w:tcBorders>
            <w:vMerge w:val="continue"/>
          </w:tcPr>
          <w:p>
            <w:pPr>
              <w:spacing w:after="0"/>
              <w:rPr>
                <w:sz w:val="4"/>
                <w:szCs w:val="4"/>
                <w:color w:val="auto"/>
              </w:rPr>
            </w:pPr>
          </w:p>
        </w:tc>
        <w:tc>
          <w:tcPr>
            <w:tcW w:w="180" w:type="dxa"/>
            <w:vAlign w:val="bottom"/>
          </w:tcPr>
          <w:p>
            <w:pPr>
              <w:spacing w:after="0"/>
              <w:rPr>
                <w:sz w:val="4"/>
                <w:szCs w:val="4"/>
                <w:color w:val="auto"/>
              </w:rPr>
            </w:pPr>
          </w:p>
        </w:tc>
        <w:tc>
          <w:tcPr>
            <w:tcW w:w="8340" w:type="dxa"/>
            <w:vAlign w:val="bottom"/>
            <w:gridSpan w:val="5"/>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8"/>
          </w:tcPr>
          <w:p>
            <w:pPr>
              <w:spacing w:after="0" w:line="196" w:lineRule="exact"/>
              <w:rPr>
                <w:sz w:val="20"/>
                <w:szCs w:val="20"/>
                <w:color w:val="auto"/>
              </w:rPr>
            </w:pPr>
            <w:r>
              <w:rPr>
                <w:rFonts w:ascii="Arial" w:cs="Arial" w:eastAsia="Arial" w:hAnsi="Arial"/>
                <w:sz w:val="18"/>
                <w:szCs w:val="18"/>
                <w:color w:val="0000EE"/>
                <w:w w:val="94"/>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69"/>
        </w:trPr>
        <w:tc>
          <w:tcPr>
            <w:tcW w:w="500" w:type="dxa"/>
            <w:vAlign w:val="bottom"/>
            <w:gridSpan w:val="2"/>
            <w:vMerge w:val="restart"/>
          </w:tcPr>
          <w:p>
            <w:pPr>
              <w:spacing w:after="0"/>
              <w:rPr>
                <w:sz w:val="20"/>
                <w:szCs w:val="20"/>
                <w:color w:val="auto"/>
              </w:rPr>
            </w:pPr>
            <w:r>
              <w:rPr>
                <w:rFonts w:ascii="Arial" w:cs="Arial" w:eastAsia="Arial" w:hAnsi="Arial"/>
                <w:sz w:val="18"/>
                <w:szCs w:val="18"/>
                <w:color w:val="0000EE"/>
                <w:w w:val="97"/>
              </w:rPr>
              <w:t>32.</w:t>
            </w:r>
            <w:r>
              <w:rPr>
                <w:rFonts w:ascii="Arial" w:cs="Arial" w:eastAsia="Arial" w:hAnsi="Arial"/>
                <w:sz w:val="18"/>
                <w:szCs w:val="18"/>
                <w:u w:val="single" w:color="auto"/>
                <w:color w:val="0000EE"/>
                <w:w w:val="97"/>
              </w:rPr>
              <w:t>2**</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Borders>
              <w:top w:val="single" w:sz="8" w:color="0000EE"/>
              <w:bottom w:val="single" w:sz="8" w:color="0000EE"/>
            </w:tcBorders>
            <w:vMerge w:val="restart"/>
          </w:tcPr>
          <w:p>
            <w:pPr>
              <w:spacing w:after="0"/>
              <w:rPr>
                <w:sz w:val="20"/>
                <w:szCs w:val="20"/>
                <w:color w:val="auto"/>
              </w:rPr>
            </w:pPr>
            <w:r>
              <w:rPr>
                <w:rFonts w:ascii="Arial" w:cs="Arial" w:eastAsia="Arial" w:hAnsi="Arial"/>
                <w:sz w:val="18"/>
                <w:szCs w:val="18"/>
                <w:color w:val="0000EE"/>
                <w:w w:val="92"/>
              </w:rPr>
              <w:t>Oxley Act of 2002</w:t>
            </w:r>
          </w:p>
        </w:tc>
        <w:tc>
          <w:tcPr>
            <w:tcW w:w="180" w:type="dxa"/>
            <w:vAlign w:val="bottom"/>
            <w:tcBorders>
              <w:top w:val="single" w:sz="8" w:color="0000EE"/>
              <w:bottom w:val="single" w:sz="8" w:color="0000EE"/>
            </w:tcBorders>
          </w:tcPr>
          <w:p>
            <w:pPr>
              <w:jc w:val="right"/>
              <w:spacing w:after="0" w:line="156" w:lineRule="exact"/>
              <w:rPr>
                <w:sz w:val="20"/>
                <w:szCs w:val="20"/>
                <w:color w:val="auto"/>
              </w:rPr>
            </w:pPr>
            <w:r>
              <w:rPr>
                <w:rFonts w:ascii="Arial" w:cs="Arial" w:eastAsia="Arial" w:hAnsi="Arial"/>
                <w:sz w:val="15"/>
                <w:szCs w:val="15"/>
                <w:color w:val="0000EE"/>
                <w:w w:val="87"/>
              </w:rPr>
              <w:t>(1)</w:t>
            </w:r>
          </w:p>
        </w:tc>
        <w:tc>
          <w:tcPr>
            <w:tcW w:w="8340" w:type="dxa"/>
            <w:vAlign w:val="bottom"/>
            <w:tcBorders>
              <w:top w:val="single" w:sz="8" w:color="0000EE"/>
              <w:bottom w:val="single" w:sz="8" w:color="0000EE"/>
            </w:tcBorders>
            <w:gridSpan w:val="5"/>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500" w:type="dxa"/>
            <w:vAlign w:val="bottom"/>
            <w:tcBorders>
              <w:bottom w:val="single" w:sz="8" w:color="0000EE"/>
            </w:tcBorders>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40" w:type="dxa"/>
            <w:vAlign w:val="bottom"/>
            <w:tcBorders>
              <w:bottom w:val="single" w:sz="8" w:color="0000EE"/>
            </w:tcBorders>
            <w:vMerge w:val="continue"/>
          </w:tcPr>
          <w:p>
            <w:pPr>
              <w:spacing w:after="0"/>
              <w:rPr>
                <w:sz w:val="4"/>
                <w:szCs w:val="4"/>
                <w:color w:val="auto"/>
              </w:rPr>
            </w:pPr>
          </w:p>
        </w:tc>
        <w:tc>
          <w:tcPr>
            <w:tcW w:w="180" w:type="dxa"/>
            <w:vAlign w:val="bottom"/>
          </w:tcPr>
          <w:p>
            <w:pPr>
              <w:spacing w:after="0"/>
              <w:rPr>
                <w:sz w:val="4"/>
                <w:szCs w:val="4"/>
                <w:color w:val="auto"/>
              </w:rPr>
            </w:pPr>
          </w:p>
        </w:tc>
        <w:tc>
          <w:tcPr>
            <w:tcW w:w="8340" w:type="dxa"/>
            <w:vAlign w:val="bottom"/>
            <w:gridSpan w:val="5"/>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360" w:type="dxa"/>
            <w:vAlign w:val="bottom"/>
            <w:gridSpan w:val="4"/>
          </w:tcPr>
          <w:p>
            <w:pPr>
              <w:spacing w:after="0"/>
              <w:rPr>
                <w:sz w:val="20"/>
                <w:szCs w:val="20"/>
                <w:color w:val="auto"/>
              </w:rPr>
            </w:pPr>
            <w:r>
              <w:rPr>
                <w:rFonts w:ascii="Arial" w:cs="Arial" w:eastAsia="Arial" w:hAnsi="Arial"/>
                <w:sz w:val="18"/>
                <w:szCs w:val="18"/>
                <w:color w:val="auto"/>
              </w:rPr>
              <w:t>101.INS*</w:t>
            </w:r>
          </w:p>
        </w:tc>
        <w:tc>
          <w:tcPr>
            <w:tcW w:w="988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1360" w:type="dxa"/>
            <w:vAlign w:val="bottom"/>
            <w:gridSpan w:val="4"/>
          </w:tcPr>
          <w:p>
            <w:pPr>
              <w:spacing w:after="0"/>
              <w:rPr>
                <w:sz w:val="20"/>
                <w:szCs w:val="20"/>
                <w:color w:val="auto"/>
              </w:rPr>
            </w:pPr>
            <w:r>
              <w:rPr>
                <w:rFonts w:ascii="Arial" w:cs="Arial" w:eastAsia="Arial" w:hAnsi="Arial"/>
                <w:sz w:val="18"/>
                <w:szCs w:val="18"/>
                <w:color w:val="auto"/>
              </w:rPr>
              <w:t>101.CAL*</w:t>
            </w:r>
          </w:p>
        </w:tc>
        <w:tc>
          <w:tcPr>
            <w:tcW w:w="988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360" w:type="dxa"/>
            <w:vAlign w:val="bottom"/>
            <w:gridSpan w:val="4"/>
          </w:tcPr>
          <w:p>
            <w:pPr>
              <w:spacing w:after="0"/>
              <w:rPr>
                <w:sz w:val="20"/>
                <w:szCs w:val="20"/>
                <w:color w:val="auto"/>
              </w:rPr>
            </w:pPr>
            <w:r>
              <w:rPr>
                <w:rFonts w:ascii="Arial" w:cs="Arial" w:eastAsia="Arial" w:hAnsi="Arial"/>
                <w:sz w:val="18"/>
                <w:szCs w:val="18"/>
                <w:color w:val="auto"/>
              </w:rPr>
              <w:t>101.SCH*</w:t>
            </w:r>
          </w:p>
        </w:tc>
        <w:tc>
          <w:tcPr>
            <w:tcW w:w="988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360" w:type="dxa"/>
            <w:vAlign w:val="bottom"/>
            <w:gridSpan w:val="4"/>
          </w:tcPr>
          <w:p>
            <w:pPr>
              <w:spacing w:after="0"/>
              <w:rPr>
                <w:sz w:val="20"/>
                <w:szCs w:val="20"/>
                <w:color w:val="auto"/>
              </w:rPr>
            </w:pPr>
            <w:r>
              <w:rPr>
                <w:rFonts w:ascii="Arial" w:cs="Arial" w:eastAsia="Arial" w:hAnsi="Arial"/>
                <w:sz w:val="18"/>
                <w:szCs w:val="18"/>
                <w:color w:val="auto"/>
              </w:rPr>
              <w:t>101.DEF*</w:t>
            </w:r>
          </w:p>
        </w:tc>
        <w:tc>
          <w:tcPr>
            <w:tcW w:w="988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1360" w:type="dxa"/>
            <w:vAlign w:val="bottom"/>
            <w:gridSpan w:val="4"/>
          </w:tcPr>
          <w:p>
            <w:pPr>
              <w:spacing w:after="0"/>
              <w:rPr>
                <w:sz w:val="20"/>
                <w:szCs w:val="20"/>
                <w:color w:val="auto"/>
              </w:rPr>
            </w:pPr>
            <w:r>
              <w:rPr>
                <w:rFonts w:ascii="Arial" w:cs="Arial" w:eastAsia="Arial" w:hAnsi="Arial"/>
                <w:sz w:val="18"/>
                <w:szCs w:val="18"/>
                <w:color w:val="auto"/>
              </w:rPr>
              <w:t>101.LAB*</w:t>
            </w:r>
          </w:p>
        </w:tc>
        <w:tc>
          <w:tcPr>
            <w:tcW w:w="9880" w:type="dxa"/>
            <w:vAlign w:val="bottom"/>
            <w:gridSpan w:val="8"/>
          </w:tcPr>
          <w:p>
            <w:pPr>
              <w:spacing w:after="0"/>
              <w:rPr>
                <w:sz w:val="20"/>
                <w:szCs w:val="20"/>
                <w:color w:val="auto"/>
              </w:rPr>
            </w:pPr>
            <w:r>
              <w:rPr>
                <w:rFonts w:ascii="Arial" w:cs="Arial" w:eastAsia="Arial" w:hAnsi="Arial"/>
                <w:sz w:val="18"/>
                <w:szCs w:val="18"/>
                <w:color w:val="auto"/>
              </w:rPr>
              <w:t>XBRL Taxonomy Extension Labels Linkbase Document</w:t>
            </w:r>
          </w:p>
        </w:tc>
        <w:tc>
          <w:tcPr>
            <w:tcW w:w="0" w:type="dxa"/>
            <w:vAlign w:val="bottom"/>
          </w:tcPr>
          <w:p>
            <w:pPr>
              <w:spacing w:after="0"/>
              <w:rPr>
                <w:sz w:val="1"/>
                <w:szCs w:val="1"/>
                <w:color w:val="auto"/>
              </w:rPr>
            </w:pPr>
          </w:p>
        </w:tc>
      </w:tr>
      <w:tr>
        <w:trPr>
          <w:trHeight w:val="230"/>
        </w:trPr>
        <w:tc>
          <w:tcPr>
            <w:tcW w:w="1360" w:type="dxa"/>
            <w:vAlign w:val="bottom"/>
            <w:gridSpan w:val="4"/>
          </w:tcPr>
          <w:p>
            <w:pPr>
              <w:spacing w:after="0"/>
              <w:rPr>
                <w:sz w:val="20"/>
                <w:szCs w:val="20"/>
                <w:color w:val="auto"/>
              </w:rPr>
            </w:pPr>
            <w:r>
              <w:rPr>
                <w:rFonts w:ascii="Arial" w:cs="Arial" w:eastAsia="Arial" w:hAnsi="Arial"/>
                <w:sz w:val="18"/>
                <w:szCs w:val="18"/>
                <w:color w:val="auto"/>
              </w:rPr>
              <w:t>101.PRE*</w:t>
            </w:r>
          </w:p>
        </w:tc>
        <w:tc>
          <w:tcPr>
            <w:tcW w:w="988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ind w:left="1360" w:hanging="1352"/>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included as Exhibit 101)</w:t>
      </w:r>
    </w:p>
    <w:p>
      <w:pPr>
        <w:spacing w:after="0" w:line="23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These exhibits were previously included in the Registrant’s Quarterly Report on Form 10-Q for the quarterly period ended June 30, 2022, filed with the Securities and Exchange Commission on August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Arial" w:cs="Arial" w:eastAsia="Arial" w:hAnsi="Arial"/>
                <w:sz w:val="18"/>
                <w:szCs w:val="18"/>
                <w:b w:val="1"/>
                <w:bCs w:val="1"/>
                <w:color w:val="auto"/>
              </w:rPr>
              <w:t>Chardan NexTech Acquisition 2 Corp.</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August 17, 2022</w:t>
            </w:r>
          </w:p>
        </w:tc>
        <w:tc>
          <w:tcPr>
            <w:tcW w:w="7600" w:type="dxa"/>
            <w:vAlign w:val="bottom"/>
            <w:gridSpan w:val="2"/>
          </w:tcPr>
          <w:p>
            <w:pPr>
              <w:ind w:left="2000"/>
              <w:spacing w:after="0"/>
              <w:rPr>
                <w:sz w:val="20"/>
                <w:szCs w:val="20"/>
                <w:color w:val="auto"/>
              </w:rPr>
            </w:pPr>
            <w:r>
              <w:rPr>
                <w:rFonts w:ascii="Arial" w:cs="Arial" w:eastAsia="Arial" w:hAnsi="Arial"/>
                <w:sz w:val="18"/>
                <w:szCs w:val="18"/>
                <w:color w:val="auto"/>
              </w:rPr>
              <w:t>By: /s/ Jonas Grossman</w:t>
            </w:r>
          </w:p>
        </w:tc>
      </w:tr>
      <w:tr>
        <w:trPr>
          <w:trHeight w:val="195"/>
        </w:trPr>
        <w:tc>
          <w:tcPr>
            <w:tcW w:w="36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Jonas Grossman</w:t>
            </w:r>
          </w:p>
        </w:tc>
      </w:tr>
      <w:tr>
        <w:trPr>
          <w:trHeight w:val="216"/>
        </w:trPr>
        <w:tc>
          <w:tcPr>
            <w:tcW w:w="36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Executive Officer, President,</w:t>
            </w:r>
          </w:p>
        </w:tc>
      </w:tr>
      <w:tr>
        <w:trPr>
          <w:trHeight w:val="216"/>
        </w:trPr>
        <w:tc>
          <w:tcPr>
            <w:tcW w:w="36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Secretary, Treasurer and Director</w:t>
            </w:r>
          </w:p>
        </w:tc>
      </w:tr>
      <w:tr>
        <w:trPr>
          <w:trHeight w:val="230"/>
        </w:trPr>
        <w:tc>
          <w:tcPr>
            <w:tcW w:w="3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640" w:type="dxa"/>
            <w:vAlign w:val="bottom"/>
          </w:tcPr>
          <w:p>
            <w:pPr>
              <w:spacing w:after="0"/>
              <w:rPr>
                <w:sz w:val="24"/>
                <w:szCs w:val="24"/>
                <w:color w:val="auto"/>
              </w:rPr>
            </w:pPr>
          </w:p>
        </w:tc>
        <w:tc>
          <w:tcPr>
            <w:tcW w:w="7600" w:type="dxa"/>
            <w:vAlign w:val="bottom"/>
            <w:gridSpan w:val="2"/>
          </w:tcPr>
          <w:p>
            <w:pPr>
              <w:ind w:left="2000"/>
              <w:spacing w:after="0"/>
              <w:rPr>
                <w:sz w:val="20"/>
                <w:szCs w:val="20"/>
                <w:color w:val="auto"/>
              </w:rPr>
            </w:pPr>
            <w:r>
              <w:rPr>
                <w:rFonts w:ascii="Arial" w:cs="Arial" w:eastAsia="Arial" w:hAnsi="Arial"/>
                <w:sz w:val="18"/>
                <w:szCs w:val="18"/>
                <w:b w:val="1"/>
                <w:bCs w:val="1"/>
                <w:color w:val="auto"/>
              </w:rPr>
              <w:t>Chardan NexTech Acquisition 2 Corp.</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August 17, 2022</w:t>
            </w:r>
          </w:p>
        </w:tc>
        <w:tc>
          <w:tcPr>
            <w:tcW w:w="7600" w:type="dxa"/>
            <w:vAlign w:val="bottom"/>
            <w:gridSpan w:val="2"/>
          </w:tcPr>
          <w:p>
            <w:pPr>
              <w:ind w:left="2000"/>
              <w:spacing w:after="0"/>
              <w:rPr>
                <w:sz w:val="20"/>
                <w:szCs w:val="20"/>
                <w:color w:val="auto"/>
              </w:rPr>
            </w:pPr>
            <w:r>
              <w:rPr>
                <w:rFonts w:ascii="Arial" w:cs="Arial" w:eastAsia="Arial" w:hAnsi="Arial"/>
                <w:sz w:val="18"/>
                <w:szCs w:val="18"/>
                <w:color w:val="auto"/>
              </w:rPr>
              <w:t>By: /s/ Alex Weil</w:t>
            </w:r>
          </w:p>
        </w:tc>
      </w:tr>
      <w:tr>
        <w:trPr>
          <w:trHeight w:val="195"/>
        </w:trPr>
        <w:tc>
          <w:tcPr>
            <w:tcW w:w="36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Alex Weil</w:t>
            </w:r>
          </w:p>
        </w:tc>
      </w:tr>
      <w:tr>
        <w:trPr>
          <w:trHeight w:val="216"/>
        </w:trPr>
        <w:tc>
          <w:tcPr>
            <w:tcW w:w="36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75"/>
        </w:trPr>
        <w:tc>
          <w:tcPr>
            <w:tcW w:w="36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Jonas Grossman, certify that:</w:t>
      </w:r>
    </w:p>
    <w:p>
      <w:pPr>
        <w:spacing w:after="0" w:line="225"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Chardan NexTech Acquisition 2 Corp.;</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77" w:lineRule="auto"/>
        <w:tabs>
          <w:tab w:leader="none" w:pos="20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4"/>
        <w:spacing w:after="0" w:line="263" w:lineRule="auto"/>
        <w:tabs>
          <w:tab w:leader="none" w:pos="854"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ind w:left="860" w:hanging="204"/>
        <w:spacing w:after="0"/>
        <w:tabs>
          <w:tab w:leader="none" w:pos="8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ind w:left="660" w:hanging="4"/>
        <w:spacing w:after="0" w:line="308" w:lineRule="auto"/>
        <w:tabs>
          <w:tab w:leader="none" w:pos="882" w:val="left"/>
        </w:tabs>
        <w:numPr>
          <w:ilvl w:val="1"/>
          <w:numId w:val="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3" w:lineRule="auto"/>
        <w:tabs>
          <w:tab w:leader="none" w:pos="863"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9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0" w:hanging="4"/>
        <w:spacing w:after="0" w:line="277" w:lineRule="auto"/>
        <w:tabs>
          <w:tab w:leader="none" w:pos="849"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57"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August 17, 2022</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51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6000"/>
        <w:spacing w:after="0"/>
        <w:rPr>
          <w:sz w:val="20"/>
          <w:szCs w:val="20"/>
          <w:color w:val="auto"/>
        </w:rPr>
      </w:pPr>
      <w:r>
        <w:rPr>
          <w:rFonts w:ascii="Arial" w:cs="Arial" w:eastAsia="Arial" w:hAnsi="Arial"/>
          <w:sz w:val="18"/>
          <w:szCs w:val="18"/>
          <w:color w:val="auto"/>
        </w:rPr>
        <w:t>Jonas Grossman</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Chief Executive Officer, President,</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Secretary, Treasurer and Director</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Alex Weil, certify that:</w:t>
      </w:r>
    </w:p>
    <w:p>
      <w:pPr>
        <w:spacing w:after="0" w:line="225"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Chardan NexTech Acquisition 2 Corp.;</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77" w:lineRule="auto"/>
        <w:tabs>
          <w:tab w:leader="none" w:pos="20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4"/>
        <w:spacing w:after="0" w:line="263" w:lineRule="auto"/>
        <w:tabs>
          <w:tab w:leader="none" w:pos="854"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ind w:left="860" w:hanging="204"/>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ind w:left="660" w:hanging="4"/>
        <w:spacing w:after="0" w:line="308" w:lineRule="auto"/>
        <w:tabs>
          <w:tab w:leader="none" w:pos="882"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3" w:lineRule="auto"/>
        <w:tabs>
          <w:tab w:leader="none" w:pos="863"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92"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0" w:hanging="4"/>
        <w:spacing w:after="0" w:line="277" w:lineRule="auto"/>
        <w:tabs>
          <w:tab w:leader="none" w:pos="849"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57"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August 17, 2022</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Alex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5715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8"/>
          <w:szCs w:val="18"/>
          <w:color w:val="auto"/>
        </w:rPr>
        <w:t>Alex Weil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Chardan NexTech Acquisition 2 Corp. (the “Company”) on Form 10-Q/A for the quarterly period ended June 30, 2022, as filed with the Securities and Exchange Commission (the “Report”), I, Jonas Grossman, Chief Executive Officer of the Company, certify, pursuant to 18 U.S.C. §1350, as added by §906 of the Sarbanes-Oxley Act of 2002, that:</w:t>
      </w:r>
    </w:p>
    <w:p>
      <w:pPr>
        <w:spacing w:after="0" w:line="184" w:lineRule="exact"/>
        <w:rPr>
          <w:sz w:val="20"/>
          <w:szCs w:val="20"/>
          <w:color w:val="auto"/>
        </w:rPr>
      </w:pPr>
    </w:p>
    <w:p>
      <w:pPr>
        <w:ind w:left="840" w:hanging="184"/>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4"/>
        <w:spacing w:after="0" w:line="277" w:lineRule="auto"/>
        <w:tabs>
          <w:tab w:leader="none" w:pos="871"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17, 2022</w:t>
      </w:r>
    </w:p>
    <w:p>
      <w:pPr>
        <w:spacing w:after="0" w:line="23"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8"/>
          <w:szCs w:val="18"/>
          <w:color w:val="auto"/>
        </w:rPr>
        <w:t>Jonas Grossman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Chief Executive Officer, President,</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Secretary, Treasurer and Director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Chardan NexTech Acquisition 2 Corp. (the “Company”) on Form 10-Q/A for the quarterly period ended June 30, 2022, as filed with the Securities and Exchange Commission (the “Report”), I, Alex Weil, Chief Financial Officer of the Company, certify, pursuant to 18 U.S.C. §1350, as added by §906 of the Sarbanes-Oxley Act of 2002, that:</w:t>
      </w:r>
    </w:p>
    <w:p>
      <w:pPr>
        <w:spacing w:after="0" w:line="184" w:lineRule="exact"/>
        <w:rPr>
          <w:sz w:val="20"/>
          <w:szCs w:val="20"/>
          <w:color w:val="auto"/>
        </w:rPr>
      </w:pPr>
    </w:p>
    <w:p>
      <w:pPr>
        <w:ind w:left="840" w:hanging="184"/>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4"/>
        <w:spacing w:after="0" w:line="277" w:lineRule="auto"/>
        <w:tabs>
          <w:tab w:leader="none" w:pos="871"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17, 2022</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Alex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5715</wp:posOffset>
            </wp:positionV>
            <wp:extent cx="32746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8"/>
          <w:szCs w:val="18"/>
          <w:color w:val="auto"/>
        </w:rPr>
        <w:t>Alex Weil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
      <w:numFmt w:val="bullet"/>
      <w:start w:val="1"/>
    </w:lvl>
  </w:abstractNum>
  <w:abstractNum w:abstractNumId="1">
    <w:nsid w:val="238E1F29"/>
    <w:multiLevelType w:val="hybridMultilevel"/>
    <w:lvl w:ilvl="0">
      <w:lvlJc w:val="left"/>
      <w:lvlText w:val="%1"/>
      <w:numFmt w:val="decimal"/>
      <w:start w:val="104"/>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2022-08-17T15:39:33Z</dcterms:created>
  <dcterms:modified xsi:type="dcterms:W3CDTF">2022-08-17T15:39:33Z</dcterms:modified>
</cp:coreProperties>
</file>