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333-275559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24, 2023)</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20,000,000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163830</wp:posOffset>
            </wp:positionV>
            <wp:extent cx="174879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are offering 20,000,000 shares of our common stock at an offering price of $1.25 per share.</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“DFLI” and our public warrants (the “Public Warrants”) are currently listed on the Nasdaq Capital Market under the symbol “DFLIW.” On October 3, 2025, the last reported sales price of our common stock on the Nasdaq Capital Market was $1.89 per share and the last reported sales price of our Public Warrants was $0.175.</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have elected to comply with certain reduced public company reporting requirements for future filings. See “Prospectus Supplement Summary—Emerging Growth Company and Smaller Reporting Company.”</w:t>
      </w:r>
    </w:p>
    <w:p>
      <w:pPr>
        <w:spacing w:after="0" w:line="172" w:lineRule="exact"/>
        <w:rPr>
          <w:sz w:val="24"/>
          <w:szCs w:val="24"/>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Before buying any shares, you should read the discussion of material risks of investing in our securities in “Risk Factors” beginning on page S-5 of this prospectus supplement, on page 3 of the accompanying prospectus and in the documents incorporated by reference in this prospectus supplement.</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8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(1)</w:t>
            </w:r>
          </w:p>
        </w:tc>
        <w:tc>
          <w:tcPr>
            <w:tcW w:w="336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0.075</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1,500,000.00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3360" w:type="dxa"/>
            <w:vAlign w:val="bottom"/>
            <w:gridSpan w:val="2"/>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1.175</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23,500,000.00</w:t>
            </w:r>
          </w:p>
        </w:tc>
      </w:tr>
    </w:tbl>
    <w:p>
      <w:pPr>
        <w:spacing w:after="0" w:line="194" w:lineRule="exact"/>
        <w:rPr>
          <w:sz w:val="24"/>
          <w:szCs w:val="24"/>
          <w:color w:val="auto"/>
        </w:rPr>
      </w:pPr>
    </w:p>
    <w:p>
      <w:pPr>
        <w:ind w:right="20" w:firstLine="8"/>
        <w:spacing w:after="0" w:line="286" w:lineRule="auto"/>
        <w:tabs>
          <w:tab w:leader="none" w:pos="26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reimburse the underwriters for certain of their reasonable out-of-pocket expenses. See “Underwriting” beginning on page 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 for more information on this offering and the underwriting arrangements.</w:t>
      </w:r>
    </w:p>
    <w:p>
      <w:pPr>
        <w:spacing w:after="0" w:line="15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Delivery of the shares of common stock is expected to be made on or about October 7, 2025. We have granted the underwriters an option for a period of 30 days to purchase up to 3,000,000 additional shares of our common stock. If the underwriters exercise the option in full, the total underwriting discounts and commissions payable by us will be $1,725,000.00 and the total proceeds to us, before expenses, will be $27,025,000.00.</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Bookrunner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Canaccord Genuity</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Co-Manager</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Roth Capital Partners</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October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19"/>
                <w:szCs w:val="19"/>
                <w:color w:val="auto"/>
              </w:rPr>
            </w:pPr>
          </w:p>
        </w:tc>
      </w:t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9"/>
              </w:rPr>
              <w:t>PROSPECTUS SUPPLEMENT</w:t>
            </w:r>
          </w:p>
        </w:tc>
        <w:tc>
          <w:tcPr>
            <w:tcW w:w="64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10600" w:type="dxa"/>
            <w:vAlign w:val="bottom"/>
            <w:gridSpan w:val="2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6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S-1</w:t>
            </w:r>
          </w:p>
        </w:tc>
      </w:tr>
      <w:tr>
        <w:trPr>
          <w:trHeight w:val="175"/>
        </w:trPr>
        <w:tc>
          <w:tcPr>
            <w:tcW w:w="344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716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6"/>
        </w:trPr>
        <w:tc>
          <w:tcPr>
            <w:tcW w:w="12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32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175"/>
        </w:trPr>
        <w:tc>
          <w:tcPr>
            <w:tcW w:w="534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2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UNDERWRITING</w:t>
            </w:r>
          </w:p>
        </w:tc>
        <w:tc>
          <w:tcPr>
            <w:tcW w:w="920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S-11</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9"/>
              </w:rPr>
              <w:t>PROSPECTUS</w:t>
            </w:r>
          </w:p>
        </w:tc>
        <w:tc>
          <w:tcPr>
            <w:tcW w:w="64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748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202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8580" w:type="dxa"/>
            <w:vAlign w:val="bottom"/>
            <w:tcBorders>
              <w:top w:val="single" w:sz="8" w:color="CCEEFF"/>
            </w:tcBorders>
            <w:gridSpan w:val="1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the accompanying prospectus dated November 24, 2023,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you with information different from or inconsistent with the information contained in or incorporated by reference in this prospectus supplement, the accompanying prospectus and in any free writing prospectus that we have authorized for use in connection with this offering. We and the underwriters take no responsibility for, and can provide no assurance as to the reliability of, any other information that others may give you. You should assume that the information appearing in this prospectus supplement, the accompanying prospectus and the documents incorporated by reference in this prospectus supplement and the accompanying prospectus is accurate only as of the date of those respective documents, regardless of the time of delivery of those respective documents. Our business, financial condition, results of operations and prospects may have changed since those dates. You should read this prospectus supplement, the accompanying prospectus and the documents incorporated by reference in this prospectus supplement and the accompanying prospectus in their entirety before making an investment decision. You should also read and consider the information in the documents to which we have referred you in the sections of this prospectus supplement entitled “Additional Information” and “Incorporation of Certain Information by Reference.”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the underwriters are offering to sell, and seeking offers to buy, shares of our common stock only in jurisdictions where offers and sales are permitted. The distribution of this prospectus supplement and the accompanying prospectus and the offering of our common stock in certain jurisdictions may be restricted by law. Persons outside the United States who come into possession of this prospectus supplement and the accompanying prospectus must inform themselves about, and observe any restrictions relating to, the offering of our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All references in this prospectus supplement or the accompanying prospectus to “Dragonfly Energy,” the “Company,” “we,” “us,” or “our” mean Dragonfly Energy Holdings Corp. and its subsidiaries unless we state otherwise or the context otherwise indicates. This prospectus supplement and the information incorporated herein by reference contain references to trademarks, service marks and trade names owned by us or other companies. Solely for convenience, trademarks, service marks and trade names referred to in this prospectus supplement and the information incorporated herein,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trademarks, service marks or trade names to imply a relationship with, or endorsement or sponsorship of us by, any other companies. Other trademarks, service marks and trade names appearing in this prospectus supplement are the property of their respective owners.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or incorporated by reference into this prospectus supplement or the accompanying prospectus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299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t>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description about us, our business and this offering highlights selected information contained elsewhere in this prospectus supplement, the accompanying prospectus or incorporated in this prospectus supplement and the accompanying prospectus by reference. This summary does not contain all of the information you should consider before deciding to invest in our common stock. You should carefully read this entire prospectus supplement, the accompanying prospectus, and each of the documents incorporated herein or therein by reference, before making an investment decision. Investors should carefully consider the information set forth under “Risk Factors” on page S-5 and in the documents incorporated by reference into this prospectus supplement and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 (“RV”), marine vessel, and solar, oil and gas and off-grid industries, with disruptive solid-state cell technology currently under development.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currently offer several lines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 (“OEMs”). Our RV OEM customers currently include Keystone, THOR Industries, Airstream, and REV, and we are in ongoing discussions with a number of additional RV OEMs to further increase adoption of our products.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 In April 2022, we also acquired the assets, including the Wakespeed Offshore brand of Thomason Jones, allowing us to include our own alternator regulator in systems that we sell.</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 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are currently producing sample cells for prospective customers across a variety of chemistries and end-markets. In addition, we are currently exploring opportunities within North America as part of our efforts to build a cell manufacturing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Tech Hub Award</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Nevada Tech Hub, a program designed to strengthen Nevada’s lithium battery supply chain, has selected us for funding in its first round of awards. The agreement relating to the award is currently being finalized. The award, expected to total approximately $300,000, will be applied toward high-impact modernization and workforce development initiatives. Key elements of the project include advancing toward ISO 9001 certification, modernizing production systems and upgrading our battery manufacturing lines. There can be no assurance that a definitive agreement will be executed, that the final award amount will be as expected or that the contemplated project will be undertaken or completed as described.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573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t>Compliance with Nasdaq Continued Listing Standards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14, 2025, we received a notice from the Listing Qualifications Staff (the “Staff”) of The Nasdaq Stock Market LLC (“Nasdaq”) indicating that, based upon our non-compliance with the $1.00 minimum bid price requirement for continued listing on The Nasdaq Capital Market under Nasdaq Listing Rule 5550(a)(2) (the “Bid Price Requirement”), the Staff had determined to delist the our securities from Nasdaq, subject to our request for a hearing before a Nasdaq Hearings Panel (the “Panel”). We timely requested a hearing before the Panel. In addition, on June 11, 2025, we received an additional staff determination letter indicating that, based upon our non-compliance with the requirement to maintain a minimum market value of listed securities (“MVLS”) of $35 million for continued listing on The Nasdaq Capital Market under Nasdaq Listing Rule 5550(b)(2) (the “MVLS Requirement”), the Staff had determined such non-compliance served as an additional basis for delisting our securities from Nasdaq. Additionally, as of the date of this prospectus supplement,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 2025, following our hearing with the Panel on June 24, 2025, we received a notice (the “Notice”) from Nasdaq that, based on the plan of compliance that we had submitted, the Panel had granted us an exception until November 10, 2025 (the “Exception”) to regain compliance with the Bid Price Requirement and the MVLS Requirement, subject to our achievement of certain milestones, including the conversion by the holder of its remaining outstanding shares of our preferred stock into shares of our common stock and the restructuring of a portion of our outstanding debt or conversion of such debt into shares of our common stock. Following this offering, we may need to raise additional capital depending on the amount of debt we may be able to convert in the future, if any, with the lenders to meet the continued listing requirements on Nasdaq. We also may need to complete a reverse split of our outstanding common stock in order to meet the Bid Price Requirement. In the event we fail to meet these and other milestones set forth in the compliance plan submitted to the Panel or otherwise regain compliance with the Bid Price Requirement and the MVLS Requirement or the alternative criteria by November 10, 2025, our securities will be delisted from Nasdaq.</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mailing address of our principal executive office is 12915 Old Virginia Road, Reno, Nevada 89521, and our telephone number is (775) 622-3448. Our corporate website is: www.dragonflyenergy.com. Information contained on or accessible through our website is not incorporated by reference into this prospectus supplement, and you should not consider any information contained on, or that can be accessed through, our website as part of this prospectus supplement.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6" w:right="4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887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t>THE OFFERING</w:t>
      </w:r>
    </w:p>
    <w:p>
      <w:pPr>
        <w:sectPr>
          <w:pgSz w:w="11900" w:h="16838" w:orient="portrait"/>
          <w:cols w:equalWidth="0" w:num="1">
            <w:col w:w="10940"/>
          </w:cols>
          <w:pgMar w:left="480" w:top="914" w:right="47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20,000,000 shares</w:t>
      </w:r>
    </w:p>
    <w:p>
      <w:pPr>
        <w:spacing w:after="0" w:line="200" w:lineRule="exact"/>
        <w:rPr>
          <w:sz w:val="20"/>
          <w:szCs w:val="20"/>
          <w:color w:val="auto"/>
        </w:rPr>
      </w:pPr>
    </w:p>
    <w:p>
      <w:pPr>
        <w:sectPr>
          <w:pgSz w:w="11900" w:h="16838" w:orient="portrait"/>
          <w:cols w:equalWidth="0" w:num="2">
            <w:col w:w="2080" w:space="660"/>
            <w:col w:w="8200"/>
          </w:cols>
          <w:pgMar w:left="480" w:top="914" w:right="479" w:bottom="1440" w:gutter="0" w:footer="0" w:header="0"/>
          <w:type w:val="continuous"/>
        </w:sectPr>
      </w:pPr>
    </w:p>
    <w:p>
      <w:pPr>
        <w:spacing w:after="0" w:line="37"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81,805,765 shares (or 84,805,765 shares if the underwriters exercise in full their option to purchase additional shares).</w:t>
      </w:r>
    </w:p>
    <w:p>
      <w:pPr>
        <w:spacing w:after="0" w:line="161" w:lineRule="exact"/>
        <w:rPr>
          <w:sz w:val="20"/>
          <w:szCs w:val="20"/>
          <w:color w:val="auto"/>
        </w:rPr>
      </w:pPr>
    </w:p>
    <w:p>
      <w:pPr>
        <w:sectPr>
          <w:pgSz w:w="11900" w:h="16838" w:orient="portrait"/>
          <w:cols w:equalWidth="0" w:num="2">
            <w:col w:w="2380" w:space="360"/>
            <w:col w:w="8200"/>
          </w:cols>
          <w:pgMar w:left="480" w:top="914"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Option to purchase additional shares from us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the option, exercisable for 30 days from the date of this prospectus supplement, to purchase up to additional 3,000,000 shares of our common stock.</w:t>
      </w:r>
    </w:p>
    <w:p>
      <w:pPr>
        <w:spacing w:after="0" w:line="162" w:lineRule="exact"/>
        <w:rPr>
          <w:sz w:val="20"/>
          <w:szCs w:val="20"/>
          <w:color w:val="auto"/>
        </w:rPr>
      </w:pPr>
    </w:p>
    <w:p>
      <w:pPr>
        <w:sectPr>
          <w:pgSz w:w="11900" w:h="16838" w:orient="portrait"/>
          <w:cols w:equalWidth="0" w:num="2">
            <w:col w:w="2120" w:space="620"/>
            <w:col w:w="8200"/>
          </w:cols>
          <w:pgMar w:left="480" w:top="91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other general corporate purposes, including the prepayment of $4.0 million under our Term Loan, Guarantee and Security Agreement, dated October 7, 2022, with ALTER DOMUS (US) LLC, as agent, and certain lenders (as amended to date, the “Term Loan Agreement”), continued investments in initiatives intended to drive near term revenue, and continued strategic investment in next generation battery technologies, including scaling the dry electrode process and its application to solid-state batteries. See “Use of Proceeds” on page S-8.</w:t>
      </w:r>
    </w:p>
    <w:p>
      <w:pPr>
        <w:spacing w:after="0" w:line="187" w:lineRule="exact"/>
        <w:rPr>
          <w:sz w:val="20"/>
          <w:szCs w:val="20"/>
          <w:color w:val="auto"/>
        </w:rPr>
      </w:pPr>
    </w:p>
    <w:p>
      <w:pPr>
        <w:sectPr>
          <w:pgSz w:w="11900" w:h="16838" w:orient="portrait"/>
          <w:cols w:equalWidth="0" w:num="2">
            <w:col w:w="2020" w:space="720"/>
            <w:col w:w="8200"/>
          </w:cols>
          <w:pgMar w:left="480" w:top="91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 page S-5. of this prospectus supplement and under similar headings in the other documents that are filed after the date hereof and incorporated by reference in this prospectus supplement and the accompanying prospectus for a discussion of factors to consider before deciding to purchase our securities.</w:t>
      </w:r>
    </w:p>
    <w:p>
      <w:pPr>
        <w:spacing w:after="0" w:line="180" w:lineRule="exact"/>
        <w:rPr>
          <w:sz w:val="20"/>
          <w:szCs w:val="20"/>
          <w:color w:val="auto"/>
        </w:rPr>
      </w:pPr>
    </w:p>
    <w:p>
      <w:pPr>
        <w:sectPr>
          <w:pgSz w:w="11900" w:h="16838" w:orient="portrait"/>
          <w:cols w:equalWidth="0" w:num="2">
            <w:col w:w="2020" w:space="720"/>
            <w:col w:w="8200"/>
          </w:cols>
          <w:pgMar w:left="480" w:top="91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on The Nasdaq Capital Market under the symbol “DFLI”.</w:t>
      </w:r>
    </w:p>
    <w:p>
      <w:pPr>
        <w:spacing w:after="0" w:line="200" w:lineRule="exact"/>
        <w:rPr>
          <w:sz w:val="20"/>
          <w:szCs w:val="20"/>
          <w:color w:val="auto"/>
        </w:rPr>
      </w:pPr>
    </w:p>
    <w:p>
      <w:pPr>
        <w:sectPr>
          <w:pgSz w:w="11900" w:h="16838" w:orient="portrait"/>
          <w:cols w:equalWidth="0" w:num="2">
            <w:col w:w="2240" w:space="500"/>
            <w:col w:w="8200"/>
          </w:cols>
          <w:pgMar w:left="480" w:top="914" w:right="479" w:bottom="1440" w:gutter="0" w:footer="0" w:header="0"/>
          <w:type w:val="continuous"/>
        </w:sectPr>
      </w:pPr>
    </w:p>
    <w:p>
      <w:pPr>
        <w:spacing w:after="0" w:line="3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61,805,765 shares of common stock outstanding on October 3, 2025 and excludes:</w:t>
      </w:r>
    </w:p>
    <w:p>
      <w:pPr>
        <w:spacing w:after="0" w:line="162" w:lineRule="exact"/>
        <w:rPr>
          <w:sz w:val="20"/>
          <w:szCs w:val="20"/>
          <w:color w:val="auto"/>
        </w:rPr>
      </w:pPr>
    </w:p>
    <w:p>
      <w:pPr>
        <w:ind w:left="640" w:hanging="321"/>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common stock reserved for issuance in the event of certain milestones in connection with our merger in October 2022 (the “Business Combination”);</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1,046,948 shares of common stock issuable upon exercise of Public Warrants outstanding as of October 3, 2025, with an exercise price of $103.50 per share;</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166,821 shares of common stock issuable upon exercise of private warrants (the “Private Warrants”) outstanding as of October 3, 2025, with an exercise price of $103.50 per share;</w:t>
      </w:r>
    </w:p>
    <w:p>
      <w:pPr>
        <w:ind w:left="64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1,300,254 shares of common stock issuable upon exercise of other warrants outstanding as of October 3, 2025, with a weighted average exercise price of $18.22 per share;</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1,061,685 shares of common stock issuable upon exercise of penny warrants (the “Penny Warrants”) outstanding as of October 3, 2025, with an exercise price of $0.09 per share;</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680,473 shares of common stock issuable upon exercise of Penny Warrants outstanding as of October 3, 2025, with an exercise price of $0.01 per share;</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137,522 shares of common stock underlying outstanding options as October 3, 2025, with a weighted average exercise price of $24.90 per share;</w:t>
      </w:r>
    </w:p>
    <w:p>
      <w:pPr>
        <w:ind w:left="640" w:hanging="321"/>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169,758 shares of common stock underlying outstanding restricted stock units as of October 3, 2025; and</w:t>
      </w:r>
    </w:p>
    <w:p>
      <w:pPr>
        <w:spacing w:after="0" w:line="9" w:lineRule="exact"/>
        <w:rPr>
          <w:rFonts w:ascii="Times New Roman" w:cs="Times New Roman" w:eastAsia="Times New Roman" w:hAnsi="Times New Roman"/>
          <w:sz w:val="18"/>
          <w:szCs w:val="18"/>
          <w:color w:val="auto"/>
        </w:rPr>
      </w:pPr>
    </w:p>
    <w:p>
      <w:pPr>
        <w:jc w:val="both"/>
        <w:ind w:left="640" w:right="20" w:hanging="321"/>
        <w:spacing w:after="0" w:line="255"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1,149,115 shares of commons stock available for future awards under our equity incentive plans and employee stock purchase plan (or 10,149,115 if the amendment to our 2022 equity incentive plan is approved at our annual meeting of stockholders to be held on October 15, 2025).</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Except as otherwise noted, all information in this prospectus supplement assumes no exercise of the underwriters’ option to purchase 3,000,000 additional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Prior to making a decision about investing in our securities, you should carefully consider the following risks, uncertainties and assumptions, as well as those discussed under Item 1A, “Risk Factors,” in our Annual Report on Form 10-K for the fiscal year ended December 31, 2024, which is incorporated herein by reference and may be amended, supplemented or superseded from time to time by other reports we file with the SEC in the future, together with information in this prospectus supplement and any other information incorporated by reference into this prospectus supplement and the accompanying prospectus, including the risk factors set forth below. See the sections of this prospectus supplement entitled “Additional Information” and “Incorporation of Certain Information by Reference.”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supplement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 See “Special Note Regarding Forward-Looking Statements” for information relating to these forward-looking statements.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in compliance with the continued listing requirements for The Nasdaq Capital Market. If we do not regain compliance and continue to meet the continued listing requirements, our common stock may be delisted, which could affect the market price and liquidity for our common stock and reduce our ability to raise additional capital.</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14, 2025, we received a notice from the Staff of Nasdaq indicating that, based upon our non-compliance with the Bid Price Requirement, the Staff had determined to delist our securities from Nasdaq, subject to our request for a hearing before the Panel. We timely requested a hearing before the Panel. In addition, on June 11, 2025, we received an additional staff determination letter indicating that, based upon our non-compliance with the MVLS Requirement, the Staff had determined such non-compliance served as an additional basis for delisting our securities from Nasdaq. Additionally, as of the date of this prospectus supplement,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 2025, following our hearing with the Panel on June 24, 2025, we received the Notice from Nasdaq that, based on the plan of compliance that we had submitted, the Panel had granted us the Exception, until November 10, 2025, to regain compliance with the Bid Price Requirement and the MVLS Requirement, subject to our achievement of certain milestones, including the conversion by the holder of its remaining outstanding shares of our preferred stock into shares of our common stock and the restructuring of a portion of our outstanding debt or conversion of such debt into shares of our common stock. Following this offering, we may need to raise additional capital depending on the amount of debt we may be able to convert in the future, if any, with the lenders to meet the continued listing requirements on Nasdaq. We also may need to complete a reverse split of our outstanding common stock in order to meet the Bid Price Requirement. In the event we fail to meet these and other milestones set forth in the compliance plan submitted to the Panel or otherwise regain compliance with the Bid Price Requirement and the MVLS Requirement or the alternative criteria by November 10, 2025, our securities will be delisted from Nasdaq.</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intend to continue to take definitive steps and use reasonable best efforts to achieve these milestones and achieve compliance with the Bid Price Requirement and the MVLS Requirement within the established dates or maintain compliance with the other Nasdaq listing requirements, there is significant risk that we may not be able to achieve these milestones or regain compliance with the Bid Price Requirement and the MVLS Requirement within the established dates or maintain compliance with the other Nasdaq listing requirements. In the event we are unable to do so, our securities will be delisted from Nasdaq.</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delisting could substantially decrease trading in our common stock, adversely affect the market liquidity of our common stock as a result of the loss of market efficiencies associated with Nasdaq and the loss of federal preemption of state securities laws, result in a default under the terms of our outstanding indebtedness,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will experience immediate and substantial dilution in your investment.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Purchasers of common stock in this offering will experience immediate dilution to the extent of the difference between the offering price per share of common stock and the pro forma net tangible book value per share of common stock immediately after this offering. After giving effect to the sale of shares of our common stock at the offering price of $1.25 per share, and after deducting underwriting discounts and commissions and estimated offering expenses, you will experience immediate dilution of $1.09 per share, representing the difference between our pro forma net tangible book value per share as of June 30, 2025 after giving effect to this offering at the offering price. See “Dilution” for a more detailed discussion of the dilution you will incur if you purchase shares of common stock in this offering.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shares of common stock we issue in connection with the restructuring of our outstanding debt or conversion of such debt into shares of our common stock will result in further dilution to our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The net proceeds from this offering will be used for working capital and other general corporate purposes, including the prepayment of $4.0 million under the Term Loan Agreement, continued investments in initiatives intended to drive near term revenue, and continued strategic investment in next generation battery technologies, including scaling the dry electrode process and its application to solid-state batteries.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will not have the opportunity, as part of your investment decision, to assess whether the proceeds are being used appropriately. The net proceeds from this offering may be used for corporate purposes that do not increase our operating results or enhance the value of our common stock.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October 3, 2025, we had (i) 2,777,778 shares of common stock reserved for issuance in the event of certain milestones in connection the Business Combination; (ii) 1,046,948 shares of common stock issuable upon exercise of Public Warrants, with an exercise price of $103.50 per share; (iii) 166,821 shares of common stock issuable upon exercise of Private Warrants, with an exercise price of $103.50 per share; (iv) 1,300,254 shares of common stock issuable upon exercise of other warrants, with a weighted average exercise price of $18.22 per share; (v) 1,061,685 shares of common stock issuable upon exercise of Penny Warrants, with an exercise price of $0.09 per share; (vi) 680,473 shares of common stock issuable upon exercise of Penny Warrants, with an exercise price of $0.01 per share; (vii) 137,522 shares of common stock underlying outstanding options, with a weighted average exercise price of $24.90 per share; (viii) 169,758 shares of common stock underlying outstanding restricted stock and (ix) 1,149,115 shares of commons stock available for future awards under our equity incentive plans and employee stock purchase plan (or 10,149,115 if the amendment to our 2022 equity incentive plan is approved at our annual meeting of stockholders to be held on October 15, 2025). The issuance of such common stock will result in further dilution of your investment. If our existing stockholders sell substantial amounts of our common stock in the public market, or if the public perceives that such sales could occur, this could have an adverse impact on the market price of our common stock, even if there is no relationship between such sales and the performance of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by reference contain forward-looking statements that involve substantial risks and uncertainties for purposes of the safe harbor provided by the Private Securities Litigation Reform Act of 1995. All statements contained in this prospectus other than statements of historical fact, including statements regarding our strategy, future operations, future financial position, liquidity, future revenue, projected expenses, results of operations, expectations concerning the timing and our ability to commence and subsequently report data from planned non-clinical studies and clinical trials, prospects, plans and objectives of management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business, financial condition and results of operations. These forward-looking statements are subject to a number of risks, uncertainties, and assumptions,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These factors include, but are not limited to:</w:t>
      </w:r>
    </w:p>
    <w:p>
      <w:pPr>
        <w:spacing w:after="0" w:line="176" w:lineRule="exact"/>
        <w:rPr>
          <w:sz w:val="20"/>
          <w:szCs w:val="20"/>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cure any listing deficiencies and maintain the listing of our common stock and Public Warrants on the Nasdaq Capital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in our existing markets or new markets that we enter, including the trucking and industrials markets, and our ability to achieve and maintain profitability;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produce lithium battery cells in the United States in a timely manner or at all, or to scale to mass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achieve the anticipated benefits of our recent licensing arrangement with Stryten Energy LLC;</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committed equity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one manufacturing facility;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global and macroeconomic conditions, including economic, political and social instability, including the Russia-Ukraine conflict, the India-Pakistan conflict and Hamas’ attack on Israel, and their effects on our operations.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of 1933, as amended (the “Securities Act”), do not protect any forward-looking statements that we make in connection with this offering. All forward-looking statements included in this prospectus supplement, the accompanying prospectus and the information incorporated herein by reference are based on information available to us on the date of this prospectus supplement, the accompanying prospectus and the information incorporated herein by reference.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We qualify all of our forward-looking statements by these cautionary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also read carefully the factors described in the “Risk Factors” section of this prospectus supplement, the accompanying prospectus and the information incorporated herein by reference, to better understand the risks and uncertainties inherent in our business and underlying any forward-looking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 $23.2 million, after deducting the underwriting discounts and commissions and estimated offering expenses payable by us. If the underwriters exercise in full their option to purchase additional shares, we estimate that the aggregate net proceeds from this offering will be approximately $26.7 million, after deducting the underwriting discounts and commissions and estimated offering expenses payable by us.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other general corporate purposes, including the prepayment of $4.0 million under the Term Loan Agreement, continued investments in initiatives intended to drive near term revenue, and continued strategic investment in next generation battery technologies, including scaling the dry electrode process and its application to solid-state batteries. The Term Loan Agreement provides for senior secured term loan facility (the “Term Loan”), the principal of which is approximately $70.0 million as of the date of this prospectus supplement and before the repayment set forth above. The Term Loan matures on October 7, 2027 and accrues interest at a per annum rate equal to adjusted SOFR plus a margin ranging from 9.75% to 13.5%, depending on our senior leverage ratio.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with respect to the prepayment of a portion of the Term Loan, we have not determined the amount of net proceeds to be used specifically for such purposes and, as a result, management will retain broad discretion over the allocation of net proceeds. The occurrence of unforeseen events or changed business conditions could result in the application of the net proceeds from this offering in a manner other than as described in this prospectus supplement. Pending their uses, we intend to invest the net proceeds of this offering in interest-bearing bank accounts or in short-term, interest-bearing, investment-grade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Purchasers of common stock in this offering will experience immediate dilution to the extent of the difference between the offering price per share of common stock and the pro forma net tangible book value per share of common stock immediately after this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tangible book deficit as of June 30, 2025 was approximately $(15.4 million), or $(0.41) per share of common stock. Net tangible book value per share is determined by dividing total tangible assets, which excludes intangible assets, less total liabilities, by the aggregate number of shares of common stock outstanding as of June 30,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giving effect to (i) the conversion of 3.13 shares of our Series A Convertible Preferred Stock, par value $0.0001 per share (the “Series A Preferred Stock”) into 217,840 shares of common stock; (ii) the issuance of 2,100,000 shares of common stock in exchange for the remaining shares of Series A Preferred Stock, and (iii) the issuance of 21,980,000 shares of common stock at a public offering price of $0.25 per share for net proceeds of $5.0 million in our public offering that closed on July 31, 2025 (the “July 2025 Offering”), each subsequent to June 30, 2025 (the “Pro Forma Events”), our pro forma net tangible book deficit as of June 30, 2025, would have been approximately $(10.3 million), or $(0.17) per share of common stock.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giving effect to the sale by us of 3,000,000 shares of common stock at the offering price of $1.25 per share and after deducting underwriting discounts and commissions and estimated offering expenses payable by us, our pro forma net tangible book value as of June 30, 2025 would have been approximately $12.9 million, or $0.16 per share. This represents an immediate increase in pro forma net tangible book value of $0.32 per share to our existing stockholders and an immediate dilution of $1.09 per share issued to the new investors purchasing securities in this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per-share basis:</w:t>
            </w: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 of common stock</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deficit per share as of June 30, 2025</w:t>
            </w:r>
          </w:p>
        </w:tc>
        <w:tc>
          <w:tcPr>
            <w:tcW w:w="12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(0.41)</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deficit per share attributable to the Pro Forma Events</w:t>
            </w:r>
          </w:p>
        </w:tc>
        <w:tc>
          <w:tcPr>
            <w:tcW w:w="12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0.24</w:t>
            </w:r>
          </w:p>
        </w:tc>
        <w:tc>
          <w:tcPr>
            <w:tcW w:w="8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deficit per share as of June 30, 2025</w:t>
            </w:r>
          </w:p>
        </w:tc>
        <w:tc>
          <w:tcPr>
            <w:tcW w:w="46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tc>
        <w:tc>
          <w:tcPr>
            <w:tcW w:w="12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0.32</w:t>
            </w:r>
          </w:p>
        </w:tc>
        <w:tc>
          <w:tcPr>
            <w:tcW w:w="8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this offering</w:t>
            </w:r>
          </w:p>
        </w:tc>
        <w:tc>
          <w:tcPr>
            <w:tcW w:w="4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1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23"/>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additional shares of common stock in this offering at the offering price of $1.25 per share, our pro forma net tangible book value after the offering would be $0.19 per share, the increase in the pro forma net tangible book value to existing stockholders would be $0.36 per share, and the dilution to new investors purchasing securities in this offering would be $1.06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excludes:</w:t>
      </w:r>
    </w:p>
    <w:p>
      <w:pPr>
        <w:spacing w:after="0" w:line="20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2,777,778 shares of common stock reserved for issuance in the event of certain milestones in connection with the Business Combination;</w:t>
      </w:r>
    </w:p>
    <w:p>
      <w:pPr>
        <w:spacing w:after="0" w:line="28" w:lineRule="exact"/>
        <w:rPr>
          <w:rFonts w:ascii="Times New Roman" w:cs="Times New Roman" w:eastAsia="Times New Roman" w:hAnsi="Times New Roman"/>
          <w:sz w:val="22"/>
          <w:szCs w:val="22"/>
          <w:color w:val="auto"/>
        </w:rPr>
      </w:pPr>
    </w:p>
    <w:p>
      <w:pPr>
        <w:ind w:left="660" w:hanging="328"/>
        <w:spacing w:after="0" w:line="224"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1,046,948 shares of common stock issuable upon exercise of Public Warrants outstanding as of June 30, 2025, with an exercise price of $103.50 per share;</w:t>
      </w:r>
    </w:p>
    <w:p>
      <w:pPr>
        <w:spacing w:after="0" w:line="1" w:lineRule="exact"/>
        <w:rPr>
          <w:rFonts w:ascii="Times New Roman" w:cs="Times New Roman" w:eastAsia="Times New Roman" w:hAnsi="Times New Roman"/>
          <w:sz w:val="22"/>
          <w:szCs w:val="22"/>
          <w:color w:val="auto"/>
        </w:rPr>
      </w:pPr>
    </w:p>
    <w:p>
      <w:pPr>
        <w:ind w:left="660" w:hanging="328"/>
        <w:spacing w:after="0" w:line="225"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166,821 shares of common stock issuable upon exercise of Private Warrants outstanding as of June 30, 2025, with an exercise price of $103.50 per share;</w:t>
      </w:r>
    </w:p>
    <w:p>
      <w:pPr>
        <w:ind w:left="660" w:hanging="328"/>
        <w:spacing w:after="0" w:line="225"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1,300,254 shares of common stock issuable upon exercise of warrants outstanding as of June 30, 2025, with a weighted average exercise price of $18.22 per share;</w:t>
      </w:r>
    </w:p>
    <w:p>
      <w:pPr>
        <w:ind w:left="660" w:hanging="328"/>
        <w:spacing w:after="0" w:line="225"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1,061,685 shares of common stock issuable upon exercise of Penny Warrants outstanding as of June 30, 2025, with an exercise price of $0.09 per share;</w:t>
      </w:r>
    </w:p>
    <w:p>
      <w:pPr>
        <w:ind w:left="660" w:hanging="328"/>
        <w:spacing w:after="0" w:line="225"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680,473 shares of common stock issuable upon exercise of Penny Warrants outstanding as of June 30, 2025, with an exercise price of $0.01 per share;</w:t>
      </w:r>
    </w:p>
    <w:p>
      <w:pPr>
        <w:ind w:left="660" w:hanging="328"/>
        <w:spacing w:after="0" w:line="204"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158,247 shares of common stock underlying outstanding options as of June 30, 2025, with a weighted average exercise price of $25.59 per share;</w:t>
      </w:r>
    </w:p>
    <w:p>
      <w:pPr>
        <w:spacing w:after="0" w:line="29" w:lineRule="exact"/>
        <w:rPr>
          <w:rFonts w:ascii="Times New Roman" w:cs="Times New Roman" w:eastAsia="Times New Roman" w:hAnsi="Times New Roman"/>
          <w:sz w:val="22"/>
          <w:szCs w:val="22"/>
          <w:color w:val="auto"/>
        </w:rPr>
      </w:pPr>
    </w:p>
    <w:p>
      <w:pPr>
        <w:ind w:left="660" w:hanging="328"/>
        <w:spacing w:after="0" w:line="203"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195,878 shares of common stock underlying outstanding restricted stock units as of June 30, 2025; and</w:t>
      </w:r>
    </w:p>
    <w:p>
      <w:pPr>
        <w:spacing w:after="0" w:line="29" w:lineRule="exact"/>
        <w:rPr>
          <w:rFonts w:ascii="Times New Roman" w:cs="Times New Roman" w:eastAsia="Times New Roman" w:hAnsi="Times New Roman"/>
          <w:sz w:val="22"/>
          <w:szCs w:val="22"/>
          <w:color w:val="auto"/>
        </w:rPr>
      </w:pPr>
    </w:p>
    <w:p>
      <w:pPr>
        <w:ind w:left="660" w:hanging="328"/>
        <w:spacing w:after="0" w:line="203"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1,189,254 shares of commons stock available for future awards under our equity incentive plans and employee stock purchase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options or warrants are exercised, new options are issued, or we issue additional shares of common stock in the future, there may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material terms and provisions of our common stock and each other class of our securities that qualifies or limits our common stock are described under the caption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in the accompanying prospectus. We have 405,000,000 shares of capital stock authorized under our Articles of Incorporation, which consists of 400,000,000 shares of common stock with a par value of $0.0001 per share and 5,000,000 shares of preferred stock with par value $0.0001 per share. Our common stock is listed on The Nasdaq Capital Market under the symbol “DFLI.” Our transfer agent is Equiniti Trust Company, LLC.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October 6, 2025, between us and Canaccord Genuity LLC, or Canaccord Genuity, as representative of the underwriters, we have agreed to sell to the underwriters, and the underwriters have agreed, severally and not jointly, to purchase from us, the number of shares of common stock shown opposite their respective names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0"/>
        </w:trPr>
        <w:tc>
          <w:tcPr>
            <w:tcW w:w="9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Roth Capital Partners, LLC</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2,000,000</w:t>
            </w:r>
          </w:p>
        </w:tc>
      </w:tr>
      <w:tr>
        <w:trPr>
          <w:trHeight w:val="209"/>
        </w:trPr>
        <w:tc>
          <w:tcPr>
            <w:tcW w:w="9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the shares of common stock directly to investors at the offering price set forth on the cover page of this prospectus supplement and to certain dealers, which may include the underwriters, at that price less a concession not in excess of $0.045 per share of common stock. After the offering, the offering price, concession and reallowance to dealers may be reduced by the representative. No such reduction will change the amount of proceeds to be received by us as set forth on the cover page of this prospectus supplement.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offering price, the underwriting discounts and commissions that we are to pay the underwriter and the proceeds, before expenses, to us in connection with this offering. Such amounts are shown assuming both no exercise and full exercise of the underwriters’ option to purchase additional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03"/>
        </w:trPr>
        <w:tc>
          <w:tcPr>
            <w:tcW w:w="5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WITHOUT</w:t>
            </w: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WITH</w:t>
            </w:r>
          </w:p>
        </w:tc>
      </w:tr>
      <w:tr>
        <w:trPr>
          <w:trHeight w:val="216"/>
        </w:trPr>
        <w:tc>
          <w:tcPr>
            <w:tcW w:w="5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OPTION TO</w:t>
            </w:r>
          </w:p>
        </w:tc>
        <w:tc>
          <w:tcPr>
            <w:tcW w:w="2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 TO</w:t>
            </w:r>
          </w:p>
        </w:tc>
      </w:tr>
      <w:tr>
        <w:trPr>
          <w:trHeight w:val="216"/>
        </w:trPr>
        <w:tc>
          <w:tcPr>
            <w:tcW w:w="5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2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16"/>
        </w:trPr>
        <w:tc>
          <w:tcPr>
            <w:tcW w:w="54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r>
      <w:tr>
        <w:trPr>
          <w:trHeight w:val="238"/>
        </w:trPr>
        <w:tc>
          <w:tcPr>
            <w:tcW w:w="5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1,500,000.00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1,725,000.00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23,500,000.00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27,025,000</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net expenses payable by us in connection with this offering, other than the estimated underwriting discounts and commissions referred to above, will be approximately $300,000. We have agreed to reimburse the underwriters for certain of their expenses incurred in connection with this offering in an amount not to exceed $100,000 in the aggregate.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“DFLI.”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purchase shares of securities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to Purchase Additional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supplement, to purchase, from time to time, in whole or in part, up to an aggregate of 3,000,000 shares from us at the offering price set forth on the cover page of this prospectus supplement, less underwriting discounts and commissions. If the underwriters exercise this option, the underwriters will be obligated, subject to specified conditions, to purchase a number of additional shares proportionate to that underwriter’s initial purchase commitment as indicated in the table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Sales of Similar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agreed, subject to specified exceptions, not to directly or indirectly:</w:t>
      </w:r>
    </w:p>
    <w:p>
      <w:pPr>
        <w:spacing w:after="0" w:line="225" w:lineRule="exact"/>
        <w:rPr>
          <w:sz w:val="20"/>
          <w:szCs w:val="20"/>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pledge, hedge, or otherwise dispose of (or enter into any transaction which is designed to, or might reasonably be expected to, result in the disposition (whether by actual disposition or effective economic disposition due to cash settlement or otherwise) by us or our affiliates or any person in privity with us or our affiliates), directly or indirectly, including the filing or submission (or participation in the filing or submission) of a registration statement with the SEC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 intention to do any of the foregoing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period of 90 days after the date of this prospectus supplement without the prior written consent of Canaccord Genuity.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certain ‘‘lock-up’’ agreements, our executive officers and directors have agreed, subject to certain exceptions, not to (i) directly or indirectly, 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our common stock or file any registration statement under the Securities Act with respect to any of the foregoing or (ii) enter into any swap or any other agreement or any transaction that transfers, in whole or in part, directly or indirectly, the economic consequence of ownership of our common stock, whether any such swap or transaction described in clause (i) or (ii) above is to be settled by delivery of our common stock or other securities, in cash or otherwise, without the prior written consent of Canaccord Genuity, for a period of 90 days after the date of this prospectus.</w:t>
      </w:r>
    </w:p>
    <w:p>
      <w:pPr>
        <w:spacing w:after="0" w:line="18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Canaccord Genuity, in its sole discretion, may release our common stock and other securities subject to the lock-up agreements described above in whole or in part at any time. When determining whether or not to release our common stock and other securities from lock-up agreements, Canaccord Genuity will consider, among other factors, the holder’s reasons for requesting the release, the number of shares for which the release is being requested and market conditions at the time of the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Stabilization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“Covered” short sales are sales made in an amount not greater than the underwriters’ option to purchase additional shares of our common stock in this offering. The underwriters may close out any covered short position by either exercising its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it may purchase shares through the option to purchase additional shares.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in connection with the offering if the common stock originally sold are purchased in a covering transaction and therefore have not been effectively placed.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underwriters may also engage in passive market making transactions in our common stock on The Nasdaq Capital Market in accordance with Rule 103 of Regulation M during a period before the commencement of offers or sales of shares of our securities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 Distribution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by e-mail or on the web sites or through online services maintained by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the underwriters is not part of this prospectus supplement, has not been approved and/or endorsed by us or the underwriters and should not be relied upon by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Activities and Relationships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accounts and for the accounts of their respective customers, and such investment and securities activities may involve securities and/or instruments issued by us and our affiliates. If the underwriters or their affiliates have a lending relationship with us, they routinely hedge their credit exposure to us consistent with their customary risk management policies. The underwriters and their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Canaccord Genuity served as the underwriter for the July 2025 Offering and received compensation in connection therewith.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Restrictions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securities have been offered or will be offered pursuant to the offering to the public in that Relevant Member State prior to the publication of a prospectus in relation to the securities which have been approved by the competent authority in that Relevant Member State or, where appropriate, approved in another Relevant Member State and notified to the competent authority in that Relevant Member State, all in accordance with the Prospectus Regulation, except that the securities may be offered to the public in that Relevant Member State at any time:</w:t>
      </w:r>
    </w:p>
    <w:p>
      <w:pPr>
        <w:spacing w:after="0" w:line="18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 for any such offer; or</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the Company or any of the representative to publish a prospectus pursuant to Article 3 of the Prospectus Regulation or supplement a prospectus pursuant to Article 23 of the Prospectus Regulation.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person in a Relevant Member State who receives any communication in respect of, or who acquires any securities under, the offering contemplated hereby will be deemed to have represented, warranted and agreed to and with the underwriter and its affiliates and us that:</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investor within the meaning of the Prospectus Regulation; and</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securities acquired by it as a financial intermediary, as that term is used in Article 5 of the Prospectus Regulation, (i) the securities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book-running manager has been given to the offer or resale; or (ii) where the securities have been acquired by it on behalf of persons in any Relevant Member State other than qualified investors, the offer of those securities to it is not treated under the Prospectus Regulation as having been made to such persons.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the underwriters and their affiliates, and others will rely upon the truth and accuracy of the foregoing representation, acknowledgement and agreement. Notwithstanding the above, a person who is not a qualified investor and who has notified the underwriters of such fact in writing may, with the prior consent of the underwriters, be permitted to acquire securities in the offering.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in accordance with the transition provisions in Regulation 74 of the Prospectus (Amendment etc.) (EU Exit) Regulations 2019, except that it may make an offer to the public in the United Kingdom of any shares at any time under the following exemptions under the UK Prospectus Regulation:</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 for any such offer; or</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the “FSMA”),</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Company or the underwriters to publish a prospectus pursuant to section 85 of the FSMA or supplement a prospectus pursuant to Article 23 of the UK Prospectus Regulation.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(as amended, the “Order”);</w:t>
      </w:r>
    </w:p>
    <w:p>
      <w:pPr>
        <w:spacing w:after="0" w:line="1" w:lineRule="exact"/>
        <w:rPr>
          <w:sz w:val="20"/>
          <w:szCs w:val="20"/>
          <w:color w:val="auto"/>
        </w:rPr>
      </w:pPr>
    </w:p>
    <w:p>
      <w:pPr>
        <w:jc w:val="both"/>
        <w:ind w:firstLine="8"/>
        <w:spacing w:after="0" w:line="253" w:lineRule="auto"/>
        <w:tabs>
          <w:tab w:leader="none" w:pos="2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net worth entities or other persons falling within Article 49(2)(a) to (d) of the Order; or (iii) persons to whom it may otherwise lawfully be communicated (all such persons being referred to as “relevant persons”). This document must not be acted on or relied on by persons who are not relevant persons. Any investment or investment activity to which this document relates is available only to relevant persons and will be engaged in only with relevant persons.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Regulation (EU) 2017/1129 as it forms part of domestic law by virtue of the European Union (Withdrawal) Act 2018.</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person in the UK who acquires any securities in the offer or to whom any offer is made will be deemed to have represented, acknowledged and agreed to and with us, the underwriters and their affiliates that it meets the criteria outlined in this section.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Bermuda</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supplement in Australia, you confirm and warrant that you are either:</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or invitation to the public within the meaning of the Companies Ordinance (Cap. 32) or the Securities and Futures Ordinance (Cap. 571)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 resident of Japan, except pursuant to an exemption from S-30 the registration requirements of, and otherwise in compliance with, the FIEL and any other applicable laws, regulations and ministerial guidelines of Japan.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jc w:val="both"/>
        <w:ind w:left="660" w:hanging="328"/>
        <w:spacing w:after="0" w:line="253"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Singapore SFA Product Classification - In connection with Section 309B of the SFA and the Securities and Futures (Capital Markets Products) Regulations 2018 (the “CMP Regulations 2018”),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Switzerland</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the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Resale Restrictions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Representations of Canadian Purchasers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By purchasing securities in Canada and accepting delivery of a purchase confirmation, a purchaser is representing to us and the dealer from whom the purchase confirmation is received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Prospectus Exemptions or 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left="660" w:right="20" w:hanging="328"/>
        <w:spacing w:after="0" w:line="261"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31-103 - Registration Requirements, Exemptions and Ongoing Registrant Obligations;</w:t>
      </w: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20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Conflicts of Interest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are hereby notified that the underwriters are relying on the exemption set out in section 3A.3 or 3A.4, if applicable, of National Instrument 33-105 - Underwriting Conflicts from having to provide certain conflict of interest disclosure in this document.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Statutory Rights of Action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Enforcement of Legal Rights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Taxation and Eligibility for Investment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Israel</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our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Non-U.S. Legend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is for use solely in connection with the proposed offering in certain jurisdictions. This prospectus supplement is not to be distributed in any other jurisdiction and is not to be used in connection with any offer of, or any invitation or solicitation by or on behalf of the Company to subscribe for or purchase, securities in any other jurisdiction. This prospectus supplement is personal to each offeree and does not constitute an offer to any person or to the public generally to subscribe for or otherwise acquire the securities. Distribution of this prospectus supplement to any person other than the prospective investor and any person retained to advise such prospective investor with respect to its purchase is unauthorized.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this prospectus supplement shall not constitute an offer to sell or the solicitation of an offer to buy the securities described herein.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in certain jurisdictions may be restricted by law. You must inform yourself about, and observe, any such restrictions. You must comply with all applicable laws and regulations in force in any jurisdiction in which you purchase, offer or sell the securities or possess or distribute this prospectus supplement and must obtain any consent, approval or permission required for your purchase, offer or sale of the securities under the laws and regulations in force in any jurisdiction to which you are subject or in which you make such purchases, offers or sales. We and the underwriters are not making an offer of, or invitation to purchase, any of the securities to any person in any jurisdiction in which such offer or solicitation would be unlawful.</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has not been submitted to the review or registration procedures of any regulatory authority outside the United States. The offering of the securities pursuant to this prospectus supplement has not been approved or recommended by any governmental securities regulator.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securities being offered will be passed upon for us by Parsons Behle &amp; Latimer, Reno, Nevada and Lowenstein Sandler LLP, New York, New York. Mintz, Levin, Cohn, Ferris, Glovsky and Popeo, P.C., New York, New York is counsel for the underwriters in connection with this offering.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as of and for the years ended December 31, 2024 and 2023 have been so incorporated in reliance on the report of Marcum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we file annual, quarterly, and other reports, proxy statements and other information with the SEC under the Exchange Act. Such reports, proxy statements and other information, including the Registration Statement, and exhibits and schedules thereto, are available to the public through the SEC’s website at www.sec.gov.</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otherwise furnish it to the SEC.</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supplement does not contain all of the information set forth in the registration statement. You can obtain a copy of the registration statement, at prescribed rates, from the SEC at the address listed above, or for free at www.sec.gov. The registration statement and the documents referred to below under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are also available on our website, https://www.dragonflyenergy.com/.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incorporated by reference into this prospectus supplement the information on our website, and you should not consider it to be a part of this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supplement and the accompanying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supplement, the accompanying prospectus and any accompanying prospectus supplement.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w:t>
      </w:r>
      <w:hyperlink r:id="rId37">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31,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fiscal quarters ended March 31, 2025 and June 30, 2025, filed with the SEC on </w:t>
      </w:r>
      <w:hyperlink r:id="rId38">
        <w:r>
          <w:rPr>
            <w:rFonts w:ascii="Times New Roman" w:cs="Times New Roman" w:eastAsia="Times New Roman" w:hAnsi="Times New Roman"/>
            <w:sz w:val="18"/>
            <w:szCs w:val="18"/>
            <w:u w:val="single" w:color="auto"/>
            <w:color w:val="0000EE"/>
          </w:rPr>
          <w:t>May 16,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9">
        <w:r>
          <w:rPr>
            <w:rFonts w:ascii="Times New Roman" w:cs="Times New Roman" w:eastAsia="Times New Roman" w:hAnsi="Times New Roman"/>
            <w:sz w:val="18"/>
            <w:szCs w:val="18"/>
            <w:u w:val="single" w:color="auto"/>
            <w:color w:val="0000EE"/>
          </w:rPr>
          <w:t>August 14,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161" w:lineRule="exact"/>
        <w:rPr>
          <w:rFonts w:ascii="Times New Roman" w:cs="Times New Roman" w:eastAsia="Times New Roman" w:hAnsi="Times New Roman"/>
          <w:sz w:val="18"/>
          <w:szCs w:val="18"/>
          <w:color w:val="0000EE"/>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40">
        <w:r>
          <w:rPr>
            <w:rFonts w:ascii="Times New Roman" w:cs="Times New Roman" w:eastAsia="Times New Roman" w:hAnsi="Times New Roman"/>
            <w:sz w:val="18"/>
            <w:szCs w:val="18"/>
            <w:u w:val="single" w:color="auto"/>
            <w:color w:val="0000EE"/>
          </w:rPr>
          <w:t>January 3, 2025</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February 5, 2025</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February 27, 2025</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March 10, 2025</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March 24, 2025</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April 28,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May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June 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June 13,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June 24,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June 27,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July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July 21,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 xml:space="preserve">July 29, 2025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July 30, 2025</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and </w:t>
      </w:r>
      <w:hyperlink r:id="rId55">
        <w:r>
          <w:rPr>
            <w:rFonts w:ascii="Times New Roman" w:cs="Times New Roman" w:eastAsia="Times New Roman" w:hAnsi="Times New Roman"/>
            <w:sz w:val="18"/>
            <w:szCs w:val="18"/>
            <w:u w:val="single" w:color="auto"/>
            <w:color w:val="0000EE"/>
          </w:rPr>
          <w:t>September 4, 2025</w:t>
        </w:r>
      </w:hyperlink>
      <w:r>
        <w:rPr>
          <w:rFonts w:ascii="Times New Roman" w:cs="Times New Roman" w:eastAsia="Times New Roman" w:hAnsi="Times New Roman"/>
          <w:sz w:val="18"/>
          <w:szCs w:val="18"/>
          <w:color w:val="000000"/>
        </w:rPr>
        <w:t>; and</w:t>
      </w:r>
    </w:p>
    <w:p>
      <w:pPr>
        <w:spacing w:after="0" w:line="178" w:lineRule="exact"/>
        <w:rPr>
          <w:rFonts w:ascii="Times New Roman" w:cs="Times New Roman" w:eastAsia="Times New Roman" w:hAnsi="Times New Roman"/>
          <w:sz w:val="18"/>
          <w:szCs w:val="18"/>
          <w:color w:val="000000"/>
        </w:rPr>
      </w:pPr>
    </w:p>
    <w:p>
      <w:pPr>
        <w:jc w:val="both"/>
        <w:ind w:left="660" w:right="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of the Company contained in our Registration Statement on </w:t>
      </w:r>
      <w:hyperlink r:id="rId56">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on August 10, 2021 under Section 12(b) of the Exchange Act including any amendments or reports filed for the purpose of updating such description, including </w:t>
      </w:r>
      <w:hyperlink r:id="rId57">
        <w:r>
          <w:rPr>
            <w:rFonts w:ascii="Times New Roman" w:cs="Times New Roman" w:eastAsia="Times New Roman" w:hAnsi="Times New Roman"/>
            <w:sz w:val="18"/>
            <w:szCs w:val="18"/>
            <w:u w:val="single" w:color="auto"/>
            <w:color w:val="0000EE"/>
          </w:rPr>
          <w:t>Exhibit 4.18</w:t>
        </w:r>
      </w:hyperlink>
      <w:r>
        <w:rPr>
          <w:rFonts w:ascii="Times New Roman" w:cs="Times New Roman" w:eastAsia="Times New Roman" w:hAnsi="Times New Roman"/>
          <w:sz w:val="18"/>
          <w:szCs w:val="18"/>
          <w:color w:val="auto"/>
        </w:rPr>
        <w:t xml:space="preserve"> to our Annual Report Form 10-K Form </w:t>
      </w:r>
      <w:hyperlink r:id="rId58">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31, 2025.</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All reports and other documents that we file with the SEC under Sections 13(a), 13(c), 14 or 15(d) of the Exchange Act after the date of the initial registration statement and prior to effectiveness of the registration statement, and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all reports, exhibits and other information that we “furnish” to the SEC will not be considered incorporated by reference into this prospectus. Any statement contained in a document incorporated by reference in this prospectus or any subsequent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subsequent prospectus supplement.</w:t>
      </w:r>
    </w:p>
    <w:p>
      <w:pPr>
        <w:spacing w:after="0" w:line="19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Dragonfly Energy Holdings Corp., Attn: Chief Executive Officer, 12915 Old Virginia Road, Reno, Nevada 89521. You may also direct any requests for documents to us by telephone at (775) 622-3448.</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156845</wp:posOffset>
            </wp:positionV>
            <wp:extent cx="1842770" cy="8826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184277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issue and sell from time to time together or separately, in one or more offerings, any combination of (i) our common stock, (ii) our preferred stock, which we may issue in one or more series, (iii) warrants, (iv) senior or subordinated debt securities, (v) subscription rights and (vi) units. The debt securities may consist of debentures, notes, or other types of debt. The debt securities, preferred stock, warrants and subscription rights may be convertible into, or exercisable or exchangeable for, common or preferred stock or other securities of ours. The units may consist of any combination of the securities listed above.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public offering price of the securities that we may offer will not exceed $150,000,000. We will offer the securities in an amount and on terms that market conditions will determine at the time of the offering. Our common stock, par value $0.0001 per share, is currently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“DFLI” and our public warrants are currently listed on the Nasdaq Capital Market under the symbol “DFLIW”. On November 9, 2023, the last reported sale price of our common stock was $0.716 per share. On November 9, 2023, the last reported sale price of our public warrants was $0.056. You are urged to obtain current market quotations of our common stock and public warrants. We have no preferred stock, debt securities, subscription rights or units listed on any market. Each prospectus supplement will indicate if the securities offered thereby will be listed on any securities exchange.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You should carefully consider the risks that we refer you to under the section captioned “Risk Factors” in this prospectus on page 3 before buying our securities.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we offer any of the securities described in this prospectus, we will provide you with the specific terms of the particular securities being offered in supplements to this prospectus. You should read this prospectus and any supplement, together with additional information described under the headings “Additional Information” and “Incorporation of Certain Information by Reference” carefully before you invest. This prospectus may not be used to sell securities unless accompanied by a prospectus supplement.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these securities directly to our stockholders or to other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12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60" w:type="dxa"/>
            <w:vAlign w:val="bottom"/>
            <w:tcBorders>
              <w:bottom w:val="single" w:sz="8" w:color="CCEEFF"/>
            </w:tcBorders>
            <w:gridSpan w:val="11"/>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440" w:type="dxa"/>
            <w:vAlign w:val="bottom"/>
            <w:tcBorders>
              <w:bottom w:val="single" w:sz="8" w:color="CCEEFF"/>
            </w:tcBorders>
            <w:gridSpan w:val="1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5820" w:type="dxa"/>
            <w:vAlign w:val="bottom"/>
            <w:tcBorders>
              <w:bottom w:val="single" w:sz="8" w:color="CCEEFF"/>
            </w:tcBorders>
            <w:gridSpan w:val="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5580" w:type="dxa"/>
            <w:vAlign w:val="bottom"/>
            <w:tcBorders>
              <w:bottom w:val="single" w:sz="8" w:color="CCEEFF"/>
            </w:tcBorders>
            <w:gridSpan w:val="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20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6680" w:type="dxa"/>
            <w:vAlign w:val="bottom"/>
            <w:tcBorders>
              <w:top w:val="single" w:sz="8" w:color="CCEEFF"/>
            </w:tcBorders>
            <w:gridSpan w:val="14"/>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40" w:type="dxa"/>
            <w:vAlign w:val="bottom"/>
            <w:tcBorders>
              <w:bottom w:val="single" w:sz="8" w:color="CCEEFF"/>
            </w:tcBorders>
            <w:gridSpan w:val="13"/>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920" w:type="dxa"/>
            <w:vAlign w:val="bottom"/>
            <w:tcBorders>
              <w:bottom w:val="single" w:sz="8" w:color="CCEEFF"/>
            </w:tcBorders>
            <w:gridSpan w:val="19"/>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Dragonfly Energy Holdings Corp. is referred to herein as “Dragonfly Energy,” “the Company,” “we,” “us,” and “our,” unless the context otherwise indicates.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may only rely on the information contained in this prospectus and the accompanying prospectus supplement or that we have referred you to. We have not authorized anyone to provide you with different information. This prospectus and any prospectus supplement do not constitute an offer to sell or a solicitation of an offer to buy any securities other than the securities offered by this prospectus and the prospectus supplement. This prospectus and any prospectus supplement do not constitute an offer to sell or a solicitation of an offer to buy any securities in any circumstances in which such offer or solicitation is unlawful. Neither the delivery of this prospectus or any prospectus supplement nor any sale made hereunder shall, under any circumstances, create any implication that there has been no change in our affairs since the date of this prospectus or such prospectus supplement or that the information contained by reference to this prospectus or any prospectus supplement is correct as of any time after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using a “shelf” registration process. Under this shelf registration process, we may from time to time offer and sell, in one or more offerings, any or all of the securities described in this prospectus, separately or together, up to an aggregate offering price of $150,000,000. This prospectus provides you with a general description of our securities being offered. When we issue the securities being offered by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“Additional Information” and “Incorporation of Certain Information by Reference.”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highlights some information from this prospectus. It is not complete and does not contain all of the information that you should consider before making an investment decision. You should read this entire prospectus, including the “Risk Factors” section on page 3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vehicles, marine vessel, solar and off-grid residence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2020, we have sold over 281,000 batteries.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battery offerings, we also offer our line of proprietary Wakespeed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accessories, we are also a reseller of accessories for battery systems. These include chargers, inverters, monitors, controllers, solar panels and other system accessories from brands such as Victron Energy, Progressive Dynamics, REDARK, Rich Solar, and Sterling Power.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addition to our conventional lithium iron phosphate (“</w:t>
      </w:r>
      <w:r>
        <w:rPr>
          <w:rFonts w:ascii="Times New Roman" w:cs="Times New Roman" w:eastAsia="Times New Roman" w:hAnsi="Times New Roman"/>
          <w:sz w:val="18"/>
          <w:szCs w:val="18"/>
          <w:b w:val="1"/>
          <w:bCs w:val="1"/>
          <w:color w:val="auto"/>
        </w:rPr>
        <w:t>LFP</w:t>
      </w:r>
      <w:r>
        <w:rPr>
          <w:rFonts w:ascii="Times New Roman" w:cs="Times New Roman" w:eastAsia="Times New Roman" w:hAnsi="Times New Roman"/>
          <w:sz w:val="18"/>
          <w:szCs w:val="18"/>
          <w:color w:val="auto"/>
        </w:rPr>
        <w:t>”)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unique competitive advantage of our cell manufacturing process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 In October 2023, we announced the successful dry deposition of anode and cathode electrodes at scale using our patented battery manufacturing process. We expect to begin producing LFP cells in the United States by the end of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7, 2022, Chardan NexTech 2 Acquisition Corp., a Delaware company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consummated the merger pursuant to the Agreement and Plan of Merger, dated as of May 15, 2022 (as amended,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Agreement</w:t>
      </w:r>
      <w:r>
        <w:rPr>
          <w:rFonts w:ascii="Times New Roman" w:cs="Times New Roman" w:eastAsia="Times New Roman" w:hAnsi="Times New Roman"/>
          <w:sz w:val="18"/>
          <w:szCs w:val="18"/>
          <w:color w:val="auto"/>
        </w:rPr>
        <w:t>”), by and among CNTQ, Bronco Merger Sub, Inc., a Delaware corporation and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Legacy Dragonfly. Pursuant to the Business Combination Agreement, Merger Sub merged with and into Legacy Dragonfly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the other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Legacy Dragonfly continuing as the surviving corporation in the Merger and as our wholly owned subsidiary. In connection with the Business Combination, we changed our name from “Chardan NexTech Acquisition 2 Corp.” to “Dragonfly Energy Holdings Corp.” Following the Business Combination, our business is the business of Legacy Dragonfly.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ectPr>
          <w:pgSz w:w="11900" w:h="16838" w:orient="portrait"/>
          <w:cols w:equalWidth="0" w:num="1">
            <w:col w:w="11240"/>
          </w:cols>
          <w:pgMar w:left="320" w:top="684" w:right="339" w:bottom="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address is 1190 Trademark Dr. #108, Reno, Nevada 89521, and our telephone number is (775) 622-3448. Our corporate website is: www.dragonflyenergy.com. The content of our website shall not be deemed incorporated by reference in this prospectus and you should not consider such information as part of this prospectus.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significant risks. Before making an investment decision, you should carefully consider the risks and other information we include or incorporate by reference in this prospectus and any prospectus supplement. In particular, you should consider the risk factors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most recent Annual Report on Form 10-K, as may be revised or supplemented by our subsequent Quarterly Reports on Form 10-Q or Current Reports on Form 8-K, each of which are on file with the SEC and are incorporated herein by reference, and which may be amended, supplemented or superseded from time to time by other reports we file with the SEC in the future. The risks and uncertainties we have described are not the only ones facing our company. Additional risks and uncertainties not currently known to us may also affect our business operations. Additional risk factors may be included in a prospectus supplement relating to a particular offering of securities. Our business, financial condition or results of operations could be materially adversely affected by any of these risks. The trading price of our securities could decline due to any of these risks, and you may lose all or part of your investment. This prospectus is qualified in its entirety by these risk factors.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contains forward-looking statements as that term is defined in the federal securities laws. The events described in forward-looking statements contained in this prospectus, including the documents that we incorporate by reference, may not occur. Generally, these statements relate to our business plans or strategies, projected or anticipated benefits or other consequences of our plans or strategies, financing plans, projected or anticipated benefits from acquisitions that we may make, or projections involving anticipated revenues, earnings or other aspects of our operating results or financial position, and the outcome of any contingencies. Any such forward-looking statements are based on current expectations, estimates and projections of management. We intend for these forward-looking statements to be covered by the safe-harbor provisions for forward-looking statements. Words such as “may,”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that may affect our results include, but are not limited to, the risks and uncertainties discussed in the “Risk Factors” section on page 3 of this prospectus, in our Annual Report on Form 10-K for the fiscal year ended December 31, 2022 or in other reports we file with the SEC.</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We have not authorized any other person to provide you with different information. If anyone provides you with different or inconsistent information, you should not rely upon it.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relating to a particular offering of securities, we will use the net proceeds from the sale of the securities offered by this prospectus and the exercise price from the exercise of any convertible securities, if any, for the repayment of all or a portion of our outstanding debt and for working capital and other general corporate purposes, which may include funding acquisitions or investments in businesses, products or technologies that are complementary to our own.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particular securities are offered, the prospectus supplement relating to that offering will set forth our intended use of the net proceeds received from the sale of those securities we sell. Pending the application of the net proceeds for these purposes, we expect to invest the proceeds in short-term, interest-bearing instruments or other investment-grade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all of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may also include in the prospectus supplement information about material United States federal income tax considerations relating to the securities, and the securities exchange, if any, on which the securities will be listed.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from time to time, in one or more offerings: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or 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shares of common stock, preferred stock or debt securities;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combination of the securities listed above.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this prospectus, we refer to the common stock, preferred stock, warrants, debt securities, subscription rights and units collectively as “securities.” The total dollar amount of all securities that we may sell pursuant to this prospectus will not exceed $150,000,000.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prospectus may not be used to consummate a sale of securities unless it is accompanied by a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You are encouraged to read the applicable provisions of the Nevada Revised Statutes, as amended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our Articles of Incorporation and our Bylaws in their entirety for a complete description of the rights and preferences of our securities. Copies of our Articles of Incorporation and Bylaws are filed as exhibits to our Annual Report on Form 10-K for the year ended December 31, 2022, filed with the SEC on April 17, 2023, as amended on May 1, 2023, and forms of securities, copies of which are filed as exhibits to the registration statement of which this prospectus forms a part, which are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175,000,000 shares of capital stock authorized under our Articles of Incorporation, which consists of 170,000,000 shares of common stock with a par value of $0.0001 per share and 5,000,000 shares of preferred stock with par value $0.0001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there were 59,550,812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October 7, 2022, we issued public warrants to purchase 9,487,500 shares of our common stock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As of November 9, 2023, Public Warrants to purchase up to 9,422,905 shares of our common stock were issued and outstanding.</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exercise price for the Public Warrants is subject to adjustment for stock splits or combinations, stock dividends and distributions, reclassifications, subdivisions, and other similar transactions. Pursuant to the Warrant Agreement (as defined below),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2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Public Warrants have certain anti-dilution and adjustment rights upon certain events.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between American Stock Transfer &amp; Trust Company, LLC, as warrant agent, and us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The Warrant Agreement provides that the terms of the Public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we issued warrants to purchase 4,627,858 shares of our common stock (the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to an affiliate of Chardan NexTech Investments 2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in a private placement. 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 As of November 9, 2023, Private Warrants to purchase up to 1,501,386 shares of our common stock were issued and outstanding.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Holders of our Private Warrants are entitled to certain registration rights. The Private Warrants purchased by Sponsor will not be exercisable on or after August 10, 2026, in accordance with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 5110(g), as long as Sponsor or any of its related persons beneficially own the Private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7, 2022, we issued warrants to purchase 2,593,056 shares of our common stock at an exercise price of $0.01 per share (the “</w:t>
      </w:r>
      <w:r>
        <w:rPr>
          <w:rFonts w:ascii="Times New Roman" w:cs="Times New Roman" w:eastAsia="Times New Roman" w:hAnsi="Times New Roman"/>
          <w:sz w:val="18"/>
          <w:szCs w:val="18"/>
          <w:b w:val="1"/>
          <w:bCs w:val="1"/>
          <w:color w:val="auto"/>
        </w:rPr>
        <w:t>Penny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Penny Warrants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October 7, 2022, issuances pursuant to agreements in effect as of October 7, 2022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equity facility with Chardan Capital Markets LLC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Penny Warrants to purchase up to 597,834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June 22, 2023, we issued warrants to purchase 11,405,000 shares of our common stock at an exercise price of $2.00 per share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in an underwritten public offering (the “</w:t>
      </w:r>
      <w:r>
        <w:rPr>
          <w:rFonts w:ascii="Times New Roman" w:cs="Times New Roman" w:eastAsia="Times New Roman" w:hAnsi="Times New Roman"/>
          <w:sz w:val="18"/>
          <w:szCs w:val="18"/>
          <w:b w:val="1"/>
          <w:bCs w:val="1"/>
          <w:color w:val="auto"/>
        </w:rPr>
        <w:t>June 2023 Offering</w:t>
      </w:r>
      <w:r>
        <w:rPr>
          <w:rFonts w:ascii="Times New Roman" w:cs="Times New Roman" w:eastAsia="Times New Roman" w:hAnsi="Times New Roman"/>
          <w:sz w:val="18"/>
          <w:szCs w:val="18"/>
          <w:color w:val="auto"/>
        </w:rPr>
        <w:t>”). The Investor Warrants expire on June 22, 2028 and were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upon issuable.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Investor Warrants to purchase up to 11,131,900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Underwriters’ Warrants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570,250 underwriters’ warrants issued in connection with our June 2023 Offering (the “</w:t>
      </w:r>
      <w:r>
        <w:rPr>
          <w:rFonts w:ascii="Times New Roman" w:cs="Times New Roman" w:eastAsia="Times New Roman" w:hAnsi="Times New Roman"/>
          <w:sz w:val="18"/>
          <w:szCs w:val="18"/>
          <w:b w:val="1"/>
          <w:bCs w:val="1"/>
          <w:color w:val="auto"/>
        </w:rPr>
        <w:t>Underwriters’ Warrants</w:t>
      </w:r>
      <w:r>
        <w:rPr>
          <w:rFonts w:ascii="Times New Roman" w:cs="Times New Roman" w:eastAsia="Times New Roman" w:hAnsi="Times New Roman"/>
          <w:sz w:val="18"/>
          <w:szCs w:val="18"/>
          <w:color w:val="auto"/>
        </w:rPr>
        <w:t>”) were exercisable upon issuance and will expire on June 20, 2028. The initial exercise price of the Underwriters’ Warrants is $2.50 per share. The Underwriters’ Warrants have substantially the same rights as the Investor Warrants. As of November 9, 2023, Underwriters’ Warrants to purchase up to 570,250 shares of our common stock were issued and outstanding.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Public Warrants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Articles of Incorporation authorizes a total of 5,000,000 shares of preferred stock, par value $0.0001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w:t>
      </w:r>
    </w:p>
    <w:p>
      <w:pPr>
        <w:jc w:val="both"/>
        <w:ind w:firstLine="8"/>
        <w:spacing w:after="0" w:line="253" w:lineRule="auto"/>
        <w:tabs>
          <w:tab w:leader="none" w:pos="2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Articles of Incorporation, the Bylaws and Nevada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Articles of Incorporation, we have not opted out of the business combination provisions of NRS 78.411 to 78.444, inclusive.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Articles of Incorporation and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“DFLI” and our Public Warrants are currently listed on the Nasdaq Capital Market under the symbol “DFLIW”.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debt securities that we may offer. The debt securities may be issued pursuant to, in the case of senior debt securities, a senior indenture, and in the case of subordinated debt securities, a subordinated indenture, in each case in the forms filed as exhibits to this registration statement, which we refer to as the “indentures.” The indentures will be entered into between us and a trustee to be named prior to the issuance of any debt securities, which we refer to as the “trustee.” The indentures will not limit the amount of debt securities that can be issued thereunder and will provide that the debt securities may be issued from time to time in one or more series pursuant to the terms of one or more securities resolutions or supplemental indentures creating such series.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for any offering of debt securities. These descriptions are only summaries, and you should refer to the relevant indenture for the particular offering of debt securities itself which will describe completely the terms and definitions of the offered debt securities and contain additional information about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or composite currency and denominations;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debt securities will be issued and, if an index formula or other method is used, the method for determining amounts of principal or interest;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other dates, if any, on which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and on which interest will be payable, and the record dates for the payment of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interest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mandatory or optional redemption by us or any third party including any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conversion or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redemption at the option of holders or put by the 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indemnity provisions;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provide that payments of principal or interest may be made in a currency other than that in which the debt securities are denominated, the manner for determining such payments;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payable upon acceleration of a Discounted Debt Security (as defined below);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may be defeased;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the issuance of debt securities in uncertificated form;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Debt securities of any series may be issued as registered debt securities or uncertificated debt securities, in such denominations as specified in the terms of the series.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may be issued under the indentures as Discounted Debt Securities to be offered and sold at a substantial discount from the principal amount thereof. Special United States federal income tax and other considerations applicable thereto will be described in the prospectus supplement relating to such Discounted Debt Securities. “Discounted Debt Security” means a security where the amount of principal due upon acceleration is less than the stated principal amount.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258"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senior debt securities will rank equally with all of our other senior and unsubordinated debt. Our secured debt, if any, will be effectively senior to the senior debt securities to the extent of the value of the assets securing such debt. The subordinated debt securities will be subordinate and junior in right of payment to all of our present and future senior indebtedness to the extent and in the manner described in the prospectus supplement and as set forth in the board resolution, officer’s certificate or supplemental indenture relating to such offering.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only a stockholder’s claim on the assets of our subsidiaries. This stockholder’s claim is junior to the claims that creditors of our subsidiaries have against our subsidiaries. Holders of our debt securities will be our creditors and not creditors of any of our subsidiaries. As a result, all the existing and future liabilities of our subsidiaries, including any claims of their creditors, will effectively be senior to the debt securities with respect to the assets of our subsidiaries. In addition, to the extent that we issue any secured debt, the debt securities will be effectively subordinated to such secured debt to the extent of the value of the assets securing such secured debt.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debt securities will be obligations exclusively of Dragonfly Energy Holdings Corp. To the extent that our ability to service our debt, including the debt securities, may be dependent upon the earnings of our future subsidiaries, if any, our ability to do so will be dependent on the ability of our subsidiaries to distribute those earnings to us as dividends, loans or other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covenants that may apply to a particular series of debt securities will be described in the prospectus supplement relating thereto.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 Obligor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provide that, unless otherwise specified in the securities resolution or supplemental indenture establishing a series of debt securities, we shall not consolidate with or merge into, or transfer all or substantially all of our assets to, any person in any transaction in which we are not the survivor, unless:</w:t>
      </w:r>
    </w:p>
    <w:p>
      <w:pPr>
        <w:spacing w:after="0" w:line="176"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organized under the laws of the United States or a jurisdiction within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assumes by supplemental indenture all of our obligations under the relevant indenture, the debt securities and any coupons;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Default (as defined below) exists;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opinion of counsel stating that the transaction complies with the foregoing requirements and that all conditions precedent provided for in the indenture relating to the transaction have been complied with.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such event, the successor will be substituted for us, and thereafter all of our obligations under the relevant indenture, the debt securities and any coupons will terminate.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provide that these limitations shall not apply if our board of directors makes a good faith determination that the principal purpose of the transaction is to change our state of incorporation.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Exchange of Debt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Registered debt securities may be exchanged for an equal aggregate principal amount of registered debt securities of the same series and date of maturity in such authorized denominations as may be requested upon surrender of the registered debt securities at an agency of the Company maintained for such purpose and upon fulfillment of all other requirements of such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and Remedies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establishing the series otherwise provides (in which event the prospectus supplement will so state), an “Event of Default” with respect to a series of debt securities will occur if:</w:t>
      </w:r>
    </w:p>
    <w:p>
      <w:pPr>
        <w:spacing w:after="0" w:line="162"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any payment of interest on any debt securities of such series when the same becomes due and payable and the default continues for a period of 30 days;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of all or any part of the principal and premium, if any, of any debt securities of such series when the same becomes due and payable at maturity or upon redemption, acceleration or otherwise and such default shall continue for five or more days;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performance of any of our other agreements applicable to the series and the default continues for 30 days after the notice specified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(as defined below) that: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in an involuntary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(as defined below)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us, and the order or decree remains unstayed and in effect for 90 consecutive days;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against us in an involuntary case,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Custodian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general assignment for the benefit of our creditors; or</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for in such series.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of the United States Code or any similar Federal or State law for the relief of debtors. The term “Custodian” means any receiver, trustee, assignee, liquidator or a similar official under any Bankruptcy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“Default” means any event which is, or after notice or passage of time would be, an Event of Default. A Default under subparagraph (3) above is not an Event of Default until the trustee or the holders of at least 25% in principal amount of the series notify us of the Default and we do not cure the Default within the time specified after receipt of the notice.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may require indemnity satisfactory to it before it enforces the indentures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securityholders of such series notice of any continuing Default if the trustee determines that withholding notice is in the interest of such securityholders. We are required to furnish the trustee annually a brief certificate as to our compliance with all conditions and covenants under the indentures.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do not have cross-default provisions. Thus, a default by us on any other debt, including any other series of debt securities, would not constitute an Event of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or any coupons of the series may be amended, and any Default may be waived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otherwise provides (in which event the applicable prospectus supplement will so state), the debt securities and the indentures may be amended with the consent of the holders of a majority in principal amount of the debt securities of all series affected voting as one class. Unless the securities resolution or supplemental indenture otherwise provides (in which event the applicable prospectus supplement will so state), a Default other than a Default in payment on a particular series may be waived with the consent of the holders of a majority in principal amount of the debt securities of the series. However, without the consent of each securityholder affected, no amendment or waiver may:</w:t>
      </w:r>
    </w:p>
    <w:p>
      <w:pPr>
        <w:spacing w:after="0" w:line="183"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fixed maturity of or the time for payment of interest on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premium or interest payable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of a debt security or the currency in which the principal or interest on a debt security is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for calculating any redemption or repurchase price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 to receive payment of principal and interest or to institute suit for the enforcement of any such payment;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or waiver;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materially adversely affects the right to convert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in payment of principal of or interest on a debt security;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rights with respect to redemption or repurchase of a debt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consent of any securityholder, the indentures or the debt securities may be amended to:</w:t>
      </w:r>
    </w:p>
    <w:p>
      <w:pPr>
        <w:spacing w:after="0" w:line="22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assumption of our obligations to securityholders in the event of a merger or consolidation requiring such assumption;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terms of the debt securities to the description thereof in the prospectus and prospectus supplement offering such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series and establish its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acceptance of appointment by a successor trustee or to facilitate the administration of the trusts by more than one trustee;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or unregistered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securityholder;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to the indentures so long as no debt securities are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securities resolution or supplemental indenture establishing a series of debt securities may provide that the debt securities of such series will be convertible at the option of the holders thereof into or for our common stock or other equity or debt instruments. The securities resolution or supplemental indenture may establish, among other things, (1) the number or amount of shares of common stock or other equity or debt instruments for which $1,000 aggregate principal amount of the debt securities of the series is convertible, as may be adjusted pursuant to the terms of the relevant indenture and the securities resolution; and (2) provisions for adjustments to the conversion rate and limitations upon exercise of the conversion right. The indentures provide that we will not be required to make an adjustment in the conversion rate unless the adjustment would require a cumulative change of at least 1% in the conversion rate. However, we will carry forward any adjustments that are less than 1% of the conversion rate and take them into account in any subsequent adjustment of the conversion rate.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debt securities and coupons and to maintain paying agencies in respect of the debt securities) with respect to the debt securities of the series and any related coupons and the relevant indenture, which we refer to as legal defeasance. We at any time may terminate as to a series our obligations with respect to any restrictive covenants which may be applicable to a particular series, which we refer to as covenant defeasance.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exercise either defeasance option as to a series, we must (1) irrevocably deposit in trust with the trustee (or another trustee) money or U.S. Government Obligations (as defined below), 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such series to maturity or redemption, as the case may be; and (2) comply with certain other conditions. In particular, we must obtain an opinion of tax counsel that the defeasance will not result in recognition of any gain or loss to holders for federal income tax purposes.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trustee will also act as depository of funds, transfer agent, paying agent and conversion agent, as applicable, with respect to the debt securities. In certain circumstances, we or the securityholders may remove the trustee as the trustee under a given indenture. The indenture trustee may also provide additional unrelated services to us as a depository of funds, registrar, trustee and similar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New York law, except to the extent that the Trust Indenture Act of 1939 is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STOCK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summarize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together with common or preferred stock as units or separately, warrants for the purchase of shares of our common or preferred stock. The terms of each warrant will be discussed in the applicable prospectus supplement relating to the particular series of warrants. The form(s) of certificate representing the warrants and/or the warrant agreement will be, in each case, filed with the SEC as an exhibit to a document incorporated by reference in the registration statement of which this prospectus is a part on or prior to the date of any prospectus supplement relating to an offering of the particular warrant. The following summary of material provisions of the warrants and the warrant agreements are subject to, and qualified in their entirety by reference to, all the provisions of the warrant agreement and warrant certificate applicable to a particular series of warrants.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series of warrants that are offered by this prospectus will describe, among other things, the following terms to the extent they are applicable to that series of warrants:</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if any, issued with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any related shares of our common or preferred stock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which may be purchased upon exercise of the warrants and the price or prices at which the shares may be purchased upon exercise;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United States federal income tax considerations applicable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provisions of the warrants, if 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may entitle the holder to purchase for cash, or, in limited circumstances, by effecting a cashless exercise for, the number of shares of our common or preferred stock at the exercise price that is described in the applicable prospectus supplement. Warrants will be exercisable during the period of time described in the applicable prospectus supplement. After that period, unexercised warrants will be void. Warrants may be exercised in the manner described in the applicable prospectus supplement.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 of a warrant will not have any of the rights of a holder of our common or preferred stock before the stock is purchased upon exercise of the warrant. Therefore, before a warrant is exercised, the holder of the warrant will not be entitled to receive any dividend payments or exercise any voting or other rights associated with shares of our common or preferred stock which may be purchased when the warrant is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if any, for any warrants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equity securities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equity securities or debt securities upon the exercise of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equity securities and debt securities which may be purchased per each subscription right;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(but, to the extent convertible securities are included in the units, the holder of the units will be deemed the holder of the convertible securities and not the holder of the underlying securities). The unit agreement under which a unit is issued, if any, may provide that the securities included in the unit may not be held or transferred separately, at any time or at any time before a specified date. The applicable prospectus supplement may describe:</w:t>
      </w:r>
    </w:p>
    <w:p>
      <w:pPr>
        <w:spacing w:after="0" w:line="183" w:lineRule="exact"/>
        <w:rPr>
          <w:sz w:val="20"/>
          <w:szCs w:val="20"/>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 agreement governing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considerations relevant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global form.</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debt security, and to the extent applicable, warrant, subscription right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and, to the extent applicable, warrants, subscription rights and units,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Principal, premium, if any,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the Company, the trustees, the warrant agents or any other agent of the Company, the trustees or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Securities Exchange Act of 1934, as amended, or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or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Offering and Sale of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set forth in a prospectus supplement accompanying this prospectus, we may sell the securities being offered hereby, from time to time, by one or more of the following methods:</w:t>
      </w:r>
    </w:p>
    <w:p>
      <w:pPr>
        <w:spacing w:after="0" w:line="162"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underwriting syndicates represented by managing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without a syndicate for them to offer and sell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or agents;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 in negotiated sales or in competitively bid transactions.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Offerings of securities covered by this prospectus also may be made into an existing trading market for those securities in transactions at other than a fixed price, either:</w:t>
      </w:r>
    </w:p>
    <w:p>
      <w:pPr>
        <w:spacing w:after="0" w:line="162" w:lineRule="exact"/>
        <w:rPr>
          <w:sz w:val="20"/>
          <w:szCs w:val="20"/>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Nasdaq or the Nasdaq Capital Market or any other securities exchange or quotation or trading service on which those securities may be listed, quoted, or traded at the time of sale; and/or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securities exchanges or quotation or trading services set forth above.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Those at-the-market offerings, if any, will be conducted by underwriters acting as principal or agent of the Company, who may also be third-party sellers of securities as described above. The prospectus supplement with respect to the offered securities will set forth the terms of the offering of the offered securities, including:</w:t>
      </w:r>
    </w:p>
    <w:p>
      <w:pPr>
        <w:spacing w:after="0" w:line="176"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offered securities and the proceeds to us from such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commissions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such offered securities may be listed;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underwriter, agent or dealer involved in the offer and sale of any series of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fixed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prospectus supplement will set forth the manner and terms of an offering of securities including:</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offering is being made to underwriters, through agents or directly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procedures for any auction or bidding process, if used;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price or initial public offering price;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we anticipate from the sale of the securities, if 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The applicable prospectus supplement may indicate, in connection with such a transaction, that the third parties may sell securities covered by and pursuant to this prospectus and an applicable prospectus supplement. If so, the third party may use securities pledged by us or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Sales Through Underwriters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of some or all of the securities covered by this prospectus, the underwriters will acquire the securities for their own account. The underwriters may resell the securities, either directly to the public or to securities dealers, at various times in one or more transactions, including negotiated transactions, at a fixed public offering price or at varying prices determined at the time of sale. The obligations of the underwriters to purchase the securities will be subject to certain conditions. Unless indicated otherwise in a prospectus supplement, the underwriters will be obligated to purchase all the securities of the series offered if any of the securities are purchased.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initial public offering price and any concessions allowed or reallowed to dealers may be changed intermittently.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Through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when securities are sold through an agent, the designated agent will agree, for the period of its appointment as agent, to use specified efforts to sell the securities for our account and will receive commissions from us as will be set forth in the applicable prospectus supplement.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bought in accordance with a redemption or repayment under their terms also may be offered and sold, if so indicated in the applicable prospectus supplement, in connection with a remarketing by one or more firms acting as principals for their own accounts or as agents for us. Any remarketing firm will be identified and the terms of its agreement, if any, with us and its compensation will be described in the prospectus supplement. Remarketing firms may be deemed to be underwriters in connection with the securities remarketed by them.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may authorize agents, underwriters or dealers to solicit offers by certain specified institutions to purchase securities at a price set forth in the prospectus supplement pursuant to delayed delivery contracts providing for payment and delivery on a future date specified in the prospectus supplement. These contracts will be subject only to those conditions set forth in the applicable prospectus supplement, and the prospectus supplement will set forth the commissions payable for solicitation of these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sell offered securities directly to institutional investors or others. In this case, no underwriters or agents would be involved. The terms of such sales will be described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Broker-dealers, agents or underwriters may receive compensation in the form of discounts, concessions or commissions from us and/or the purchasers of securities for whom such broker-dealers, agents or underwriters may act as agents or to whom they sell as principal, or both. This compensation to a particular broker-dealer might be in excess of customary commissions.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Underwriters, dealers and agents that participate in any distribution of the offered securities may be deemed “underwriters” within the meaning of the Securities Act of 1933, as amended, or the Securities Act, so any discounts or commissions they receive in connection with the distribution may be deemed to be underwriting compensation. Those underwriters and agents may be entitled, under their agreements with us, to indemnification by us against certain civil liabilities, including liabilities under the Securities Act, or to contribution by us to payments that they may be required to make in respect of those civil liabilities. Certain of those underwriters or agents may be customers of, engage in transactions with, or perform services for, us or our affiliates in the ordinary course of business. We will identify any underwriters or agents, and describe their compensation, in a prospectus supplement. Any institutional investors or others that purchase offered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 supplement to this prospectus, if required, pursuant to Rule 424(b) under the Securities Act, if we enter into any material arrangement with a broker, dealer, agent or underwriter for the sale of securities through a block trade, special offering, exchange distribution or secondary distribution or a purchase by a broker or dealer. Such prospectus supplement will disclose:</w:t>
      </w:r>
    </w:p>
    <w:p>
      <w:pPr>
        <w:spacing w:after="0" w:line="176"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participating broker, dealer, agent or underwriter;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securities involved;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securities were sold;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securities may be listed;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paid or discounts or concessions allowed to any such broker, dealer, agent or underwriter, where applicable;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facilitate the offering of certain securities under this prospectus or an applicable prospectus supplement, certain persons participating in the offering of those securities may engage in transactions that stabilize, maintain or otherwise affect the price of those securities during and after the offering of those securities. Specifically, if the applicable prospectus supplement permits, the underwriters of those securities may over-allot or otherwise create a short position in those securities for their own account by selling more of those securities than have been sold to them by us and may elect to cover any such short position by purchasing those securities in the open market.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underwriters may stabilize or maintain the price of those securities by bidding for or purchasing those securities in the open market and may impose penalty bids, under which selling concessions allowed to syndicate members or other broker-dealers participating in the offering are reclaimed if securities previously distributed in the offering are repurchased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securities to the extent that it discourages resales of the securities. No representation is made as to the magnitude or effect of any such stabilization or other transactions. Such transactions, if commenced, may be discontinued at any time.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Rule 15c6-1 under the Exchange Act generally requires that trades in the secondary market settle in two business days, unless the parties to any such trade expressly agree otherwise. Your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any applicable prospectus supplement and any applicable pricing supplement in electronic format may be made available on the Internet sites of, or through other online services maintained by, us and/or one or more of the agents and/or dealers participating in an offering of securities, or by their affiliates. In those cases, prospective investors may be able to view offering terms online and, depending upon the particular agent or dealer, prospective investors may be allowed to place orders online.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this prospectus, any applicable prospectus supplement and any applicable pricing supplement in electronic format, the information on our website or the website of any agent or dealer, and any information contained in any other website maintained by any agent or dealer:</w:t>
      </w:r>
    </w:p>
    <w:p>
      <w:pPr>
        <w:spacing w:after="0" w:line="162" w:lineRule="exact"/>
        <w:rPr>
          <w:sz w:val="20"/>
          <w:szCs w:val="20"/>
          <w:color w:val="auto"/>
        </w:rPr>
      </w:pPr>
    </w:p>
    <w:p>
      <w:pPr>
        <w:ind w:left="980" w:right="44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part of this prospectus, any applicable prospectus supplement or any applicable pricing supplement or the registration statement of which they form a part;</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approved or endorsed by us or by any agent or dealer in its capacity as an agent or dealer, except, in each case, with respect to the respective website maintained by such entity;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relied upon by investors.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we will sell all or any of the securities offered by this prospectus.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may also be used in connection with any issuance of common stock or preferred stock upon exercise of a warrant if such issuance is not exempt from the registration requirements of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 In some cases, we or dealers acting with us or on our behalf may also 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hereby will be passed upon for us by Parsons Behle &amp; Latimer, Reno, Nevada and Lowenstein Sandler LLP, New York, New York.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2021 and for each of the two years in the period ended December 31, 2022 included in this Prospectus and in the Registration Statement have been so included in reliance on the report of BDO USA, LLP (n/k/a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 relating to the shares of our securities being offered hereby. This prospectus does not contain all of the information in the Registration Statement and its exhibits. The Registration Statement, its exhibits and the documents incorporated by reference in this prospectus and their exhibits, all contain information that is material to the offering of the securities hereby. Whenever a reference is made in this prospectus to any of our contracts or other documents, the reference may not be complete. You should refer to the exhibits that are a part of the Registration Statement in order to review a copy of the contract or documents. The Registration Statement and the exhibits are available at the SEC’s Public Reference Room or through its website.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www.dragonflyenergy.com. We have included our website address as an inactive textual reference only and our website and the information contained on, or that can be accessed through, our website will not be deemed to be incorporated by reference in, and are not considered part of, this prospectus.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an electronic or paper copy of any or all reports, proxy statements and other documents we file with the SEC, as well as any or all of the documents incorporated by reference in this prospectus (other than exhibits to such documents unless such exhibits are specifically incorporated by reference into such documents). Requests for such copies should be directed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Denis Phares, Chairman of the Board, President,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(775) 622-3488</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and the additional information described above and under the heading “Incorporation of Certain Information by Reference” below. We have not authorized any other person to provide you with different information. If anyone provides you with different or inconsistent information, you should not rely upon it. We are not making an offer to sell these securities in any jurisdiction where such offer or sale is not permitted. You should assume that the information in this prospectus was accurate on the date of the front cover of this prospectus only. Our business, financial condition, results of operations and prospects may have changed since that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auto"/>
          </w:rPr>
          <w:t xml:space="preserve">our Annual Report on Form 10-K for the year ended December 31, 2022, as filed with the SEC on </w:t>
        </w:r>
        <w:r>
          <w:rPr>
            <w:rFonts w:ascii="Times New Roman" w:cs="Times New Roman" w:eastAsia="Times New Roman" w:hAnsi="Times New Roman"/>
            <w:sz w:val="18"/>
            <w:szCs w:val="18"/>
            <w:u w:val="single" w:color="auto"/>
            <w:color w:val="0000EE"/>
          </w:rPr>
          <w:t>April 17, 2023</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May 1,</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93">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June 30,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5">
        <w:r>
          <w:rPr>
            <w:rFonts w:ascii="Times New Roman" w:cs="Times New Roman" w:eastAsia="Times New Roman" w:hAnsi="Times New Roman"/>
            <w:sz w:val="18"/>
            <w:szCs w:val="18"/>
            <w:u w:val="single" w:color="auto"/>
            <w:color w:val="0000EE"/>
          </w:rPr>
          <w:t>September 30, 2023</w:t>
        </w:r>
      </w:hyperlink>
      <w:r>
        <w:rPr>
          <w:rFonts w:ascii="Times New Roman" w:cs="Times New Roman" w:eastAsia="Times New Roman" w:hAnsi="Times New Roman"/>
          <w:sz w:val="18"/>
          <w:szCs w:val="18"/>
          <w:color w:val="auto"/>
        </w:rPr>
        <w:t>, as filed with the SEC on May 15, 2023, August 21, 2023 and November 14, 2023, respectively;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4"/>
        </w:numPr>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auto"/>
          </w:rPr>
          <w:t xml:space="preserve">our Current Reports on Form 8-K as filed with the SEC on </w:t>
        </w:r>
        <w:r>
          <w:rPr>
            <w:rFonts w:ascii="Times New Roman" w:cs="Times New Roman" w:eastAsia="Times New Roman" w:hAnsi="Times New Roman"/>
            <w:sz w:val="18"/>
            <w:szCs w:val="18"/>
            <w:u w:val="single" w:color="auto"/>
            <w:color w:val="0000EE"/>
          </w:rPr>
          <w:t>March 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10,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7">
        <w:r>
          <w:rPr>
            <w:rFonts w:ascii="Times New Roman" w:cs="Times New Roman" w:eastAsia="Times New Roman" w:hAnsi="Times New Roman"/>
            <w:sz w:val="18"/>
            <w:szCs w:val="18"/>
            <w:u w:val="single" w:color="auto"/>
            <w:color w:val="0000EE"/>
          </w:rPr>
          <w:t xml:space="preserve">May 1, 2023 </w:t>
        </w:r>
      </w:hyperlink>
      <w:hyperlink r:id="rId96">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98">
        <w:r>
          <w:rPr>
            <w:rFonts w:ascii="Times New Roman" w:cs="Times New Roman" w:eastAsia="Times New Roman" w:hAnsi="Times New Roman"/>
            <w:sz w:val="18"/>
            <w:szCs w:val="18"/>
            <w:u w:val="single" w:color="auto"/>
            <w:color w:val="0000EE"/>
          </w:rPr>
          <w:t>June 21, 2023</w:t>
        </w:r>
      </w:hyperlink>
      <w:hyperlink r:id="rId96">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jc w:val="both"/>
        <w:ind w:left="1300" w:hanging="644"/>
        <w:spacing w:after="0" w:line="261"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and Warrants contained in our Registration Statement on </w:t>
      </w:r>
      <w:hyperlink r:id="rId5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2021 under Section 12 of the Exchange Act, including any amendments and reports filed for the purpose of updating such description, including the description of our common stock included as </w:t>
      </w:r>
      <w:hyperlink r:id="rId99">
        <w:r>
          <w:rPr>
            <w:rFonts w:ascii="Times New Roman" w:cs="Times New Roman" w:eastAsia="Times New Roman" w:hAnsi="Times New Roman"/>
            <w:sz w:val="18"/>
            <w:szCs w:val="18"/>
            <w:u w:val="single" w:color="auto"/>
            <w:color w:val="0000EE"/>
          </w:rPr>
          <w:t>Exhibit 4.7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2022, filed with the SEC on April 17, 2023.</w:t>
      </w:r>
    </w:p>
    <w:p>
      <w:pPr>
        <w:spacing w:after="0" w:line="180"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reports and other documents that we file with the SEC under Sections 13(a), 13(c), 14 or 15(d) of the Exchange Act after the date of the initial registration statement and prior to effectiveness of the registration statement, and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“Additional Information,” above.</w:t>
      </w:r>
    </w:p>
    <w:p>
      <w:pPr>
        <w:spacing w:after="0" w:line="1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448945</wp:posOffset>
            </wp:positionV>
            <wp:extent cx="1748790" cy="436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20,000,000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161290</wp:posOffset>
            </wp:positionV>
            <wp:extent cx="1783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161290</wp:posOffset>
            </wp:positionV>
            <wp:extent cx="1783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Sole Bookrunner</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Canaccord Genuity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Co-Manager</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Roth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132715</wp:posOffset>
            </wp:positionV>
            <wp:extent cx="1783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October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Roman"/>
      <w:start w:val="2"/>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upperLetter"/>
      <w:start w:val="2"/>
    </w:lvl>
    <w:lvl w:ilvl="1">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lvl w:ilvl="1">
      <w:lvlJc w:val="left"/>
      <w:lvlText w:val="(%2)"/>
      <w:numFmt w:val="upperLetter"/>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jpe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100" Type="http://schemas.openxmlformats.org/officeDocument/2006/relationships/image" Target="media/image63.png"/><Relationship Id="rId101" Type="http://schemas.openxmlformats.org/officeDocument/2006/relationships/image" Target="media/image64.jpe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37" Type="http://schemas.openxmlformats.org/officeDocument/2006/relationships/hyperlink" Target="https://www.sec.gov/ix?doc=/Archives/edgar/data/1847986/000164117225001755/form10-k.htm" TargetMode="External"/><Relationship Id="rId38" Type="http://schemas.openxmlformats.org/officeDocument/2006/relationships/hyperlink" Target="https://www.sec.gov/Archives/edgar/data/1847986/000164117225011280/form10-q.htm" TargetMode="External"/><Relationship Id="rId39" Type="http://schemas.openxmlformats.org/officeDocument/2006/relationships/hyperlink" Target="https://www.sec.gov/Archives/edgar/data/1847986/000149315225011982/form10-q.htm" TargetMode="External"/><Relationship Id="rId40" Type="http://schemas.openxmlformats.org/officeDocument/2006/relationships/hyperlink" Target="https://www.sec.gov/ix?doc=/Archives/edgar/data/1847986/000149315225000307/form8-k.htm" TargetMode="External"/><Relationship Id="rId41" Type="http://schemas.openxmlformats.org/officeDocument/2006/relationships/hyperlink" Target="https://www.sec.gov/ix?doc=/Archives/edgar/data/1847986/000149315225005013/form8-k.htm" TargetMode="External"/><Relationship Id="rId42" Type="http://schemas.openxmlformats.org/officeDocument/2006/relationships/hyperlink" Target="https://www.sec.gov/ix?doc=/Archives/edgar/data/1847986/000149315225008445/form8-k.htm" TargetMode="External"/><Relationship Id="rId43" Type="http://schemas.openxmlformats.org/officeDocument/2006/relationships/hyperlink" Target="https://www.sec.gov/ix?doc=/Archives/edgar/data/1847986/000149315225009633/form8-k.htm" TargetMode="External"/><Relationship Id="rId44" Type="http://schemas.openxmlformats.org/officeDocument/2006/relationships/hyperlink" Target="https://www.sec.gov/ix?doc=/Archives/edgar/data/1847986/000164117225000298/form8-k.htm" TargetMode="External"/><Relationship Id="rId45" Type="http://schemas.openxmlformats.org/officeDocument/2006/relationships/hyperlink" Target="https://www.sec.gov/ix?doc=/Archives/edgar/data/1847986/000164117225006463/form8-k.htm" TargetMode="External"/><Relationship Id="rId46" Type="http://schemas.openxmlformats.org/officeDocument/2006/relationships/hyperlink" Target="https://www.sec.gov/ix?doc=/Archives/edgar/data/1847986/000164117225009296/form8-k.htm" TargetMode="External"/><Relationship Id="rId47" Type="http://schemas.openxmlformats.org/officeDocument/2006/relationships/hyperlink" Target="https://www.sec.gov/ix?doc=/Archives/edgar/data/1847986/000164117225013480/form8-k.htm" TargetMode="External"/><Relationship Id="rId48" Type="http://schemas.openxmlformats.org/officeDocument/2006/relationships/hyperlink" Target="https://www.sec.gov/ix?doc=/Archives/edgar/data/1847986/000164117225015095/form8-k.htm" TargetMode="External"/><Relationship Id="rId49" Type="http://schemas.openxmlformats.org/officeDocument/2006/relationships/hyperlink" Target="https://www.sec.gov/ix?doc=/Archives/edgar/data/1847986/000164117225016196/form8-k.htm" TargetMode="External"/><Relationship Id="rId50" Type="http://schemas.openxmlformats.org/officeDocument/2006/relationships/hyperlink" Target="https://www.sec.gov/ix?doc=/Archives/edgar/data/1847986/000164117225016938/form8-k.htm" TargetMode="External"/><Relationship Id="rId51" Type="http://schemas.openxmlformats.org/officeDocument/2006/relationships/hyperlink" Target="https://www.sec.gov/ix?doc=/Archives/edgar/data/1847986/000164117225017928/form8-k.htm" TargetMode="External"/><Relationship Id="rId52" Type="http://schemas.openxmlformats.org/officeDocument/2006/relationships/hyperlink" Target="https://www.sec.gov/Archives/edgar/data/1847986/000164117225020360/form8-k.htm" TargetMode="External"/><Relationship Id="rId53" Type="http://schemas.openxmlformats.org/officeDocument/2006/relationships/hyperlink" Target="https://www.sec.gov/Archives/edgar/data/1847986/000164117225021256/form8-k.htm" TargetMode="External"/><Relationship Id="rId54" Type="http://schemas.openxmlformats.org/officeDocument/2006/relationships/hyperlink" Target="https://www.sec.gov/Archives/edgar/data/1847986/000164117225021587/form8-k.htm" TargetMode="External"/><Relationship Id="rId55" Type="http://schemas.openxmlformats.org/officeDocument/2006/relationships/hyperlink" Target="https://www.sec.gov/Archives/edgar/data/1847986/000149315225012605/form8-k.htm" TargetMode="External"/><Relationship Id="rId56" Type="http://schemas.openxmlformats.org/officeDocument/2006/relationships/hyperlink" Target="https://www.sec.gov/Archives/edgar/data/1847986/000110465921102670/tm2124648d1_8a12b.htm" TargetMode="External"/><Relationship Id="rId57" Type="http://schemas.openxmlformats.org/officeDocument/2006/relationships/hyperlink" Target="https://www.sec.gov/Archives/edgar/data/1847986/000164117225001755/ex4-18.htm" TargetMode="External"/><Relationship Id="rId58" Type="http://schemas.openxmlformats.org/officeDocument/2006/relationships/hyperlink" Target="https://www.sec.gov/Archives/edgar/data/1847986/000164117225001755/form10-k.htm" TargetMode="External"/><Relationship Id="rId92" Type="http://schemas.openxmlformats.org/officeDocument/2006/relationships/hyperlink" Target="https://www.sec.gov/ix?doc=/Archives/edgar/data/1847986/000149315223014966/form10-ka.htm" TargetMode="External"/><Relationship Id="rId93" Type="http://schemas.openxmlformats.org/officeDocument/2006/relationships/hyperlink" Target="https://www.sec.gov/Archives/edgar/data/1847986/000149315223017432/form10-q.htm" TargetMode="External"/><Relationship Id="rId94" Type="http://schemas.openxmlformats.org/officeDocument/2006/relationships/hyperlink" Target="https://www.sec.gov/Archives/edgar/data/1847986/000149315223029680/form10-q.htm" TargetMode="External"/><Relationship Id="rId95" Type="http://schemas.openxmlformats.org/officeDocument/2006/relationships/hyperlink" Target="https://www.sec.gov/ix?doc=/Archives/edgar/data/1847986/000149315223041072/form10-q.htm" TargetMode="External"/><Relationship Id="rId96" Type="http://schemas.openxmlformats.org/officeDocument/2006/relationships/hyperlink" Target="https://www.sec.gov/ix?doc=/Archives/edgar/data/0001847986/000149315223010262/form8-k.htm" TargetMode="External"/><Relationship Id="rId97" Type="http://schemas.openxmlformats.org/officeDocument/2006/relationships/hyperlink" Target="https://www.sec.gov/ix?doc=/Archives/edgar/data/0001847986/000149315223014971/form8-k.htm" TargetMode="External"/><Relationship Id="rId98" Type="http://schemas.openxmlformats.org/officeDocument/2006/relationships/hyperlink" Target="https://www.sec.gov/ix?doc=/Archives/edgar/data/0001847986/000149315223021997/form8-k.htm" TargetMode="External"/><Relationship Id="rId99" Type="http://schemas.openxmlformats.org/officeDocument/2006/relationships/hyperlink" Target="https://www.sec.gov/Archives/edgar/data/1847986/000149315223012533/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2025-10-06T16:02:10Z</dcterms:created>
  <dcterms:modified xsi:type="dcterms:W3CDTF">2025-10-06T16:02:10Z</dcterms:modified>
</cp:coreProperties>
</file>