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p>
      <w:pPr>
        <w:spacing w:after="0" w:line="203"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we are not soliciting an offer to buy these securities in any jurisdiction where the offer or sale is not permitted.</w:t>
      </w:r>
    </w:p>
    <w:p>
      <w:pPr>
        <w:spacing w:after="0" w:line="176"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FF0000"/>
        </w:rPr>
        <w:t>Subject to completion, dated July 29, 2025</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Shares of Common Stock</w:t>
      </w:r>
    </w:p>
    <w:p>
      <w:pPr>
        <w:spacing w:after="0" w:line="220" w:lineRule="exact"/>
        <w:rPr>
          <w:sz w:val="24"/>
          <w:szCs w:val="24"/>
          <w:color w:val="auto"/>
        </w:rPr>
      </w:pPr>
    </w:p>
    <w:p>
      <w:pPr>
        <w:ind w:left="1380"/>
        <w:spacing w:after="0"/>
        <w:tabs>
          <w:tab w:leader="none" w:pos="6740" w:val="left"/>
        </w:tabs>
        <w:rPr>
          <w:sz w:val="20"/>
          <w:szCs w:val="20"/>
          <w:color w:val="auto"/>
        </w:rPr>
      </w:pPr>
      <w:r>
        <w:rPr>
          <w:rFonts w:ascii="Times New Roman" w:cs="Times New Roman" w:eastAsia="Times New Roman" w:hAnsi="Times New Roman"/>
          <w:sz w:val="29"/>
          <w:szCs w:val="29"/>
          <w:b w:val="1"/>
          <w:bCs w:val="1"/>
          <w:color w:val="auto"/>
        </w:rPr>
        <w:t>Pre-Funded Warrants to Purchase</w:t>
      </w:r>
      <w:r>
        <w:rPr>
          <w:sz w:val="20"/>
          <w:szCs w:val="20"/>
          <w:color w:val="auto"/>
        </w:rPr>
        <w:tab/>
      </w:r>
      <w:r>
        <w:rPr>
          <w:rFonts w:ascii="Times New Roman" w:cs="Times New Roman" w:eastAsia="Times New Roman" w:hAnsi="Times New Roman"/>
          <w:sz w:val="28"/>
          <w:szCs w:val="28"/>
          <w:b w:val="1"/>
          <w:bCs w:val="1"/>
          <w:color w:val="auto"/>
        </w:rPr>
        <w:t>Shares of Common Stock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Shares of Common Stock Underlying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163830</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41" w:lineRule="exact"/>
        <w:rPr>
          <w:sz w:val="24"/>
          <w:szCs w:val="24"/>
          <w:color w:val="auto"/>
        </w:rPr>
      </w:pPr>
    </w:p>
    <w:p>
      <w:pPr>
        <w:jc w:val="both"/>
        <w:ind w:left="460" w:hanging="457"/>
        <w:spacing w:after="0" w:line="261" w:lineRule="auto"/>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 xml:space="preserve"> </w:t>
      </w:r>
      <w:r>
        <w:rPr>
          <w:rFonts w:ascii="Times New Roman" w:cs="Times New Roman" w:eastAsia="Times New Roman" w:hAnsi="Times New Roman"/>
          <w:sz w:val="18"/>
          <w:szCs w:val="18"/>
          <w:color w:val="auto"/>
        </w:rPr>
        <w:t>shares of our common stock, and, in lieu of shares of common stock to investors that so choose, pre-funded warrants to purchase shares of our common stock, or the “pre-funded warrants” (and the shares of common stock issuable from time to time upon exercise of each of the</w:t>
      </w:r>
    </w:p>
    <w:p>
      <w:pPr>
        <w:jc w:val="both"/>
        <w:spacing w:after="0" w:line="253" w:lineRule="auto"/>
        <w:rPr>
          <w:sz w:val="20"/>
          <w:szCs w:val="20"/>
          <w:color w:val="auto"/>
        </w:rPr>
      </w:pPr>
      <w:r>
        <w:rPr>
          <w:rFonts w:ascii="Times New Roman" w:cs="Times New Roman" w:eastAsia="Times New Roman" w:hAnsi="Times New Roman"/>
          <w:sz w:val="18"/>
          <w:szCs w:val="18"/>
          <w:color w:val="auto"/>
        </w:rPr>
        <w:t>pre-funded warrants). The public offering price is $ per share. The pre-funded warrants will be exercisable immediately and are exercisable for one share of our common stock. The purchase price of each pre-funded warrant is equal to the public offering price at which a share of common stock is sold to the public in this offering, minus $0.0001, and the exercise price of each pre-funded warrant is $0.0001 per share of common stock. Each pre-funded warrant will be exercisable for one share of common stock at any time after the date of issuance of such pre-funded warrant, subject to an ownership limitation. This prospectus supplement also relates to the offering of the shares of common stock issuable upon exercise of the pre-funded warrants.</w:t>
      </w:r>
    </w:p>
    <w:p>
      <w:pPr>
        <w:spacing w:after="0" w:line="1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and our public warrants (the “Public Warrants”) are currently listed on the Nasdaq Capital Market under the symbol “DFLIW.” On July 28, 2025, the last reported sales price of our common stock on the Nasdaq Capital Market was $0.3701 per share and the last reported sales price of our Public Warrants was $0.0253. There is no established public trading market for the pre-funded warrants, and we do not expect a market to develop. In addition, we do not intend to apply for listing of the pre-funded warrants on any securities exchange or recognized trading system.</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stock held by non-affiliates, or the public float, was $19,670,766, which was calculated based on 37,828,397 shares of our outstanding common stock held by non-affiliates at a price of $0.52, per share, the closing price of our common stock on July 22, 2025.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$75,000,000. During the 12 calendar months prior to, and including, the date of this prospectus supplement, we sold $1,060,928 of securities pursuant to General Instruction I.B.6 of Form S-3.</w:t>
      </w:r>
    </w:p>
    <w:p>
      <w:pPr>
        <w:spacing w:after="0" w:line="18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future filings. See “Prospectus Supplement Summary—Emerging Growth Company and Smaller Reporting Company.”</w:t>
      </w:r>
    </w:p>
    <w:p>
      <w:pPr>
        <w:spacing w:after="0" w:line="172"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buying any shares, you should read the discussion of material risks of investing in our securities in “Risk Factors” beginning on page S-6 of this prospectus supplement, on page 3 of the accompanying prospectus and in the documents incorporated by reference in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90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290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90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4"/>
          <w:szCs w:val="24"/>
          <w:color w:val="auto"/>
        </w:rPr>
      </w:pPr>
    </w:p>
    <w:p>
      <w:pPr>
        <w:ind w:firstLine="8"/>
        <w:spacing w:after="0" w:line="286"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 for certain of their reasonable out-of-pocket expenses. See “Underwriting” beginning on page 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 for more information on this offering and the underwriting arrangements.</w:t>
      </w:r>
    </w:p>
    <w:p>
      <w:pPr>
        <w:spacing w:after="0" w:line="15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Delivery of the shares of common stock and pre-funded warrants is expected to be made on or about , 2025. We have granted the underwriter an option for a period of 30 days to purchase up to additional shares of our common stock. If the underwriter exercises the option in full, the total underwriting discounts and commissions payable by us will be $ and the total proceeds to us, before expenses, will be $ .</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ectPr>
          <w:pgSz w:w="11900" w:h="16900" w:orient="portrait"/>
          <w:cols w:equalWidth="0" w:num="1">
            <w:col w:w="11240"/>
          </w:cols>
          <w:pgMar w:left="320" w:top="44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88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The date of this prospectus supplement is</w:t>
            </w:r>
          </w:p>
        </w:tc>
        <w:tc>
          <w:tcPr>
            <w:tcW w:w="436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8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6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34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71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5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w:t>
            </w:r>
          </w:p>
        </w:tc>
        <w:tc>
          <w:tcPr>
            <w:tcW w:w="6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74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pre-funded warrants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 has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underwriter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the underwriter are offering to sell, and seeking offers to buy, shares of our common stock and pre-funded warrants only in jurisdictions where offers and sales are permitted. The distribution of this prospectus supplement and the accompanying prospectus and the offering of our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our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or pre-funded warrants.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S-6 and in the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874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874760"/>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2025 Preliminary Results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second quarter 2025 Net Sales of $16.2 million and Adjusted EBITDA of $(2.2 million). The anticipated results represent approximately 23% year-over-year growth in Net Sales and an approximately $4.0 million reduction in Adjusted EBITDA loss. The second quarter 2025 Net Sales and Adjusted EBITDA are preliminary and are subject to finalization and adjustment in connection with the preparation of our Quarterly Report on Form 10-Q for the three months ended June 30, 2025. The preliminary financial results included in this prospectus supplement have been prepared by, and are the responsibility of, our management. CBIZ CPAs P.C., our independent registered public accounting firm, has not audited, reviewed, examined, complied, nor applied agreed-upon procedures with respect to the preliminary financial results. Accordingly, CBIZ CPAs P.C. do not express an opinion or any other form of assurance with respect thereto. During the course of the preparation of our financial statements and related notes as of and for the three months ended June 30, 2025, we may identify items that would require us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(“GAAP”) and reviewed by our independent registered public accounting firm. See “Risk Factors” and “Special Note Regarding Forward-Looking Statements.”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is a non-GAAP measure and should be considered only as supplemental to, and not as superior to, financial measures prepared in accordance with GAAP. The table below provides a reconciliation between reconciliation of Adjusted EBITDA to its nearest GAAP measure based on preliminary information that is subject to the caveats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94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6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2940" w:type="dxa"/>
            <w:vAlign w:val="bottom"/>
            <w:gridSpan w:val="2"/>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(7,034)</w:t>
            </w:r>
          </w:p>
        </w:tc>
        <w:tc>
          <w:tcPr>
            <w:tcW w:w="1400" w:type="dxa"/>
            <w:vAlign w:val="bottom"/>
            <w:gridSpan w:val="2"/>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Period Tariff estimate change</w:t>
            </w: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Fees and Loss on Settlement</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is defined as earnings before interest and other income (expenses), income taxes, and depreciation and amortization. Adjusted EBITDA is calculated as EBITDA adjusted for stock-based compensation and changes in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GAAP and should not be considered as an alternative to information reported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Nasdaq Continued Listing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2025, we received a notice from the Listing Qualifications Staff (the “Staff”) of The Nasdaq Stock Market LLC (“Nasdaq”) indicating that, based upon our non-compliance with the $1.00 minimum bid price requirement for continued listing on The Nasdaq Capital Market under Nasdaq Listing Rule 5550(a)(2) (the “Bid Price Requirement”), the Staff had determined to delist the our securities from Nasdaq, subject to our request for a hearing before a Nasdaq Hearings Panel (the “Panel”). We timely requested a hearing before the Panel. In addition, on June 11, 2025, we received an additional staff determination letter indicating that, based upon our non-compliance with the requirement to maintain a minimum market value of listed securities (“MVLS”) of $35 million for continued listing on The Nasdaq Capital Market under Nasdaq Listing Rule 5550(b)(2)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887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On July 2, 2025, following our hearing with the Panel on June 24, 2025, we received a notice (the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preferred stock into shares of our common stock by July 18, 2025 and the restructuring of a portion of our outstanding debt or conversion of such debt into shares of our common stock by mid-August 2025. In order to meet the $2,500,000 stockholders’ equity alternative continued listing standard, following this offering, we may need to raise additional capital depending on the amount of debt we may be able to convert, if any, with the lenders.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Patent Issuance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issued a new patent that covers powderized ionically conducting feedstock for constructing solid-state electrochemical cells that incorporate a non-flammable, lithium-conductive composite electrolyte and enables high-performance cycling without the use of traditional liquid or gel polymer electrolytes. These innovations are designed to enhance safety and thermal stability while enabling the scalable manufacturing of next-generation battery cells. The patented electrolyte feedstock supports high energy density and can be adapted for various lithium-ion chemistries.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7" w:name="page8"/>
    <w:bookmarkEnd w:id="7"/>
    <w:tbl>
      <w:tblPr>
        <w:tblLayout w:type="fixed"/>
        <w:tblInd w:w="5"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17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shares</w:t>
            </w:r>
          </w:p>
        </w:tc>
        <w:tc>
          <w:tcPr>
            <w:tcW w:w="6620" w:type="dxa"/>
            <w:vAlign w:val="bottom"/>
          </w:tcPr>
          <w:p>
            <w:pPr>
              <w:spacing w:after="0"/>
              <w:rPr>
                <w:sz w:val="24"/>
                <w:szCs w:val="24"/>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offered by us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We are also offering, in lieu of shares of common stock to certain investors that so choose, pre-funded warrants to</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shares of common stock. Each pre-funded warrant will have an initial exercise price per share of</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$0.0001, subject to certain adjustments. The purchase price of each pre-funded warrant is equal to the price at</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which the share of common stock is being sold to the public in this offering, minus $0.0001. The pre-funded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warrants are exercisable immediately and may be exercised at any time until all of the pre-funded warrants are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exercised in full. For more information, see the section titled “Description of Securities We Are Offering—Pre-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Funded Warrants.” This prospectus supplement also relates to the offering of the shares of common stock</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issuable upon the exercise of such pre-funded warrants.</w:t>
            </w:r>
          </w:p>
        </w:tc>
      </w:tr>
      <w:tr>
        <w:trPr>
          <w:trHeight w:val="414"/>
        </w:trPr>
        <w:tc>
          <w:tcPr>
            <w:tcW w:w="2600" w:type="dxa"/>
            <w:vAlign w:val="bottom"/>
          </w:tcPr>
          <w:p>
            <w:pPr>
              <w:spacing w:after="0"/>
              <w:rPr>
                <w:sz w:val="24"/>
                <w:szCs w:val="24"/>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Each pre-funded warrant is exercisable for one share of common stock (subject to adjustment as provided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therein) at any time at the option of the holder, provided that the holder will be prohibited from exercising its pre-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funded warrant for shares of our common stock if, as a result of such exercise, the holder, together with its</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affiliates, would own more than 9.99% (or, at the election of the purchaser, 4.99%) of the total number of shares</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our common stock then issued and outstanding. However, any holder may increase or decrease such</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percentage to any other percentage not in excess of 9.99%, provided that any increase or decrease in such</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percentage shall not be effective until the sixty-first (61st) day after such notice to us.</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1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shares (or</w:t>
            </w: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if the underwriter exercise in full its option to purchase additional shares) in each</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case, assuming all of the pre-funded warrants issued in this offering are exercised.</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 have granted the underwriter the option, exercisable for 30 days from the date of this prospectus supplement,</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shares from us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 purchase up to additional shares of our common stock.</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purposes, including the repayment of our indebtedness in the ordinary course. See “Use of Proceeds” on page S-</w:t>
            </w:r>
          </w:p>
        </w:tc>
      </w:tr>
      <w:tr>
        <w:trPr>
          <w:trHeight w:val="234"/>
        </w:trPr>
        <w:tc>
          <w:tcPr>
            <w:tcW w:w="260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6620" w:type="dxa"/>
            <w:vAlign w:val="bottom"/>
          </w:tcPr>
          <w:p>
            <w:pPr>
              <w:spacing w:after="0"/>
              <w:rPr>
                <w:sz w:val="20"/>
                <w:szCs w:val="20"/>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S-6. of this</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prospectus supplement and under similar headings in the other documents that are filed after the date hereof and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 for a discussion of</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factors to consider before deciding to purchase our securities.</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There is no established</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public trading market for the pre-funded warrants and we do not expect a market to develop. In addition, we do</w:t>
            </w:r>
          </w:p>
        </w:tc>
      </w:tr>
      <w:tr>
        <w:trPr>
          <w:trHeight w:val="216"/>
        </w:trPr>
        <w:tc>
          <w:tcPr>
            <w:tcW w:w="260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 intend to apply for listing of the pre-funded warrants on any securities exchange or recognized trading</w:t>
            </w:r>
          </w:p>
        </w:tc>
      </w:tr>
      <w:tr>
        <w:trPr>
          <w:trHeight w:val="234"/>
        </w:trPr>
        <w:tc>
          <w:tcPr>
            <w:tcW w:w="260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system. See the section titled “Description of Securities We Are Offering—Pre-Funded Warrants.”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219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9219565"/>
                    </a:xfrm>
                    <a:prstGeom prst="rect">
                      <a:avLst/>
                    </a:prstGeom>
                    <a:noFill/>
                  </pic:spPr>
                </pic:pic>
              </a:graphicData>
            </a:graphic>
          </wp:anchor>
        </w:drawing>
      </w:r>
    </w:p>
    <w:p>
      <w:pPr>
        <w:ind w:left="5"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39,744,470 shares of common stock outstanding on July 23, 2025 and excludes:</w:t>
      </w:r>
    </w:p>
    <w:p>
      <w:pPr>
        <w:spacing w:after="0" w:line="162" w:lineRule="exact"/>
        <w:rPr>
          <w:sz w:val="20"/>
          <w:szCs w:val="20"/>
          <w:color w:val="auto"/>
        </w:rPr>
      </w:pPr>
    </w:p>
    <w:p>
      <w:pPr>
        <w:ind w:left="645" w:hanging="321"/>
        <w:spacing w:after="0" w:line="261"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our merger in October 2022 (the “Business Combination”);</w:t>
      </w:r>
    </w:p>
    <w:p>
      <w:pPr>
        <w:ind w:left="645" w:right="20" w:hanging="321"/>
        <w:spacing w:after="0" w:line="250"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1,046,947 shares of common stock issuable upon exercise of Public Warrants outstanding as of July 23, 2025, with an exercise price of $103.50 per share;</w:t>
      </w:r>
    </w:p>
    <w:p>
      <w:pPr>
        <w:ind w:left="645" w:right="20" w:hanging="321"/>
        <w:spacing w:after="0" w:line="250"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(the “Private Warrants”) outstanding as of July 23, 2025, with an exercise price of $103.50 per share;</w:t>
      </w:r>
    </w:p>
    <w:p>
      <w:pPr>
        <w:ind w:left="645" w:right="20" w:hanging="321"/>
        <w:spacing w:after="0" w:line="250"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other warrants outstanding as of July 23, 2025, with a weighted average exercise price of $18.22 per share;</w:t>
      </w:r>
    </w:p>
    <w:p>
      <w:pPr>
        <w:ind w:left="645" w:right="20" w:hanging="321"/>
        <w:spacing w:after="0" w:line="250"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(the “Penny Warrants”) outstanding as of July 23, 2025, with an exercise price of $0.09 per share;</w:t>
      </w:r>
    </w:p>
    <w:p>
      <w:pPr>
        <w:ind w:left="645" w:right="20" w:hanging="321"/>
        <w:spacing w:after="0" w:line="250"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680,476 shares of common stock issuable upon exercise of Penny Warrants outstanding as of July 23, 2025, with an exercise price of $0.01 per share;</w:t>
      </w:r>
    </w:p>
    <w:p>
      <w:pPr>
        <w:ind w:left="645" w:right="20" w:hanging="321"/>
        <w:spacing w:after="0" w:line="250"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145,890 shares of common stock underlying outstanding options as of July 23, 2025, with a weighted average exercise price of $27.42 per share; and</w:t>
      </w:r>
    </w:p>
    <w:p>
      <w:pPr>
        <w:ind w:left="645" w:hanging="321"/>
        <w:spacing w:after="0"/>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381,335 shares of common stock underlying outstanding restricted stock units as of July 23, 2025.</w:t>
      </w:r>
    </w:p>
    <w:p>
      <w:pPr>
        <w:spacing w:after="0" w:line="2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w:t>
      </w:r>
    </w:p>
    <w:p>
      <w:pPr>
        <w:spacing w:after="0" w:line="225" w:lineRule="exact"/>
        <w:rPr>
          <w:sz w:val="20"/>
          <w:szCs w:val="20"/>
          <w:color w:val="auto"/>
        </w:rPr>
      </w:pPr>
    </w:p>
    <w:p>
      <w:pPr>
        <w:ind w:left="5"/>
        <w:spacing w:after="0"/>
        <w:tabs>
          <w:tab w:leader="none" w:pos="304" w:val="left"/>
          <w:tab w:leader="none" w:pos="4724" w:val="left"/>
        </w:tabs>
        <w:rPr>
          <w:sz w:val="20"/>
          <w:szCs w:val="20"/>
          <w:color w:val="auto"/>
        </w:rPr>
      </w:pPr>
      <w:r>
        <w:rPr>
          <w:rFonts w:ascii="Times New Roman" w:cs="Times New Roman" w:eastAsia="Times New Roman" w:hAnsi="Times New Roman"/>
          <w:sz w:val="18"/>
          <w:szCs w:val="18"/>
          <w:color w:val="auto"/>
        </w:rPr>
        <w:t>●</w:t>
        <w:tab/>
        <w:t>no exercise of the underwriter’s option to purchase</w:t>
      </w:r>
      <w:r>
        <w:rPr>
          <w:sz w:val="20"/>
          <w:szCs w:val="20"/>
          <w:color w:val="auto"/>
        </w:rPr>
        <w:tab/>
      </w:r>
      <w:r>
        <w:rPr>
          <w:rFonts w:ascii="Times New Roman" w:cs="Times New Roman" w:eastAsia="Times New Roman" w:hAnsi="Times New Roman"/>
          <w:sz w:val="18"/>
          <w:szCs w:val="18"/>
          <w:color w:val="auto"/>
        </w:rPr>
        <w:t>additional shares; and</w:t>
      </w:r>
    </w:p>
    <w:p>
      <w:pPr>
        <w:spacing w:after="0" w:line="225" w:lineRule="exact"/>
        <w:rPr>
          <w:sz w:val="20"/>
          <w:szCs w:val="20"/>
          <w:color w:val="auto"/>
        </w:rPr>
      </w:pPr>
    </w:p>
    <w:p>
      <w:pPr>
        <w:ind w:left="325" w:hanging="325"/>
        <w:spacing w:after="0"/>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in full of all pre-funded warrants sold in this offering.</w:t>
      </w: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5"/>
          </w:cols>
          <w:pgMar w:left="475" w:top="914" w:right="479" w:bottom="65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notice from the Staff of Nasdaq indicating that, based upon our non-compliance with the Bid Price Requirement, the Staff had determined to delist our securities from Nasdaq, subject to our request for a hearing before the Panel. We timely requested a hearing before the Panel. In addition, 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the Notice from Nasdaq that, based on the plan of compliance that we had submitted, the Panel had granted us the Exception, until November 10, 2025, to regain compliance with the Bid Price Requirement and the MVLS Requirement, subject to our achievement of certain milestones, including the conversion by the holder of its remaining outstanding shares of our preferred stock into shares of our common stock by July 18, 2025 and the restructuring of a portion of our outstanding debt or conversion of such debt into shares of our common stock by mid-August 2025. In order to meet the $2,500,000 stockholders’ equity alternative continued listing standard, following this offering, we may need to raise additional capital depending on the amount of debt we may be able to convert, if any, with the lenders.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take definitive steps and use reasonable best efforts to achieve these milestones and achieve compliance with the Bid Price Requirement and the MVLS Requirement within the established dates or maintain compliance with the other Nasdaq listing requirements, there is significant risk that we may not be able to achieve these milestones or regain compliance with the Bid Price Requirement and the MVLS Requirement within the established dates or maintain compliance with the other Nasdaq listing requirements. In the event we are unable to do so, our securities will be delisted from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information represents management’s current estimates and are subject to 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preliminary financial results contained in “Prospectus Supplement Summary — Recent Developments — Second Quarter 2025 Preliminary Results” represents only preliminary estimates and is based on information available to management as of the date of this prospectus supplement and these estimates could change. Our actual financial results for the three months ended June 30, 2025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June 30, 2025 may differ materially from the preliminary financial results we have provided as a result of completion of our final adjustments and review by our independent registered public accounting firm. Our independent registered public accounting firm has not audited or completed its review with respect to such preliminary estimates and, accordingly, does not express an opinion or any other form of assurance with respect thereto. Complete results as of, and for the three and six months ended June 30, 2025 will be included in our Quarterly Report on Form 10-Q for the quarterly period ended June 30, 2025. See the other risks described in this section and “Special Note Regarding Forward-Looking Statements” for additional information regarding factors that could result in differences between these preliminary and the actual financial results we will report as of, and for the three months ended June 30, 2025.</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or pre-funded warrants in this offering, you will experience immediate and substantial dilution in your investment.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Purchasers of common stock (or pre-funded warrants at the public offering price less $0.0001) in this offering will experience immediate dilution to the extent of the difference between the public offering price per share of common stock and the pro forma net tangible book value (deficit) per share of</w:t>
      </w:r>
    </w:p>
    <w:p>
      <w:pPr>
        <w:jc w:val="both"/>
        <w:spacing w:after="0" w:line="250" w:lineRule="auto"/>
        <w:rPr>
          <w:sz w:val="20"/>
          <w:szCs w:val="20"/>
          <w:color w:val="auto"/>
        </w:rPr>
      </w:pPr>
      <w:r>
        <w:rPr>
          <w:rFonts w:ascii="Times New Roman" w:cs="Times New Roman" w:eastAsia="Times New Roman" w:hAnsi="Times New Roman"/>
          <w:sz w:val="18"/>
          <w:szCs w:val="18"/>
          <w:color w:val="auto"/>
        </w:rPr>
        <w:t>common stock immediately after this offering. After giving effect to the sale of shares of our common stock at the public offering price of $ per share, and after deducting underwriting discounts and commissions and estimated offering expenses, you will experience immediate dilution of $ per share,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representing the difference between our pro forma net tangible book deficit per share as of March 31, 2025 after giving effect to this offering at the public offering price. See “Dilution” for a more detailed discussion of the dilution you will incur if you purchase shares of common stock or pre-funded warrants in this offering.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shares of common stock we issue in connection with the restructuring of our outstanding debt or conversion of such debt into shares of our common stock will result in further dilution to our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The net proceeds from this offering will be used for working capital and other general corporate purposes, including the repayment of our indebtedness in the ordinary course.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the proceeds are being used appropriately. The net proceeds from this offering may be used for corporate purposes that do not increase our operating results or enhance the value of our common stock.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July 23, 2025, we had (i) 2,777,778 shares of common stock reserved for issuance in the event of certain milestones in connection the Business Combination; (ii) 1,046,947 shares of common stock issuable upon exercise of Public Warrants, with an exercise price of $103.50 per share; (iii) 166,821 shares of common stock issuable upon exercise of Private Warrants, with an exercise price of $103.50 per share; (iv) 1,300,240 shares of common stock issuable upon exercise of other warrants, with a weighted average exercise price of $18.22 per share; (v) 1,061,685 shares of common stock issuable upon exercise of Penny Warrants, with an exercise price of $0.09 per share; (vi) 680,476 shares of common stock issuable upon exercise of Penny Warrants, with an exercise price of $0.01 per share; (vii) 145,890 shares of common stock underlying outstanding options, with a weighted average exercise price of $27.42 per share; and (viii) 381,335 shares of common stock underlying outstanding restricted stock.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common stock may not be permitted to exercise the pre-funded warrants that they hold.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warrants which, upon giving effect to such exercise, would cause (i) the aggregate number of shares of our common stock beneficially owned by the holder (together with its affiliates) to exceed 9.99% (or, at the election of the purchaser, 4.99%)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Such percentage may be increased or decreased by written notice by the holder of the pre-funded warrants to any other percentage not in excess of 9.99%. Such increase or decrease will not be effective until the sixty-first (61st) day after such notice is delivered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These factors include, but are not limited to:</w:t>
      </w:r>
    </w:p>
    <w:p>
      <w:pPr>
        <w:spacing w:after="0" w:line="176"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tabs>
          <w:tab w:leader="none" w:pos="7200" w:val="left"/>
        </w:tabs>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w:t>
      </w:r>
      <w:r>
        <w:rPr>
          <w:sz w:val="20"/>
          <w:szCs w:val="20"/>
          <w:color w:val="auto"/>
        </w:rPr>
        <w:tab/>
      </w:r>
      <w:r>
        <w:rPr>
          <w:rFonts w:ascii="Times New Roman" w:cs="Times New Roman" w:eastAsia="Times New Roman" w:hAnsi="Times New Roman"/>
          <w:sz w:val="18"/>
          <w:szCs w:val="18"/>
          <w:color w:val="auto"/>
        </w:rPr>
        <w:t>million, after deducting the underwriting discounts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If the underwriter exercises in full its option to purchase additional shares, we estimate that</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net proceeds from this offering will be approximately $ million, after deducting the underwriting discounts and commissions and estimated offering expenses payable by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repayment of our indebtedness in the ordinary course. We have not determined the amount of net proceeds to be used specifically for such purposes and, as a result, management will retain broad discretion over the allocation of net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Purchasers of common stock or pre-funded warrants in this offering will experience immediate dilution to the extent of the difference between the public offering price per share of common stock and the pro forma net tangible book value per share of common stock immediately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March 31, 2025 was approximately $(12.7 million), or $(1.68) per share of common stock. Net tangible book value per share is determined by dividing total tangible assets, which excludes intangible assets, less total liabilities, by the aggregate number of shares of common stock outstanding as of March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(i) the conversion of 637.47 shares of our Series A Convertible Preferred Stock, par value $0.0001 per share (the “Series A Preferred Stock”) into 29,902,728 shares of common stock and (ii) the issuance of 2,100,000 shares of common stock in exchange for the remaining shares of Series A Preferred Stock, each subsequent to March 31, 2025 (the “Pro Forma Events”), our pro forma net tangible book deficit as of March 31, 2025, would have been approximately $(12.7 million), or $(0.32) per share of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giving effect to the sale by us of</w:t>
            </w:r>
          </w:p>
        </w:tc>
        <w:tc>
          <w:tcPr>
            <w:tcW w:w="812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shares of common stock (which assumes the exercise of all pre-funded warrants sold in this offering) at the</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 of $</w:t>
            </w:r>
          </w:p>
        </w:tc>
        <w:tc>
          <w:tcPr>
            <w:tcW w:w="922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per share and after deducting underwriting discounts and commissions and estimated offering expenses payable by us, our</w:t>
            </w:r>
          </w:p>
        </w:tc>
      </w:tr>
      <w:tr>
        <w:trPr>
          <w:trHeight w:val="216"/>
        </w:trPr>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 forma net tangible book value as of March 31, 2025 would have been approximately $</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million, or $</w:t>
            </w: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per share. This represents an immediate</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of $</w:t>
            </w:r>
          </w:p>
        </w:tc>
        <w:tc>
          <w:tcPr>
            <w:tcW w:w="52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per share to our existing stockholders and an immediate dilution of $</w:t>
            </w:r>
          </w:p>
        </w:tc>
        <w:tc>
          <w:tcPr>
            <w:tcW w:w="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 share issued to the</w:t>
            </w:r>
          </w:p>
        </w:tc>
      </w:tr>
      <w:tr>
        <w:trPr>
          <w:trHeight w:val="2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 purchasing securities in this offering.</w:t>
            </w: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gridSpan w:val="3"/>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March 31, 2025</w:t>
            </w:r>
          </w:p>
        </w:tc>
        <w:tc>
          <w:tcPr>
            <w:tcW w:w="14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Pro Forma Events</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2025</w:t>
            </w:r>
          </w:p>
        </w:tc>
        <w:tc>
          <w:tcPr>
            <w:tcW w:w="14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53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1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8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gridSpan w:val="6"/>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If the underwriter exercises in full its option to purchase additional shares of common stock in this offering at the public offering price of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pro forma net tangible book value after the offering would be $</w:t>
            </w:r>
          </w:p>
        </w:tc>
        <w:tc>
          <w:tcPr>
            <w:tcW w:w="58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per share, the increase in the pro forma net tangible book value to existing</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would be $</w:t>
            </w:r>
          </w:p>
        </w:tc>
        <w:tc>
          <w:tcPr>
            <w:tcW w:w="716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color w:val="auto"/>
              </w:rPr>
              <w:t>per share, and the dilution to new investors purchasing securities in this offering would be $</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the Business Combination;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1,046,947 shares of common stock issuable upon exercise of Public Warrants outstanding as of March 31, 2025, with an exercise price of $103.50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outstanding as of March 31, 2025, with an exercise price of $103.50 per share;</w:t>
      </w: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warrants outstanding as of March 31, 2025, with a weighted average exercise price of $18.22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outstanding as of March 31, 2025, with an exercise price of $0.09 per share;</w:t>
      </w: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680,476 shares of common stock issuable upon exercise of Penny Warrants outstanding as of March 31, 2025, with an exercise price of $0.01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161,939 shares of common stock underlying outstanding options as of March 31, 2025, with a weighted average exercise price of $25.66 per share;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410,704 shares of common stock underlying outstanding restricted stock units as of March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We have 405,000,000 shares of capital stock authorized under our Articles of Incorporation, which consists of 400,000,000 shares of common stock with a par value of $0.0001 per share and 5,000,000 shares of preferred stock with par value $0.0001 per share. Our common stock is listed on The Nasdaq Capital Market under the symbol “DFLI.” Our transfer agent is Equiniti Trust Company,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SEC in connection with this offering. You should review the form of pre-funded warrant for a complete description of the terms and conditions applicable to the pre-funded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The pre-funded warrants will not expire.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Duration and exercise price. </w:t>
      </w:r>
      <w:r>
        <w:rPr>
          <w:rFonts w:ascii="Times New Roman" w:cs="Times New Roman" w:eastAsia="Times New Roman" w:hAnsi="Times New Roman"/>
          <w:sz w:val="18"/>
          <w:szCs w:val="18"/>
          <w:color w:val="auto"/>
        </w:rPr>
        <w:t>Each pre-funded warrant offered hereby will have an initial exercise price per share equal to $0.0001. The exercise price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issuable upon exercise is subject to appropriate adjustment in the event of stock dividends, stock splits, reorganizations or similar events affecting our common stock and the exercise price.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pre-funded warrants will be exercisable at any time on or after the original issuance date. The pre-funded warrants will be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pre-funded warrant to the extent that the holder would own more than 9.99% (or, at the election of the purchaser, 4.99%) of the outstanding shares of common stock immediately after exercise, except that upon at least sixty-one (61) days’ written prior notice from the holder to us, the holder may increase or decrease the amount of ownership of outstanding shares of common stock after exercising the holder’s pre-funded warrants up to 9.99% of the number of shares of common stock outstanding immediately after giving effect to the exercise, as such percentage ownership is determined in accordance with the terms of the pre-funded warrants.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In lieu of making the cash payment otherwise contemplated to be made to us upon such exercise in payment of the aggregate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the holder may elect instead to receive upon such exercise (either in whole or in part) the net number of shares of common stock determined according to a formula set forth in the pre-funded warrants.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compliance with any applicable securities laws, the pre-funded warrants are separately tradeable immediately after issuance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holders and may be transferred at the option of the holders.</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No Listing</w:t>
      </w:r>
      <w:r>
        <w:rPr>
          <w:rFonts w:ascii="Times New Roman" w:cs="Times New Roman" w:eastAsia="Times New Roman" w:hAnsi="Times New Roman"/>
          <w:sz w:val="18"/>
          <w:szCs w:val="18"/>
          <w:color w:val="auto"/>
        </w:rPr>
        <w:t>. There is no established public trading market for the pre-funded warrants and we do not expect a market to develop. In addition,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apply for listing of the pre-funded warrants on any securities exchange or recognized trading system, including The Nasdaq Capital Market. Without an active market, the liquidity of the pre-funded warrants will be limited.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pre-funded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assets, our consolidation or merger with or into another person or the acquisition of 50% or more of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pre-funded warrants or by virtue of a holder’s ownership of shares of our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pre-funded warrants do not have the rights or privileges of holders of our common stock, including the right to receive dividend payments, vote or respond to tender offers, until they exercise their pre-funded warrants.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We will act as warrant agent for the pre-funded warrants.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340"/>
        <w:spacing w:after="0"/>
        <w:tabs>
          <w:tab w:leader="none" w:pos="7380" w:val="left"/>
        </w:tabs>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w:t>
      </w:r>
      <w:r>
        <w:rPr>
          <w:sz w:val="20"/>
          <w:szCs w:val="20"/>
          <w:color w:val="auto"/>
        </w:rPr>
        <w:tab/>
      </w:r>
      <w:r>
        <w:rPr>
          <w:rFonts w:ascii="Times New Roman" w:cs="Times New Roman" w:eastAsia="Times New Roman" w:hAnsi="Times New Roman"/>
          <w:sz w:val="18"/>
          <w:szCs w:val="18"/>
          <w:color w:val="auto"/>
        </w:rPr>
        <w:t>, 2025, between us and Canaccord Genuity LLC, or</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Canaccord Genuity, the underwriter, we have agreed to sell to the underwriter, and the underwriter has agreed to purchase from us, the number of shares of common stock and pre-funded warrants shown opposite its name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PRE-FUNDED</w:t>
            </w:r>
          </w:p>
        </w:tc>
      </w:t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WARRANTS</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3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-282575</wp:posOffset>
            </wp:positionV>
            <wp:extent cx="205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-282575</wp:posOffset>
            </wp:positionV>
            <wp:extent cx="222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underwriting agreement provides that the underwriter will purchase all of the shares of common stock and pre-funded warrants if any of them are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underwriter is offering the shares of common stock and pre-funded warrants subject to its acceptance of the shares of common stock and pre-funded warrants from us and subject to prior sale. The underwriter reserves the right to withdraw, cancel or modify offers to the public and to reject orders in whole or in part. In addition, the underwriter has advised us that it does not intend to confirm sales to any account over which they exercise discretionary authority. The underwriter has not been engaged to act as warrant agent for the pre-funded warrants or to act as underwriter or agent or otherwise participate in the issuance of our common stock upon the exercise of the pre-funded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and pre-funded warrants to the public at the public offering price set forth on the cover page of this prospectus supplement and to certain dealers, which may include the underwriter, at that price less a concession not in</w:t>
      </w:r>
    </w:p>
    <w:p>
      <w:pPr>
        <w:jc w:val="both"/>
        <w:spacing w:after="0" w:line="255" w:lineRule="auto"/>
        <w:rPr>
          <w:sz w:val="20"/>
          <w:szCs w:val="20"/>
          <w:color w:val="auto"/>
        </w:rPr>
      </w:pPr>
      <w:r>
        <w:rPr>
          <w:rFonts w:ascii="Times New Roman" w:cs="Times New Roman" w:eastAsia="Times New Roman" w:hAnsi="Times New Roman"/>
          <w:sz w:val="18"/>
          <w:szCs w:val="18"/>
          <w:color w:val="auto"/>
        </w:rPr>
        <w:t>excess of $ per share of common stock or pre-funded warrant. After the offering, the public offering price, concession and reallowance to dealers may be reduced by the representative. No such reduction will change the amount of proceeds to be received by us as set forth on the cover page of this prospectus supplement.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 and the proceeds, before expenses, to us in connection with this offering. Such amounts are shown assuming both no exercise and full exercise of the underwriter’s option to purchase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4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4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TO</w:t>
            </w:r>
          </w:p>
        </w:tc>
        <w:tc>
          <w:tcPr>
            <w:tcW w:w="4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 TO</w:t>
            </w: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4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16"/>
        </w:trPr>
        <w:tc>
          <w:tcPr>
            <w:tcW w:w="48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w:t>
            </w:r>
          </w:p>
        </w:tc>
        <w:tc>
          <w:tcPr>
            <w:tcW w:w="4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48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46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0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net expenses payable by us in connection with this offering, other than the estimated underwriting discounts and commissions referred to</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above, will be approximately $ . We have agreed to reimburse the underwriter for certain of their expenses incurred in connection with this offering in an amount not to exceed $130,000 in the aggregate.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“DFLI.”</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The Nasdaq Capital Market, any other national securities exchange or any other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purchase shares of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Additional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granted to the underwriter an option, exercisable for 30 days from the date of this prospectus supplement, to purchase, from time to time, in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whole or in part, up to an aggregate of shares from us at the public offering price set forth on the cover page of this prospectus supplement, less underwriting discounts and commissions. If the underwriter exercises this option, the underwriter will be obligated, subject to specified conditions, to purchase a number of additional shares proportionate to that underwriter’s initial purchase commitment as indicated in the table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Sales of Similar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subject to specified exceptions, not to directly or indirectly:</w:t>
      </w:r>
    </w:p>
    <w:p>
      <w:pPr>
        <w:spacing w:after="0" w:line="225" w:lineRule="exact"/>
        <w:rPr>
          <w:sz w:val="20"/>
          <w:szCs w:val="20"/>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us or our affiliates or any person in privity with us or our affiliates),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90 days after the date of this prospectus supplement without the prior written consent of Canaccord Genuity.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and directors have agreed, subject to certain exceptions, not 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the underwriter, for a period of 90 days after the date of this prospectus.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our common stock and other securities subject to the lock-up agreements described above in whole or in part at any time. When determining whether or not to release our common stock and other securities from lock-up agreements, the underwriter will consider, among other factors, the holder’s reasons for requesting the release, the number of shares for which the release is being requested and market conditions at the time of the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Stabilization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 may close out any covered short position by either exercising its option to purchase additional shares of our common stock or purchasing shares of our common stock in the open market. In determining the source of shares to close out the covered short position, the underwriter will consider, among other things, the price of shares available for purchase in the open market as compared to the price at which it may purchase shares through the option to purchase additional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 must close out any naked short position by purchasing shares in the open market. A naked short position is more likely to be created if the underwriter is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 for the purpose of fixing or maintaining the price of the common stock. A syndicate covering transaction is the bid for or the purchase of shares of common stock on behalf of the underwriter to reduce a short position incurred by the underwriter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 to reclaim the selling concession otherwise accruing in connection with the offering if the common stock originally sold are purchased in a covering transaction and therefore have not been effectively placed.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common stock. The underwriter is not obligated to engage in these activities and, if commenced, any of the activities may be discontinued at any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may also engage in passive market making transactions in our common stock on The Nasdaq Capital Market in accordance with Rule 103 of Regulation M during a period before the commencement of offers or sales of shares of our securities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 sites and any information contained in any other web site maintained by the underwriter is not part of this prospectus supplement, has not been approved and/or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Activities and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accounts and for the accounts of their respective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18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securities under, the offering contemplated hereby will be deemed to have represented, warranted and agreed to and with the underwriter and its affiliates and us that:</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book-running manager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 underwriter and its affiliates, and others will rely upon the truth and accuracy of the foregoing representation, acknowledgement and agreement. Notwithstanding the above, a person who is not a qualified investor and who has notified the underwriter of such fact in writing may, with the prior consent of the underwriter, be permitted to acquire securities in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the underwriter to publish a prospectus pursuant to section 85 of the FSMA or supplement a prospectus pursuant to Article 23 of the UK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w:t>
      </w:r>
    </w:p>
    <w:p>
      <w:pPr>
        <w:spacing w:after="0" w:line="1" w:lineRule="exact"/>
        <w:rPr>
          <w:sz w:val="20"/>
          <w:szCs w:val="20"/>
          <w:color w:val="auto"/>
        </w:rPr>
      </w:pPr>
    </w:p>
    <w:p>
      <w:pPr>
        <w:jc w:val="both"/>
        <w:ind w:firstLine="8"/>
        <w:spacing w:after="0" w:line="253"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person in the UK who acquires any securities in the offer or to whom any offer is made will be deemed to have represented, acknowledged and agreed to and with us, the underwriter and its affiliates that it meets the criteria outlined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Bermuda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purchasing securities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right="2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0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 is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Non-U.S. Legend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this prospectus supplement shall not constitute an offer to sell or the solicitation of an offer to buy the securities described herein.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in certain jurisdictions may be restricted by law. You must inform yourself about, and observe, any such restrictions. You must comply with all applicable laws and 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 are not making an offer of, or invitation to purchase, any of the securities to any person in any jurisdiction in which such offer or solicitation would be unlawful.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will be passed upon for us by Parsons Behle &amp; Latimer, Reno, Nevada and Lowenstein Sandler LLP, New York, New York. Mintz, Levin, Cohn, Ferris, Glovsky and Popeo, P.C., New York, New York is counsel for the underwriter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supplement the information on our website, and you should not consider it to be a part of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42">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w:t>
      </w:r>
      <w:hyperlink r:id="rId43">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2025, filed with the SEC on May 16,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4">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 xml:space="preserve">July 21,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July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jc w:val="both"/>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5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59">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our Annual Report Form 10-K Form </w:t>
      </w:r>
      <w:hyperlink r:id="rId60">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5">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7">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9">
        <w:r>
          <w:rPr>
            <w:rFonts w:ascii="Times New Roman" w:cs="Times New Roman" w:eastAsia="Times New Roman" w:hAnsi="Times New Roman"/>
            <w:sz w:val="18"/>
            <w:szCs w:val="18"/>
            <w:u w:val="single" w:color="auto"/>
            <w:color w:val="0000EE"/>
          </w:rPr>
          <w:t xml:space="preserve">May 1, 2023 </w:t>
        </w:r>
      </w:hyperlink>
      <w:hyperlink r:id="rId9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u w:val="single" w:color="auto"/>
            <w:color w:val="0000EE"/>
          </w:rPr>
          <w:t>June 21, 2023</w:t>
        </w:r>
      </w:hyperlink>
      <w:hyperlink r:id="rId98">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101">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226" w:lineRule="exact"/>
        <w:rPr>
          <w:sz w:val="20"/>
          <w:szCs w:val="20"/>
          <w:color w:val="auto"/>
        </w:rPr>
      </w:pPr>
    </w:p>
    <w:p>
      <w:pPr>
        <w:jc w:val="center"/>
        <w:ind w:left="880" w:right="899"/>
        <w:spacing w:after="0" w:line="467" w:lineRule="auto"/>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96520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276860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upperLetter"/>
      <w:start w:val="2"/>
    </w:lvl>
    <w:lvl w:ilvl="1">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lvl w:ilvl="1">
      <w:lvlJc w:val="left"/>
      <w:lvlText w:val="(%2)"/>
      <w:numFmt w:val="upperLetter"/>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jpe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jpe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42" Type="http://schemas.openxmlformats.org/officeDocument/2006/relationships/hyperlink" Target="https://www.sec.gov/ix?doc=/Archives/edgar/data/1847986/000164117225001755/form10-k.htm" TargetMode="External"/><Relationship Id="rId43" Type="http://schemas.openxmlformats.org/officeDocument/2006/relationships/hyperlink" Target="https://www.sec.gov/ix?doc=/Archives/edgar/data/1847986/000164117225011280/form10-q.htm" TargetMode="External"/><Relationship Id="rId44" Type="http://schemas.openxmlformats.org/officeDocument/2006/relationships/hyperlink" Target="https://www.sec.gov/ix?doc=/Archives/edgar/data/1847986/000149315225000307/form8-k.htm" TargetMode="External"/><Relationship Id="rId45" Type="http://schemas.openxmlformats.org/officeDocument/2006/relationships/hyperlink" Target="https://www.sec.gov/ix?doc=/Archives/edgar/data/1847986/000149315225005013/form8-k.htm" TargetMode="External"/><Relationship Id="rId46" Type="http://schemas.openxmlformats.org/officeDocument/2006/relationships/hyperlink" Target="https://www.sec.gov/ix?doc=/Archives/edgar/data/1847986/000149315225008445/form8-k.htm" TargetMode="External"/><Relationship Id="rId47" Type="http://schemas.openxmlformats.org/officeDocument/2006/relationships/hyperlink" Target="https://www.sec.gov/ix?doc=/Archives/edgar/data/1847986/000149315225009633/form8-k.htm" TargetMode="External"/><Relationship Id="rId48" Type="http://schemas.openxmlformats.org/officeDocument/2006/relationships/hyperlink" Target="https://www.sec.gov/ix?doc=/Archives/edgar/data/1847986/000164117225000298/form8-k.htm" TargetMode="External"/><Relationship Id="rId49" Type="http://schemas.openxmlformats.org/officeDocument/2006/relationships/hyperlink" Target="https://www.sec.gov/ix?doc=/Archives/edgar/data/1847986/000164117225006463/form8-k.htm" TargetMode="External"/><Relationship Id="rId50" Type="http://schemas.openxmlformats.org/officeDocument/2006/relationships/hyperlink" Target="https://www.sec.gov/ix?doc=/Archives/edgar/data/1847986/000164117225009296/form8-k.htm" TargetMode="External"/><Relationship Id="rId51" Type="http://schemas.openxmlformats.org/officeDocument/2006/relationships/hyperlink" Target="https://www.sec.gov/ix?doc=/Archives/edgar/data/1847986/000164117225013480/form8-k.htm" TargetMode="External"/><Relationship Id="rId52" Type="http://schemas.openxmlformats.org/officeDocument/2006/relationships/hyperlink" Target="https://www.sec.gov/ix?doc=/Archives/edgar/data/1847986/000164117225015095/form8-k.htm" TargetMode="External"/><Relationship Id="rId53" Type="http://schemas.openxmlformats.org/officeDocument/2006/relationships/hyperlink" Target="https://www.sec.gov/ix?doc=/Archives/edgar/data/1847986/000164117225016196/form8-k.htm" TargetMode="External"/><Relationship Id="rId54" Type="http://schemas.openxmlformats.org/officeDocument/2006/relationships/hyperlink" Target="https://www.sec.gov/ix?doc=/Archives/edgar/data/1847986/000164117225016938/form8-k.htm" TargetMode="External"/><Relationship Id="rId55" Type="http://schemas.openxmlformats.org/officeDocument/2006/relationships/hyperlink" Target="https://www.sec.gov/ix?doc=/Archives/edgar/data/1847986/000164117225017928/form8-k.htm" TargetMode="External"/><Relationship Id="rId56" Type="http://schemas.openxmlformats.org/officeDocument/2006/relationships/hyperlink" Target="https://www.sec.gov/ix?doc=/Archives/edgar/data/1847986/000164117225020360/form8-k.htm" TargetMode="External"/><Relationship Id="rId57" Type="http://schemas.openxmlformats.org/officeDocument/2006/relationships/hyperlink" Target="https://www.sec.gov/Archives/edgar/data/1847986/000164117225021256/form8-k.htm" TargetMode="External"/><Relationship Id="rId58" Type="http://schemas.openxmlformats.org/officeDocument/2006/relationships/hyperlink" Target="https://www.sec.gov/Archives/edgar/data/1847986/000110465921102670/tm2124648d1_8a12b.htm" TargetMode="External"/><Relationship Id="rId59" Type="http://schemas.openxmlformats.org/officeDocument/2006/relationships/hyperlink" Target="https://www.sec.gov/Archives/edgar/data/1847986/000164117225001755/ex4-18.htm" TargetMode="External"/><Relationship Id="rId60" Type="http://schemas.openxmlformats.org/officeDocument/2006/relationships/hyperlink" Target="https://www.sec.gov/Archives/edgar/data/1847986/000164117225001755/form10-k.htm" TargetMode="External"/><Relationship Id="rId94" Type="http://schemas.openxmlformats.org/officeDocument/2006/relationships/hyperlink" Target="https://www.sec.gov/ix?doc=/Archives/edgar/data/1847986/000149315223014966/form10-ka.htm" TargetMode="External"/><Relationship Id="rId95" Type="http://schemas.openxmlformats.org/officeDocument/2006/relationships/hyperlink" Target="https://www.sec.gov/Archives/edgar/data/1847986/000149315223017432/form10-q.htm" TargetMode="External"/><Relationship Id="rId96" Type="http://schemas.openxmlformats.org/officeDocument/2006/relationships/hyperlink" Target="https://www.sec.gov/Archives/edgar/data/1847986/000149315223029680/form10-q.htm" TargetMode="External"/><Relationship Id="rId97" Type="http://schemas.openxmlformats.org/officeDocument/2006/relationships/hyperlink" Target="https://www.sec.gov/ix?doc=/Archives/edgar/data/1847986/000149315223041072/form10-q.htm" TargetMode="External"/><Relationship Id="rId98" Type="http://schemas.openxmlformats.org/officeDocument/2006/relationships/hyperlink" Target="https://www.sec.gov/ix?doc=/Archives/edgar/data/0001847986/000149315223010262/form8-k.htm" TargetMode="External"/><Relationship Id="rId99" Type="http://schemas.openxmlformats.org/officeDocument/2006/relationships/hyperlink" Target="https://www.sec.gov/ix?doc=/Archives/edgar/data/0001847986/000149315223014971/form8-k.htm" TargetMode="External"/><Relationship Id="rId100" Type="http://schemas.openxmlformats.org/officeDocument/2006/relationships/hyperlink" Target="https://www.sec.gov/ix?doc=/Archives/edgar/data/0001847986/000149315223021997/form8-k.htm" TargetMode="External"/><Relationship Id="rId101"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2025-07-29T15:19:58Z</dcterms:created>
  <dcterms:modified xsi:type="dcterms:W3CDTF">2025-07-29T15:19:58Z</dcterms:modified>
</cp:coreProperties>
</file>