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803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8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  <w:w w:val="92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  <w:w w:val="92"/>
                </w:rPr>
                <w:t>Chardan NexTech Investments</w:t>
              </w:r>
            </w:hyperlink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2 LLC</w:t>
              </w:r>
            </w:hyperlink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Chardan NexTech Acquisition 2 Corp.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CNTQ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5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CHARDAN NEXTECH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ACQUISITION 2 CORP.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 STATE STREET, 21ST FLOOR</w:t>
      </w: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color w:val="0000FF"/>
          <w:vertAlign w:val="superscript"/>
        </w:rPr>
        <w:t>NEW</w:t>
      </w:r>
      <w:r>
        <w:rPr>
          <w:rFonts w:ascii="Arial" w:cs="Arial" w:eastAsia="Arial" w:hAnsi="Arial"/>
          <w:sz w:val="20"/>
          <w:szCs w:val="20"/>
          <w:color w:val="0000FF"/>
        </w:rPr>
        <w:t xml:space="preserve"> NY 10004 YORK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6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Stock, par value $0.0001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3,030,500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40" w:right="140" w:firstLine="5"/>
        <w:spacing w:after="0" w:line="241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As described in Chardan NexTech Acquisition 2 Corp.'s (the "Issuer") registration statement on Form S-1 (File No. 333-254010), as amended (the "Registration Statement"), such amount includes 412,500 shares of common stock, par value $0.0001 per share (the "Common Stock"), of the Issuer subject to forfeiture to the extent that the underwriters do not fully or partially exercise their over-allotment option in the Issuer's initial public offering of the Common Stock.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By: /s/ Jonas Grossman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Name: Jonas Grossman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08/10/2021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Title: Managing Member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47985" TargetMode="External"/><Relationship Id="rId11" Type="http://schemas.openxmlformats.org/officeDocument/2006/relationships/hyperlink" Target="http://www.sec.gov/cgi-bin/browse-edgar?action=getcompany&amp;CIK=00018479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2021-08-11T05:34:30Z</dcterms:created>
  <dcterms:modified xsi:type="dcterms:W3CDTF">2021-08-11T05:34:30Z</dcterms:modified>
</cp:coreProperties>
</file>