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30,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5120" w:space="720"/>
            <w:col w:w="2260" w:space="720"/>
            <w:col w:w="242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Reno, Nevada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89521</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2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5"/>
        </w:trPr>
        <w:tc>
          <w:tcPr>
            <w:tcW w:w="40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17"/>
                <w:szCs w:val="17"/>
                <w:color w:val="auto"/>
              </w:rPr>
            </w:pPr>
          </w:p>
        </w:tc>
        <w:tc>
          <w:tcPr>
            <w:tcW w:w="20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DFLI</w:t>
            </w:r>
          </w:p>
        </w:tc>
        <w:tc>
          <w:tcPr>
            <w:tcW w:w="200" w:type="dxa"/>
            <w:vAlign w:val="bottom"/>
          </w:tcPr>
          <w:p>
            <w:pPr>
              <w:spacing w:after="0"/>
              <w:rPr>
                <w:sz w:val="17"/>
                <w:szCs w:val="17"/>
                <w:color w:val="auto"/>
              </w:rPr>
            </w:pPr>
          </w:p>
        </w:tc>
        <w:tc>
          <w:tcPr>
            <w:tcW w:w="47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16"/>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 at</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DFLIW</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16"/>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an exercise price of $11.50 per share, subject to</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adjustment</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2024,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limited waiver and third amendment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its Term Loan, Guarantee and Security Agreement (as amended,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with the lenders in regards to its compliance with the Senior Leverage Ratio and Fixed Charge Coverage Ratio tests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as of the last day of the quarter ended September 30, 2024 and certain amendments to the Loan Agreement. The Amendment provided for a one-time issuance of penny warrants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to purchase up to 3,000,000 shares of the Company’s common stock, par value $0.0001 per share (the “</w:t>
      </w:r>
      <w:r>
        <w:rPr>
          <w:rFonts w:ascii="Times New Roman" w:cs="Times New Roman" w:eastAsia="Times New Roman" w:hAnsi="Times New Roman"/>
          <w:sz w:val="18"/>
          <w:szCs w:val="18"/>
          <w:b w:val="1"/>
          <w:bCs w:val="1"/>
          <w:color w:val="auto"/>
        </w:rPr>
        <w:t>Penny Warrant Shares</w:t>
      </w:r>
      <w:r>
        <w:rPr>
          <w:rFonts w:ascii="Times New Roman" w:cs="Times New Roman" w:eastAsia="Times New Roman" w:hAnsi="Times New Roman"/>
          <w:sz w:val="18"/>
          <w:szCs w:val="18"/>
          <w:color w:val="auto"/>
        </w:rPr>
        <w:t>”), at an exercise price of $0.01 per share, in connection with the lenders’ agreement to waive the Tests under the Loan Agreement for the quarter ended September 30, 2024 and to amend the Loan Agreement. The Penny Warrants are immediately exercisable upon issuance and will expire ten years from the date of issuance.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Amendment (i) reduced the liquidity requirement under the Loan Agreement to be $7.0 million as of the last day of the fiscal month ended September 30, 2024 and (ii) provided for the interest to be paid on the Payment Date (as defined in the Loan Agreement) occurring on October 1, 2024 to be payable partly in cash and the remainder payable-in-kind as set forth in the Amendment. The Penny Warrant and the Penny Warrant Shares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are instead being offered pursuant to the exemption provided in Section 4(a)(2) under the Securities Act.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and description of the provisions of the Amendment and the Penny Warrants does not purport to be complete and is qualified in its entirety by reference to the full text of the Amendment and form of Penny Warrant, copies of which are filed as Exhibits 4.1 and 10.1, respectively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Form of Penny Warrant.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Limited Waiver and First Amendment to Term Loan, Guarantee and Security Agreement, dated as of September 30, 2024, by and among</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Dragonfly Energy Holdings Corp., Dragonfly Energy Corp., the lenders from time to time party thereto and Alter Domus (US) LLC.</w:t>
            </w:r>
          </w:p>
        </w:tc>
        <w:tc>
          <w:tcPr>
            <w:tcW w:w="20" w:type="dxa"/>
            <w:vAlign w:val="bottom"/>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5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00" w:type="dxa"/>
            <w:vAlign w:val="bottom"/>
            <w:gridSpan w:val="2"/>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7, 2024</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60" w:type="dxa"/>
            <w:vAlign w:val="bottom"/>
          </w:tcPr>
          <w:p>
            <w:pPr>
              <w:spacing w:after="0"/>
              <w:rPr>
                <w:sz w:val="18"/>
                <w:szCs w:val="18"/>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PENNY WARRANT</w:t>
      </w:r>
    </w:p>
    <w:p>
      <w:pPr>
        <w:spacing w:after="0" w:line="22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THIS WARRANT HAS NOT BEEN REGISTERED UNDER THE SECURITIES ACT OF 1933, AS AMENDED (THE “SECURITIES ACT”), OR ANY STATE SECURITIES LAWS, AND MAY NOT BE OFFERED, SOLD, TRANSFERRED OR OTHERWISE DISPOSED OF UNLESS REGISTERED UNDER THE ACT, AND ANY APPLICABLE STATE SECURITIES LAWS OR AN EXEMPTION FROM REGISTRπATION</w:t>
      </w: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IS AVAILABLE. THIS WARRANT MUST BE SURRENDERED TO THE COMPANY OR ITS TRANSFER AGENT AS A CONDITION PRECEDENT TO THE SALE, TRANSFER, PLEDGE OR HYPOTHECATION OF ANY INTEREST IN ANY OF THE SECURITIES REPRESENTED HEREBY.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r>
              <w:rPr>
                <w:rFonts w:ascii="Times New Roman" w:cs="Times New Roman" w:eastAsia="Times New Roman" w:hAnsi="Times New Roman"/>
                <w:sz w:val="18"/>
                <w:szCs w:val="18"/>
                <w:color w:val="auto"/>
              </w:rPr>
              <w:t>_____</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________ WARRANTS</w:t>
            </w:r>
          </w:p>
        </w:tc>
      </w:tr>
      <w:tr>
        <w:trPr>
          <w:trHeight w:val="432"/>
        </w:trPr>
        <w:tc>
          <w:tcPr>
            <w:tcW w:w="11240" w:type="dxa"/>
            <w:vAlign w:val="bottom"/>
            <w:gridSpan w:val="4"/>
          </w:tcPr>
          <w:p>
            <w:pPr>
              <w:ind w:left="1060"/>
              <w:spacing w:after="0"/>
              <w:rPr>
                <w:sz w:val="20"/>
                <w:szCs w:val="20"/>
                <w:color w:val="auto"/>
              </w:rPr>
            </w:pPr>
            <w:r>
              <w:rPr>
                <w:rFonts w:ascii="Times New Roman" w:cs="Times New Roman" w:eastAsia="Times New Roman" w:hAnsi="Times New Roman"/>
                <w:sz w:val="18"/>
                <w:szCs w:val="18"/>
                <w:b w:val="1"/>
                <w:bCs w:val="1"/>
                <w:color w:val="auto"/>
              </w:rPr>
              <w:t>THIS WARRANT WILL BE VOID IF NOT EXERCISED PRIOR TO THE EXPIRATION DATE (DEFINED BELOW)</w:t>
            </w:r>
          </w:p>
        </w:tc>
      </w:tr>
      <w:tr>
        <w:trPr>
          <w:trHeight w:val="410"/>
        </w:trPr>
        <w:tc>
          <w:tcPr>
            <w:tcW w:w="8880" w:type="dxa"/>
            <w:vAlign w:val="bottom"/>
            <w:gridSpan w:val="3"/>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DRAGONFLY ENERGY HOLDINGS CORP.</w:t>
            </w:r>
          </w:p>
        </w:tc>
        <w:tc>
          <w:tcPr>
            <w:tcW w:w="2360" w:type="dxa"/>
            <w:vAlign w:val="bottom"/>
          </w:tcPr>
          <w:p>
            <w:pPr>
              <w:spacing w:after="0"/>
              <w:rPr>
                <w:sz w:val="24"/>
                <w:szCs w:val="24"/>
                <w:color w:val="auto"/>
              </w:rPr>
            </w:pPr>
          </w:p>
        </w:tc>
      </w:tr>
      <w:tr>
        <w:trPr>
          <w:trHeight w:val="238"/>
        </w:trPr>
        <w:tc>
          <w:tcPr>
            <w:tcW w:w="8880" w:type="dxa"/>
            <w:vAlign w:val="bottom"/>
            <w:gridSpan w:val="3"/>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6"/>
              </w:rPr>
              <w:t>WARRANT</w:t>
            </w:r>
          </w:p>
        </w:tc>
        <w:tc>
          <w:tcPr>
            <w:tcW w:w="2360" w:type="dxa"/>
            <w:vAlign w:val="bottom"/>
          </w:tcPr>
          <w:p>
            <w:pPr>
              <w:spacing w:after="0"/>
              <w:rPr>
                <w:sz w:val="20"/>
                <w:szCs w:val="20"/>
                <w:color w:val="auto"/>
              </w:rPr>
            </w:pPr>
          </w:p>
        </w:tc>
      </w:tr>
      <w:tr>
        <w:trPr>
          <w:trHeight w:val="391"/>
        </w:trPr>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WARRANT CERTIFIES THAT, for value received _____________, is the registered holder (the “Holder”)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 a warrant or warrants (the</w:t>
            </w:r>
          </w:p>
        </w:tc>
      </w:tr>
      <w:tr>
        <w:trPr>
          <w:trHeight w:val="20"/>
        </w:trPr>
        <w:tc>
          <w:tcPr>
            <w:tcW w:w="8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and is entitled to purchase up to fully paid and non- assessable shares of common stock, par value $0.0001 per share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Dragonfly Energy Holdings Corp., a Nevada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at a purchase price per Share (the “</w:t>
      </w:r>
      <w:r>
        <w:rPr>
          <w:rFonts w:ascii="Times New Roman" w:cs="Times New Roman" w:eastAsia="Times New Roman" w:hAnsi="Times New Roman"/>
          <w:sz w:val="17"/>
          <w:szCs w:val="17"/>
          <w:u w:val="single" w:color="auto"/>
          <w:color w:val="auto"/>
        </w:rPr>
        <w:t>Warrant Price</w:t>
      </w:r>
      <w:r>
        <w:rPr>
          <w:rFonts w:ascii="Times New Roman" w:cs="Times New Roman" w:eastAsia="Times New Roman" w:hAnsi="Times New Roman"/>
          <w:sz w:val="17"/>
          <w:szCs w:val="17"/>
          <w:color w:val="auto"/>
        </w:rPr>
        <w:t>”) of $0.01 per share (as adjusted from time to time in accordance with this Warrant). This Warrant is issued in connection with that certain (i) Term Loan, Guarantee and Security Agreement among Alter Domus (US) LLC, Dragonfly Energy Corp., EICF Agent LLC and the other credit parties signatory thereto (the “</w:t>
      </w:r>
      <w:r>
        <w:rPr>
          <w:rFonts w:ascii="Times New Roman" w:cs="Times New Roman" w:eastAsia="Times New Roman" w:hAnsi="Times New Roman"/>
          <w:sz w:val="17"/>
          <w:szCs w:val="17"/>
          <w:u w:val="single" w:color="auto"/>
          <w:color w:val="auto"/>
        </w:rPr>
        <w:t>Loan Agreement</w:t>
      </w:r>
      <w:r>
        <w:rPr>
          <w:rFonts w:ascii="Times New Roman" w:cs="Times New Roman" w:eastAsia="Times New Roman" w:hAnsi="Times New Roman"/>
          <w:sz w:val="17"/>
          <w:szCs w:val="17"/>
          <w:color w:val="auto"/>
        </w:rPr>
        <w:t>”) and (ii) Limited Waiver and First Amendment to Term Loan, Guarantee and Security Agreement among Alter Domus (US) LLC, Dragonfly Energy Corp. and the other partiesπ signatory thereto (the “</w:t>
      </w:r>
      <w:r>
        <w:rPr>
          <w:rFonts w:ascii="Times New Roman" w:cs="Times New Roman" w:eastAsia="Times New Roman" w:hAnsi="Times New Roman"/>
          <w:sz w:val="17"/>
          <w:szCs w:val="17"/>
          <w:u w:val="single" w:color="auto"/>
          <w:color w:val="auto"/>
        </w:rPr>
        <w:t>Limited Waiver</w:t>
      </w:r>
      <w:r>
        <w:rPr>
          <w:rFonts w:ascii="Times New Roman" w:cs="Times New Roman" w:eastAsia="Times New Roman" w:hAnsi="Times New Roman"/>
          <w:sz w:val="17"/>
          <w:szCs w:val="17"/>
          <w:color w:val="auto"/>
        </w:rPr>
        <w:t>”). The Warrant represented by this certificate is referred to herein as the “</w:t>
      </w:r>
      <w:r>
        <w:rPr>
          <w:rFonts w:ascii="Times New Roman" w:cs="Times New Roman" w:eastAsia="Times New Roman" w:hAnsi="Times New Roman"/>
          <w:sz w:val="17"/>
          <w:szCs w:val="17"/>
          <w:u w:val="single" w:color="auto"/>
          <w:color w:val="auto"/>
        </w:rPr>
        <w:t>Warrant Certificate</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Exercise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this Warrant shall be exercisable, in whole or in part, commencing the date hereof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and ending on the ten-year anniversary of the issuance date of this Warrant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entitles the holder thereof to purchase Shares from the Company, commencing on the Issuance Date upon surrender of this Warrant, delivery of the Notice of Exercise form attached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duly executed to the office of the Company, Dragonfly Energy Holdings Corp., Attention: Chief Financial Officer, 1190 Trademark Dr. #108, Reno, NV 89521 legal@dragonflyenergy.com (or such other office or agency of the Company as it may designate by notice in writing to the Holder at the address of the Holder appearing on the books of the Company) and payment of the Warrant Price (by cash or by check or bank draft payable to the order of the Company or pursuant to Section 1(d) below) whereupon the Holder shall be entitled to receive from the Company a stock certificate representing the number of Shares so purchased. In no event will the Company be required to net cash settle any warrant exercise.</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the right, in lieu of paying the Warrant Price in cash, to surrender a number of Warrants having a Fair Market Value equal to the aggregate Warrant Price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particular date of determination, (i) if the Shares are then traded or quoted on a nationally recognized securities exchange, inter-dealer quotation system or over- the-counter market (a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average closing price or last sale price of the Shares reported for the five (5) business days prior to the applicable date of determination (or, if the Shares have not been actively trading during the 5 business days prior to the applicable date of determination, the last sale price of the Shares for the business day immediately prior to the applicable date of determination) and (ii) if the Shares are not traded or quoted on a Trading Market,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determine the fair market value of a Share in its reasonable, good faith judgment, subject to the Holder’s right to dispute such determination as provided in Section 1(d)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980"/>
        <w:spacing w:after="0"/>
        <w:rPr>
          <w:sz w:val="20"/>
          <w:szCs w:val="20"/>
          <w:color w:val="auto"/>
        </w:rPr>
      </w:pPr>
      <w:r>
        <w:rPr>
          <w:rFonts w:ascii="Times New Roman" w:cs="Times New Roman" w:eastAsia="Times New Roman" w:hAnsi="Times New Roman"/>
          <w:sz w:val="18"/>
          <w:szCs w:val="18"/>
          <w:color w:val="auto"/>
        </w:rPr>
        <w:t>In the event of such a Cashless Exercise, the number of Shares to be issued to the Holder shall be determined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jc w:val="both"/>
        <w:ind w:left="980" w:hanging="324"/>
        <w:spacing w:after="0" w:line="255"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dispute as to the determination of Fair Market Value, any closing price or sales price of the Shares, the arithmetic calculation of the Warrant Price or the number of Shares for which this Warrant is exercisable, or any other computation required to be made hereunder, if the Holder and the Company are unable to settle such dispute within five business days (or such longer period as the parties may agree), then either party may elect to submit the disputed matter(s) for resolution by an independent accountant, appraiser or investment bank with relevant experience mutually acceptable to the Company and the Holder. Such independent party’s determination of such disputed matter(s) shall be binding upon all parties absent demonstrable error, and the Company and the Holder shall each pay one half of the fees and expenses of the independent party.</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Expiration Date, the Fair Market Value of one Share (or other security issuable upon the exercise hereof) is greater than the Warrant Price in effect on such date, then this Warrant shall automatically be deemed to be exercised on a Cashless Exercise basis as of the Expiration Date as to all the Shares for which it shall not previously have been exercised, and the Company shall, within a reasonable time, deliver a certificate representing the Shares issued upon such exercise to the Holder (and if the Company’s shares are uncertificated, the Company shall deliver reasonably satisfactory evidence to the Holder signifying the valid issuance of such uncertificated shares).</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No Fractional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business days after the exercise of this Warrant and the clearance of the funds in payment of the applicable Warrant Price (if any) (the “</w:t>
      </w:r>
      <w:r>
        <w:rPr>
          <w:rFonts w:ascii="Times New Roman" w:cs="Times New Roman" w:eastAsia="Times New Roman" w:hAnsi="Times New Roman"/>
          <w:sz w:val="18"/>
          <w:szCs w:val="18"/>
          <w:u w:val="single" w:color="auto"/>
          <w:color w:val="auto"/>
        </w:rPr>
        <w:t>Delivery Deadline</w:t>
      </w:r>
      <w:r>
        <w:rPr>
          <w:rFonts w:ascii="Times New Roman" w:cs="Times New Roman" w:eastAsia="Times New Roman" w:hAnsi="Times New Roman"/>
          <w:sz w:val="18"/>
          <w:szCs w:val="18"/>
          <w:color w:val="auto"/>
        </w:rPr>
        <w:t>”), the Company, at its expense, shall issue to the registered holder of such Warrant a certificate or certificates, or book entry position, for the number of Shares to which he, she or it is entitled, registered in such name or names as may be directed by him, her or it. 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exercise, the Company has a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then upon the exercise of this Warrant in whole or in part, the Company shall, at its expense, take all necessary action, including (if necessary) obtaining and delivering an opinion from its counsel, to ensure that the Transfer Agent shall issue Shares in the name of the Holder (or its nominee) or such other persons as designated by the Holder and in such denominations to be specified in the applicable Notice of Exercise. The Company represents and warrants that if the Unrestricted Conditions set forth in Section 6 below are met, the Shares will be free-trading, and freely transferable, and will not contain a legend restricting the resale or transferability of the Shares and that no instructions other than the foregoing instructions will be given to the Transfer Agent.</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participating in the DTC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upon written request of the Holder and in lieu of delivering physical certificates representing Shares to be delivered under or in connection with this Warrant Certificate, the Company shall use its commercially reasonable efforts to cause the Transfer Agent to electronically transmit the Shares to the Holder by crediting the account of the Holder’s prime broker with the DTC through its Deposit Withdrawal Agent Commission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system. The time periods for delivery and penalties described herein shall apply to the electronic transmittals described herein. Any delivery not effected by electronic transmission shall be effected by delivery of physical certificates.</w:t>
      </w:r>
    </w:p>
    <w:p>
      <w:pPr>
        <w:spacing w:after="0" w:line="18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transmit, or cause the Transfer Agent to transmit, to the Holder the Shares by the Delivery Deadline, then the Holder will have the right to rescind such Warrant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ind w:left="972" w:hanging="324"/>
        <w:spacing w:after="0" w:line="253"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rights available to the Holder, including the right to rescind the exercise as provided above, if as a result of a failure to deliver the Shares by the Delivery Deadline (so long as the failure to deliver the Shares is not caused by any action or inaction by the Holder) (a “</w:t>
      </w:r>
      <w:r>
        <w:rPr>
          <w:rFonts w:ascii="Times New Roman" w:cs="Times New Roman" w:eastAsia="Times New Roman" w:hAnsi="Times New Roman"/>
          <w:sz w:val="18"/>
          <w:szCs w:val="18"/>
          <w:u w:val="single" w:color="auto"/>
          <w:color w:val="auto"/>
        </w:rPr>
        <w:t>Delivery Failure</w:t>
      </w:r>
      <w:r>
        <w:rPr>
          <w:rFonts w:ascii="Times New Roman" w:cs="Times New Roman" w:eastAsia="Times New Roman" w:hAnsi="Times New Roman"/>
          <w:sz w:val="18"/>
          <w:szCs w:val="18"/>
          <w:color w:val="auto"/>
        </w:rPr>
        <w:t>”) the Holder is required by its broker to purchase (in an open market transaction or otherwise) or the Holder’s brokerage firm otherwise purchases shares of the Company’s capital stock to deliver in satisfaction of a sale anticipated to be made by the Holder of all or portion of such Shares which are the subject of such Delivery Failure (an “</w:t>
      </w:r>
      <w:r>
        <w:rPr>
          <w:rFonts w:ascii="Times New Roman" w:cs="Times New Roman" w:eastAsia="Times New Roman" w:hAnsi="Times New Roman"/>
          <w:sz w:val="18"/>
          <w:szCs w:val="18"/>
          <w:u w:val="single" w:color="auto"/>
          <w:color w:val="auto"/>
        </w:rPr>
        <w:t>Anticipated Sale</w:t>
      </w:r>
      <w:r>
        <w:rPr>
          <w:rFonts w:ascii="Times New Roman" w:cs="Times New Roman" w:eastAsia="Times New Roman" w:hAnsi="Times New Roman"/>
          <w:sz w:val="18"/>
          <w:szCs w:val="18"/>
          <w:color w:val="auto"/>
        </w:rPr>
        <w:t>”), then the Company shall (i) pay in cash to the Holder the amount by which (x) the Holder’s total purchase price (including brokerage commissions, if any) for the shares of the Company’s capital stock so purchased exceeds (y) an amount equal to the product of (A) the number of Shares that the Holder anticipated to sell in such Anticipated Sale, multiplied by (B) the Warrant Price that would have been payable for such Shares, and (ii) at the option of the Holder, either reinstate the portion of this Warrant and equivalent number of Shares in respect of which such Delivery Failure occurred or deliver to the Holder the number of Shares that would have been issued had the Company timely complied with its obligations hereunder to issue such Shares upon such exercise. The Holder shall provide the Company written notice indicating the amounts payable to the Holder, together with applicable confirmations and other evidence reasonably requested by the Company.</w:t>
      </w:r>
    </w:p>
    <w:p>
      <w:pPr>
        <w:spacing w:after="0" w:line="189"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 Share will be issued upon any exercise of a Warrant. If the holder of a Warrant would be entitled to receive a fraction of a Share upon any exercise of a Warrant, the Company shall, upon such exercise, issue or cause to be issued only the largest whole number of Shares issuable on such exercise (and such fraction of a Share will be disregarded).</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Rule 144, it is acknowledged and agreed that (i) the Shares issuable upon any exercise of this Warrant in any Cashless Exercise transaction shall be deemed to have been acquired on the Issuance Date, and (ii) the holding period for any of the Shares issuable upon the exercise of this Warrant in any Cashless Exercise transaction shall be deemed to have commenced on the Issuance Date.</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and Registry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Certificates, when surrendered at the office of the Company by the Holder in person or by attorney duly authorized in writing, may be exchanged without payment of any service charge, for another Warrant Certificate or Warrant Certificates of like tenor and evidencing in the aggregate a like number of Warrants.</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presentment for registration of transfer of the Warrant Certificate at the office of the Company, a new Warrant Certificate or Warrant Certificates of like tenor and evidencing in the aggregate a like number of Warrants shall be issued to the transferee in exchange for this Warrant Certificate, without charge except for any applicable tax or other governmental charge.</w:t>
      </w:r>
    </w:p>
    <w:p>
      <w:pPr>
        <w:spacing w:after="0" w:line="176" w:lineRule="exact"/>
        <w:rPr>
          <w:sz w:val="20"/>
          <w:szCs w:val="20"/>
          <w:color w:val="auto"/>
        </w:rPr>
      </w:pPr>
    </w:p>
    <w:p>
      <w:pPr>
        <w:jc w:val="both"/>
        <w:ind w:left="332"/>
        <w:spacing w:after="0" w:line="261" w:lineRule="auto"/>
        <w:rPr>
          <w:sz w:val="20"/>
          <w:szCs w:val="20"/>
          <w:color w:val="auto"/>
        </w:rPr>
      </w:pPr>
      <w:r>
        <w:rPr>
          <w:rFonts w:ascii="Times New Roman" w:cs="Times New Roman" w:eastAsia="Times New Roman" w:hAnsi="Times New Roman"/>
          <w:sz w:val="18"/>
          <w:szCs w:val="18"/>
          <w:color w:val="auto"/>
        </w:rPr>
        <w:t>The Company shall keep and properly maintain at its principal executive offices a register for the registration of this Warrant and any transfers thereof. The Company may deem and treat the person in whose name this Warrant is registered on such register as the Holder thereof for all purposes, and the Company shall not be affected by any notice to the contrary, except any assignment, division, combination or other transfer of this Warrant effected in accordance with the provisions of this Warrant.</w:t>
      </w:r>
    </w:p>
    <w:p>
      <w:pPr>
        <w:spacing w:after="0" w:line="180" w:lineRule="exact"/>
        <w:rPr>
          <w:sz w:val="20"/>
          <w:szCs w:val="20"/>
          <w:color w:val="auto"/>
        </w:rPr>
      </w:pPr>
    </w:p>
    <w:p>
      <w:pPr>
        <w:ind w:left="332" w:hanging="332"/>
        <w:spacing w:after="0"/>
        <w:tabs>
          <w:tab w:leader="none" w:pos="3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 in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952" w:hanging="332"/>
        <w:spacing w:after="0" w:line="254" w:lineRule="auto"/>
        <w:tabs>
          <w:tab w:leader="none" w:pos="195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outstanding the number of Shares shall be subdivided (by distribution, subdivision or otherwise), into a greater number of Shares, the number of Shares issuable on the exercise of each Warrant then in effect shall, concurrently with the effectiveness of such subdivision, be equally, ratably and proportionally increased, as determined in good faith by the Board, which determination shall be final and binding on the Holders absent manifest error. In the event the outstanding Shares shall be combined or consolidated, by reclassification or otherwise, into a lesser number of Shares, the number of Shares issuable on the exercise of each Warrant then in effect shall, concurrently with the effectiveness of such subdivision, be equally, ratably and proportionally decreased, as determined in good faith by the Board, which determination shall be final and binding on the Holders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6" w:name="page7"/>
    <w:bookmarkEnd w:id="6"/>
    <w:p>
      <w:pPr>
        <w:jc w:val="both"/>
        <w:ind w:left="1304" w:hanging="332"/>
        <w:spacing w:after="0" w:line="256"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Shares are exchanged for, or converted into, another form of equity security of the Company or of any other entity, this Warrant shall be exercisable for an equivalent number of such equity securities, at an equivalent Warrant Price, in each case as determined by the Board acting reasonably, so as to provide the Holder with rights equitably equivalent to the rights held by the Holder by virtue of this Warrant in effect immediately prior to such exchange or conversion, and each reference herein to the Shares issuable on exercise of this Warrant shall be deemed to be a reference to such other equity securities.</w:t>
      </w:r>
    </w:p>
    <w:p>
      <w:pPr>
        <w:spacing w:after="0" w:line="187"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Issuance of Applicable Shares</w:t>
      </w:r>
      <w:r>
        <w:rPr>
          <w:rFonts w:ascii="Times New Roman" w:cs="Times New Roman" w:eastAsia="Times New Roman" w:hAnsi="Times New Roman"/>
          <w:sz w:val="18"/>
          <w:szCs w:val="18"/>
          <w:color w:val="auto"/>
        </w:rPr>
        <w:t>. If, after the Issuance Date, the Company shall issue or sell any Shares (other than shares included in the Excluded Issuances, as defined below) (the “</w:t>
      </w:r>
      <w:r>
        <w:rPr>
          <w:rFonts w:ascii="Times New Roman" w:cs="Times New Roman" w:eastAsia="Times New Roman" w:hAnsi="Times New Roman"/>
          <w:sz w:val="18"/>
          <w:szCs w:val="18"/>
          <w:u w:val="single" w:color="auto"/>
          <w:color w:val="auto"/>
        </w:rPr>
        <w:t>Applicable Shares</w:t>
      </w:r>
      <w:r>
        <w:rPr>
          <w:rFonts w:ascii="Times New Roman" w:cs="Times New Roman" w:eastAsia="Times New Roman" w:hAnsi="Times New Roman"/>
          <w:sz w:val="18"/>
          <w:szCs w:val="18"/>
          <w:color w:val="auto"/>
        </w:rPr>
        <w:t>”), or options, warrants, convertible securities and similar instruments exercisable or otherwise convertible or exchangeable for Applicable Shares, in each case without consideration or for a consideration per Share initially deliverable upon issuance, conversion or exchange of such securities less than $10 (as proportionately adjusted to account for stock splits, stock combinations, stock dividends or other distributions and recapitalizations affecting the Common Stock) (the “</w:t>
      </w:r>
      <w:r>
        <w:rPr>
          <w:rFonts w:ascii="Times New Roman" w:cs="Times New Roman" w:eastAsia="Times New Roman" w:hAnsi="Times New Roman"/>
          <w:sz w:val="18"/>
          <w:szCs w:val="18"/>
          <w:u w:val="single" w:color="auto"/>
          <w:color w:val="auto"/>
        </w:rPr>
        <w:t>Original Price</w:t>
      </w:r>
      <w:r>
        <w:rPr>
          <w:rFonts w:ascii="Times New Roman" w:cs="Times New Roman" w:eastAsia="Times New Roman" w:hAnsi="Times New Roman"/>
          <w:sz w:val="18"/>
          <w:szCs w:val="18"/>
          <w:color w:val="auto"/>
        </w:rPr>
        <w:t>”), then effective immediately upon such issuance or sale, the number of Shares issuable upon exercise of this Warrant immediately prior to any such issuance or sale shall be increased, and shall not be reduced, in accordance with the following formula:</w:t>
      </w:r>
    </w:p>
    <w:p>
      <w:pPr>
        <w:spacing w:after="0" w:line="189" w:lineRule="exact"/>
        <w:rPr>
          <w:sz w:val="20"/>
          <w:szCs w:val="20"/>
          <w:color w:val="auto"/>
        </w:rPr>
      </w:pPr>
    </w:p>
    <w:p>
      <w:pPr>
        <w:ind w:left="3804"/>
        <w:spacing w:after="0"/>
        <w:rPr>
          <w:sz w:val="20"/>
          <w:szCs w:val="20"/>
          <w:color w:val="auto"/>
        </w:rPr>
      </w:pPr>
      <w:r>
        <w:rPr>
          <w:rFonts w:ascii="Times New Roman" w:cs="Times New Roman" w:eastAsia="Times New Roman" w:hAnsi="Times New Roman"/>
          <w:sz w:val="18"/>
          <w:szCs w:val="18"/>
          <w:color w:val="auto"/>
        </w:rPr>
        <w:t>S1 = S x [(OS + D) / (OS + PS)]</w:t>
      </w:r>
    </w:p>
    <w:p>
      <w:pPr>
        <w:spacing w:after="0" w:line="22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S1 = new number of Shares issuable upon exercise of this Warrant</w:t>
      </w:r>
    </w:p>
    <w:p>
      <w:pPr>
        <w:spacing w:after="0" w:line="2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S = then applicable number of Shares issuable upon exercise of this Warrant immediately prior to the issuance or sale</w:t>
      </w:r>
    </w:p>
    <w:p>
      <w:pPr>
        <w:spacing w:after="0" w:line="9" w:lineRule="exact"/>
        <w:rPr>
          <w:sz w:val="20"/>
          <w:szCs w:val="20"/>
          <w:color w:val="auto"/>
        </w:rPr>
      </w:pPr>
    </w:p>
    <w:p>
      <w:pPr>
        <w:ind w:left="324"/>
        <w:spacing w:after="0" w:line="250" w:lineRule="auto"/>
        <w:rPr>
          <w:sz w:val="20"/>
          <w:szCs w:val="20"/>
          <w:color w:val="auto"/>
        </w:rPr>
      </w:pPr>
      <w:r>
        <w:rPr>
          <w:rFonts w:ascii="Times New Roman" w:cs="Times New Roman" w:eastAsia="Times New Roman" w:hAnsi="Times New Roman"/>
          <w:sz w:val="18"/>
          <w:szCs w:val="18"/>
          <w:color w:val="auto"/>
        </w:rPr>
        <w:t>OS = the number of Shares outstanding immediately prior to the issuance of such securities D = the maximum number of Shares deliverable upon issuance of such securities</w:t>
      </w:r>
    </w:p>
    <w:p>
      <w:pPr>
        <w:spacing w:after="0" w:line="1" w:lineRule="exact"/>
        <w:rPr>
          <w:sz w:val="20"/>
          <w:szCs w:val="20"/>
          <w:color w:val="auto"/>
        </w:rPr>
      </w:pPr>
    </w:p>
    <w:p>
      <w:pPr>
        <w:ind w:left="324"/>
        <w:spacing w:after="0" w:line="260" w:lineRule="auto"/>
        <w:rPr>
          <w:sz w:val="20"/>
          <w:szCs w:val="20"/>
          <w:color w:val="auto"/>
        </w:rPr>
      </w:pPr>
      <w:r>
        <w:rPr>
          <w:rFonts w:ascii="Times New Roman" w:cs="Times New Roman" w:eastAsia="Times New Roman" w:hAnsi="Times New Roman"/>
          <w:sz w:val="18"/>
          <w:szCs w:val="18"/>
          <w:color w:val="auto"/>
        </w:rPr>
        <w:t>PS = the aggregate number of Shares which the aggregate amount of consideration received by the Company upon such issuance or sale would have purchased at the Original Price</w:t>
      </w:r>
    </w:p>
    <w:p>
      <w:pPr>
        <w:spacing w:after="0" w:line="181" w:lineRule="exact"/>
        <w:rPr>
          <w:sz w:val="20"/>
          <w:szCs w:val="20"/>
          <w:color w:val="auto"/>
        </w:rPr>
      </w:pPr>
    </w:p>
    <w:p>
      <w:pPr>
        <w:jc w:val="both"/>
        <w:ind w:left="324" w:hanging="324"/>
        <w:spacing w:after="0" w:line="253"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Dividends and Distributions</w:t>
      </w:r>
      <w:r>
        <w:rPr>
          <w:rFonts w:ascii="Times New Roman" w:cs="Times New Roman" w:eastAsia="Times New Roman" w:hAnsi="Times New Roman"/>
          <w:sz w:val="18"/>
          <w:szCs w:val="18"/>
          <w:color w:val="auto"/>
        </w:rPr>
        <w:t xml:space="preserve">. If the Company shall make or declare, or fix a record date for the determination of holders of equity securities entitled to receive, a dividend or any other distribution payable in cash, securities of the Company or other property, then, and in each such event, the Company shall ensure that provisions are made so that the Holder shall receive upon exercise of this Warrant, in addition to the number of the Shares receivable thereupon, the kind and amount of cash, securities of the Company or other property which the Holder would have been entitled to receive had this Warrant been exercised in full into the Shares on the date of such event and had the Holder thereafter, during the period from the date of such event to and including the date this Warrant is exercised, retained such cash, securities or other property receivable by them as aforesaid during such period, giving application to all adjustments called for during such period under this Section with respect to the rights of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provision shall be made if the Holder receives, simultaneously with the distribution to the holders of equity securities, a dividend or other distribution of such securities, cash or other property in an amount equal to the amount of such securities, cash or other property as the Holder would have received if this Warrant had been exercised in full into the Shares on the date of such event.</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xml:space="preserve">. If any event of the type contemplated by the provisions of this Section but not expressly provided for by such provisions (including, without limitation, the granting of stock appreciation rights, phantom stock rights or other rights with equity features) occurs, then the Board shall make an appropriate adjustment in the number of the Shares issuable upon exercise of this Warrant so as to protect the rights of the Holder in a manner consistent with the provisions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adjustment pursuant to this Section 4(d) shall increase the Warrant Price or decrease the number of the Shares issuable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 w:name="page8"/>
    <w:bookmarkEnd w:id="7"/>
    <w:p>
      <w:pPr>
        <w:jc w:val="both"/>
        <w:ind w:left="972" w:hanging="324"/>
        <w:spacing w:after="0" w:line="252"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Adjustments</w:t>
      </w:r>
      <w:r>
        <w:rPr>
          <w:rFonts w:ascii="Times New Roman" w:cs="Times New Roman" w:eastAsia="Times New Roman" w:hAnsi="Times New Roman"/>
          <w:sz w:val="18"/>
          <w:szCs w:val="18"/>
          <w:color w:val="auto"/>
        </w:rPr>
        <w:t>. Except as specifically provided for herein, there shall be no adjustment or readjustment to the number of Shares issuable in the following circumstances (each of the following, an “</w:t>
      </w:r>
      <w:r>
        <w:rPr>
          <w:rFonts w:ascii="Times New Roman" w:cs="Times New Roman" w:eastAsia="Times New Roman" w:hAnsi="Times New Roman"/>
          <w:sz w:val="18"/>
          <w:szCs w:val="18"/>
          <w:u w:val="single" w:color="auto"/>
          <w:color w:val="auto"/>
        </w:rPr>
        <w:t>Excluded Issuance</w:t>
      </w:r>
      <w:r>
        <w:rPr>
          <w:rFonts w:ascii="Times New Roman" w:cs="Times New Roman" w:eastAsia="Times New Roman" w:hAnsi="Times New Roman"/>
          <w:sz w:val="18"/>
          <w:szCs w:val="18"/>
          <w:color w:val="auto"/>
        </w:rPr>
        <w:t xml:space="preserve">”): (1) upon the exercise of this Warrant or any of the other Warrants issued to the Company’s other lenders on the Issuance Date; (2) upon conversion, exercise or exchange of securities, including convertible debt securities, outstanding prior to the Issuance Date; (3) pursuant to agreements in effect as of the Issuance Date (provided that such agreements are not amended after the Issuance Date to increase the number of securities, reduce the consideration payable in connection with such securities, or otherwise change the terms of such agreements so as to have a dilutive effect on this Warrant); (4) pursuant to the Company’s management, directors or other service providers as part of compensation and incentive programs approved by the Board; (5) pursuant to any joint venture arrangement, strategic arrangements, real property lease, financing transaction or other similar transaction in which equity financing is not the purpose of the transaction; and (6) pursuant to any public equity offerings. Notwithstanding the foregoing, the parties agree that any equity securities issued in “PIPE” transactions, and any equity securities issued pursuant to the Committed Equity Facility shall be “Excluded Issuances” if the securities issued in such “PIPE” transactions or pursuant to the Committed Equity Facility are issued for consideration equal to at least $5 per share (as proportionately adjusted to account for stock splits, stock combinations, stock dividends or other distributions or recapitalizations affecting the Common Stock). For example (x) if the Company issues equity securities in a PIPE Transaction or pursuant to the Committed Equity Facility, and the consideration paid for those equity securities is $4 per equity security, then such issuance shall not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apply, and (y) if the Company issues equity securities in a PIPE Transaction or pursuant to the Committed Equity Facility, and the consideration paid for those equity securities is $5 per equity security, then such issuance shall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 As used herein, “</w:t>
      </w:r>
      <w:r>
        <w:rPr>
          <w:rFonts w:ascii="Times New Roman" w:cs="Times New Roman" w:eastAsia="Times New Roman" w:hAnsi="Times New Roman"/>
          <w:sz w:val="18"/>
          <w:szCs w:val="18"/>
          <w:u w:val="single" w:color="auto"/>
          <w:color w:val="auto"/>
        </w:rPr>
        <w:t>Committed Equity Facility</w:t>
      </w:r>
      <w:r>
        <w:rPr>
          <w:rFonts w:ascii="Times New Roman" w:cs="Times New Roman" w:eastAsia="Times New Roman" w:hAnsi="Times New Roman"/>
          <w:sz w:val="18"/>
          <w:szCs w:val="18"/>
          <w:color w:val="auto"/>
        </w:rPr>
        <w:t>” means the ChEF Purchase Agreement by and between Chardan Capital Markets LLC and Dragonfly Energy Holdings Corp., including any modification, amendment or replacement thereof.</w:t>
      </w:r>
    </w:p>
    <w:p>
      <w:pPr>
        <w:spacing w:after="0" w:line="190"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Upon the occurrence of each adjustment or readjustment of the number of Shares issuable on the exercise of each Warrant, the Company (at its expense) shall promptly compute such adjustment or readjustment in accordance with the terms hereof and furnish to the Holder a notice setting forth (1) such adjustment or readjustment and showing in detail the facts upon which such adjustment or readjustment is based and (2) the number of Shares issuable on the exercise of each Warrant at the time in effect.</w:t>
      </w:r>
    </w:p>
    <w:p>
      <w:pPr>
        <w:spacing w:after="0" w:line="179"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other than in the ordinary course,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972" w:right="20" w:hanging="324"/>
        <w:spacing w:after="0" w:line="282"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All calculations hereunder shall be made to the nearest cent or to the nearest twentieth decimal place of a fractional Share, as the case may be.</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2" w:lineRule="auto"/>
        <w:tabs>
          <w:tab w:leader="none" w:pos="97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Issuance Date but no later than thirty (30) calendar days after the Issuance Date, the Company shall submit to or file with the SEC a registration statement registering the resale of this Warrant, the Shares, and any securities issued or issuable with respect to the Shares by way of a stock dividend or stock split or in connection with a combination of shares, recapitalization, merger, consolidation, spin-off, reclassification or other reorganization or similar transaction (including Shares received pursuant to Section 4 above)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on any form of registration statement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is then available to effect a registration for resale of such Registrable Securities, which may be on Form S-1, for an offering to be made on a continuous basis pursuant to Rule 415 of the Securities Act registering the resale from time to time by the Holder(s) (or a bona fide pledgee thereof) of all of the Registrable Securities held by the Holder (or bona fide pledgee thereof)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The Holder shall not be named as an underwriter on any Registration Statement, provided, that if the SEC requires that the Holder be identified as a statutory underwriter in a Registration Statement, the Holder will have the option, in its sole and absolute discretion, to either (i) withdraw from the Registration Statement, it being understood that such withdrawal shall not relieve the Company of its obligation to register for resale such Holder’s Registrable Securities at a later date or (ii) be included as such in the Registration Statement. In the event that a Holder elects to include its Registrable Securities on a Registration Statement in accordance with the foregoing clause (ii), the Company shall provide such Holder with a draft of such Registration Statement (and any amendments or supplements thereto) as soon as reasonably practicable, and any disclosures contained therein relating to such Holder shall be subject to the approval of such Holder (which approval shall not be unreasonably withheld or delayed). Such Registrable Securities will cease to become Registrable Securities upon the earliest to occur of: (A) a Registration Statement with respect to the sale of such securities shall have become effective under the Securities Act and all Registrable Securities held by the Holder shall have been sold, transferred, disposed of or exchanged in accordance with such Registration Statement by the applicable Holder; (B) such securities shall have ceased to be outstanding; (C) such securities may be sold without restriction on volume or manner of sale in any three-month period pursuant to Rule 144 or any successor rule promulgated under the Securities Act; and (D) all Registrable Securities held by the Holder have been sold to, or through, a broker, dealer or underwriter in a public distribution or other public securities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8" w:name="page9"/>
    <w:bookmarkEnd w:id="8"/>
    <w:p>
      <w:pPr>
        <w:jc w:val="both"/>
        <w:ind w:left="324" w:hanging="324"/>
        <w:spacing w:after="0" w:line="253"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have the Initial Registration Statement declared effective as soon as practicable after the filing thereof, but no later than the earlier of (i) the ninetieth (90th) calendar day following the filing date thereof if the SEC notifies the Company that it will “review” the Registration Statement and (ii) the tenth (10th) business day after the date the Company is notified (orally or in writing, whichever is earlier) by the SEC that the Registration Statement will not be “reviewed” or will not be subject to further review. The Company shall notify the Holders as promptly as practicable after the Registration Statement is declared effective and shall simultaneously or prior thereto file with the SEC pursuant to Rule 424(b) promulgated under the Securities Act, and provide the Holders with copies of, any related prospectus to be used in connection with the sale or other disposition of the securities covered thereby (each,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Registration Statement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the Holders.</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the Company shall:</w:t>
      </w:r>
    </w:p>
    <w:p>
      <w:pPr>
        <w:spacing w:after="0" w:line="225" w:lineRule="exact"/>
        <w:rPr>
          <w:rFonts w:ascii="Times New Roman" w:cs="Times New Roman" w:eastAsia="Times New Roman" w:hAnsi="Times New Roman"/>
          <w:sz w:val="18"/>
          <w:szCs w:val="18"/>
          <w:color w:val="auto"/>
        </w:rPr>
      </w:pPr>
    </w:p>
    <w:p>
      <w:pPr>
        <w:jc w:val="both"/>
        <w:ind w:left="1304" w:hanging="332"/>
        <w:spacing w:after="0" w:line="256" w:lineRule="auto"/>
        <w:tabs>
          <w:tab w:leader="none" w:pos="13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to, and permit the Holder to review, the Registration Statement and all amendments and supplements thereto not less than five (5) business days prior to the filing of the Registration Statement and not less than one (1) business day prior to the filing of any related Prospectus or any amendment or supplement thereto (except any amendment or supplement in relation to annual reports on Form 10-K, quarterly reports on Form 10-Q and current reports on Form 8-K and any similar or successor reports) and provide the Holder a reasonable opportunity to comment thereon, and the Company shall consider such comments in good faith before filing any Registration Statement or amendment or supplement thereto;</w:t>
      </w:r>
    </w:p>
    <w:p>
      <w:pPr>
        <w:spacing w:after="0" w:line="187" w:lineRule="exact"/>
        <w:rPr>
          <w:rFonts w:ascii="Times New Roman" w:cs="Times New Roman" w:eastAsia="Times New Roman" w:hAnsi="Times New Roman"/>
          <w:sz w:val="18"/>
          <w:szCs w:val="18"/>
          <w:color w:val="auto"/>
        </w:rPr>
      </w:pPr>
    </w:p>
    <w:p>
      <w:pPr>
        <w:ind w:left="1304" w:hanging="332"/>
        <w:spacing w:after="0" w:line="282" w:lineRule="auto"/>
        <w:tabs>
          <w:tab w:leader="none" w:pos="13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(x) prevent the issuance of any stop order or other suspension of effectiveness and (y) if such order is issued, obtain the withdrawal of any such order as soon as practicable;</w:t>
      </w:r>
    </w:p>
    <w:p>
      <w:pPr>
        <w:spacing w:after="0" w:line="161" w:lineRule="exact"/>
        <w:rPr>
          <w:rFonts w:ascii="Times New Roman" w:cs="Times New Roman" w:eastAsia="Times New Roman" w:hAnsi="Times New Roman"/>
          <w:sz w:val="18"/>
          <w:szCs w:val="18"/>
          <w:color w:val="auto"/>
        </w:rPr>
      </w:pPr>
    </w:p>
    <w:p>
      <w:pPr>
        <w:jc w:val="both"/>
        <w:ind w:left="1304" w:hanging="332"/>
        <w:spacing w:after="0" w:line="254" w:lineRule="auto"/>
        <w:tabs>
          <w:tab w:leader="none" w:pos="13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public offering of Registrable Securities, use commercially reasonable efforts to register or qualify or cooperate with the Holder and its counsel in connection with the registration or qualification of such Registrable Securities for the offer and sale under the securities or blue sky laws of such jurisdictions upon notice and as requested by the Holder and do any and all other commercially reasonable acts or things necessary or advisable as requested by the Holder to enable the distribution in such jurisdictions of the Registrable Securities covered by the Registration Statement; provided, that the Company shall not be required in connection therewith or as a condition thereto to (i) qualify to do business in any jurisdiction where it would not otherwise be required to qualify but for this provision; (ii) subject itself to general taxation in any jurisdiction where it would not otherwise be so subject but for this provision; or (iii) file a general consent to service of process in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9" w:name="page10"/>
    <w:bookmarkEnd w:id="9"/>
    <w:p>
      <w:pPr>
        <w:ind w:left="1304" w:hanging="332"/>
        <w:spacing w:after="0" w:line="282" w:lineRule="auto"/>
        <w:tabs>
          <w:tab w:leader="none" w:pos="13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ind w:left="1304" w:hanging="332"/>
        <w:spacing w:after="0" w:line="282" w:lineRule="auto"/>
        <w:tabs>
          <w:tab w:leader="none" w:pos="13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or warrant agent, if any, as applicable, and registrar for all such Registrable Securities no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jc w:val="both"/>
        <w:ind w:left="1304" w:hanging="332"/>
        <w:spacing w:after="0" w:line="254" w:lineRule="auto"/>
        <w:tabs>
          <w:tab w:leader="none" w:pos="13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 at any time prior to the end of the Effectiveness Period, upon discovery that, or upon the happening of any event as a result of which, the Prospectus included in the Registration Statement, as then in effect, includes a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which the Holder will maintain in confidence, and (i) promptly prepare, file with the SEC and furnish to such holder a supplement to or an amendment of such Prospectus as may be necessary so that such Prospectus shall not include such Misstatement or(ii) suspend the filing, initial effectiveness or continued use of any Registration Statement in accordance with Section 5(g) below;</w:t>
      </w:r>
    </w:p>
    <w:p>
      <w:pPr>
        <w:spacing w:after="0" w:line="191" w:lineRule="exact"/>
        <w:rPr>
          <w:rFonts w:ascii="Times New Roman" w:cs="Times New Roman" w:eastAsia="Times New Roman" w:hAnsi="Times New Roman"/>
          <w:sz w:val="18"/>
          <w:szCs w:val="18"/>
          <w:color w:val="auto"/>
        </w:rPr>
      </w:pPr>
    </w:p>
    <w:p>
      <w:pPr>
        <w:ind w:left="1304" w:hanging="332"/>
        <w:spacing w:after="0" w:line="282" w:lineRule="auto"/>
        <w:tabs>
          <w:tab w:leader="none" w:pos="13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comply with all applicable rules and regulations of the SEC under the Securities Act and the Exchange Act; and</w:t>
      </w:r>
    </w:p>
    <w:p>
      <w:pPr>
        <w:spacing w:after="0" w:line="161" w:lineRule="exact"/>
        <w:rPr>
          <w:rFonts w:ascii="Times New Roman" w:cs="Times New Roman" w:eastAsia="Times New Roman" w:hAnsi="Times New Roman"/>
          <w:sz w:val="18"/>
          <w:szCs w:val="18"/>
          <w:color w:val="auto"/>
        </w:rPr>
      </w:pPr>
    </w:p>
    <w:p>
      <w:pPr>
        <w:ind w:left="1304" w:hanging="332"/>
        <w:spacing w:after="0" w:line="282" w:lineRule="auto"/>
        <w:tabs>
          <w:tab w:leader="none" w:pos="13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cooperate reasonably with, and take such customary actions as may reasonably be requested by the Holder, consistent with the terms of this Warrant, in connection with such registration.</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Registration Statement (including by means of a post- 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Initial Registration Statement ceases to be effective under Securities Act for any reason at any time while Registrable Securities are still outstanding, the Company shall use its commercially reasonable efforts to as promptly as is reasonably practicable to cause such Initial Registration Statement to again become effective under the Securities Act or file a subsequent Registration Statement registering the resale of all Registrable Securities (determined as of two (2) business days prior to such filing) pursuant to any method or combination of methods legally available to the Company.</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Section 5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 (1) notify the Holder in writing of the commencement of an Allowed Delay, but shall not (without the prior written consent of a Holder) disclose to such Holder any material non-public information giving rise to an Allowed Delay, (2) advise the Holder in writing to cease all sales under such Registration Statement until the end of the Allowed Delay (but not, for the avoidance of doubt, any sale pursuant to Rule 144 or other applicable exemption under the Securities Act) and (3) use commercially reasonable efforts to terminate an Allowed Delay as promptly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269240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0" w:name="page11"/>
    <w:bookmarkEnd w:id="10"/>
    <w:p>
      <w:pPr>
        <w:jc w:val="both"/>
        <w:ind w:left="324" w:hanging="324"/>
        <w:spacing w:after="0" w:line="261"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the Initial Registration Statement or a subsequent Registration Statement and cause the same to become effective as soon as practicable after such filing and such Registration Statement shall be subject to the terms hereof.</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Holder, and each of its officers, employees, affiliates, directors, partners, members, managers, equityholders, attorneys, advisors and agents, and each person or entity, if any, who controls (within the meaning of Section 15 of the Securities Act or Section 20 of the Securities and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Holder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based upon any Misstatement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Holder Indemnified Party for any reasonable, customary and documented out-of-pocket legal and any other expenses reasonably incurred, as incurred, by such Holder Indemnified Party in connection with investigating and defending any such Losses, except to the extent the Holder is liable to indemnify the Company for such Losses pursuant to Section 5(k) below; provided, however, that the indemnity agreement contained in this Section 5(j)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the applicable Holder Indemnified Party expressly for use therein.</w:t>
      </w:r>
    </w:p>
    <w:p>
      <w:pPr>
        <w:spacing w:after="0" w:line="190"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will, in the event that any registration of any Registrable Securities held by the Holder is being effected under the Securities Act pursuant to this Agreement and the Company has required the Holder to provide such an undertaking on the same terms, indemnify and hold harmless the Company, each of its directors and officers and each underwriter (if any), and each other person, if any, who controls such underwriter within the meaning of the Securities Act, against any Losses, insofar as such Losses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Holder expressly for use therein, and shall reimburse the Company and its directors and officers for any reasonable, customary and documented out-of-pocket legal or other expenses incurred by any of them in connection with investigation or defending any such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271780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1" w:name="page12"/>
    <w:bookmarkEnd w:id="11"/>
    <w:p>
      <w:pPr>
        <w:ind w:left="332" w:hanging="332"/>
        <w:spacing w:after="0"/>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Compliance with Securities 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may not be transferred or assigned in whole or in part without compliance with all applicable United States, state, and foreign securities laws by the transferor and transferee (including the delivery of investment representation letters and legal opinions reasonably satisfactory to the Company, if requested by the Company). Subject to such restrictions, prior to the Expiration Date, this Warrant and all rights hereunder are transferable by the Holder hereof, in whole or in part, at the office or agency of the Company referred to in Section 1(b) above. Any such transfer shall be made in person or by the Holder’s duly authorized attorney, upon surrender of this Warrant together with the Form of Transfer attached hereto properly endorsed.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Warrant, by acceptance hereof, acknowledges that this Warrant and the Shares issuable upon exercise hereof are being acquired solely for the Holder’s own account and not as a nominee for any other party, and for investment, and that the Holder will not offer, sell, or otherwise dispose of this Warrant or any Shares to be issued upon exercise hereof except under circumstances that will not result in a violation of the Securities Act or any state or foreign securities laws. Upon exercise of this Warrant, the Holder shall, if reasonably requested by the Company and if required by applicable law or regulation, confirm in writing, in a form satisfactory to the Company, that the Shares so purchased are being acquired solely for Holder’s own account and not as a nominee for any other party, for investment, and not with a view toward distribution or resale.</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not been registered under the Securities Act, and this Warrant may not be exercised except by (1) the original purchaser of this Warrant from the Company or (2) an “accredited investor” as defined in Rule 501(a) under the Securities Act. Each certificate representing Shares issued on exercise of this Warrant or other securities issued in respect of such Shares upon any stock split, stock dividend, recapitalization, merger, consolidation or similar event, shall be stamped or otherwise imprinted with a legend substantially in the following form (in addition to any other legend required under applicable securities laws):</w:t>
      </w:r>
    </w:p>
    <w:p>
      <w:pPr>
        <w:spacing w:after="0" w:line="183" w:lineRule="exact"/>
        <w:rPr>
          <w:rFonts w:ascii="Times New Roman" w:cs="Times New Roman" w:eastAsia="Times New Roman" w:hAnsi="Times New Roman"/>
          <w:sz w:val="18"/>
          <w:szCs w:val="18"/>
          <w:color w:val="auto"/>
        </w:rPr>
      </w:pPr>
    </w:p>
    <w:p>
      <w:pPr>
        <w:jc w:val="both"/>
        <w:ind w:left="97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EVIDENCED HEREBY HAVE NOT BEEN REGISTERED UNDER THE SECURITIES ACT OF 1933, AS AMENDED (THE “SECURITIES ACT”), OR ANYAPPLICABLE STATE SECURITIES LAWS AND MAY NOT BE SOLD, TRANSFERRED OR OTHERWISE DISPOSED OF UNLESS THERE IS AN EFFECTIVE REGISTRATION STATEMENT UNDER THE SECURITIES ACT AND APPLICABLE STATE SECURITIES LAWS COVERING ANY SUCH TRANSACTION OR UNLESS THE COMPANY SHALL HAVE RECEIVED AN OPINION OF ITS COUNSEL THAT REGISTRATION OF SUCH SHARES UNDER THE SECURITIES ACT AND UNDER THE PROVISIONS OF APPLICABLE STATE SECURITIES LAWS IS NOT REQUIRED.</w:t>
      </w:r>
    </w:p>
    <w:p>
      <w:pPr>
        <w:spacing w:after="0" w:line="187" w:lineRule="exact"/>
        <w:rPr>
          <w:rFonts w:ascii="Times New Roman" w:cs="Times New Roman" w:eastAsia="Times New Roman" w:hAnsi="Times New Roman"/>
          <w:sz w:val="18"/>
          <w:szCs w:val="18"/>
          <w:color w:val="auto"/>
        </w:rPr>
      </w:pPr>
    </w:p>
    <w:p>
      <w:pPr>
        <w:jc w:val="both"/>
        <w:ind w:left="332" w:hanging="332"/>
        <w:spacing w:after="0" w:line="253" w:lineRule="auto"/>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Restrictive Legends</w:t>
      </w:r>
      <w:r>
        <w:rPr>
          <w:rFonts w:ascii="Times New Roman" w:cs="Times New Roman" w:eastAsia="Times New Roman" w:hAnsi="Times New Roman"/>
          <w:sz w:val="18"/>
          <w:szCs w:val="18"/>
          <w:color w:val="auto"/>
        </w:rPr>
        <w:t>. Neither this Warrant nor any certificates evidencing the Shares or any other equity securities issuable or deliverable under or in connection with this Warrant shall contain any legend restricting the transfer thereof in any of the following circumstances: (i) while a registration statement covering the sale or resale of the Shares is effective under the Securities Act; (ii) following any sale of this Warrant, any of the Shares or any other equity securities issued or delivered to the Holder under or in connection herewith pursuant to Rule 144; (iii) if this Warrant, the Shares or any other equity securities are eligible for sale under Rule 144(b)(1); or (iv) if such legend is not required under applicable requirements of the Securities Act (including judicial interpretations and pronouncements issued by the staff of the Commission) (collectively, the “</w:t>
      </w:r>
      <w:r>
        <w:rPr>
          <w:rFonts w:ascii="Times New Roman" w:cs="Times New Roman" w:eastAsia="Times New Roman" w:hAnsi="Times New Roman"/>
          <w:sz w:val="18"/>
          <w:szCs w:val="18"/>
          <w:u w:val="single" w:color="auto"/>
          <w:color w:val="auto"/>
        </w:rPr>
        <w:t>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If the Unrestricted Conditions are met at the time of the issuance of the Shares, the Company shall cause its counsel, at its expense, to issue a legal opinion to the Transfer Agent, if required by such Transfer Agent to effect the issuance of the Shares or any other shares of equity securities issuable or deliverable under or in connection with this Warrant, as applicable, without a restrictive legend or removal of the legend hereunder. If the Unrestricted Conditions are met at the time of issuance of the Shares, then the Shares shall be issued free of all legends.</w:t>
      </w:r>
    </w:p>
    <w:p>
      <w:pPr>
        <w:spacing w:after="0" w:line="194"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in respect of the issuance or delivery of shares upon the exercise of Warrants, but the Company shall not be obligated to pay any transfer taxes in respect of the Warrants 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2" w:name="page13"/>
    <w:bookmarkEnd w:id="12"/>
    <w:p>
      <w:pPr>
        <w:ind w:left="332" w:hanging="332"/>
        <w:spacing w:after="0"/>
        <w:tabs>
          <w:tab w:leader="none" w:pos="3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The Company is a corporation duly organized, validly existing, and in good standing under the laws of the state of its formation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Binding Obligation</w:t>
      </w:r>
      <w:r>
        <w:rPr>
          <w:rFonts w:ascii="Times New Roman" w:cs="Times New Roman" w:eastAsia="Times New Roman" w:hAnsi="Times New Roman"/>
          <w:sz w:val="18"/>
          <w:szCs w:val="18"/>
          <w:color w:val="auto"/>
        </w:rPr>
        <w:t>. This Warrant has been duly executed by the Company and constitutes its legal, valid and binding obligation, enforceable against it in accordance with the terms of this Warrant.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and the Shares issuable upon exercise of this Warrant will not be subject to preemptive rights of any stockholders of the Company. No consent, waiver, approval, authorization, exemption, registration, license or declaration is required to be made or obtained by the Company, other than those which have been made or obtained, in connection with (i) the execution or enforceability of this Warrant or (ii) the consummation of any of the transactions contemplated hereby, including the issuance of the Shares upon exercise of this Warrant.</w:t>
      </w:r>
    </w:p>
    <w:p>
      <w:pPr>
        <w:spacing w:after="0" w:line="194"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authorization, execution and delivery of the Warrant will not constitute or result in a default or violation of any law or regulation applicable to the Company or any term or provision of the Company’s Certificate of Incorporation or bylaws, or any material agreement or instrument by which it is bound or to which its properties or assets are subject.</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This Warrant, and all the Shares which may be issued upon the exercise of this Warrant, and all securities, if any, issuable upon conversion of the Shares, shall, upon issuance, be duly authorized, validly issued, fully paid and non-assessable, and free of any liens and encumbrances (including preemptive or similar rights) except for restrictions on transfer provided for (i) in this Warrant, (ii) under applicable federal and state securities laws, or (iii) in the Company’s Certificate of Incorporation. Based in part upon the representations and warranties of the Holder in this Warrant, this Warrant and all the Shares issuable upon exercise of this Warrant will be issued in compliance with all applicable federal and state securities laws. The Company covenants that it shall at all times cause to be reserved and kept available out of its authorized and unissued capital stock such number of the Shares and other securities for which this Warrant may be exercisable or for which the Shares may be convertible as will be sufficient to permit the exercise in full of this Warrant.</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Company’s summary capitalization table attached hereto as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is true and complete, in all material respects, as of the Issuance Date. Except as described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there are no outstanding warrants, options, convertible securities or other rights, agreements or arrangements of any character (other than equity grants promised to service providers in offer letters or similar agreements in the ordinary course of business, all of which grants will be made from the existing pool that is reflected in the fully diluted capitalization of the Company shown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under which the Company and any of its subsidiaries is or may be obligated to issue any equity securities of any kind, and neither the Company nor any of its subsidiaries is currently in negotiations for the issuance of any equity securities of any kind.</w:t>
      </w:r>
    </w:p>
    <w:p>
      <w:pPr>
        <w:spacing w:after="0" w:line="186"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Registration</w:t>
      </w:r>
      <w:r>
        <w:rPr>
          <w:rFonts w:ascii="Times New Roman" w:cs="Times New Roman" w:eastAsia="Times New Roman" w:hAnsi="Times New Roman"/>
          <w:sz w:val="18"/>
          <w:szCs w:val="18"/>
          <w:color w:val="auto"/>
        </w:rPr>
        <w:t>. The Company shall take all such actions as may be necessary to ensure that all the Shares are issued without violation by the Company of any applicable law or governmental regulation or any requirements of any trading market or securities exchange upon which shares of the Company’s common stock or other securities constituting the Shares may be listed at the time of such exercise (except for official notice of issuance which shall be immediately delivered by the Company upon each such issuance). If the Unrestricted Conditions are satisfied at the time of exercise of this Warrant, the Company shall cause the Shares, immediately upon such exercise, to be listed on any such trading market or securities exchange upon which shares of common stock or other securities constituting the Shares are listed at the time of such exercise.</w:t>
      </w:r>
    </w:p>
    <w:p>
      <w:pPr>
        <w:spacing w:after="0" w:line="188"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 No Liability</w:t>
      </w:r>
      <w:r>
        <w:rPr>
          <w:rFonts w:ascii="Times New Roman" w:cs="Times New Roman" w:eastAsia="Times New Roman" w:hAnsi="Times New Roman"/>
          <w:sz w:val="18"/>
          <w:szCs w:val="18"/>
          <w:color w:val="auto"/>
        </w:rPr>
        <w:t>. Except as specifically set forth herein, this Warrant, by itself,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 No provision hereof, in the absence of any affirmative action by the Holder to exercise this Warrant to purchase the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3" w:name="page14"/>
    <w:bookmarkEnd w:id="13"/>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contained in this Warrant shall affect, limit or impair the rights and remedies of the Holder or its affiliates (x) in their capacity as a lender, creditor, or similar, as applicable, to the Company or any of its subsidiaries or affiliates, or (y) pursuant to any other agreements or instruments entered into by the Holder (or its affiliates) and the Company or any of its subsidiaries or affiliates. Without limiting the generality of the foregoing, neither the Administrative Agent (as defined in the Loan Agreement) nor any of its affiliates, in exercising their rights as lenders will have any duty to consider (i) its (or its affiliates’) status as a direct or indirect shareholder of the Company and its subsidiaries, (ii) its (or its affiliates’) direct or indirect ownership of the Shares of the Company or any of its subsidiaries, or (iii) any duty it (or its affiliates) may have to any other direct or indirect shareholders of the Company and its subsidiaries, except as may be required under the applicable loan documents.</w:t>
      </w:r>
    </w:p>
    <w:p>
      <w:pPr>
        <w:spacing w:after="0" w:line="19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 Without limiting the generality of the foregoing, the Company (x) will not increase the par value of any the Shares above the then-applicable Warrant Price, (y) will take all such action as may be necessary or appropriate in order that the Company may validly and legally issue fully paid and nonassessable Shares upon the exercise of this Warrant, and (z) will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Warrant and shall not affect the interpretation thereof.</w:t>
      </w:r>
    </w:p>
    <w:p>
      <w:pPr>
        <w:spacing w:after="0" w:line="22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or other document required or permitted to be given or delivered to the Holder or the Company shall be delivered through email, or shall be sent by certified or registered mail, postage prepaid, to the Holder at its address as shown on the books of the Company or to the Company at the address indicated therefor in the first paragraph of this Warrant.</w:t>
      </w:r>
    </w:p>
    <w:p>
      <w:pPr>
        <w:spacing w:after="0" w:line="17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construed and enforced in accordance with, and the rights of the parties shall be governed by, the laws of the State of New York.</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provided herein.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3" w:lineRule="exact"/>
        <w:rPr>
          <w:rFonts w:ascii="Times New Roman" w:cs="Times New Roman" w:eastAsia="Times New Roman" w:hAnsi="Times New Roman"/>
          <w:sz w:val="18"/>
          <w:szCs w:val="18"/>
          <w:color w:val="auto"/>
        </w:rPr>
      </w:pPr>
    </w:p>
    <w:p>
      <w:pPr>
        <w:jc w:val="both"/>
        <w:ind w:left="332" w:hanging="332"/>
        <w:spacing w:after="0" w:line="261"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the Holder from time to time of this Warrant and shall be enforceable by the Holder or holder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duly authorized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30,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DRAGONFLY ENERGY HOLDINGS CORP.</w:t>
      </w:r>
    </w:p>
    <w:p>
      <w:pPr>
        <w:sectPr>
          <w:pgSz w:w="11900" w:h="16838" w:orient="portrait"/>
          <w:cols w:equalWidth="0" w:num="1">
            <w:col w:w="10139"/>
          </w:cols>
          <w:pgMar w:left="320" w:top="688" w:right="1440" w:bottom="1440" w:gutter="0" w:footer="0" w:header="0"/>
        </w:sect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661" w:lineRule="exact"/>
        <w:rPr>
          <w:sz w:val="20"/>
          <w:szCs w:val="20"/>
          <w:color w:val="auto"/>
        </w:rPr>
      </w:pPr>
    </w:p>
    <w:p>
      <w:pPr>
        <w:sectPr>
          <w:pgSz w:w="11900" w:h="16838" w:orient="portrait"/>
          <w:cols w:equalWidth="0" w:num="2">
            <w:col w:w="6120" w:space="80"/>
            <w:col w:w="3939"/>
          </w:cols>
          <w:pgMar w:left="320" w:top="688" w:right="1440" w:bottom="1440" w:gutter="0" w:footer="0" w:header="0"/>
          <w:type w:val="continuous"/>
        </w:sectPr>
      </w:pPr>
    </w:p>
    <w:p>
      <w:pPr>
        <w:spacing w:after="0" w:line="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color w:val="auto"/>
        </w:rPr>
        <w:t>[Signature Page to Penny Warrant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Accepted and Acknowledged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color w:val="auto"/>
        </w:rPr>
        <w:t>[Signature Page to Penny Warrant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Fully Diluted Capitalization of the Company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__________________ Warrants represented by this Warrant Certificate, and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the Shares issuable upon the exercise of such Warrants, and requests that Certificates for such shares shall be issued in the name 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 at the address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______________ Warrants represented by this Warrant Certificate, and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purchase the Shares issuable upon the exercise of such Warrants, </w:t>
      </w:r>
      <w:r>
        <w:rPr>
          <w:rFonts w:ascii="Times New Roman" w:cs="Times New Roman" w:eastAsia="Times New Roman" w:hAnsi="Times New Roman"/>
          <w:sz w:val="18"/>
          <w:szCs w:val="18"/>
          <w:b w:val="1"/>
          <w:bCs w:val="1"/>
          <w:color w:val="auto"/>
        </w:rPr>
        <w:t>using the Cashless Exercise method, resulting in the issuance of</w:t>
      </w:r>
      <w:r>
        <w:rPr>
          <w:rFonts w:ascii="Times New Roman" w:cs="Times New Roman" w:eastAsia="Times New Roman" w:hAnsi="Times New Roman"/>
          <w:sz w:val="18"/>
          <w:szCs w:val="18"/>
          <w:color w:val="auto"/>
        </w:rPr>
        <w:t xml:space="preserve"> 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to the undersigned.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undersigned has calculated the number of Shares to be issued to it in accordance with the following formula set forth in Section 1(d)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 the Fair Market Value of one Share is $[ ], being the [average closing price or last sale price of the Shares reported for the five (5) business days prior to the applicable date of determination][last sale price of the Shares for the business day immediately prior to the applicable date of determination]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requests that Certificates for such shares shall be issued in the name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 AND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TRANSFER</w:t>
      </w:r>
    </w:p>
    <w:p>
      <w:pPr>
        <w:spacing w:after="0" w:line="229" w:lineRule="exact"/>
        <w:rPr>
          <w:sz w:val="20"/>
          <w:szCs w:val="20"/>
          <w:color w:val="auto"/>
        </w:rPr>
      </w:pPr>
    </w:p>
    <w:p>
      <w:pPr>
        <w:ind w:right="4460" w:firstLine="1610"/>
        <w:spacing w:after="0" w:line="498" w:lineRule="auto"/>
        <w:rPr>
          <w:sz w:val="20"/>
          <w:szCs w:val="20"/>
          <w:color w:val="auto"/>
        </w:rPr>
      </w:pPr>
      <w:r>
        <w:rPr>
          <w:rFonts w:ascii="Times New Roman" w:cs="Times New Roman" w:eastAsia="Times New Roman" w:hAnsi="Times New Roman"/>
          <w:sz w:val="18"/>
          <w:szCs w:val="18"/>
          <w:color w:val="auto"/>
        </w:rPr>
        <w:t>To Be Executed by the Registered Holder in Order to Transfer Warrants For Value Received, _____________ hereby sell, assign, and transfer unto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07" w:lineRule="exact"/>
        <w:rPr>
          <w:sz w:val="20"/>
          <w:szCs w:val="20"/>
          <w:color w:val="auto"/>
        </w:rPr>
      </w:pPr>
    </w:p>
    <w:p>
      <w:pPr>
        <w:spacing w:after="0"/>
        <w:tabs>
          <w:tab w:leader="none" w:pos="2320" w:val="left"/>
          <w:tab w:leader="none" w:pos="2640" w:val="left"/>
          <w:tab w:leader="none" w:pos="3020" w:val="left"/>
          <w:tab w:leader="none" w:pos="3820" w:val="left"/>
          <w:tab w:leader="none" w:pos="4820" w:val="left"/>
          <w:tab w:leader="none" w:pos="5160" w:val="left"/>
          <w:tab w:leader="none" w:pos="5600" w:val="left"/>
          <w:tab w:leader="none" w:pos="6340" w:val="left"/>
          <w:tab w:leader="none" w:pos="7300" w:val="left"/>
          <w:tab w:leader="none" w:pos="7740" w:val="left"/>
          <w:tab w:leader="none" w:pos="8400" w:val="left"/>
          <w:tab w:leader="none" w:pos="9380" w:val="left"/>
          <w:tab w:leader="none" w:pos="10240" w:val="left"/>
          <w:tab w:leader="none" w:pos="10660" w:val="left"/>
        </w:tabs>
        <w:rPr>
          <w:sz w:val="20"/>
          <w:szCs w:val="20"/>
          <w:color w:val="auto"/>
        </w:rPr>
      </w:pPr>
      <w:r>
        <w:rPr>
          <w:rFonts w:ascii="Times New Roman" w:cs="Times New Roman" w:eastAsia="Times New Roman" w:hAnsi="Times New Roman"/>
          <w:sz w:val="18"/>
          <w:szCs w:val="18"/>
          <w:color w:val="auto"/>
        </w:rPr>
        <w:t>________________________</w:t>
        <w:tab/>
        <w:t>of</w:t>
        <w:tab/>
        <w:t>the</w:t>
        <w:tab/>
        <w:t>Warrants</w:t>
        <w:tab/>
        <w:t>represented</w:t>
        <w:tab/>
        <w:t>by</w:t>
        <w:tab/>
        <w:t>this</w:t>
        <w:tab/>
        <w:t>Warrant</w:t>
        <w:tab/>
        <w:t>Certificate,</w:t>
        <w:tab/>
        <w:t>and</w:t>
        <w:tab/>
        <w:t>hereby</w:t>
        <w:tab/>
        <w:t>irrevocably</w:t>
        <w:tab/>
        <w:t>constitute</w:t>
        <w:tab/>
        <w:t>and</w:t>
        <w:tab/>
        <w:t>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 Attorney to transfer this Warrant Certificate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signature to the assignment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ubscription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 must correspond to the name written upon the face of this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 in every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particular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without alteration or enlargement or any change whatsoever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and must be guaranteed by a commercial bank or trust company or a member firm of the </w:t>
      </w:r>
      <w:r>
        <w:rPr>
          <w:rFonts w:ascii="Times New Roman" w:cs="Times New Roman" w:eastAsia="Times New Roman" w:hAnsi="Times New Roman"/>
          <w:sz w:val="17"/>
          <w:szCs w:val="17"/>
          <w:color w:val="auto"/>
        </w:rPr>
        <w:t>NYSE A</w:t>
      </w:r>
      <w:r>
        <w:rPr>
          <w:rFonts w:ascii="Times New Roman" w:cs="Times New Roman" w:eastAsia="Times New Roman" w:hAnsi="Times New Roman"/>
          <w:sz w:val="12"/>
          <w:szCs w:val="12"/>
          <w:color w:val="auto"/>
        </w:rPr>
        <w:t>merican</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asdaq</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 xml:space="preserve">ew </w:t>
      </w:r>
      <w:r>
        <w:rPr>
          <w:rFonts w:ascii="Times New Roman" w:cs="Times New Roman" w:eastAsia="Times New Roman" w:hAnsi="Times New Roman"/>
          <w:sz w:val="17"/>
          <w:szCs w:val="17"/>
          <w:color w:val="auto"/>
        </w:rPr>
        <w:t>Y</w:t>
      </w:r>
      <w:r>
        <w:rPr>
          <w:rFonts w:ascii="Times New Roman" w:cs="Times New Roman" w:eastAsia="Times New Roman" w:hAnsi="Times New Roman"/>
          <w:sz w:val="12"/>
          <w:szCs w:val="12"/>
          <w:color w:val="auto"/>
        </w:rPr>
        <w:t xml:space="preserve">ork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 P</w:t>
      </w:r>
      <w:r>
        <w:rPr>
          <w:rFonts w:ascii="Times New Roman" w:cs="Times New Roman" w:eastAsia="Times New Roman" w:hAnsi="Times New Roman"/>
          <w:sz w:val="12"/>
          <w:szCs w:val="12"/>
          <w:color w:val="auto"/>
        </w:rPr>
        <w:t xml:space="preserve">acific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7"/>
          <w:szCs w:val="17"/>
          <w:color w:val="auto"/>
        </w:rPr>
        <w:t>C</w:t>
      </w:r>
      <w:r>
        <w:rPr>
          <w:rFonts w:ascii="Times New Roman" w:cs="Times New Roman" w:eastAsia="Times New Roman" w:hAnsi="Times New Roman"/>
          <w:sz w:val="12"/>
          <w:szCs w:val="12"/>
          <w:color w:val="auto"/>
        </w:rPr>
        <w:t xml:space="preserve">hicago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WAIVER AND THIRD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LOAN, GUARANTEE AND SECURITY AGREEMENT</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LIMITED WAIVER AND THIRD AMENDMENT TO TERM LOAN, GUARANTEE AND SECURITY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September 30, 2024, by and among DRAGONFLY ENERGY CORP.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DRAGONFLY ENERGY HOLDINGS CORP. (F/K/A CHARDAN NEXTECH ACQUISITION 2 CORP)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BATTLE BORN BATTERY PRODUCTS, LLC (“</w:t>
      </w:r>
      <w:r>
        <w:rPr>
          <w:rFonts w:ascii="Times New Roman" w:cs="Times New Roman" w:eastAsia="Times New Roman" w:hAnsi="Times New Roman"/>
          <w:sz w:val="18"/>
          <w:szCs w:val="18"/>
          <w:u w:val="single" w:color="auto"/>
          <w:color w:val="auto"/>
        </w:rPr>
        <w:t>Battle Born</w:t>
      </w:r>
      <w:r>
        <w:rPr>
          <w:rFonts w:ascii="Times New Roman" w:cs="Times New Roman" w:eastAsia="Times New Roman" w:hAnsi="Times New Roman"/>
          <w:sz w:val="18"/>
          <w:szCs w:val="18"/>
          <w:color w:val="auto"/>
        </w:rPr>
        <w:t>”, and together with Holdings,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the Lenders signatory hereto (the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and ALTER DOMUS (US) LLC, as agent on behalf of the Lenders under the Loan Agreement (as hereinafter defined)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Borrower, Holdings, the Required Lenders and the Agent are parties to that certain Term Loan, Guarantee and Security Agreement, dated as of October 7, 2022 (as amended by that certain Limited Waiver and First Amendment to Term Loan, Guarantee and Security Agreement, dated as of June 28, 2024, that certain Limited Waiver, Consent and Second Amendment to Term Loan, Guarantee and Security Agreement, dated as of July 29, 2024, and as may be further amended, modified, extended, restated, replaced, and/or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Loan Agreement, the Credit Parties are required to measure the Senior Leverage Ratio as of the last day of the Fiscal Quarter ending September 30, 2024 (the “</w:t>
      </w:r>
      <w:r>
        <w:rPr>
          <w:rFonts w:ascii="Times New Roman" w:cs="Times New Roman" w:eastAsia="Times New Roman" w:hAnsi="Times New Roman"/>
          <w:sz w:val="18"/>
          <w:szCs w:val="18"/>
          <w:u w:val="single" w:color="auto"/>
          <w:color w:val="auto"/>
        </w:rPr>
        <w:t>Senior Leverage Ratio Test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Loan Agreement, the Credit Parties are required to measure the Fixed Charge Coverage Ratio for the trailing four (4) Fiscal Quarter period ending on September 30, 2024 if Liquidity is less than $15,000,000 as of the last day of the Fiscal Quarter ending September 30, 2024 (the “</w:t>
      </w:r>
      <w:r>
        <w:rPr>
          <w:rFonts w:ascii="Times New Roman" w:cs="Times New Roman" w:eastAsia="Times New Roman" w:hAnsi="Times New Roman"/>
          <w:sz w:val="18"/>
          <w:szCs w:val="18"/>
          <w:u w:val="single" w:color="auto"/>
          <w:color w:val="auto"/>
        </w:rPr>
        <w:t>Fixed Charge Coverage Ratio Test</w:t>
      </w:r>
      <w:r>
        <w:rPr>
          <w:rFonts w:ascii="Times New Roman" w:cs="Times New Roman" w:eastAsia="Times New Roman" w:hAnsi="Times New Roman"/>
          <w:sz w:val="18"/>
          <w:szCs w:val="18"/>
          <w:color w:val="auto"/>
        </w:rPr>
        <w:t>” and together with the Senior Leverage Ratio Test, the “</w:t>
      </w:r>
      <w:r>
        <w:rPr>
          <w:rFonts w:ascii="Times New Roman" w:cs="Times New Roman" w:eastAsia="Times New Roman" w:hAnsi="Times New Roman"/>
          <w:sz w:val="18"/>
          <w:szCs w:val="18"/>
          <w:u w:val="single" w:color="auto"/>
          <w:color w:val="auto"/>
        </w:rPr>
        <w:t>Tests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Credit Parties have requested that the Agent and the Required Lenders (i) waive the Tests for the Fiscal Quarter ending September 30, 2024 and (ii) amend certain provisions of the Loan Agreement and, subject to the satisfaction of the conditions set forth below, each of the Agent and the Required Lenders are willing to waive the Tests for the Fiscal Quarter ending September 30, 2024 and amend the Loan Agreement on the terms set forth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Credit Parties, the Required Lenders and the Agent each hereby agrees as follows:</w:t>
      </w:r>
    </w:p>
    <w:p>
      <w:pPr>
        <w:spacing w:after="0" w:line="225" w:lineRule="exact"/>
        <w:rPr>
          <w:sz w:val="20"/>
          <w:szCs w:val="20"/>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All terms used but not otherwise defined herein have the meanings assigned to them in the Loan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Waiver</w:t>
      </w:r>
      <w:r>
        <w:rPr>
          <w:rFonts w:ascii="Times New Roman" w:cs="Times New Roman" w:eastAsia="Times New Roman" w:hAnsi="Times New Roman"/>
          <w:sz w:val="18"/>
          <w:szCs w:val="18"/>
          <w:color w:val="auto"/>
        </w:rPr>
        <w:t xml:space="preserve">. Subject to the satisfaction of the conditions to effectiveness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each of the Agent (acting at the direction of the Required Lenders) and the Required Lenders hereby waives the Tests for the Fiscal Quarter ending September 30,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is applicable only to the Tests for the Fiscal Quarter ending September 30, 2024 and to no other current or prospective financial covenants under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left="-20" w:firstLine="656"/>
        <w:spacing w:after="0" w:line="282" w:lineRule="auto"/>
        <w:tabs>
          <w:tab w:leader="none" w:pos="8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Loan Agreement</w:t>
      </w:r>
      <w:r>
        <w:rPr>
          <w:rFonts w:ascii="Times New Roman" w:cs="Times New Roman" w:eastAsia="Times New Roman" w:hAnsi="Times New Roman"/>
          <w:sz w:val="18"/>
          <w:szCs w:val="18"/>
          <w:color w:val="auto"/>
        </w:rPr>
        <w:t xml:space="preserve">. Subject to the satisfaction of the conditions to effectiveness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the Loan Agreement is hereby amended as of the date hereof as follows:</w:t>
      </w:r>
    </w:p>
    <w:p>
      <w:pPr>
        <w:spacing w:after="0" w:line="162" w:lineRule="exact"/>
        <w:rPr>
          <w:sz w:val="20"/>
          <w:szCs w:val="20"/>
          <w:color w:val="auto"/>
        </w:rPr>
      </w:pPr>
    </w:p>
    <w:p>
      <w:pPr>
        <w:ind w:left="880" w:hanging="244"/>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(Interest) shall be amended by amending and restating clause (b) thereof to read as follows:</w:t>
      </w:r>
    </w:p>
    <w:p>
      <w:pPr>
        <w:spacing w:after="0" w:line="225" w:lineRule="exact"/>
        <w:rPr>
          <w:rFonts w:ascii="Times New Roman" w:cs="Times New Roman" w:eastAsia="Times New Roman" w:hAnsi="Times New Roman"/>
          <w:sz w:val="18"/>
          <w:szCs w:val="18"/>
          <w:color w:val="auto"/>
        </w:rPr>
      </w:pPr>
    </w:p>
    <w:p>
      <w:pPr>
        <w:jc w:val="both"/>
        <w:ind w:left="1280" w:right="1300" w:firstLine="652"/>
        <w:spacing w:after="0" w:line="252" w:lineRule="auto"/>
        <w:tabs>
          <w:tab w:leader="none" w:pos="219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pay interest to Agent for the pro rata benefit of the Lenders on the outstanding balance of the Loan on a quarterly basis. Interest shall be payable on the balance of the Loan (i) quarterly in arrears and shall be due on the first Business Day of each Fiscal Quarter, (ii) on the Maturity Date of the Loan, and (iii) if any interest accrues or remains payable after the Maturity Date of the Loan, upon demand by Agent. For each Payment Date from the Closing Date until and including October 1, 2024 (other than the Payment Dates occurring on July 1, 2024 and October 1, 2024 which are governed by the provided clauses at the end of this sentence), interest shall be payable partly in cash and payable partly in-kind at a rate per annum equal to Adjusted Term SOFR </w:t>
      </w:r>
      <w:r>
        <w:rPr>
          <w:rFonts w:ascii="Times New Roman" w:cs="Times New Roman" w:eastAsia="Times New Roman" w:hAnsi="Times New Roman"/>
          <w:sz w:val="18"/>
          <w:szCs w:val="18"/>
          <w:i w:val="1"/>
          <w:iCs w:val="1"/>
          <w:color w:val="auto"/>
        </w:rPr>
        <w:t>plus the Applicable Margin,</w:t>
      </w:r>
      <w:r>
        <w:rPr>
          <w:rFonts w:ascii="Times New Roman" w:cs="Times New Roman" w:eastAsia="Times New Roman" w:hAnsi="Times New Roman"/>
          <w:sz w:val="18"/>
          <w:szCs w:val="18"/>
          <w:color w:val="auto"/>
        </w:rPr>
        <w:t xml:space="preserve"> with the portion payable in-kind at the Applicable PIK Rate which shall be capitalized, compounded and thereby increase the outstanding principal amount of the Loan on a quarterly basis on each such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in the case of the Payment Date occurring on July 1, 2024, all interest payable on such Payment Date shall be payable in-kind at a per annum rate equal to Adjusted Term SOFR </w:t>
      </w:r>
      <w:r>
        <w:rPr>
          <w:rFonts w:ascii="Times New Roman" w:cs="Times New Roman" w:eastAsia="Times New Roman" w:hAnsi="Times New Roman"/>
          <w:sz w:val="18"/>
          <w:szCs w:val="18"/>
          <w:i w:val="1"/>
          <w:iCs w:val="1"/>
          <w:color w:val="auto"/>
        </w:rPr>
        <w:t>plus the Applicable Margin</w:t>
      </w:r>
      <w:r>
        <w:rPr>
          <w:rFonts w:ascii="Times New Roman" w:cs="Times New Roman" w:eastAsia="Times New Roman" w:hAnsi="Times New Roman"/>
          <w:sz w:val="18"/>
          <w:szCs w:val="18"/>
          <w:color w:val="auto"/>
        </w:rPr>
        <w:t xml:space="preserve"> which shall be capitalized, compounded and thereby increase the outstanding principal amount of the Loan on such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solely in the case of the Payment Date occurring on October 1, 2024, interest shall be payable in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payable in- kind as follows: (x) $1,500,000 shall be paid in cash for the pro rata benefit of the Lenders on the outstanding balance of the Loan on a quarterly basis and (y) all remaining interest shall be payable in-kind which shall be capitalized, compounded and thereby increase the outstanding principal amount of the Loan on a quarterly basis on such Payment Date. For each Payment Date occurring on and after January 1, 2025 (for the avoidance of doubt, including all interest accruing for the period beginning October 1, 2024 and ending December 31, 2024), all interest shall be payable in cash at a rate per annum equal to Adjusted Term SOFR </w:t>
      </w:r>
      <w:r>
        <w:rPr>
          <w:rFonts w:ascii="Times New Roman" w:cs="Times New Roman" w:eastAsia="Times New Roman" w:hAnsi="Times New Roman"/>
          <w:sz w:val="18"/>
          <w:szCs w:val="18"/>
          <w:i w:val="1"/>
          <w:iCs w:val="1"/>
          <w:color w:val="auto"/>
        </w:rPr>
        <w:t>plus the Applicable Margin.</w:t>
      </w:r>
    </w:p>
    <w:p>
      <w:pPr>
        <w:spacing w:after="0" w:line="190"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 (Financial Covenants) shall be amended by amending and restating clause (b) thereof to read as follows:</w:t>
      </w:r>
    </w:p>
    <w:p>
      <w:pPr>
        <w:spacing w:after="0" w:line="225" w:lineRule="exact"/>
        <w:rPr>
          <w:rFonts w:ascii="Times New Roman" w:cs="Times New Roman" w:eastAsia="Times New Roman" w:hAnsi="Times New Roman"/>
          <w:sz w:val="18"/>
          <w:szCs w:val="18"/>
          <w:color w:val="auto"/>
        </w:rPr>
      </w:pPr>
    </w:p>
    <w:p>
      <w:pPr>
        <w:jc w:val="both"/>
        <w:ind w:left="1280" w:right="1300" w:firstLine="652"/>
        <w:spacing w:after="0" w:line="261" w:lineRule="auto"/>
        <w:tabs>
          <w:tab w:leader="none" w:pos="218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The Credit Parties shall not permit their Liquidity (determined on a consolidated basis) to be less than (i) $3,500,000 as of the last day of the Fiscal Month ending June 30, 2024, (ii) $7,000,000 as of the last day of the Fiscal Month ending September 30, 2024 and (iii) $10,000,000 as of the last day of each Fiscal Month thereafter (commencing with the Fiscal Month ending July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22" w:name="page23"/>
    <w:bookmarkEnd w:id="22"/>
    <w:p>
      <w:pPr>
        <w:ind w:firstLine="656"/>
        <w:spacing w:after="0" w:line="282" w:lineRule="auto"/>
        <w:tabs>
          <w:tab w:leader="none" w:pos="8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upon the satisfaction of the below:</w:t>
      </w:r>
    </w:p>
    <w:p>
      <w:pPr>
        <w:spacing w:after="0" w:line="162" w:lineRule="exact"/>
        <w:rPr>
          <w:sz w:val="20"/>
          <w:szCs w:val="20"/>
          <w:color w:val="auto"/>
        </w:rPr>
      </w:pPr>
    </w:p>
    <w:p>
      <w:pPr>
        <w:ind w:left="900" w:hanging="244"/>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Amendment shall have been executed and delivered by the Credit Parties, the Agent and the Required Lenders;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have issued to the Lenders, on or about the date of this Amendment, penny warrants exercisable to purchase 3,000,000 shares of Holdings’ common stock, which penny warrants shall be in form and substance satisfactory to the Lenders;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the legal fees and expenses of Chapman and Cutler LLP, counsel for the Required Lenders, incurred in connection with the preparation, negotiation, execution and delivery of this Amendment and other services rendered in connection with the Loan Agreement prior to the date hereof;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invoiced prior to execution of this Amendment, the Borrower shall have paid the legal fees and expenses of Holland &amp; Knight LLP, counsel for the Agent, incurred in connection with the preparation, negotiation, execution and delivery of this Amendment and other services rendered in connection with the Loan Agreement prior to the date hereof.</w:t>
      </w:r>
    </w:p>
    <w:p>
      <w:pPr>
        <w:spacing w:after="0" w:line="176" w:lineRule="exact"/>
        <w:rPr>
          <w:sz w:val="20"/>
          <w:szCs w:val="20"/>
          <w:color w:val="auto"/>
        </w:rPr>
      </w:pPr>
    </w:p>
    <w:p>
      <w:pPr>
        <w:ind w:left="840" w:hanging="184"/>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9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Amendment, the representations and warranties contained in the Loan Agreement are true and correct in all material respects on and as of the date hereof as if such representations and warranties had been made on and as of the date hereof (except to the extent that any such representations and warranties specifically relate to an earlier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Amendment, no Default or Event of Default will have occurred and be continuing on and as of the Effective Date.</w:t>
      </w:r>
    </w:p>
    <w:p>
      <w:pPr>
        <w:spacing w:after="0" w:line="162" w:lineRule="exact"/>
        <w:rPr>
          <w:sz w:val="20"/>
          <w:szCs w:val="20"/>
          <w:color w:val="auto"/>
        </w:rPr>
      </w:pPr>
    </w:p>
    <w:p>
      <w:pPr>
        <w:jc w:val="both"/>
        <w:ind w:firstLine="656"/>
        <w:spacing w:after="0" w:line="266" w:lineRule="auto"/>
        <w:tabs>
          <w:tab w:leader="none" w:pos="8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Credit Parties shall deliver to the Lenders (or their counsel) by no later than October 14, 2024, original, wet ink signed pages (signed by Holdings) to the warrants referred to in Section 3(b) above. It shall be an immediate Event of Default under the Loan Agreement if the Lenders (or their counsel) have not received such signed pages by October 14, 2024.</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This Amendment is designated a Loan Document by the Agent.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Except as expressly set forth herein, nothing contained herein shall be deemed to constitute a waiver of compliance with any term or condition contained in the Loan Agreement or any of the other Loan Documents. Except as expressly amended hereby, the Loan Agreement shall continue unmodified and in full force and effect in accordance with the provisions thereof on the date hereof. This Amendment shall be limited precisely as drafted and shall not imply an obligation on the Agent or any Lender to consent to any matter on any future occasion. As used in the Loan Agreement, the terms “Agreement,” “this Agreement,” “this Loan Agreement,” “herein,” “hereafter,” “hereto,” “hereof” and words of similar import shall mean, unless the context otherwise requires, the Loan Agreement as modified by this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right="20" w:firstLine="656"/>
        <w:spacing w:after="0" w:line="262" w:lineRule="auto"/>
        <w:tabs>
          <w:tab w:leader="none" w:pos="8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b w:val="1"/>
          <w:bCs w:val="1"/>
          <w:color w:val="auto"/>
        </w:rPr>
        <w:t>. THIS AMENDMENT SHALL IN ALL RESPECTS BE CONSTRUED IN ACCORDANCE WITH, AND GOVERNED BY, THE LAWS OF THE STATE OF NEW YORK WHICH ARE APPLICABLE TO CONTRACTS MADE AND TO BE PERFORMED WHOLLY WITHIN SUCH STATE WITHOUT REGARD TO ANY PRINCIPLES OF CONFLICTS OF LAW THAT WOULD RESULT IN THE APPLICATION OF THE LAWS OF ANOTHER JURISDICTION.</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shall constitute an original, but all of which when taken together shall constitute but one instrument. Counterparts may be delivered via facsimile, electronic mail (including pdf) or other transmission method and any counterpart so delivered shall be deemed to be as effective as an original signature page delivered manually.</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Amendment are for the purposes of reference only and shall not affect the construction of this Amendment.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Amendment shall be binding upon and inure to the benefit of the parties hereto and their respective successors and assigns; provided that none of the Credit Parties may assign or transfer any of its rights or obligations under this Amendment without the prior written consent of the Agent.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illegality or unenforceability of any provision of this Amendment or any instrument or agreement required hereunder shall not in any way affect or impair the legality or enforceability of the remaining provisions of this Amendment or any instrument or agreement required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consideration of the Required Lenders’ and the Agent’s agreements contained in this Amendment, the Borrower and Guarantor hereby irrevocably release and forever discharge the Lenders and the Agent and their affiliates, subsidiaries, successors, assigns, directors, officers, employees, agents, consultants and attorneys (each, a “</w:t>
      </w:r>
      <w:r>
        <w:rPr>
          <w:rFonts w:ascii="Times New Roman" w:cs="Times New Roman" w:eastAsia="Times New Roman" w:hAnsi="Times New Roman"/>
          <w:sz w:val="18"/>
          <w:szCs w:val="18"/>
          <w:u w:val="single" w:color="auto"/>
          <w:color w:val="auto"/>
        </w:rPr>
        <w:t>Released Person</w:t>
      </w:r>
      <w:r>
        <w:rPr>
          <w:rFonts w:ascii="Times New Roman" w:cs="Times New Roman" w:eastAsia="Times New Roman" w:hAnsi="Times New Roman"/>
          <w:sz w:val="18"/>
          <w:szCs w:val="18"/>
          <w:color w:val="auto"/>
        </w:rPr>
        <w:t>”) of and from any and all claims, suits, actions, investigations, proceedings or demands, whether based in contract, tort, implied or express warranty, strict liability, criminal or civil statute or common law of any kind or character, known or unknown, which such Borrower and Guarantor ever had or now has against Agent, any Lender or any other Released Person which relates, directly or indirectly, to any acts or omissions of Agent, any Lender or any other Released Person relating to the Loan Agreement or any other Loan Document on or prior to the date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of the Credit Parties as debtor, grantor, pledgor, guarantor, assignor, or in other any other similar capacity in which such Credit Party grants liens or security interests in its property or otherwise acts as accommodation party or guarantor, as the case may be, hereby (i) ratifies and reaffirms all of its payment and performance obligations, contingent or otherwise, under each of the Loan Documents to which it is a party (after giving effect hereto) and (ii) to the extent such Credit Party granted liens on or security interests in any of its property pursuant to any such Loan Document as security for or otherwise guaranteed the Borrower’s Obligations under or with respect to the Loan Documents, ratifies and reaffirms such guarantee and grant of security interests and liens and confirms and agrees that such security interests and liens hereafter secure all of the Obligations as amended hereby. Each of the Credit Parties hereby consents to this Amendment and acknowledges that each of the Loan Documents remains in full force and effect and is hereby ratified and reaffirmed. The execution of this Amendment shall not operate as a waiver of any right, power or remedy of the Agent or Lenders, constitute a waiver of any provision of any of the Loan Documents or serve to effect a novation of the Obligations.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Each of the Required Lenders, by their execution of this Amendment, hereby directs the Agent to execute this Amendment. In doing so, the Agent shall be entitled to all of its rights, benefits and protections set forth in the Loan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Limited Waiver to be duly executed by their duly authorized officers, all as of the date and year first above written.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A0A0A"/>
              </w:rPr>
              <w:t>BORROWER:</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DRAGONFLY ENERGY CORP</w:t>
            </w:r>
            <w:r>
              <w:rPr>
                <w:rFonts w:ascii="Times New Roman" w:cs="Times New Roman" w:eastAsia="Times New Roman" w:hAnsi="Times New Roman"/>
                <w:sz w:val="18"/>
                <w:szCs w:val="18"/>
                <w:b w:val="1"/>
                <w:bCs w:val="1"/>
                <w:color w:val="0A0A0A"/>
              </w:rPr>
              <w:t>.</w:t>
            </w:r>
          </w:p>
        </w:tc>
      </w:tr>
      <w:tr>
        <w:trPr>
          <w:trHeight w:val="453"/>
        </w:trPr>
        <w:tc>
          <w:tcPr>
            <w:tcW w:w="700" w:type="dxa"/>
            <w:vAlign w:val="bottom"/>
            <w:tcBorders>
              <w:top w:val="single" w:sz="8" w:color="0A0A0A"/>
            </w:tcBorders>
          </w:tcPr>
          <w:p>
            <w:pPr>
              <w:spacing w:after="0"/>
              <w:rPr>
                <w:sz w:val="24"/>
                <w:szCs w:val="24"/>
                <w:color w:val="auto"/>
              </w:rPr>
            </w:pPr>
          </w:p>
        </w:tc>
        <w:tc>
          <w:tcPr>
            <w:tcW w:w="400" w:type="dxa"/>
            <w:vAlign w:val="bottom"/>
            <w:tcBorders>
              <w:top w:val="single" w:sz="8" w:color="0A0A0A"/>
            </w:tcBorders>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0A0A0A"/>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Dominic Sinnott</w:t>
            </w:r>
          </w:p>
        </w:tc>
      </w:tr>
      <w:tr>
        <w:trPr>
          <w:trHeight w:val="191"/>
        </w:trPr>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Dominic Sinnott</w:t>
            </w:r>
          </w:p>
        </w:tc>
      </w:tr>
      <w:tr>
        <w:trPr>
          <w:trHeight w:val="234"/>
        </w:trPr>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392"/>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A0A0A"/>
              </w:rPr>
              <w:t>GUARANTORS:</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DRAGONFLY ENERGY HOLDINGS CORP. (F/K/A</w:t>
            </w:r>
          </w:p>
        </w:tc>
      </w:tr>
      <w:tr>
        <w:trPr>
          <w:trHeight w:val="237"/>
        </w:trPr>
        <w:tc>
          <w:tcPr>
            <w:tcW w:w="700" w:type="dxa"/>
            <w:vAlign w:val="bottom"/>
            <w:tcBorders>
              <w:top w:val="single" w:sz="8" w:color="0A0A0A"/>
            </w:tcBorders>
          </w:tcPr>
          <w:p>
            <w:pPr>
              <w:spacing w:after="0"/>
              <w:rPr>
                <w:sz w:val="20"/>
                <w:szCs w:val="20"/>
                <w:color w:val="auto"/>
              </w:rPr>
            </w:pPr>
          </w:p>
        </w:tc>
        <w:tc>
          <w:tcPr>
            <w:tcW w:w="400" w:type="dxa"/>
            <w:vAlign w:val="bottom"/>
            <w:tcBorders>
              <w:top w:val="single" w:sz="8" w:color="0A0A0A"/>
            </w:tcBorders>
          </w:tcPr>
          <w:p>
            <w:pPr>
              <w:spacing w:after="0"/>
              <w:rPr>
                <w:sz w:val="20"/>
                <w:szCs w:val="20"/>
                <w:color w:val="auto"/>
              </w:rPr>
            </w:pPr>
          </w:p>
        </w:tc>
        <w:tc>
          <w:tcPr>
            <w:tcW w:w="180" w:type="dxa"/>
            <w:vAlign w:val="bottom"/>
            <w:tcBorders>
              <w:top w:val="single" w:sz="8" w:color="0A0A0A"/>
            </w:tcBorders>
          </w:tcPr>
          <w:p>
            <w:pPr>
              <w:spacing w:after="0"/>
              <w:rPr>
                <w:sz w:val="20"/>
                <w:szCs w:val="20"/>
                <w:color w:val="auto"/>
              </w:rPr>
            </w:pPr>
          </w:p>
        </w:tc>
        <w:tc>
          <w:tcPr>
            <w:tcW w:w="222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tc>
      </w:tr>
      <w:tr>
        <w:trPr>
          <w:trHeight w:val="432"/>
        </w:trPr>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0A0A0A"/>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Dominic Sinnott</w:t>
            </w:r>
          </w:p>
        </w:tc>
      </w:tr>
      <w:tr>
        <w:trPr>
          <w:trHeight w:val="191"/>
        </w:trPr>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Dominic Sinnott</w:t>
            </w:r>
          </w:p>
        </w:tc>
      </w:tr>
      <w:tr>
        <w:trPr>
          <w:trHeight w:val="234"/>
        </w:trPr>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432"/>
        </w:trPr>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BATTLE BORN BATTERY PRODUCTS, LLC</w:t>
            </w:r>
          </w:p>
        </w:tc>
      </w:tr>
      <w:tr>
        <w:trPr>
          <w:trHeight w:val="432"/>
        </w:trPr>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0A0A0A"/>
              </w:rPr>
              <w:t>By</w:t>
            </w:r>
            <w:r>
              <w:rPr>
                <w:rFonts w:ascii="Times New Roman" w:cs="Times New Roman" w:eastAsia="Times New Roman" w:hAnsi="Times New Roman"/>
                <w:sz w:val="18"/>
                <w:szCs w:val="18"/>
                <w:color w:val="000000"/>
              </w:rPr>
              <w:t>:</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Dominic Sinnott</w:t>
            </w:r>
          </w:p>
        </w:tc>
      </w:tr>
      <w:tr>
        <w:trPr>
          <w:trHeight w:val="191"/>
        </w:trPr>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Dominic Sinnott</w:t>
            </w:r>
          </w:p>
        </w:tc>
      </w:tr>
      <w:tr>
        <w:trPr>
          <w:trHeight w:val="234"/>
        </w:trPr>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391"/>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AGENT:</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ALTER DOMUS (US) LLC</w:t>
            </w:r>
          </w:p>
        </w:tc>
      </w:tr>
      <w:tr>
        <w:trPr>
          <w:trHeight w:val="453"/>
        </w:trPr>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Pinju Chiu</w:t>
            </w:r>
          </w:p>
        </w:tc>
      </w:tr>
      <w:tr>
        <w:trPr>
          <w:trHeight w:val="191"/>
        </w:trPr>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Pinju Chiu</w:t>
            </w:r>
          </w:p>
        </w:tc>
      </w:tr>
      <w:tr>
        <w:trPr>
          <w:trHeight w:val="234"/>
        </w:trPr>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Associate Counsel</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LIMITED WAIVER AND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A0A0A"/>
              </w:rPr>
              <w:t>LENDERS:</w:t>
            </w: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0A0A0A"/>
              </w:rPr>
              <w:t>ENERGY IMPACT CREDIT FUND I LP</w:t>
            </w:r>
          </w:p>
        </w:tc>
      </w:tr>
      <w:tr>
        <w:trPr>
          <w:trHeight w:val="453"/>
        </w:trPr>
        <w:tc>
          <w:tcPr>
            <w:tcW w:w="860" w:type="dxa"/>
            <w:vAlign w:val="bottom"/>
            <w:tcBorders>
              <w:top w:val="single" w:sz="8" w:color="0A0A0A"/>
            </w:tcBorders>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Energy Impact Credit Fund I GP LLC, its general partner</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0A0A0A"/>
              </w:rPr>
              <w:t>By</w:t>
            </w:r>
            <w:r>
              <w:rPr>
                <w:rFonts w:ascii="Times New Roman" w:cs="Times New Roman" w:eastAsia="Times New Roman" w:hAnsi="Times New Roman"/>
                <w:sz w:val="18"/>
                <w:szCs w:val="18"/>
                <w:color w:val="000000"/>
              </w:rPr>
              <w:t>:</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Harry Giovani</w:t>
            </w:r>
          </w:p>
        </w:tc>
      </w:tr>
      <w:tr>
        <w:trPr>
          <w:trHeight w:val="191"/>
        </w:trPr>
        <w:tc>
          <w:tcPr>
            <w:tcW w:w="8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920" w:type="dxa"/>
            <w:vAlign w:val="bottom"/>
          </w:tcPr>
          <w:p>
            <w:pPr>
              <w:ind w:left="23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Harry Giovani</w:t>
            </w:r>
          </w:p>
        </w:tc>
      </w:tr>
      <w:tr>
        <w:trPr>
          <w:trHeight w:val="234"/>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0A0A0A"/>
              </w:rPr>
              <w:t>ENERGY IMPACT CREDIT FUND II LP</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Energy Impact Credit Fund II GP LLC, its general partner</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0A0A0A"/>
              </w:rPr>
              <w:t>By</w:t>
            </w:r>
            <w:r>
              <w:rPr>
                <w:rFonts w:ascii="Times New Roman" w:cs="Times New Roman" w:eastAsia="Times New Roman" w:hAnsi="Times New Roman"/>
                <w:sz w:val="18"/>
                <w:szCs w:val="18"/>
                <w:color w:val="000000"/>
              </w:rPr>
              <w:t>:</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Harry Giovani</w:t>
            </w:r>
          </w:p>
        </w:tc>
      </w:tr>
      <w:tr>
        <w:trPr>
          <w:trHeight w:val="191"/>
        </w:trPr>
        <w:tc>
          <w:tcPr>
            <w:tcW w:w="8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920" w:type="dxa"/>
            <w:vAlign w:val="bottom"/>
          </w:tcPr>
          <w:p>
            <w:pPr>
              <w:ind w:left="23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Harry Giovani</w:t>
            </w:r>
          </w:p>
        </w:tc>
      </w:tr>
      <w:tr>
        <w:trPr>
          <w:trHeight w:val="216"/>
        </w:trPr>
        <w:tc>
          <w:tcPr>
            <w:tcW w:w="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Name: Harry Giovani</w:t>
            </w:r>
          </w:p>
        </w:tc>
      </w:tr>
      <w:tr>
        <w:trPr>
          <w:trHeight w:val="234"/>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0A0A0A"/>
              </w:rPr>
              <w:t>BP HOLDINGS XVII LP</w:t>
            </w:r>
          </w:p>
        </w:tc>
      </w:tr>
      <w:tr>
        <w:trPr>
          <w:trHeight w:val="414"/>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BPC AS Cayman LLC, its General Partner</w:t>
            </w:r>
          </w:p>
        </w:tc>
      </w:tr>
      <w:tr>
        <w:trPr>
          <w:trHeight w:val="234"/>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BPC AS LLC, its Manager</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0A0A0A"/>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Haynes</w:t>
            </w:r>
          </w:p>
        </w:tc>
      </w:tr>
      <w:tr>
        <w:trPr>
          <w:trHeight w:val="191"/>
        </w:trPr>
        <w:tc>
          <w:tcPr>
            <w:tcW w:w="8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920" w:type="dxa"/>
            <w:vAlign w:val="bottom"/>
          </w:tcPr>
          <w:p>
            <w:pPr>
              <w:ind w:left="23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Haynes</w:t>
            </w:r>
          </w:p>
        </w:tc>
      </w:tr>
      <w:tr>
        <w:trPr>
          <w:trHeight w:val="234"/>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Portfolio Manager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LIMITED WAIVER AND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lvl w:ilvl="1">
      <w:lvlJc w:val="left"/>
      <w:lvlText w:val="(%2)"/>
      <w:numFmt w:val="lowerLetter"/>
      <w:start w:val="1"/>
    </w:lvl>
  </w:abstractNum>
  <w:abstractNum w:abstractNumId="2">
    <w:nsid w:val="41A7C4C9"/>
    <w:multiLevelType w:val="hybridMultilevel"/>
    <w:lvl w:ilvl="0">
      <w:lvlJc w:val="left"/>
      <w:lvlText w:val="%1"/>
      <w:numFmt w:val="decimal"/>
      <w:start w:val="1"/>
    </w:lvl>
    <w:lvl w:ilvl="1">
      <w:lvlJc w:val="left"/>
      <w:lvlText w:val="(%2)"/>
      <w:numFmt w:val="lowerLetter"/>
      <w:start w:val="4"/>
    </w:lvl>
  </w:abstractNum>
  <w:abstractNum w:abstractNumId="3">
    <w:nsid w:val="6B68079A"/>
    <w:multiLevelType w:val="hybridMultilevel"/>
    <w:lvl w:ilvl="0">
      <w:lvlJc w:val="left"/>
      <w:lvlText w:val="%1."/>
      <w:numFmt w:val="decimal"/>
      <w:start w:val="2"/>
    </w:lvl>
    <w:lvl w:ilvl="1">
      <w:lvlJc w:val="left"/>
      <w:lvlText w:val="(%2)"/>
      <w:numFmt w:val="lowerLetter"/>
      <w:start w:val="1"/>
    </w:lvl>
  </w:abstractNum>
  <w:abstractNum w:abstractNumId="4">
    <w:nsid w:val="4E6AFB66"/>
    <w:multiLevelType w:val="hybridMultilevel"/>
    <w:lvl w:ilvl="0">
      <w:lvlJc w:val="left"/>
      <w:lvlText w:val="%1"/>
      <w:numFmt w:val="decimal"/>
      <w:start w:val="1"/>
    </w:lvl>
    <w:lvl w:ilvl="1">
      <w:lvlJc w:val="left"/>
      <w:lvlText w:val="(%2)"/>
      <w:numFmt w:val="lowerLetter"/>
      <w:start w:val="5"/>
    </w:lvl>
  </w:abstractNum>
  <w:abstractNum w:abstractNumId="5">
    <w:nsid w:val="25E45D32"/>
    <w:multiLevelType w:val="hybridMultilevel"/>
    <w:lvl w:ilvl="0">
      <w:lvlJc w:val="left"/>
      <w:lvlText w:val="%1."/>
      <w:numFmt w:val="decimal"/>
      <w:start w:val="3"/>
    </w:lvl>
    <w:lvl w:ilvl="1">
      <w:lvlJc w:val="left"/>
      <w:lvlText w:val="(%2)"/>
      <w:numFmt w:val="lowerLetter"/>
      <w:start w:val="1"/>
    </w:lvl>
  </w:abstractNum>
  <w:abstractNum w:abstractNumId="6">
    <w:nsid w:val="519B50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431BD7B7"/>
    <w:multiLevelType w:val="hybridMultilevel"/>
    <w:lvl w:ilvl="0">
      <w:lvlJc w:val="left"/>
      <w:lvlText w:val="%1"/>
      <w:numFmt w:val="lowerLetter"/>
      <w:start w:val="1"/>
    </w:lvl>
    <w:lvl w:ilvl="1">
      <w:lvlJc w:val="left"/>
      <w:lvlText w:val="%2."/>
      <w:numFmt w:val="lowerRoman"/>
      <w:start w:val="2"/>
    </w:lvl>
  </w:abstractNum>
  <w:abstractNum w:abstractNumId="8">
    <w:nsid w:val="3F2DBA31"/>
    <w:multiLevelType w:val="hybridMultilevel"/>
    <w:lvl w:ilvl="0">
      <w:lvlJc w:val="left"/>
      <w:lvlText w:val="(%1)"/>
      <w:numFmt w:val="lowerLetter"/>
      <w:start w:val="2"/>
    </w:lvl>
    <w:lvl w:ilvl="1">
      <w:lvlJc w:val="left"/>
      <w:lvlText w:val="%2"/>
      <w:numFmt w:val="lowerRoman"/>
      <w:start w:val="1"/>
    </w:lvl>
  </w:abstractNum>
  <w:abstractNum w:abstractNumId="9">
    <w:nsid w:val="7C83E458"/>
    <w:multiLevelType w:val="hybridMultilevel"/>
    <w:lvl w:ilvl="0">
      <w:lvlJc w:val="left"/>
      <w:lvlText w:val="(%1)"/>
      <w:numFmt w:val="lowerLetter"/>
      <w:start w:val="3"/>
    </w:lvl>
  </w:abstractNum>
  <w:abstractNum w:abstractNumId="10">
    <w:nsid w:val="257130A3"/>
    <w:multiLevelType w:val="hybridMultilevel"/>
    <w:lvl w:ilvl="0">
      <w:lvlJc w:val="left"/>
      <w:lvlText w:val="%1"/>
      <w:numFmt w:val="decimal"/>
      <w:start w:val="1"/>
    </w:lvl>
    <w:lvl w:ilvl="1">
      <w:lvlJc w:val="left"/>
      <w:lvlText w:val="(%2)"/>
      <w:numFmt w:val="lowerLetter"/>
      <w:start w:val="5"/>
    </w:lvl>
  </w:abstractNum>
  <w:abstractNum w:abstractNumId="11">
    <w:nsid w:val="62BBD95A"/>
    <w:multiLevelType w:val="hybridMultilevel"/>
    <w:lvl w:ilvl="0">
      <w:lvlJc w:val="left"/>
      <w:lvlText w:val="%1."/>
      <w:numFmt w:val="decimal"/>
      <w:start w:val="5"/>
    </w:lvl>
    <w:lvl w:ilvl="1">
      <w:lvlJc w:val="left"/>
      <w:lvlText w:val="(%2)"/>
      <w:numFmt w:val="lowerLetter"/>
      <w:start w:val="1"/>
    </w:lvl>
  </w:abstractNum>
  <w:abstractNum w:abstractNumId="12">
    <w:nsid w:val="436C6125"/>
    <w:multiLevelType w:val="hybridMultilevel"/>
    <w:lvl w:ilvl="0">
      <w:lvlJc w:val="left"/>
      <w:lvlText w:val="(%1)"/>
      <w:numFmt w:val="lowerLetter"/>
      <w:start w:val="2"/>
    </w:lvl>
    <w:lvl w:ilvl="1">
      <w:lvlJc w:val="left"/>
      <w:lvlText w:val="%2."/>
      <w:numFmt w:val="lowerRoman"/>
      <w:start w:val="1"/>
    </w:lvl>
  </w:abstractNum>
  <w:abstractNum w:abstractNumId="13">
    <w:nsid w:val="628C895D"/>
    <w:multiLevelType w:val="hybridMultilevel"/>
    <w:lvl w:ilvl="0">
      <w:lvlJc w:val="left"/>
      <w:lvlText w:val="%1"/>
      <w:numFmt w:val="lowerLetter"/>
      <w:start w:val="1"/>
    </w:lvl>
    <w:lvl w:ilvl="1">
      <w:lvlJc w:val="left"/>
      <w:lvlText w:val="%2."/>
      <w:numFmt w:val="lowerRoman"/>
      <w:start w:val="4"/>
    </w:lvl>
  </w:abstractNum>
  <w:abstractNum w:abstractNumId="14">
    <w:nsid w:val="333AB105"/>
    <w:multiLevelType w:val="hybridMultilevel"/>
    <w:lvl w:ilvl="0">
      <w:lvlJc w:val="left"/>
      <w:lvlText w:val="(%1)"/>
      <w:numFmt w:val="lowerLetter"/>
      <w:start w:val="5"/>
    </w:lvl>
    <w:lvl w:ilvl="1">
      <w:lvlJc w:val="left"/>
      <w:lvlText w:val="%2"/>
      <w:numFmt w:val="lowerRoman"/>
      <w:start w:val="1"/>
    </w:lvl>
  </w:abstractNum>
  <w:abstractNum w:abstractNumId="15">
    <w:nsid w:val="721DA317"/>
    <w:multiLevelType w:val="hybridMultilevel"/>
    <w:lvl w:ilvl="0">
      <w:lvlJc w:val="left"/>
      <w:lvlText w:val="(%1)"/>
      <w:numFmt w:val="lowerLetter"/>
      <w:start w:val="8"/>
    </w:lvl>
  </w:abstractNum>
  <w:abstractNum w:abstractNumId="16">
    <w:nsid w:val="2443A858"/>
    <w:multiLevelType w:val="hybridMultilevel"/>
    <w:lvl w:ilvl="0">
      <w:lvlJc w:val="left"/>
      <w:lvlText w:val="%1."/>
      <w:numFmt w:val="decimal"/>
      <w:start w:val="6"/>
    </w:lvl>
    <w:lvl w:ilvl="1">
      <w:lvlJc w:val="left"/>
      <w:lvlText w:val="(%2)"/>
      <w:numFmt w:val="lowerLetter"/>
      <w:start w:val="1"/>
    </w:lvl>
  </w:abstractNum>
  <w:abstractNum w:abstractNumId="17">
    <w:nsid w:val="2D1D5AE9"/>
    <w:multiLevelType w:val="hybridMultilevel"/>
    <w:lvl w:ilvl="0">
      <w:lvlJc w:val="left"/>
      <w:lvlText w:val="%1."/>
      <w:numFmt w:val="decimal"/>
      <w:start w:val="9"/>
    </w:lvl>
    <w:lvl w:ilvl="1">
      <w:lvlJc w:val="left"/>
      <w:lvlText w:val="(%2)"/>
      <w:numFmt w:val="lowerLetter"/>
      <w:start w:val="1"/>
    </w:lvl>
  </w:abstractNum>
  <w:abstractNum w:abstractNumId="18">
    <w:nsid w:val="6763845E"/>
    <w:multiLevelType w:val="hybridMultilevel"/>
    <w:lvl w:ilvl="0">
      <w:lvlJc w:val="left"/>
      <w:lvlText w:val="%1."/>
      <w:numFmt w:val="decimal"/>
      <w:start w:val="11"/>
    </w:lvl>
    <w:lvl w:ilvl="1">
      <w:lvlJc w:val="left"/>
      <w:lvlText w:val="(%2)"/>
      <w:numFmt w:val="lowerLetter"/>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3"/>
    </w:lvl>
  </w:abstractNum>
  <w:abstractNum w:abstractNumId="21">
    <w:nsid w:val="79838CB2"/>
    <w:multiLevelType w:val="hybridMultilevel"/>
    <w:lvl w:ilvl="0">
      <w:lvlJc w:val="left"/>
      <w:lvlText w:val="(%1)"/>
      <w:numFmt w:val="lowerLetter"/>
      <w:start w:val="1"/>
    </w:lvl>
    <w:lvl w:ilvl="1">
      <w:lvlJc w:val="left"/>
      <w:lvlText w:val="(%2)"/>
      <w:numFmt w:val="lowerLetter"/>
      <w:start w:val="2"/>
    </w:lvl>
  </w:abstractNum>
  <w:abstractNum w:abstractNumId="22">
    <w:nsid w:val="4353D0CD"/>
    <w:multiLevelType w:val="hybridMultilevel"/>
    <w:lvl w:ilvl="0">
      <w:lvlJc w:val="left"/>
      <w:lvlText w:val="%1."/>
      <w:numFmt w:val="decimal"/>
      <w:start w:val="4"/>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6"/>
    </w:lvl>
  </w:abstractNum>
  <w:abstractNum w:abstractNumId="27">
    <w:nsid w:val="2CA8861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2024-10-07T16:24:44Z</dcterms:created>
  <dcterms:modified xsi:type="dcterms:W3CDTF">2024-10-07T16:24:44Z</dcterms:modified>
</cp:coreProperties>
</file>