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06"/>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3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Reno, </w:t>
            </w:r>
            <w:bookmarkStart w:id="10" w:name="xdx_90C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A_edei--CityAreaCode_c20260806__20"/>
      <w:bookmarkEnd w:id="12"/>
      <w:r>
        <w:rPr>
          <w:rFonts w:ascii="Times New Roman;Times;Serif" w:hAnsi="Times New Roman;Times;Serif"/>
          <w:b/>
          <w:i w:val="false"/>
          <w:caps w:val="false"/>
          <w:smallCaps w:val="false"/>
          <w:sz w:val="20"/>
          <w:u w:val="single"/>
        </w:rPr>
        <w:t xml:space="preserve">(775) </w:t>
      </w:r>
      <w:bookmarkStart w:id="13" w:name="xdx_90B_edei--LocalPhoneNumber_c20260806"/>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806"/>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806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12bTitle_c20260806"/>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9_edei--TradingSymbol_c20260806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0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E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Dragonfly Energy Holdings Corp. (the “Company”) issued an earnings release disclosing certain preliminary information regarding its results of operations for the second quarter ended June 30, 2026. Following the publication of the press release, the Company will host an earnings call at 4:30 p.m. (Eastern Time) on August 6, 2026, via a webcast. During the webcast, the Company’s preliminary financial results for the second quarter ended June 30, 2026 will be discussed. A copy of the press release is attached as Exhibit 99.1 hereto and incorporated in this Item 2.02 by reference.</w:t>
      </w:r>
    </w:p>
    <w:p>
      <w:pPr>
        <w:pStyle w:val="TextBody"/>
        <w:bidi w:val="0"/>
        <w:spacing w:before="0" w:after="0"/>
        <w:ind w:left="0" w:right="0" w:firstLine="72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“SEC”),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firstLine="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Dragonfly Energy Holdings Corp., dated August 6,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865"/>
        <w:gridCol w:w="590"/>
        <w:gridCol w:w="567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669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4762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Second Quarter 2026 Preliminary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Net Sales In-Line With Guidance; Adjusted EBITDA Above Guidance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Reduction Actions Drive $3.0 Million Sequential Improvement in Adjusted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 Acquisition of Dakota Lithium Assets, Broadening Product Portfolio and Expanding Revenue Opportunity Across Key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Provides Third Quarter 2026 Guidance and Reaffirms Target of Positive Adjusted EBITDA at $70M Annual Net Sales Run 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Heavy-Duty Trucking Revenue Expected to More Than Double Sequentially in Q3 as Fleet Programs Expand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Second Quarter 2026 Preliminary Financial Highlights </w:t>
      </w:r>
    </w:p>
    <w:p>
      <w:pPr>
        <w:pStyle w:val="TextBody"/>
        <w:bidi w:val="0"/>
        <w:spacing w:before="0" w:after="0"/>
        <w:ind w:left="0" w:right="0" w:hanging="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$13.2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net sales were $8.4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33.0%.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 was $(5.5)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$(1.6) million.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(August 6, 2026)</w:t>
      </w:r>
      <w:r>
        <w:rPr>
          <w:rFonts w:ascii="Times New Roman;Times;Serif" w:hAnsi="Times New Roman;Times;Serif"/>
          <w:b w:val="false"/>
          <w:i w:val="false"/>
          <w:caps w:val="false"/>
          <w:smallCaps w:val="false"/>
          <w:sz w:val="20"/>
        </w:rPr>
        <w:t xml:space="preserve"> — Dragonfly Energy Holdings Corp. (Nasdaq: DFLI) (“Dragonfly Energy” or the “Company”), an industry leader in lithium battery technology, today reported its preliminary financial and operational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Second-quarter net sales were in line with our guidance, while Adjusted EBITDA exceeded our expectations as the cost actions implemented earlier this year began to take effect,” commented Dr. Denis Phares, Chief Executive Officer. “Adjusted EBITDA improved $3.0 million as compared to the first quarter of 2026 and $0.6 million year over year despite lower net sales, demonstrating the operating leverage inherent in our improved cost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heavy-duty trucking market, the commercial ramp we have been building began to translate into meaningful revenue as deliveries under the Stevens Transport purchase order commenced during the quarter. As fleets expand deployments following initial pilot programs, we expect revenue from this market to more than double sequentially in the third quarter, with continued growth in the fourth quarter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Subsequent to quarter-end, we acquired the assets of the Dakota Lithium brand, representing a compelling strategic and financial opportunity for Dragonfly,” continued Dr. Phares. “Dakota Lithium is a recognized brand with established customer and distributor relationships across marine, outdoor recreation, powersports, golf cart and other specialty battery markets. The acquisition broadens our overall product portfolio and further diversifies our revenue base beyond our core RV and trucking markets. We expect Dakota to begin contributing meaningful revenue and to be accretive to Adjusted EBITDA starting in the fourth quarter.”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connection with the transaction, existing lenders amended the Company’s debt arrangements, including reducing the minimum cash covenant, converting the next two quarters of interest to paid-in-kind interest, and deferring the Senior Leverage Ratio and Fixed Charge Coverage Ratio covenant requirements until September 2027. Collectively, these amendments are expected to preserve approximately $1 million of near-term liquidity and provide the Company with meaningful additional financial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Preliminary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Customer Type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jc w:val="left"/>
        <w:rPr>
          <w:caps w:val="false"/>
          <w:smallCaps w:val="false"/>
        </w:rPr>
      </w:pPr>
      <w:r>
        <w:rPr>
          <w:caps w:val="false"/>
          <w:smallCaps w:val="false"/>
        </w:rPr>
        <w:t> </w:t>
      </w:r>
    </w:p>
    <w:tbl>
      <w:tblPr>
        <w:tblW w:w="6322" w:type="dxa"/>
        <w:jc w:val="left"/>
        <w:tblInd w:w="0" w:type="dxa"/>
        <w:tblLayout w:type="fixed"/>
        <w:tblCellMar>
          <w:top w:w="0" w:type="dxa"/>
          <w:left w:w="0" w:type="dxa"/>
          <w:bottom w:w="0" w:type="dxa"/>
          <w:right w:w="0" w:type="dxa"/>
        </w:tblCellMar>
      </w:tblPr>
      <w:tblGrid>
        <w:gridCol w:w="1430"/>
        <w:gridCol w:w="60"/>
        <w:gridCol w:w="240"/>
        <w:gridCol w:w="1174"/>
        <w:gridCol w:w="75"/>
        <w:gridCol w:w="75"/>
        <w:gridCol w:w="240"/>
        <w:gridCol w:w="1174"/>
        <w:gridCol w:w="60"/>
        <w:gridCol w:w="60"/>
        <w:gridCol w:w="156"/>
        <w:gridCol w:w="1348"/>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OEM</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8,432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-16.1</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b/>
              </w:rPr>
            </w:pPr>
            <w:r>
              <w:rPr>
                <w:b/>
              </w:rPr>
              <w:t>DTC</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4,477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5,948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-24.7</w:t>
            </w:r>
          </w:p>
        </w:tc>
        <w:tc>
          <w:tcPr>
            <w:tcW w:w="23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b/>
              </w:rPr>
            </w:pPr>
            <w:r>
              <w:rPr>
                <w:b/>
              </w:rPr>
              <w:t>Licensing Fee</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b/>
              </w:rPr>
            </w:pPr>
            <w:r>
              <w:rPr>
                <w:b/>
              </w:rPr>
              <w:t>Net Sales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13,159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16,248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-19.0</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$13.2 million, including $8.4 million in OEM net sales and $4.5 million in DTC net sales. OEM net sales declined year over year against an industry backdrop in which RV shipments were down 14.2% through midyear, reflecting continued macroeconomic pressure on industry production volumes. Despite that environment, the Company continued to expand model placements and power system content across its existing OEM partnerships. DTC sales declined due to macroeconomic pressures on consumer demand, as well as negative third-party online commentary regarding certain of our products, which we believe has adversely affected customer sentiment. We have initiated legal proceedings to address this commentary.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$4.3 million, with a gross margin of 33.0%, compared to gross profit of $4.6 million and gross margin of 28.3%. The decrease in gross profit was primarily due to lower unit volume of battery and accessory sales, with an offset from a $1.1 million benefit related to tariff refund recognized in cost of sales. Operating Expenses totaled $7.2 million, down from $7.9 million, benefiting from the Company’s cost reduction actions. The Company also continued to advance its previously announced facility consolidation during the second quarter. While the process was not fully completed by quarter-end, the Company expects to complete the principal remaining actions during the third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$(4.4) million and a Net Loss Attributable to Common Shareholders of $(5.5) million, or $(0.43) per diluted share. This compares to a Net Loss and a Net Loss Attributable to Common Shareholders of $(7.0) million, or $(5.77) per share,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excluding stock-based compensation, changes in the fair market value of our warrants, and other one-time expenses, was $(1.6) million, a $0.6 million improvement compared to a loss of $(2.2) million in the second quarter of 2025. Sequentially, Adjusted EBITDA improved $3.0 million from the $(4.6) million reported in the first quarter of 2026, driven by our cost reduction actions.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financial and operating results are preliminary and are subject to finalization and adjustment in connection with the review of the financial statements for the three months ended June 30, 2026 and the preparation of the Company’s Quarterly Report on Form 10-Q for the three months ended June 30, 2026. The preliminary financial results included in this press release have been prepared by, and are the responsibility of, the Company’s management. During the course of the preparation of the Company’s financial statements and related notes as of and for the three months ended June 30, 2026, the Company may identify items that would require it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GAAP and reviewed by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to the third quarter, we expect continued growth in energy storage content and model integration across our OEM partnerships against a continued soft RV market, and trucking sales to ramp through the balance of the year. Our focus in the near term is on disciplined execution as we build on our expanding commercial foundation, integrate the Dakota Lithium brand, which we expect to begin contributing meaningful revenue in the fourth quarter, and drive operating leverage from our improved cost structure. We remain on track toward our target of Adjusted EBITDA profitability at an annualized net sales run rate of approximately $70 million,” concluded Dr. Phares.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2026 Guidance</w:t>
      </w:r>
    </w:p>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approximately $</w:t>
            </w:r>
            <w:r>
              <w:rPr>
                <w:rFonts w:ascii="Times New Roman;Times;Serif" w:hAnsi="Times New Roman;Times;Serif"/>
                <w:b/>
                <w:i w:val="false"/>
                <w:caps w:val="false"/>
                <w:smallCaps w:val="false"/>
                <w:sz w:val="20"/>
              </w:rPr>
              <w:t>13.5</w:t>
            </w:r>
            <w:r>
              <w:rPr>
                <w:rFonts w:ascii="Times New Roman;Times;Serif" w:hAnsi="Times New Roman;Times;Serif"/>
                <w:b w:val="false"/>
                <w:i w:val="false"/>
                <w:caps w:val="false"/>
                <w:smallCaps w:val="false"/>
                <w:sz w:val="20"/>
              </w:rPr>
              <w:t xml:space="preserve">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approximately $(</w:t>
            </w: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cannot reconcile its expected adjusted operating EBITDA under “Q3 2026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third-quarter Adjusted EBITDA outlook reflects two temporary timing factors: continued expense associated with vacated facility space that is actively being marketed for sublease, and incremental operating costs to restore Dakota Lithium’s commercial operations ahead of its expected meaningful revenue contribution beginning in the fourth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the Company’s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second quarter 2026 financial and operational results this afternoon, August 6, 2026 at 4:30 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To join by phone and participate in the Q&amp;A, please register in advance here; dial-in details and a unique PIN will be provided upon registration.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lithium battery technology company spanning battery cell manufacturing, pack assembly and full-system integration. The Company develops and delivers energy storage solutions for mobile, off-grid, industrial and specialty applications.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is advancing domestic battery cell manufacturing through its patented dry electrode process and the development of next-generation battery technologies, including all-solid-state battery cells. Its work combines advanced research and development with software-enabled intelligence to improve the performance and capabilities of energy storage systems.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preliminary results of operations and financial position for second quarter 2026, statements regarding the Company’s guidance for the third quarter of 2026, the expected benefits of the Dakota Lithium acquisition, the expected contribution of the Dakota Lithium acquisition to revenue and Adjusted EBITDA, the expectations regarding heavy-duty trucking revenue growth, the Company’s Adjusted EBITDA profitability targets,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Stevens Transport; the Company’s ability to maintain the listing of its common stock and public warrants on the Nasdaq Capital Market; the impact of geopolitical conflicts;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2025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2026 financial and operating results are preliminary, as they are subject to finalization and adjustment in connection with the preparation of the Quarterly Report on Form 10-Q for the three months ended June 30, 2026 to be filed later this month. During the course of the preparation of these financial statements, Dragonfly may identify items that would require the Company to make material adjustments to the preliminary financial results. As a result, investors should exercise caution in relying on this information and should not draw any inferences from this information. The preliminary financial information should not be viewed as a substitute for full financial statements prepared in accordance with GAAP and reviewed by the Company’s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02"/>
        <w:gridCol w:w="60"/>
        <w:gridCol w:w="156"/>
        <w:gridCol w:w="982"/>
        <w:gridCol w:w="95"/>
        <w:gridCol w:w="60"/>
        <w:gridCol w:w="184"/>
        <w:gridCol w:w="1153"/>
        <w:gridCol w:w="113"/>
      </w:tblGrid>
      <w:tr>
        <w:trPr/>
        <w:tc>
          <w:tcPr>
            <w:tcW w:w="7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w:t>
            </w:r>
          </w:p>
        </w:tc>
        <w:tc>
          <w:tcPr>
            <w:tcW w:w="113" w:type="dxa"/>
            <w:tcBorders/>
            <w:vAlign w:val="center"/>
          </w:tcPr>
          <w:p>
            <w:pPr>
              <w:pStyle w:val="TableContents"/>
              <w:bidi w:val="0"/>
              <w:spacing w:before="0" w:after="283"/>
              <w:jc w:val="left"/>
              <w:rPr/>
            </w:pPr>
            <w:r>
              <w:rPr/>
              <w:t> </w:t>
            </w:r>
          </w:p>
        </w:tc>
      </w:tr>
      <w:tr>
        <w:trPr/>
        <w:tc>
          <w:tcPr>
            <w:tcW w:w="74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3" w:type="dxa"/>
            <w:tcBorders/>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18,270</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4,215</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24,234</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1,083</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50,180</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20,741</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15,240</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86,549</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10,322</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4,053</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tariffs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Dividends Payable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19,757</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2,583</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9,212</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20,470</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33,006</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52,763</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Redeemable Preferred Stock</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 Series B, 25,000 shares at $0.0001 par value, authorized, and 25,000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22,256</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4,995,000 shares at $0.0001 par value, authorized, no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400,000,000 shares at $0.0001 par value, authorized, 13,353,812 and 12,078,713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FFFFFF" w:val="clear"/>
            <w:vAlign w:val="center"/>
          </w:tcPr>
          <w:p>
            <w:pPr>
              <w:pStyle w:val="TableContents"/>
              <w:bidi w:val="0"/>
              <w:spacing w:before="0" w:after="283"/>
              <w:jc w:val="left"/>
              <w:rPr/>
            </w:pPr>
            <w:r>
              <w:rPr/>
              <w:t> </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163,622</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(152,093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11,530</w:t>
            </w:r>
          </w:p>
        </w:tc>
        <w:tc>
          <w:tcPr>
            <w:tcW w:w="113" w:type="dxa"/>
            <w:tcBorders/>
            <w:shd w:fill="CCEEFF" w:val="clear"/>
            <w:vAlign w:val="center"/>
          </w:tcPr>
          <w:p>
            <w:pPr>
              <w:pStyle w:val="TableContents"/>
              <w:bidi w:val="0"/>
              <w:spacing w:before="0" w:after="283"/>
              <w:jc w:val="left"/>
              <w:rPr/>
            </w:pPr>
            <w:r>
              <w:rPr/>
              <w:t> </w:t>
            </w:r>
          </w:p>
        </w:tc>
      </w:tr>
      <w:tr>
        <w:trPr/>
        <w:tc>
          <w:tcPr>
            <w:tcW w:w="740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86,549</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tbl>
      <w:tblPr>
        <w:tblW w:w="7955" w:type="dxa"/>
        <w:jc w:val="left"/>
        <w:tblInd w:w="0" w:type="dxa"/>
        <w:tblLayout w:type="fixed"/>
        <w:tblCellMar>
          <w:top w:w="0" w:type="dxa"/>
          <w:left w:w="0" w:type="dxa"/>
          <w:bottom w:w="0" w:type="dxa"/>
          <w:right w:w="0" w:type="dxa"/>
        </w:tblCellMar>
      </w:tblPr>
      <w:tblGrid>
        <w:gridCol w:w="5270"/>
        <w:gridCol w:w="60"/>
        <w:gridCol w:w="140"/>
        <w:gridCol w:w="1100"/>
        <w:gridCol w:w="95"/>
        <w:gridCol w:w="60"/>
        <w:gridCol w:w="140"/>
        <w:gridCol w:w="98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16,248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11,643</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4,605</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692</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4,619</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7,886</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(3,281</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(5,442</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1,689</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(3,753</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Less: 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Net 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(5.77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12,688,511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1,218,808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283"/>
        <w:jc w:val="left"/>
        <w:rPr/>
      </w:pPr>
      <w:r>
        <w:rPr/>
        <w:t> </w:t>
      </w:r>
    </w:p>
    <w:tbl>
      <w:tblPr>
        <w:tblW w:w="6838" w:type="dxa"/>
        <w:jc w:val="left"/>
        <w:tblInd w:w="0" w:type="dxa"/>
        <w:tblLayout w:type="fixed"/>
        <w:tblCellMar>
          <w:top w:w="0" w:type="dxa"/>
          <w:left w:w="0" w:type="dxa"/>
          <w:bottom w:w="0" w:type="dxa"/>
          <w:right w:w="0" w:type="dxa"/>
        </w:tblCellMar>
      </w:tblPr>
      <w:tblGrid>
        <w:gridCol w:w="4460"/>
        <w:gridCol w:w="60"/>
        <w:gridCol w:w="181"/>
        <w:gridCol w:w="823"/>
        <w:gridCol w:w="123"/>
        <w:gridCol w:w="77"/>
        <w:gridCol w:w="181"/>
        <w:gridCol w:w="823"/>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center"/>
              <w:rPr>
                <w:b/>
              </w:rPr>
            </w:pPr>
            <w:r>
              <w:rPr>
                <w:b/>
              </w:rPr>
              <w:t>June 30,</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Loss Before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(5,517</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823" w:type="dxa"/>
            <w:tcBorders/>
            <w:shd w:fill="FFFFFF" w:val="cle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1,536</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5,442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453</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491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(3,528</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(1,101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Adjustments to EBITDA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Stock - 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461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190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Series B Preferred Stock Dividend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1,131</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Preferred Stock Financing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Prior year tariff estimate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287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Litigation Fees and loss on Settlement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132</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Expenses related to Debt Restructure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34</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At-the-Market (ATM) set up Expenses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131</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Joint Venture Exploration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45</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(1,581</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(2,241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283"/>
        <w:jc w:val="left"/>
        <w:rPr/>
      </w:pPr>
      <w:r>
        <w:rPr/>
        <w:t> </w:t>
      </w:r>
    </w:p>
    <w:tbl>
      <w:tblPr>
        <w:tblW w:w="9830" w:type="dxa"/>
        <w:jc w:val="left"/>
        <w:tblInd w:w="0" w:type="dxa"/>
        <w:tblLayout w:type="fixed"/>
        <w:tblCellMar>
          <w:top w:w="0" w:type="dxa"/>
          <w:left w:w="0" w:type="dxa"/>
          <w:bottom w:w="0" w:type="dxa"/>
          <w:right w:w="0" w:type="dxa"/>
        </w:tblCellMar>
      </w:tblPr>
      <w:tblGrid>
        <w:gridCol w:w="7715"/>
        <w:gridCol w:w="60"/>
        <w:gridCol w:w="140"/>
        <w:gridCol w:w="755"/>
        <w:gridCol w:w="95"/>
        <w:gridCol w:w="60"/>
        <w:gridCol w:w="140"/>
        <w:gridCol w:w="755"/>
        <w:gridCol w:w="110"/>
      </w:tblGrid>
      <w:tr>
        <w:trPr/>
        <w:tc>
          <w:tcPr>
            <w:tcW w:w="7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410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2,784</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(5,507</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7,306</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1,324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(1,223</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663</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Prepaid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905</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(1,436</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5,966</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(10,641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(7,865</w:t>
            </w:r>
          </w:p>
        </w:tc>
        <w:tc>
          <w:tcPr>
            <w:tcW w:w="110" w:type="dxa"/>
            <w:tcBorders/>
            <w:shd w:fill="CCEEFF" w:val="clear"/>
            <w:vAlign w:val="center"/>
          </w:tcPr>
          <w:p>
            <w:pPr>
              <w:pStyle w:val="TableContents"/>
              <w:bidi w:val="0"/>
              <w:spacing w:before="0" w:after="283"/>
              <w:jc w:val="left"/>
              <w:rPr>
                <w:b/>
              </w:rPr>
            </w:pPr>
            <w:r>
              <w:rPr>
                <w:b/>
              </w:rPr>
              <w:t>)</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Purchase of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(1,621</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(1,621</w:t>
            </w:r>
          </w:p>
        </w:tc>
        <w:tc>
          <w:tcPr>
            <w:tcW w:w="110" w:type="dxa"/>
            <w:tcBorders/>
            <w:shd w:fill="FFFFFF" w:val="clear"/>
            <w:vAlign w:val="center"/>
          </w:tcPr>
          <w:p>
            <w:pPr>
              <w:pStyle w:val="TableContents"/>
              <w:bidi w:val="0"/>
              <w:spacing w:before="0" w:after="283"/>
              <w:jc w:val="left"/>
              <w:rPr>
                <w:b/>
              </w:rPr>
            </w:pPr>
            <w:r>
              <w:rPr>
                <w:b/>
              </w:rPr>
              <w:t>)</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b/>
              </w:rPr>
            </w:pPr>
            <w:r>
              <w:rPr>
                <w:b/>
              </w:rPr>
              <w:t>(Continued)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Proceeds from preferred stock offering, net of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7,330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Payment of dividends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Repayment of 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Taxes paid related to net settlement of RSUs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Financing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7,370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(2,116</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4,849</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b/>
              </w:rPr>
            </w:pPr>
            <w:r>
              <w:rPr>
                <w:b/>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2,733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1,555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Purchases of property, equipment and intangibles,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Conversion of preferred stock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6,085</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696</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Declaration of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Dividends paid in 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Accretion of preferred stock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Reclassification of assets held for sale to 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644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Cashless exercise of penny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4348</Words>
  <Characters>24300</Characters>
  <CharactersWithSpaces>29109</CharactersWithSpaces>
  <Paragraphs>1859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