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21,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5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94"/>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216"/>
        </w:trPr>
        <w:tc>
          <w:tcPr>
            <w:tcW w:w="5980" w:type="dxa"/>
            <w:vAlign w:val="bottom"/>
          </w:tcPr>
          <w:p>
            <w:pPr>
              <w:jc w:val="center"/>
              <w:ind w:right="3730"/>
              <w:spacing w:after="0"/>
              <w:rPr>
                <w:sz w:val="20"/>
                <w:szCs w:val="20"/>
                <w:color w:val="auto"/>
              </w:rPr>
            </w:pPr>
            <w:r>
              <w:rPr>
                <w:rFonts w:ascii="Times New Roman" w:cs="Times New Roman" w:eastAsia="Times New Roman" w:hAnsi="Times New Roman"/>
                <w:sz w:val="18"/>
                <w:szCs w:val="18"/>
                <w:color w:val="auto"/>
              </w:rPr>
              <w:t>(State or jurisdiction of</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980" w:type="dxa"/>
            <w:vAlign w:val="bottom"/>
          </w:tcPr>
          <w:p>
            <w:pPr>
              <w:jc w:val="center"/>
              <w:ind w:right="3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622-3448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622-3488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 Skolnick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262-6700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filing this post-effective amendment (the “Amendment”) to update the financial and other information contained in our Registration Statement (the “Original Registration Statement”) on Form S-1 (Registration No. 333-272401), which was declared effective by the Securities and Exchange Commission on June 20, 2023. Because we are eligible to use Form S-3 for the transaction covered hereby, we are filing this post-effective amendment to Form S-1 on Form S-3.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Original Registration Statement initially registered, among other securities, the issuance of 11,405,000 shares of common stock, par value $0.0001 per share (the “Common Stock”), underlying warrants (the “Warrants”) previously issued by the Company to investors in our public offering that closed on June 22, 2023, including pursuant to the partial exercise of the underwriters’ overallotment option (the “Offering”). Updating for exercises of certain Warrants, the Original Registration Statement, as amended by this Amendment, pertains solely to the registration of 11,131,900 shares of Common Stock underlying outstanding Warrants.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applicable filing fees were paid at the time of filing of the Original Registration Statement. No additional securities are being registered under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1" w:lineRule="exact"/>
        <w:rPr>
          <w:sz w:val="20"/>
          <w:szCs w:val="20"/>
          <w:color w:val="auto"/>
        </w:rPr>
      </w:pPr>
    </w:p>
    <w:p>
      <w:pPr>
        <w:spacing w:after="0"/>
        <w:tabs>
          <w:tab w:leader="none" w:pos="4400" w:val="left"/>
          <w:tab w:leader="none" w:pos="942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DATED JUNE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11,131,900 Shares of Common Stock Issuable Upon Exercise of Previously Issued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by us of up to 11,131,900 shares of our common stock, $0.0001 par value per share (the “Common Stock”), that may be issued from time to time upon the exercise of warrants (the “Warrants”) previously issued by the Company to investors in our public offering that closed on June 22, 2023, including pursuant to the partial exercise of the underwriters’ overallotment option (the “Offering”), the issuance of which was previously registered on a Registration Statement on Form S-1 (File No. 333-272401).</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Warrant is exercisable for one share of our Common Stock at an exercise price of $2.00 per share. The Warrants were immediately exercisable upon issuance and expire on June 22, 2028. We will receive all of the proceeds from the exercise for cash of the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 As of June 20, 2024, the closing price of our common stock was $0.855. As of June 20, 2024, the closing price of our public warrants was $0.039.</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subject to reduced public company reporting requirements.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See “Risk Factors”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3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439"/>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224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bottom w:val="single" w:sz="8" w:color="CCEEFF"/>
            </w:tcBorders>
            <w:gridSpan w:val="6"/>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0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AND DETERMINATION OF OFFERING PRICE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Securities and Exchange Commission (the “SEC”) using the “shelf” registration process. This prospectus relates to the issuance by us of the shares of Common Stock issuable upon the exercise of the Warrants. We will receive the exercise price per share for each Warrant exercised for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and in any free-writing prospectus we prepare or authorize. We have not authorized anyone to provide you with different information, and we take no responsibility for any other information others may give you. We are not making an offer to sell these securities in any jurisdiction where the offer or sale is not permitted. You should not assume that the information contained in this prospectus is accurate as of any date other than the date on the cover of this prospectus.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 relating to, the offering of our securities and the distribution of this prospectus outside the United States.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790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4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(“RV”), marine vessel, solar, oil and gas,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(“Dragonfly Energy”) and Battle Born Batteries (“Battle Born”). Battle Born branded products are primarily sold direct-to-consumers (“DTC”), while the Dragonfly Energy brand is primarily sold to original equipment manufacturers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lithium iron phosphate (“LFP”) cells incorporated into our batteries from a limited number of carefully selected suppliers that can meet our demanding quality standards and with whom we have developed long-term relationships.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we are continuing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3596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3596005"/>
                    </a:xfrm>
                    <a:prstGeom prst="rect">
                      <a:avLst/>
                    </a:prstGeom>
                    <a:noFill/>
                  </pic:spPr>
                </pic:pic>
              </a:graphicData>
            </a:graphic>
          </wp:anchor>
        </w:drawing>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025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THE OFFERING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11,131,900 shares of Common Stock that may be issued from time to time upon the exercise of the Warrants.</w:t>
      </w:r>
    </w:p>
    <w:p>
      <w:pPr>
        <w:sectPr>
          <w:pgSz w:w="11900" w:h="16838" w:orient="portrait"/>
          <w:cols w:equalWidth="0" w:num="1">
            <w:col w:w="10920"/>
          </w:cols>
          <w:pgMar w:left="480" w:top="900" w:right="499" w:bottom="1440" w:gutter="0" w:footer="0" w:header="0"/>
        </w:sectPr>
      </w:pPr>
    </w:p>
    <w:p>
      <w:pPr>
        <w:spacing w:after="0" w:line="221"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color w:val="auto"/>
        </w:rPr>
        <w:t>Issuance of Common Stock Underlying the 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11,131,900 shares of Common Stock</w:t>
      </w:r>
    </w:p>
    <w:p>
      <w:pPr>
        <w:spacing w:after="0" w:line="448"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61,148,917 shares of Common Stock as of June 20, 2024</w:t>
      </w:r>
    </w:p>
    <w:p>
      <w:pPr>
        <w:spacing w:after="0" w:line="200"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Warrants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exercise price of $2.00 per share of Common Stock, were immediately exercisable upon issuance and expire on June 22, 2028. Each Warrant is exercisable one share of our Common Stock, subject to adjustment in the event of stock dividends, stock splits, stock combinations, reclassifications, reorganizations or similar events affecting our Common Stock.</w:t>
      </w:r>
    </w:p>
    <w:p>
      <w:pPr>
        <w:spacing w:after="0" w:line="180"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jc w:val="both"/>
        <w:ind w:left="3240" w:right="20"/>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of Common Stock upon exercise of the Warrants. To better understand the terms of the Warrants, you should carefully read the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section of this prospectus. You should also read the form of Warrant, which is filed as an exhibit to the registration statement that includes this prospectus.</w:t>
      </w:r>
    </w:p>
    <w:p>
      <w:pPr>
        <w:sectPr>
          <w:pgSz w:w="11900" w:h="16838" w:orient="portrait"/>
          <w:cols w:equalWidth="0" w:num="1">
            <w:col w:w="10920"/>
          </w:cols>
          <w:pgMar w:left="480" w:top="900" w:right="49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will be used for working capital and other general corporate purposes. It is possible that some, or all, of the Warrants may expire and never be exercised.</w:t>
      </w:r>
    </w:p>
    <w:p>
      <w:pPr>
        <w:spacing w:after="0" w:line="179"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and in our subsequent reports filed with the SEC, which are incorporated by reference herein, and other information in this prospectus for a discussion of the factors you should consider before you decide to invest in our securities.</w:t>
      </w:r>
    </w:p>
    <w:p>
      <w:pPr>
        <w:spacing w:after="0" w:line="171"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Trading Market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currently listed on the Nasdaq Capital Market under the symbol “DFLI.”</w:t>
      </w:r>
    </w:p>
    <w:p>
      <w:pPr>
        <w:spacing w:after="0" w:line="200" w:lineRule="exact"/>
        <w:rPr>
          <w:sz w:val="20"/>
          <w:szCs w:val="20"/>
          <w:color w:val="auto"/>
        </w:rPr>
      </w:pPr>
    </w:p>
    <w:p>
      <w:pPr>
        <w:sectPr>
          <w:pgSz w:w="11900" w:h="16838" w:orient="portrait"/>
          <w:cols w:equalWidth="0" w:num="2">
            <w:col w:w="2760" w:space="480"/>
            <w:col w:w="7680"/>
          </w:cols>
          <w:pgMar w:left="480" w:top="900" w:right="499" w:bottom="1440" w:gutter="0" w:footer="0" w:header="0"/>
          <w:type w:val="continuous"/>
        </w:sectPr>
      </w:pPr>
    </w:p>
    <w:p>
      <w:pPr>
        <w:spacing w:after="0" w:line="3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June 20, 2024, does not give effect to issuances of our Common Stock, Warrants, options to purchase shares of our Common Stock, or the exercise of Warrants or options after such date, and excludes:</w:t>
      </w:r>
    </w:p>
    <w:p>
      <w:pPr>
        <w:spacing w:after="0" w:line="176" w:lineRule="exact"/>
        <w:rPr>
          <w:sz w:val="20"/>
          <w:szCs w:val="20"/>
          <w:color w:val="auto"/>
        </w:rPr>
      </w:pPr>
    </w:p>
    <w:p>
      <w:pPr>
        <w:ind w:left="660" w:right="20" w:hanging="331"/>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Common Stock reserved for issuance in the event of certain financial achievements per our $75,000,000 term loan (the “Term Loan”);</w:t>
      </w:r>
    </w:p>
    <w:p>
      <w:pPr>
        <w:ind w:left="660" w:right="20" w:hanging="331"/>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issuable upon exercise of the private placement warrants that were originally issued in a private placement at the time of the Chardan NexTech Acquisition 2 Corp. initial public offering (the “CNTQ IPO”);</w:t>
      </w: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9,422,519 shares of Common Stock issuable upon exercise of the public warrants sold as part of the CNTQ IPO;</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4,440,720 shares of Common Stock currently issuable upon the exercise of the certain penny warrants issued to the lenders of our Term Loan;</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shares of Common Stock issuable upon the exercise of the Warrants issued as part of the Offering;</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shares of Common Stock issuable upon the exercise of the underwriters’ warrants issued as part of the Offering;</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1,996,374 shares of Common Stock underlying outstanding options; and</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2,421,002 shares of Common Stock underlying outstanding restricted stock units.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purchasing any of the securities you should carefully consider the risk factors incorporated by reference in this prospectus from our most recent Annual Report on Form 10-K and any subsequent updates described in our Quarterly Reports on Form 10-Q and Current Reports on Form 8-K. For a description of these reports and information about where you can find them, see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Additional risks not presently known or that we presently consider to be immaterial could subsequently materially and adversely affect our financial condition, results of operations, business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and our officers and representatives may from time to time make, forward-looking statements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88" w:lineRule="exact"/>
        <w:rPr>
          <w:sz w:val="20"/>
          <w:szCs w:val="20"/>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7"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840" w:right="2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840" w:right="2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two manufacturing facilities.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and in the documents incorporated by reference herein or risk factors that we are faced with that may cause our actual results to differ from those anticipate in our forward-looking statements. Factors that may affect our results include, but are not limited to, the risks and uncertainties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on page 4 of this prospectus, in our Annual Report on Form 10-K or in other reports we file with the SEC.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will be used for working capital and other general corporate purposes. It is possible that some, or all, of the Warrants may expire and never be exercised.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means the Nevada Revised Statutes (the “NRS”), our Articles of Incorporation and our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20, 2024 there were 61,148,917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Warrants. This summary is subject to and qualified in its entirety by the form of Warrant which is filed as an exhibit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has an exercise price of $2.00 per share. The Warrants were exercisable upon issuance and may be exercised until five years from the date of issuance. The exercise price and number of shares of Common Stock issuable upon exercise of the Warrants is subject to appropriate adjustment in the event of stock dividends, stock splits, reorganizations or similar events affecting our Common Stock and the exercise price. The Warrants were issued in certificated form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Warrants, a registration statement registering the issuance or resale of the shares of Common Stock underlying the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at any time while the Warrants are outstanding and there is a fundamental transaction as described in the Warrant where, we, directly or indirectly, (1) effect any merger or consolidation with or into another person, (2) effect any sale, lease, exclusive license, assignment, transfer, conveyance or other disposition of all or substantially all of our assets in one or a series of related transactions, (3) complete any direct or indirect purchase offer, tender offer or exchange offer (whether by us or another person) pursuant to which holders of our Common Stock are permitted to sell, tender or exchange their shares for other securities, cash or property and which has been accepted by the holders of 50% or more of the outstanding Common Stock, (4) effect any reclassification, reorganization or recapitalization of the Common Stock or any compulsory share exchange pursuant to which the Common Stock is effectively converted into or exchanged for other securities, cash or property, or (5) in one or more related transactions consummate a stock or share purchase agreement or other business combination (including a reorganization, recapitalization, spin-off or scheme of arrangement) with another person or group of persons whereby such other person or group acquires more than 50% of the outstanding shares of Common Stock, or each, a Fundamental Transaction, then the holder shall have the right thereafter to receive, upon exercise of the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of the Warrant. Any successor to us or surviving entity shall assume the obligations under the Warrant. Notwithstanding the foregoing, in the event of a Fundamental Transaction approved by our board of directors, the holders of the Warrants have the right to require us or a successor entity to redeem the Warrants for cash in the amount of the Black Scholes Value (as defined in each Warrant) of the unexercised portion of the Warrants on the date of the consummation of the Fundamental Transaction, concurrently with or within 30 days following the consummation of a Fundamental Transaction. In the event of a Fundamental Transaction that is not within our control, including any Fundamental Transaction which is not approved by our board of directors, the holders of the Warrants have the right to receive the same type or form of consideration paid to holders of Common Stock in the Fundamental Transaction in the amount of the Black Scholes Value of the unexercised portion of the Warrants on the date of the consummation of the Fundamental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an Warrant may be transferred at the option of the holder upon surrender of the Warrant to us together with the appropriate instruments of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such a market to develop. We do not intend to apply to list the Warrants on any securities exchange or other nationally recognized trading system. Without an active trading market, the liquidity of the Warrants is extremely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as a Stockholder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the holder’s ownership of shares of our Common Stock, such holder of Warrants does not have the rights or privileges of a holder of our Common Stock, including any voting rights, until such holder exercises such holder’s Warrants. The Warrants will provide that the holders of the Warrants have the right to participate in distributions or dividends paid on our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Warrants may be modified or amended or the provisions of such warrants waived with our consent and the consent of the holders of at least a majority of the outstanding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Securities Exchange Act of 1934, as amended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AND DETERMINATION OF OFFERING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deliver shares of our Common Stock offered hereby upon exercise of the Warrants we issued in connection with the Offering. The form of Warrant contains instructions for exercise. In order to exercise the Warrants, the holder must deliver to us the information required in the form of Warrant, along with payment for the exercise price of the shares to be purchased. We will then deliver shares of our Common Stock in the manner described in the applicable form of Warrant, a copy of which is filed as an exhibit to the registration statement of which this prospectus is a part.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Warrant is exercisable into one share of our Common Stock, with an exercise price of $2.00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compliance by any holder with the instructions for exercise contained in the form of Warrant, we will, within the time allotted by the form of Warrant, issue to the holder shares of Common Stock, free of a restrictive legend. Shares of Common Stock that are held by affiliates will be issued free of legend but will be deemed control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 Reno, Nevada and Lowenstein Sandler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 ended December 31, 2023 incorporated by reference into this prospectus and Registration Statement,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revise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(the Company) as of December 31, 2022 and for the year then ended before the effects of the adjustments for the correction of the error described in Note 15 (not separately included or incorporated by reference in the Prospectus), have been audited by BDO USA, LLP (n/k/a BDO USA, P.C.), an independent registered public accounting firm. The adjustments to those consolidated financial statements to correct the error described in Note 15 have been audited by Marcum LLP, an independent registered public accounting firm. The consolidated financial statements as of December 31, 2022 and for the year then ended incorporated by reference in this Prospectus and in the Registration Statement, have been so incorporated in reliance on (i) the report (which contains an explanatory paragraph regarding the Company’s ability to continue as a going concern) of BDO USA, LLP (n/k/a BDO USA, P.C.) solely with respect to those consolidated financial statements before the effects of the adjustments to correct the error described in Note 15, and (ii) the report of Marcum LLP solely with respect to the adjustments to those financial statements to correct the error described in Note 15, given on the authority of said firms as experts in auditing and accounting.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which is part of the registration statement, omits certain information, exhibits, schedules and undertakings set forth in the registration statement. For further information pertaining to us and our securities, reference is made to our SEC filings and the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Securities Exchange Act of 1934, as amended,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https://www.dragonflyenergy.com/,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Information by Reference</w:t>
      </w:r>
      <w:r>
        <w:rPr>
          <w:rFonts w:ascii="Times New Roman" w:cs="Times New Roman" w:eastAsia="Times New Roman" w:hAnsi="Times New Roman"/>
          <w:sz w:val="18"/>
          <w:szCs w:val="18"/>
          <w:color w:val="auto"/>
        </w:rPr>
        <w:t>” below. We have not authorized any other person to provide you with different information. If anyone provides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different or inconsistent information, you should not rely upon it. We are not making an offer to sell these securities in any jurisdiction where the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Annual Report on Form 10-K for the year ended December 31, 2023 (the “Form 10-K”) filed with the SEC on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29, 2024</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35">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May 20, 2024</w:t>
        </w:r>
      </w:hyperlink>
      <w:r>
        <w:rPr>
          <w:rFonts w:ascii="Times New Roman" w:cs="Times New Roman" w:eastAsia="Times New Roman" w:hAnsi="Times New Roman"/>
          <w:sz w:val="18"/>
          <w:szCs w:val="18"/>
          <w:color w:val="auto"/>
        </w:rPr>
        <w:t xml:space="preserve">, and </w:t>
      </w:r>
      <w:hyperlink r:id="rId40">
        <w:r>
          <w:rPr>
            <w:rFonts w:ascii="Times New Roman" w:cs="Times New Roman" w:eastAsia="Times New Roman" w:hAnsi="Times New Roman"/>
            <w:sz w:val="18"/>
            <w:szCs w:val="18"/>
            <w:u w:val="single" w:color="auto"/>
            <w:color w:val="0000EE"/>
          </w:rPr>
          <w:t>June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excluding any information deemed furnished under Items 2.02 or 7.01 of Form 8-K, including the related exhibits, which information is not incorporated by reference herein);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Form 8-A, filed on </w:t>
      </w:r>
      <w:hyperlink r:id="rId41">
        <w:r>
          <w:rPr>
            <w:rFonts w:ascii="Times New Roman" w:cs="Times New Roman" w:eastAsia="Times New Roman" w:hAnsi="Times New Roman"/>
            <w:sz w:val="18"/>
            <w:szCs w:val="18"/>
            <w:u w:val="single" w:color="auto"/>
            <w:color w:val="0000EE"/>
          </w:rPr>
          <w:t>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12(b) of the Exchange Act including any amendments or reports filed for the purpose of updating such description, including </w:t>
      </w:r>
      <w:hyperlink r:id="rId42">
        <w:r>
          <w:rPr>
            <w:rFonts w:ascii="Times New Roman" w:cs="Times New Roman" w:eastAsia="Times New Roman" w:hAnsi="Times New Roman"/>
            <w:sz w:val="18"/>
            <w:szCs w:val="18"/>
            <w:u w:val="single" w:color="auto"/>
            <w:color w:val="0000EE"/>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10-K.</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190 Trademark Dr. #108,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(“FINRA”) filing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r>
      <w:tr>
        <w:trPr>
          <w:trHeight w:val="245"/>
        </w:trPr>
        <w:tc>
          <w:tcPr>
            <w:tcW w:w="9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Paid</w:t>
            </w:r>
          </w:p>
        </w:tc>
      </w:tr>
      <w:tr>
        <w:trPr>
          <w:trHeight w:val="216"/>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84,000</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1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4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r>
      <w:tr>
        <w:trPr>
          <w:trHeight w:val="217"/>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w:t>
      </w:r>
    </w:p>
    <w:p>
      <w:pPr>
        <w:spacing w:after="0" w:line="3" w:lineRule="exact"/>
        <w:rPr>
          <w:sz w:val="20"/>
          <w:szCs w:val="20"/>
          <w:color w:val="auto"/>
        </w:rPr>
      </w:pPr>
    </w:p>
    <w:p>
      <w:pPr>
        <w:jc w:val="both"/>
        <w:ind w:firstLine="8"/>
        <w:spacing w:after="0" w:line="253"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of this Registration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12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 Exhibits: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2"/>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3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60" w:type="dxa"/>
            <w:vAlign w:val="bottom"/>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2460" w:type="dxa"/>
            <w:vAlign w:val="bottom"/>
            <w:tcBorders>
              <w:top w:val="single" w:sz="8" w:color="auto"/>
              <w:bottom w:val="single" w:sz="8" w:color="0000EE"/>
            </w:tcBorders>
            <w:gridSpan w:val="8"/>
          </w:tcPr>
          <w:p>
            <w:pPr>
              <w:spacing w:after="0" w:line="176" w:lineRule="exact"/>
              <w:rPr>
                <w:rFonts w:ascii="Times New Roman" w:cs="Times New Roman" w:eastAsia="Times New Roman" w:hAnsi="Times New Roman"/>
                <w:sz w:val="18"/>
                <w:szCs w:val="18"/>
                <w:color w:val="0000EE"/>
                <w:w w:val="97"/>
              </w:rPr>
            </w:pPr>
            <w:hyperlink r:id="rId46">
              <w:r>
                <w:rPr>
                  <w:rFonts w:ascii="Times New Roman" w:cs="Times New Roman" w:eastAsia="Times New Roman" w:hAnsi="Times New Roman"/>
                  <w:sz w:val="18"/>
                  <w:szCs w:val="18"/>
                  <w:color w:val="0000EE"/>
                  <w:w w:val="97"/>
                </w:rPr>
                <w:t>Form of Underwriting Agreement.</w:t>
              </w:r>
            </w:hyperlink>
          </w:p>
        </w:tc>
        <w:tc>
          <w:tcPr>
            <w:tcW w:w="4040" w:type="dxa"/>
            <w:vAlign w:val="bottom"/>
            <w:tcBorders>
              <w:top w:val="single" w:sz="8" w:color="auto"/>
            </w:tcBorders>
            <w:gridSpan w:val="15"/>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7"/>
                <w:szCs w:val="17"/>
                <w:color w:val="auto"/>
              </w:rPr>
            </w:pPr>
          </w:p>
        </w:tc>
        <w:tc>
          <w:tcPr>
            <w:tcW w:w="6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Agreement and Plan of Merger, dated as of May 15, 2022, by and among Dragonfly</w:t>
              </w:r>
            </w:hyperlink>
          </w:p>
        </w:tc>
        <w:tc>
          <w:tcPr>
            <w:tcW w:w="700" w:type="dxa"/>
            <w:vAlign w:val="bottom"/>
            <w:gridSpan w:val="6"/>
          </w:tcPr>
          <w:p>
            <w:pPr>
              <w:spacing w:after="0"/>
              <w:rPr>
                <w:sz w:val="17"/>
                <w:szCs w:val="17"/>
                <w:color w:val="auto"/>
              </w:rPr>
            </w:pPr>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7/22/2022</w:t>
            </w: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Energy Holdings Corp. (f/k/a Chardan NexTech Acquisition 2 Corp.), Bronco Merger</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Sub, Inc. and Dragonfly Energy Corp. (included as Annex A to the proxy</w:t>
              </w:r>
            </w:hyperlink>
          </w:p>
        </w:tc>
        <w:tc>
          <w:tcPr>
            <w:tcW w:w="5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statement/prospectus).</w:t>
              </w:r>
            </w:hyperlink>
          </w:p>
        </w:tc>
        <w:tc>
          <w:tcPr>
            <w:tcW w:w="1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7"/>
                <w:szCs w:val="17"/>
                <w:color w:val="auto"/>
              </w:rPr>
            </w:pPr>
          </w:p>
        </w:tc>
        <w:tc>
          <w:tcPr>
            <w:tcW w:w="6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Amendment to Agreement and Plan of Merger, dated as of July 12, 2022, by and among</w:t>
              </w:r>
            </w:hyperlink>
          </w:p>
        </w:tc>
        <w:tc>
          <w:tcPr>
            <w:tcW w:w="400" w:type="dxa"/>
            <w:vAlign w:val="bottom"/>
            <w:gridSpan w:val="4"/>
          </w:tcPr>
          <w:p>
            <w:pPr>
              <w:spacing w:after="0"/>
              <w:rPr>
                <w:sz w:val="17"/>
                <w:szCs w:val="17"/>
                <w:color w:val="auto"/>
              </w:rPr>
            </w:pPr>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5"/>
              </w:rPr>
              <w:t>S-4</w:t>
            </w:r>
          </w:p>
        </w:tc>
        <w:tc>
          <w:tcPr>
            <w:tcW w:w="88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2.1(a)</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7/22/2022</w:t>
            </w: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Dragonfly Energy Holdings Corp. (f/k/a Chardan NexTech Acquisition 2 Corp.), Bronco</w:t>
              </w:r>
            </w:hyperlink>
          </w:p>
        </w:tc>
        <w:tc>
          <w:tcPr>
            <w:tcW w:w="3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Merger Sub, Inc. and Dragonfly Energy Corp.</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7"/>
                <w:szCs w:val="17"/>
                <w:color w:val="auto"/>
              </w:rPr>
            </w:pPr>
          </w:p>
        </w:tc>
        <w:tc>
          <w:tcPr>
            <w:tcW w:w="32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Plan of Conversion.</w:t>
              </w:r>
            </w:hyperlink>
          </w:p>
        </w:tc>
        <w:tc>
          <w:tcPr>
            <w:tcW w:w="3440" w:type="dxa"/>
            <w:vAlign w:val="bottom"/>
            <w:gridSpan w:val="12"/>
          </w:tcPr>
          <w:p>
            <w:pPr>
              <w:spacing w:after="0"/>
              <w:rPr>
                <w:sz w:val="17"/>
                <w:szCs w:val="17"/>
                <w:color w:val="auto"/>
              </w:rPr>
            </w:pPr>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7"/>
                <w:szCs w:val="17"/>
                <w:color w:val="auto"/>
              </w:rPr>
            </w:pPr>
          </w:p>
        </w:tc>
        <w:tc>
          <w:tcPr>
            <w:tcW w:w="4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Articles of Incorporation of Dragonfly Energy Holdings Corp.</w:t>
              </w:r>
            </w:hyperlink>
          </w:p>
        </w:tc>
        <w:tc>
          <w:tcPr>
            <w:tcW w:w="2260" w:type="dxa"/>
            <w:vAlign w:val="bottom"/>
            <w:gridSpan w:val="11"/>
          </w:tcPr>
          <w:p>
            <w:pPr>
              <w:spacing w:after="0"/>
              <w:rPr>
                <w:sz w:val="17"/>
                <w:szCs w:val="17"/>
                <w:color w:val="auto"/>
              </w:rPr>
            </w:pPr>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Bylaws of Dragonfly Energy Holdings Corp.</w:t>
              </w:r>
            </w:hyperlink>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Specimen Common Stock Certificate of Dragonfly Energy Holdings Corp.</w:t>
              </w:r>
            </w:hyperlink>
          </w:p>
        </w:tc>
        <w:tc>
          <w:tcPr>
            <w:tcW w:w="9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10/11/2022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53">
              <w:r>
                <w:rPr>
                  <w:rFonts w:ascii="Times New Roman" w:cs="Times New Roman" w:eastAsia="Times New Roman" w:hAnsi="Times New Roman"/>
                  <w:sz w:val="18"/>
                  <w:szCs w:val="18"/>
                  <w:color w:val="0000EE"/>
                  <w:w w:val="96"/>
                </w:rPr>
                <w:t>Form of Investor Warrant.</w:t>
              </w:r>
            </w:hyperlink>
          </w:p>
        </w:tc>
        <w:tc>
          <w:tcPr>
            <w:tcW w:w="3480" w:type="dxa"/>
            <w:vAlign w:val="bottom"/>
            <w:tcBorders>
              <w:top w:val="single" w:sz="8" w:color="0000EE"/>
            </w:tcBorders>
            <w:gridSpan w:val="12"/>
          </w:tcPr>
          <w:p>
            <w:pPr>
              <w:spacing w:after="0"/>
              <w:rPr>
                <w:sz w:val="17"/>
                <w:szCs w:val="17"/>
                <w:color w:val="auto"/>
              </w:rPr>
            </w:pPr>
          </w:p>
        </w:tc>
        <w:tc>
          <w:tcPr>
            <w:tcW w:w="13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7"/>
                <w:szCs w:val="17"/>
                <w:color w:val="auto"/>
              </w:rPr>
            </w:pPr>
          </w:p>
        </w:tc>
        <w:tc>
          <w:tcPr>
            <w:tcW w:w="2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Opinion of Parsons Behle &amp; Latimer.</w:t>
              </w:r>
            </w:hyperlink>
          </w:p>
        </w:tc>
        <w:tc>
          <w:tcPr>
            <w:tcW w:w="40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Opinion of Lowenstein Sandler LLP.</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7"/>
                <w:szCs w:val="17"/>
                <w:color w:val="auto"/>
              </w:rPr>
            </w:pPr>
          </w:p>
        </w:tc>
        <w:tc>
          <w:tcPr>
            <w:tcW w:w="26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P.C.</w:t>
            </w:r>
          </w:p>
        </w:tc>
        <w:tc>
          <w:tcPr>
            <w:tcW w:w="41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Consent of Marcum LLP</w:t>
            </w:r>
          </w:p>
        </w:tc>
        <w:tc>
          <w:tcPr>
            <w:tcW w:w="180" w:type="dxa"/>
            <w:vAlign w:val="bottom"/>
            <w:tcBorders>
              <w:top w:val="single" w:sz="8" w:color="0000EE"/>
            </w:tcBorders>
            <w:gridSpan w:val="3"/>
          </w:tcPr>
          <w:p>
            <w:pPr>
              <w:spacing w:after="0"/>
              <w:rPr>
                <w:sz w:val="17"/>
                <w:szCs w:val="17"/>
                <w:color w:val="auto"/>
              </w:rPr>
            </w:pPr>
          </w:p>
        </w:tc>
        <w:tc>
          <w:tcPr>
            <w:tcW w:w="476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Consent of Parsons Behle &amp; Latimer (included in Exhibit 5.1 hereto).</w:t>
              </w:r>
            </w:hyperlink>
          </w:p>
        </w:tc>
        <w:tc>
          <w:tcPr>
            <w:tcW w:w="17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7"/>
                <w:szCs w:val="17"/>
                <w:color w:val="auto"/>
              </w:rPr>
            </w:pPr>
          </w:p>
        </w:tc>
        <w:tc>
          <w:tcPr>
            <w:tcW w:w="4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Consent of Lowenstein Sandler LLP (included in Exhibit 5.2 hereto).</w:t>
              </w:r>
            </w:hyperlink>
          </w:p>
        </w:tc>
        <w:tc>
          <w:tcPr>
            <w:tcW w:w="17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Power of Attorney (included on the signature page to the prospectus which forms part of</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this registration statement).</w:t>
              </w:r>
            </w:hyperlink>
          </w:p>
        </w:tc>
        <w:tc>
          <w:tcPr>
            <w:tcW w:w="4400" w:type="dxa"/>
            <w:vAlign w:val="bottom"/>
            <w:tcBorders>
              <w:top w:val="single" w:sz="8" w:color="0000EE"/>
            </w:tcBorders>
            <w:gridSpan w:val="15"/>
          </w:tcPr>
          <w:p>
            <w:pPr>
              <w:spacing w:after="0"/>
              <w:rPr>
                <w:sz w:val="17"/>
                <w:szCs w:val="17"/>
                <w:color w:val="auto"/>
              </w:rPr>
            </w:pPr>
          </w:p>
        </w:tc>
        <w:tc>
          <w:tcPr>
            <w:tcW w:w="3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7"/>
                <w:szCs w:val="17"/>
                <w:color w:val="auto"/>
              </w:rPr>
            </w:pPr>
          </w:p>
        </w:tc>
        <w:tc>
          <w:tcPr>
            <w:tcW w:w="672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Filing Fee Exhibit.</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9920" w:firstLine="8"/>
        <w:spacing w:after="0" w:line="261" w:lineRule="auto"/>
        <w:tabs>
          <w:tab w:leader="none" w:pos="1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schedules and exhibits to the agreement have been omitted pursuant to Item 601(b)(2) of Regulation S-K. A copy of any omitted schedule and/or exhibit will be furnished to the Securities and Exchange Commission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Reno, State of Nevada, on June 21,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Chief Executive Officer and Interim Chief</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236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/s/ Denis Phares</w:t>
            </w:r>
          </w:p>
        </w:tc>
        <w:tc>
          <w:tcPr>
            <w:tcW w:w="220" w:type="dxa"/>
            <w:vAlign w:val="bottom"/>
          </w:tcPr>
          <w:p>
            <w:pPr>
              <w:spacing w:after="0"/>
              <w:rPr>
                <w:sz w:val="24"/>
                <w:szCs w:val="24"/>
                <w:color w:val="auto"/>
              </w:rPr>
            </w:pPr>
          </w:p>
        </w:tc>
        <w:tc>
          <w:tcPr>
            <w:tcW w:w="58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Chairman, President, Chief Executive Officer 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28"/>
        </w:trPr>
        <w:tc>
          <w:tcPr>
            <w:tcW w:w="5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5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360" w:type="dxa"/>
            <w:vAlign w:val="bottom"/>
          </w:tcPr>
          <w:p>
            <w:pPr>
              <w:jc w:val="center"/>
              <w:ind w:right="490"/>
              <w:spacing w:after="0" w:line="182" w:lineRule="exact"/>
              <w:rPr>
                <w:sz w:val="20"/>
                <w:szCs w:val="20"/>
                <w:color w:val="auto"/>
              </w:rPr>
            </w:pPr>
            <w:r>
              <w:rPr>
                <w:rFonts w:ascii="Times New Roman" w:cs="Times New Roman" w:eastAsia="Times New Roman" w:hAnsi="Times New Roman"/>
                <w:sz w:val="18"/>
                <w:szCs w:val="18"/>
                <w:color w:val="auto"/>
                <w:w w:val="99"/>
              </w:rPr>
              <w:t>Denis Phares</w:t>
            </w:r>
          </w:p>
        </w:tc>
        <w:tc>
          <w:tcPr>
            <w:tcW w:w="220" w:type="dxa"/>
            <w:vAlign w:val="bottom"/>
          </w:tcPr>
          <w:p>
            <w:pPr>
              <w:spacing w:after="0"/>
              <w:rPr>
                <w:sz w:val="15"/>
                <w:szCs w:val="15"/>
                <w:color w:val="auto"/>
              </w:rPr>
            </w:pPr>
          </w:p>
        </w:tc>
        <w:tc>
          <w:tcPr>
            <w:tcW w:w="5840" w:type="dxa"/>
            <w:vAlign w:val="bottom"/>
            <w:gridSpan w:val="3"/>
          </w:tcPr>
          <w:p>
            <w:pPr>
              <w:jc w:val="center"/>
              <w:ind w:right="260"/>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(Principal Executive Officer and</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Luisa Ingargiola</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Perry Boyle</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Rick Parod</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34"/>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Karina Montilla Edmonds</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3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c>
          <w:tcPr>
            <w:tcW w:w="22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3"/>
          </w:tcPr>
          <w:p>
            <w:pPr>
              <w:ind w:left="2320"/>
              <w:spacing w:after="0"/>
              <w:rPr>
                <w:sz w:val="20"/>
                <w:szCs w:val="20"/>
                <w:color w:val="auto"/>
              </w:rPr>
            </w:pPr>
            <w:r>
              <w:rPr>
                <w:rFonts w:ascii="Times New Roman" w:cs="Times New Roman" w:eastAsia="Times New Roman" w:hAnsi="Times New Roman"/>
                <w:sz w:val="18"/>
                <w:szCs w:val="18"/>
                <w:color w:val="auto"/>
              </w:rPr>
              <w:t>II-5</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April 17, 2023, relating to the consolidated financial statements of Dragonfly Energy Holdings Corp. (the Company) appearing in the Company’s Annual Report on Form 10-K for the year ended December 31, 2023.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Dragonfly Energy Holding Corp. on Post-Effective Amendment No. 1 to Form S-1 on Form S-3 (File No. 333-272401) of our report dated April 16, 2024 with includes an explanatory paragraph as to Dragonfly Energy Holding Corp.’s ability to continue as a going concern, with respect to our audit of the consolidated financial statements of Dragonfly Energy Holding Corp. as of December 31, 2023 and for the year ended December 31, 2023 appearing in the Annual Report on Form 10-K of Dragonfly Energy Holding Corp. for the year ended December 31, 2023. We also consent to the reference to our firm under the heading “Experts” in the Prospectus, which is part of this Registration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contains an explanatory paragraph regarding adjustments described in Note 15 to the consolidated financial statements that were applied to revise the 2022 financial statements to correct an error. We were not engaged to audit, review, or apply any procedures to the 2022 financial statements of the Company other than with respect to the adjustments and, accordingly, we do not express an opinion or any other form of assurance on the 2022 financial statements taken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Roman"/>
      <w:start w:val="3"/>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34" Type="http://schemas.openxmlformats.org/officeDocument/2006/relationships/hyperlink" Target="https://www.sec.gov/Archives/edgar/data/1847986/000149315224017000/form10-ka.htm" TargetMode="External"/><Relationship Id="rId35" Type="http://schemas.openxmlformats.org/officeDocument/2006/relationships/hyperlink" Target="https://www.sec.gov/Archives/edgar/data/1847986/000149315224019360/form10-q.htm" TargetMode="External"/><Relationship Id="rId36" Type="http://schemas.openxmlformats.org/officeDocument/2006/relationships/hyperlink" Target="https://www.sec.gov/Archives/edgar/data/1847986/000149315224008733/form8-k.htm" TargetMode="External"/><Relationship Id="rId37" Type="http://schemas.openxmlformats.org/officeDocument/2006/relationships/hyperlink" Target="https://www.sec.gov/Archives/edgar/data/1847986/000149315224008722/form8-k.htm" TargetMode="External"/><Relationship Id="rId38" Type="http://schemas.openxmlformats.org/officeDocument/2006/relationships/hyperlink" Target="https://www.sec.gov/Archives/edgar/data/1847986/000149315224015569/form8-k.htm" TargetMode="External"/><Relationship Id="rId39" Type="http://schemas.openxmlformats.org/officeDocument/2006/relationships/hyperlink" Target="https://www.sec.gov/Archives/edgar/data/1847986/000149315224020704/form8-k.htm" TargetMode="External"/><Relationship Id="rId40" Type="http://schemas.openxmlformats.org/officeDocument/2006/relationships/hyperlink" Target="https://www.sec.gov/Archives/edgar/data/1847986/000149315224023482/form8-k.htm" TargetMode="External"/><Relationship Id="rId41" Type="http://schemas.openxmlformats.org/officeDocument/2006/relationships/hyperlink" Target="https://www.sec.gov/Archives/edgar/data/1847986/000110465921102670/tm2124648d1_8a12b.htm" TargetMode="External"/><Relationship Id="rId42" Type="http://schemas.openxmlformats.org/officeDocument/2006/relationships/hyperlink" Target="https://www.sec.gov/Archives/edgar/data/1847986/000149315224014831/ex4-10.htm" TargetMode="External"/><Relationship Id="rId46" Type="http://schemas.openxmlformats.org/officeDocument/2006/relationships/hyperlink" Target="https://www.sec.gov/Archives/edgar/data/1847986/000149315223021293/ex1-1.htm" TargetMode="External"/><Relationship Id="rId47" Type="http://schemas.openxmlformats.org/officeDocument/2006/relationships/hyperlink" Target="https://www.sec.gov/Archives/edgar/data/1847986/000110465922081684/cntq-20210630xs4.htm#AnnexA_168524" TargetMode="External"/><Relationship Id="rId48" Type="http://schemas.openxmlformats.org/officeDocument/2006/relationships/hyperlink" Target="https://www.sec.gov/Archives/edgar/data/1847986/000110465922081684/cntq-20210630xex2d1a.htm" TargetMode="External"/><Relationship Id="rId49" Type="http://schemas.openxmlformats.org/officeDocument/2006/relationships/hyperlink" Target="https://www.sec.gov/Archives/edgar/data/1847986/000149315223010262/ex2-1.htm" TargetMode="External"/><Relationship Id="rId50" Type="http://schemas.openxmlformats.org/officeDocument/2006/relationships/hyperlink" Target="https://www.sec.gov/Archives/edgar/data/1847986/000149315223010262/ex3-1.htm" TargetMode="External"/><Relationship Id="rId51" Type="http://schemas.openxmlformats.org/officeDocument/2006/relationships/hyperlink" Target="https://www.sec.gov/Archives/edgar/data/1847986/000149315223010262/ex3-2.htm" TargetMode="External"/><Relationship Id="rId52" Type="http://schemas.openxmlformats.org/officeDocument/2006/relationships/hyperlink" Target="https://www.sec.gov/Archives/edgar/data/1847986/000110465922107212/tm2222125d3_ex4-1.htm" TargetMode="External"/><Relationship Id="rId53" Type="http://schemas.openxmlformats.org/officeDocument/2006/relationships/hyperlink" Target="https://www.sec.gov/Archives/edgar/data/1847986/000149315223021293/ex4-9.htm" TargetMode="External"/><Relationship Id="rId54" Type="http://schemas.openxmlformats.org/officeDocument/2006/relationships/hyperlink" Target="https://www.sec.gov/Archives/edgar/data/1847986/000149315223021293/ex5-1.htm" TargetMode="External"/><Relationship Id="rId55" Type="http://schemas.openxmlformats.org/officeDocument/2006/relationships/hyperlink" Target="https://www.sec.gov/Archives/edgar/data/1847986/000149315223021293/ex5-2.htm" TargetMode="External"/><Relationship Id="rId56" Type="http://schemas.openxmlformats.org/officeDocument/2006/relationships/hyperlink" Target="https://www.sec.gov/Archives/edgar/data/1847986/000149315223021293/forms-1a.htm#Ha_001" TargetMode="External"/><Relationship Id="rId57" Type="http://schemas.openxmlformats.org/officeDocument/2006/relationships/hyperlink" Target="https://www.sec.gov/Archives/edgar/data/1847986/000149315223021293/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2024-06-21T15:18:45Z</dcterms:created>
  <dcterms:modified xsi:type="dcterms:W3CDTF">2024-06-21T15:18:45Z</dcterms:modified>
</cp:coreProperties>
</file>