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12, 2022 (October 7,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296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Reno, Nevada 89521</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(775) 622-3448</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Chardan NexTech Acquisition 2 Corp.</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17 State Street, 21st Floor</w:t>
            </w:r>
          </w:p>
        </w:tc>
        <w:tc>
          <w:tcPr>
            <w:tcW w:w="2820" w:type="dxa"/>
            <w:vAlign w:val="bottom"/>
          </w:tcPr>
          <w:p>
            <w:pPr>
              <w:spacing w:after="0"/>
              <w:rPr>
                <w:sz w:val="18"/>
                <w:szCs w:val="18"/>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New York, New York 10004</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187"/>
        </w:trPr>
        <w:tc>
          <w:tcPr>
            <w:tcW w:w="53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16"/>
                <w:szCs w:val="16"/>
                <w:color w:val="auto"/>
              </w:rPr>
            </w:pPr>
          </w:p>
        </w:tc>
        <w:tc>
          <w:tcPr>
            <w:tcW w:w="2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DFLI</w:t>
            </w:r>
          </w:p>
        </w:tc>
        <w:tc>
          <w:tcPr>
            <w:tcW w:w="120" w:type="dxa"/>
            <w:vAlign w:val="bottom"/>
          </w:tcPr>
          <w:p>
            <w:pPr>
              <w:spacing w:after="0"/>
              <w:rPr>
                <w:sz w:val="16"/>
                <w:szCs w:val="16"/>
                <w:color w:val="auto"/>
              </w:rPr>
            </w:pPr>
          </w:p>
        </w:tc>
        <w:tc>
          <w:tcPr>
            <w:tcW w:w="3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The Nasdaq Global Market</w:t>
            </w:r>
          </w:p>
        </w:tc>
        <w:tc>
          <w:tcPr>
            <w:tcW w:w="0" w:type="dxa"/>
            <w:vAlign w:val="bottom"/>
          </w:tcPr>
          <w:p>
            <w:pPr>
              <w:spacing w:after="0"/>
              <w:rPr>
                <w:sz w:val="1"/>
                <w:szCs w:val="1"/>
                <w:color w:val="auto"/>
              </w:rPr>
            </w:pPr>
          </w:p>
        </w:tc>
      </w:tr>
      <w:tr>
        <w:trPr>
          <w:trHeight w:val="216"/>
        </w:trPr>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Redeemable warrants, exercisable for common stock at an exercise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$11.50 per share, subject to adjustment</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DFLIW</w:t>
            </w: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7"/>
          <w:szCs w:val="17"/>
          <w:color w:val="auto"/>
        </w:rPr>
        <w:t>Emerging growth company x</w:t>
      </w:r>
    </w:p>
    <w:p>
      <w:pPr>
        <w:spacing w:after="0" w:line="237"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to the Current Report on Form 8-K amends Item 2.01 of the Current Report on Form 8-K filed on October 7, 2022 (the “</w:t>
      </w:r>
      <w:r>
        <w:rPr>
          <w:rFonts w:ascii="Times New Roman" w:cs="Times New Roman" w:eastAsia="Times New Roman" w:hAnsi="Times New Roman"/>
          <w:sz w:val="18"/>
          <w:szCs w:val="18"/>
          <w:u w:val="single" w:color="auto"/>
          <w:color w:val="auto"/>
        </w:rPr>
        <w:t>Original Form 8-K</w:t>
      </w:r>
      <w:r>
        <w:rPr>
          <w:rFonts w:ascii="Times New Roman" w:cs="Times New Roman" w:eastAsia="Times New Roman" w:hAnsi="Times New Roman"/>
          <w:sz w:val="18"/>
          <w:szCs w:val="18"/>
          <w:color w:val="auto"/>
        </w:rPr>
        <w:t>”) solely to correct the number of shares and related disclosures in the Beneficial Ownership Table. The Beneficial Ownership Table in Item 2.01 of the Original Form 8-K is corrected as follows: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beneficial ownership of Common Stock is based on 44,848,686 shares of Common Stock issued and outstanding immediately following consummation of the Transactions, including the redemption of public shares of Common Stock as described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0"/>
        </w:trPr>
        <w:tc>
          <w:tcPr>
            <w:tcW w:w="456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8400" w:type="dxa"/>
            <w:vAlign w:val="bottom"/>
            <w:gridSpan w:val="4"/>
          </w:tcPr>
          <w:p>
            <w:pPr>
              <w:ind w:left="260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09"/>
        </w:trPr>
        <w:tc>
          <w:tcPr>
            <w:tcW w:w="83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Dynavolt Technology (HK) Ltd.</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11,820,900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r>
      <w:tr>
        <w:trPr>
          <w:trHeight w:val="256"/>
        </w:trPr>
        <w:tc>
          <w:tcPr>
            <w:tcW w:w="840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Jonas Grossman</w:t>
            </w:r>
            <w:r>
              <w:rPr>
                <w:rFonts w:ascii="Times New Roman" w:cs="Times New Roman" w:eastAsia="Times New Roman" w:hAnsi="Times New Roman"/>
                <w:sz w:val="29"/>
                <w:szCs w:val="29"/>
                <w:color w:val="auto"/>
                <w:vertAlign w:val="superscript"/>
              </w:rPr>
              <w:t>(1)(2)(3)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3,530,500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57"/>
        </w:trPr>
        <w:tc>
          <w:tcPr>
            <w:tcW w:w="840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Chardan NexTech Investments 2 LLC</w:t>
            </w:r>
            <w:r>
              <w:rPr>
                <w:rFonts w:ascii="Times New Roman" w:cs="Times New Roman" w:eastAsia="Times New Roman" w:hAnsi="Times New Roman"/>
                <w:sz w:val="29"/>
                <w:szCs w:val="29"/>
                <w:color w:val="auto"/>
                <w:vertAlign w:val="superscript"/>
              </w:rPr>
              <w:t>(1)(3)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3,030,500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Gong</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2,364,180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840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Dr. Denis Phares</w:t>
            </w:r>
            <w:r>
              <w:rPr>
                <w:rFonts w:ascii="Times New Roman" w:cs="Times New Roman" w:eastAsia="Times New Roman" w:hAnsi="Times New Roman"/>
                <w:sz w:val="29"/>
                <w:szCs w:val="29"/>
                <w:color w:val="auto"/>
                <w:vertAlign w:val="superscript"/>
              </w:rPr>
              <w:t>(4)(5)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15,899,110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r>
      <w:tr>
        <w:trPr>
          <w:trHeight w:val="257"/>
        </w:trPr>
        <w:tc>
          <w:tcPr>
            <w:tcW w:w="840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9"/>
                <w:szCs w:val="29"/>
                <w:color w:val="auto"/>
                <w:vertAlign w:val="superscript"/>
              </w:rPr>
              <w:t>(4)(6)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3,558,683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11,821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Rick Parod</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5" w:lineRule="exact"/>
        <w:rPr>
          <w:sz w:val="20"/>
          <w:szCs w:val="20"/>
          <w:color w:val="auto"/>
        </w:rPr>
      </w:pPr>
    </w:p>
    <w:p>
      <w:pPr>
        <w:jc w:val="both"/>
        <w:ind w:left="660" w:hanging="652"/>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Chardan Capital Markets LLC or its affiliates, have direct or indirect membership interests in Sponsor, and thus have pecuniary interests in certain of the reported shares. The business address of Sponsor and Mr. Grossman is 17 State Street, 21st Floor, New York, NY 10004.</w:t>
      </w:r>
    </w:p>
    <w:p>
      <w:pPr>
        <w:spacing w:after="0" w:line="3"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485,000 shares purchased by Chardan Capital Markets LLC, a New York limited liability company (“CCM LLC”), in the open market in satisfaction of a portion of its purchase commitment under the Subscription Agreement and 15,000 shares issued pursuant to the Subscription Agreement. CCM LLC is a broker-dealer and a member of the Financial Industry Regulatory Authority, Inc. Mr. Kerry Popper, Mr. Steven Urbach and Mr. Jonas Grossman, are CCM LLC’s Chairman, Chief Executive Officer and President, respectively, and are each Members and Managers of Chardan Securities LLC, which holds a controlling interest in CCM LLC. The foregoing should not be construed in and of itself as an admission by any of Mr. Popper, Mr. Urbach or Mr. Grossman as to beneficial ownership of the securities beneficially owned by CCM LLC. The business address of CCM LLC is 17 State Street, Suite 2130, New York, NY 10004.</w:t>
      </w:r>
    </w:p>
    <w:p>
      <w:pPr>
        <w:spacing w:after="0" w:line="2"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Chardan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9"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1 makes no other changes to the Original Form 8-K as filed with the SEC on October 7, 2022, and no attempt has been made in this Amendment No. 1 to modify or update the other disclosures presented in the Original Form 8-K. This Amendment No. 1 does not reflect subsequent events occurring after the original filing of the Original Form 8-K (i.e., those events occurring after October 7, 2022) or modify or update in any way those disclosures that may be affected by subsequent events. Accordingly, this Amendment No. 1 should be read in conjunction with the Original Form 8-K and our other filings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880" w:type="dxa"/>
            <w:vAlign w:val="bottom"/>
          </w:tcPr>
          <w:p>
            <w:pPr>
              <w:spacing w:after="0"/>
              <w:rPr>
                <w:sz w:val="20"/>
                <w:szCs w:val="20"/>
                <w:color w:val="auto"/>
              </w:rPr>
            </w:pPr>
          </w:p>
        </w:tc>
      </w:tr>
      <w:tr>
        <w:trPr>
          <w:trHeight w:val="44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2"/>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104</w:t>
            </w:r>
          </w:p>
        </w:tc>
        <w:tc>
          <w:tcPr>
            <w:tcW w:w="22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Cover Page Interactive Data File (embedded within the Inline XBRL document)</w:t>
            </w:r>
          </w:p>
        </w:tc>
      </w:tr>
    </w:tbl>
    <w:p>
      <w:pPr>
        <w:sectPr>
          <w:pgSz w:w="11900" w:h="16838" w:orient="portrait"/>
          <w:cols w:equalWidth="0" w:num="1">
            <w:col w:w="11240"/>
          </w:cols>
          <w:pgMar w:left="320" w:top="900" w:right="339" w:bottom="74"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October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Denis Phares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2022-10-13T05:13:15Z</dcterms:created>
  <dcterms:modified xsi:type="dcterms:W3CDTF">2022-10-13T05:13:15Z</dcterms:modified>
</cp:coreProperties>
</file>