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4, 2022 (October 11,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DRAGONFLY ENERGY HOLDINGS CORP.</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2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001-40730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85-1873463</w:t>
            </w:r>
          </w:p>
        </w:tc>
      </w:tr>
      <w:tr>
        <w:trPr>
          <w:trHeight w:val="198"/>
        </w:trPr>
        <w:tc>
          <w:tcPr>
            <w:tcW w:w="3020" w:type="dxa"/>
            <w:vAlign w:val="bottom"/>
            <w:tcBorders>
              <w:top w:val="single" w:sz="8" w:color="auto"/>
            </w:tcBorders>
          </w:tcPr>
          <w:p>
            <w:pPr>
              <w:jc w:val="center"/>
              <w:ind w:left="71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2820" w:type="dxa"/>
            <w:vAlign w:val="bottom"/>
          </w:tcPr>
          <w:p>
            <w:pPr>
              <w:spacing w:after="0"/>
              <w:rPr>
                <w:sz w:val="24"/>
                <w:szCs w:val="24"/>
                <w:color w:val="auto"/>
              </w:rPr>
            </w:pPr>
          </w:p>
        </w:tc>
      </w:tr>
      <w:tr>
        <w:trPr>
          <w:trHeight w:val="220"/>
        </w:trPr>
        <w:tc>
          <w:tcPr>
            <w:tcW w:w="3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Reno, Nevada 89521</w:t>
            </w:r>
          </w:p>
        </w:tc>
        <w:tc>
          <w:tcPr>
            <w:tcW w:w="2820" w:type="dxa"/>
            <w:vAlign w:val="bottom"/>
          </w:tcPr>
          <w:p>
            <w:pPr>
              <w:spacing w:after="0"/>
              <w:rPr>
                <w:sz w:val="19"/>
                <w:szCs w:val="19"/>
                <w:color w:val="auto"/>
              </w:rPr>
            </w:pPr>
          </w:p>
        </w:tc>
      </w:tr>
      <w:tr>
        <w:trPr>
          <w:trHeight w:val="234"/>
        </w:trPr>
        <w:tc>
          <w:tcPr>
            <w:tcW w:w="3020" w:type="dxa"/>
            <w:vAlign w:val="bottom"/>
          </w:tcPr>
          <w:p>
            <w:pPr>
              <w:spacing w:after="0"/>
              <w:rPr>
                <w:sz w:val="20"/>
                <w:szCs w:val="20"/>
                <w:color w:val="auto"/>
              </w:rPr>
            </w:pPr>
          </w:p>
        </w:tc>
        <w:tc>
          <w:tcPr>
            <w:tcW w:w="54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4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(775) 622-3448</w:t>
            </w:r>
          </w:p>
        </w:tc>
        <w:tc>
          <w:tcPr>
            <w:tcW w:w="282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DFLI</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194"/>
        </w:trPr>
        <w:tc>
          <w:tcPr>
            <w:tcW w:w="39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exercisable for common</w:t>
            </w:r>
          </w:p>
        </w:tc>
        <w:tc>
          <w:tcPr>
            <w:tcW w:w="37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rPr>
              <w:t>DFLIW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at an exercise price of $11.50 per share,</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subject to adjustment</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17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On October 11, 2022, Dragonfly Energy Holdings Corp.,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entered into employment agreements with each of Dr. Denis Phares, the Company’s Chief Executive Officer, and Mr. John Marchetti, the Company’s Chief Financial Officer.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the Company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of the Board of Directors (the “Board”). Each agreement also includes non-competition and non-solicitation covenants that apply for 12 months following the executive’s termination of employment, and certain confidentiality and other covenants.</w:t>
      </w:r>
    </w:p>
    <w:p>
      <w:pPr>
        <w:spacing w:after="0" w:line="17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If the executive’s employment is terminated by the Company without “cause” or by the executive for “good reason” (as such terms are defined in the employment agreement) and other than a termination in connection with a change in control as described below, the executive would be entitled to receive</w:t>
      </w:r>
    </w:p>
    <w:p>
      <w:pPr>
        <w:spacing w:after="0" w:line="1" w:lineRule="exact"/>
        <w:rPr>
          <w:sz w:val="20"/>
          <w:szCs w:val="20"/>
          <w:color w:val="auto"/>
        </w:rPr>
      </w:pPr>
    </w:p>
    <w:p>
      <w:pPr>
        <w:ind w:right="20" w:firstLine="8"/>
        <w:spacing w:after="0" w:line="252"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the Company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the executive’s employment is terminated by the Company without cause (or as a result of the Company’s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the Company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his providing a release of claims to the Company and his continued compliance with the restrictive covenants in favor of the Company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Operating Officer</w:t>
      </w:r>
    </w:p>
    <w:p>
      <w:pPr>
        <w:spacing w:after="0" w:line="2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to pursue other interests. His last day of employment will be November 7, 2022. Mr. Nichols and the Company have entered into a separation and release agreement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that became effective and fully irrevocable on November 2, 2022. Pursuant to the Separation Agreement,</w:t>
      </w:r>
    </w:p>
    <w:p>
      <w:pPr>
        <w:spacing w:after="0" w:line="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November 4, 2022, the Company issued a press release announcing the appointment of Nicole Harvey as its Chief Legal Officer, Wade Seaburg as its Chief Revenue Officer and Tyler Bourns as its Chief Marketing Officer, and the departure of Sean Nichols as its Chief Operating Officer. A copy of the press release is attached as Exhibit 99.1 hereto and is hereby incorporated by reference in its entirety.</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7.01 (including Exhibit 99.1)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32"/>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 of the Company dated November 4, 2022.</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Denis Phares</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480" w:type="dxa"/>
            <w:vAlign w:val="bottom"/>
            <w:vMerge w:val="restart"/>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Denis Phares</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156845</wp:posOffset>
            </wp:positionV>
            <wp:extent cx="1139825"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982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Expands Executive Team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RENO, NEVADA (November 4, 2022) </w:t>
      </w:r>
      <w:r>
        <w:rPr>
          <w:rFonts w:ascii="Times New Roman" w:cs="Times New Roman" w:eastAsia="Times New Roman" w:hAnsi="Times New Roman"/>
          <w:sz w:val="18"/>
          <w:szCs w:val="18"/>
          <w:color w:val="auto"/>
        </w:rPr>
        <w:t>— Dragonfly Energy Holdings Corp. (“Dragonfly” or the “Company”) (Nasdaq: DFLI), an industry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storage and producer of deep cycle lithium-ion storage batteries, is pleased to announce several executive level promotions to support its strategic initiatives. The promotions will be effective immediately, and these executives will join Chief Financial Officer, John Marchetti, in providing leadership across all key functions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pleased to be able to elevate so many talented professionals to Dragonfly’s executive ranks,” said Denis Phares, CEO of Dragonfly Energy. “These appointments are another important milestone in Dragonfly’s continuing growth and development as a public company. The leadership and experience that each of these individuals bring to the company will help us continue to be a leader in the evolution to smart energy storage solutions that enable the widespread adoption of safe, affordable renewable energy.”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Ms. Nicole Harvey has been promoted to Chief Legal Officer</w:t>
      </w:r>
      <w:r>
        <w:rPr>
          <w:rFonts w:ascii="Times New Roman" w:cs="Times New Roman" w:eastAsia="Times New Roman" w:hAnsi="Times New Roman"/>
          <w:sz w:val="18"/>
          <w:szCs w:val="18"/>
          <w:color w:val="auto"/>
        </w:rPr>
        <w:t>, responsible for the company’s corporate law and governance, 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relations, risk management and corporate compliance functions. Ms. Harvey joined Dragonfly in 2021, bringing more than 14 years of legal and compliance experience through her various roles in public and private practice, including serving as senior counsel for the Corix Group of Companies and as regulatory compliance manager for Harley-Davidson Financial Services.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Mr. Wade Seaburg has been promoted to Chief Revenue Officer</w:t>
      </w:r>
      <w:r>
        <w:rPr>
          <w:rFonts w:ascii="Times New Roman" w:cs="Times New Roman" w:eastAsia="Times New Roman" w:hAnsi="Times New Roman"/>
          <w:sz w:val="18"/>
          <w:szCs w:val="18"/>
          <w:color w:val="auto"/>
        </w:rPr>
        <w:t>, responsible for Dragonfly’s sales, business development and revenue growth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diversification efforts. Mr. Seaburg began working with Dragonfly in 2018, bringing more than 20 years of demonstrated growth and success in consumer and industrial markets. Earlier in his career, he held various sales leadership positions at WESCO Distribution and Eaton Electrical.</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Mr. Tyler Bourns has been promoted to Chief Marketing Officer</w:t>
      </w:r>
      <w:r>
        <w:rPr>
          <w:rFonts w:ascii="Times New Roman" w:cs="Times New Roman" w:eastAsia="Times New Roman" w:hAnsi="Times New Roman"/>
          <w:sz w:val="18"/>
          <w:szCs w:val="18"/>
          <w:color w:val="auto"/>
        </w:rPr>
        <w:t>. Mr. Bourns joined Dragonfly in 2021 and brings more than 15 years of sustained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 producing award-winning content for global brands. A three-time Emmy Award winner, he has produced and filmed thought-leading content for such recognized brands as Panasonic, GE Energy and Terrasmart.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expansion of Dragonfly’s senior executive team follows the recent completion of the company’s public listing on Nasdaq.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these appointments, Dragonfly announced that Chief Operating Officer Sean Nichols will be leaving the company to pursue other interests. Mr. Phares commented, “Sean has been critical to the growth and success of Dragonfly Energy. He and I have worked side-by-side for the last nine years and I could not have asked for a better partner, leader and friend. I wish Sean nothing but the best as he moves on to his next entrepreneurial opportunity.”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Dragonfly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Dragonfly Energy Holdings Corp. (Nasdaq: DFLI)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8"/>
          <w:szCs w:val="18"/>
          <w:u w:val="single" w:color="auto"/>
          <w:color w:val="auto"/>
        </w:rPr>
        <w:t>www.dragonflyenergy.com/investors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future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Company’s ability to recognize the anticipated benefits of the of the Company’s recent business combination with Chardan NexTech Acquisition 2 Corp. and related transactions; the Company’s ability to successfully increase market penetration into target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post-closing ability to access capital as and when needed under its $150 million ChEF Equity Facility; the Company’s ability to protect its patents and other intellectual property; the Company’s ability to successfully optimize solid state cells and to produce commercially viable solid state cells in a timely manner or at all, and to scale to mass production; the Company’s ability to achieve the anticipated benefits of its customer arrangements with THOR Industries and THOR Industries’ affiliated brands (including Keystone RV Company); the impact of the coronavirus disease pandemic, including any mutations or variants thereof and/or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Registration Statement on Form S-4 relating to the business combination declared effective by the U.S. Securities and Exchange Commission the (“SEC”) on September 16, 2022, in the Company’s Current Report on Form 8-K filed with the SEC on October 7, 2022, as amended by the Amendment No. 1 to the Current Report on Form 8-K/A filed with the SEC on October 12, 2022, and in the Company’s subsequent filings with the SEC.</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Dragonfly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Sioban Hickie, ICR,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2022-11-04T08:10:30Z</dcterms:created>
  <dcterms:modified xsi:type="dcterms:W3CDTF">2022-11-04T08:10:30Z</dcterms:modified>
</cp:coreProperties>
</file>