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November 21, 2023</w:t>
      </w:r>
    </w:p>
    <w:p>
      <w:pPr>
        <w:spacing w:after="0" w:line="22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i w:val="1"/>
          <w:iCs w:val="1"/>
          <w:color w:val="auto"/>
        </w:rPr>
        <w:t>VIA EDGAR</w:t>
      </w:r>
    </w:p>
    <w:p>
      <w:pPr>
        <w:spacing w:after="0" w:line="22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United States Securities and Exchange Commission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Division of Corporation Finance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100 F Street, N.E.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Washington, D.C. 20549</w:t>
      </w:r>
    </w:p>
    <w:p>
      <w:pPr>
        <w:spacing w:after="0" w:line="20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Re: Dragonfly Energy Holdings Corp. (the “Company”)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3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Registration Statement on Form S-3 (File No. 333-275559)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Ladies and Gentlemen: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jc w:val="both"/>
        <w:ind w:firstLine="648"/>
        <w:spacing w:after="0" w:line="26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In accordance with Rule 461 under the Securities Act of 1933, as amended, the Company hereby requests that the above-referenced Registration Statement (the “</w:t>
      </w: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Registration Statement</w:t>
      </w: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”) be declared effective by the Securities and Exchange Commission at 5:00 p.m., Eastern Time, on November 24, 2023, or as soon as practicable thereafter.</w:t>
      </w:r>
    </w:p>
    <w:p>
      <w:pPr>
        <w:spacing w:after="0" w:line="176" w:lineRule="exact"/>
        <w:rPr>
          <w:sz w:val="24"/>
          <w:szCs w:val="24"/>
          <w:color w:val="auto"/>
        </w:rPr>
      </w:pPr>
    </w:p>
    <w:p>
      <w:pPr>
        <w:jc w:val="both"/>
        <w:ind w:right="20" w:firstLine="648"/>
        <w:spacing w:after="0" w:line="282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Please call Steven M. Skolnick of Lowenstein Sandler LLP at (973) 597-2476 to confirm the effectiveness of the Registration Statement or with any questions.</w:t>
      </w:r>
    </w:p>
    <w:p>
      <w:pPr>
        <w:spacing w:after="0" w:line="162" w:lineRule="exact"/>
        <w:rPr>
          <w:sz w:val="24"/>
          <w:szCs w:val="24"/>
          <w:color w:val="auto"/>
        </w:rPr>
      </w:pPr>
    </w:p>
    <w:p>
      <w:pPr>
        <w:ind w:left="56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Sincerely,</w:t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56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DRAGONFLY ENERGY HOLDINGS CORP.</w:t>
      </w:r>
    </w:p>
    <w:p>
      <w:pPr>
        <w:spacing w:after="0" w:line="227" w:lineRule="exact"/>
        <w:rPr>
          <w:sz w:val="24"/>
          <w:szCs w:val="24"/>
          <w:color w:val="auto"/>
        </w:rPr>
      </w:pPr>
    </w:p>
    <w:p>
      <w:pPr>
        <w:ind w:left="5640"/>
        <w:spacing w:after="0"/>
        <w:tabs>
          <w:tab w:leader="none" w:pos="61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By: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8"/>
          <w:szCs w:val="18"/>
          <w:i w:val="1"/>
          <w:iCs w:val="1"/>
          <w:color w:val="auto"/>
        </w:rPr>
        <w:t>/s/ Denis Phares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56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Name: Denis Phares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3931285</wp:posOffset>
            </wp:positionH>
            <wp:positionV relativeFrom="paragraph">
              <wp:posOffset>-127635</wp:posOffset>
            </wp:positionV>
            <wp:extent cx="3206115" cy="171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6115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ind w:left="5640"/>
        <w:spacing w:after="0"/>
        <w:tabs>
          <w:tab w:leader="none" w:pos="61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Title: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President, Chief Executive Officer, Interim Chief Financial Officer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62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and Chairman of the Board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280035</wp:posOffset>
            </wp:positionV>
            <wp:extent cx="7132320" cy="171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0" w:num="1">
        <w:col w:w="11240"/>
      </w:cols>
      <w:pgMar w:left="320" w:top="445" w:right="3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png"/><Relationship Id="rId9" Type="http://schemas.openxmlformats.org/officeDocument/2006/relationships/image" Target="media/image2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2023-12-22T23:10:38Z</dcterms:created>
  <dcterms:modified xsi:type="dcterms:W3CDTF">2023-12-22T23:10:38Z</dcterms:modified>
</cp:coreProperties>
</file>