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16, 2022 (May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CHARDAN NEXTECH ACQUISITION 2 CORP.</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sectPr>
      </w:pPr>
    </w:p>
    <w:p>
      <w:pPr>
        <w:spacing w:after="0" w:line="323"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88"/>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18" w:lineRule="exact"/>
        <w:rPr>
          <w:sz w:val="24"/>
          <w:szCs w:val="24"/>
          <w:color w:val="auto"/>
        </w:rPr>
      </w:pPr>
    </w:p>
    <w:p>
      <w:pPr>
        <w:ind w:left="1428"/>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001-40730</w:t>
      </w:r>
    </w:p>
    <w:p>
      <w:pPr>
        <w:spacing w:after="0" w:line="2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85-1873463</w:t>
      </w:r>
    </w:p>
    <w:p>
      <w:pPr>
        <w:spacing w:after="0" w:line="2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6" w:lineRule="exact"/>
        <w:rPr>
          <w:sz w:val="24"/>
          <w:szCs w:val="24"/>
          <w:color w:val="auto"/>
        </w:rPr>
      </w:pPr>
    </w:p>
    <w:p>
      <w:pPr>
        <w:sectPr>
          <w:pgSz w:w="11900" w:h="16838" w:orient="portrait"/>
          <w:cols w:equalWidth="0" w:num="3">
            <w:col w:w="4588" w:space="720"/>
            <w:col w:w="2940" w:space="720"/>
            <w:col w:w="2340"/>
          </w:cols>
          <w:pgMar w:left="292" w:top="562" w:right="299" w:bottom="1440" w:gutter="0" w:footer="0" w:header="0"/>
          <w:type w:val="continuous"/>
        </w:sectPr>
      </w:pPr>
    </w:p>
    <w:p>
      <w:pPr>
        <w:jc w:val="center"/>
        <w:ind w:right="1852"/>
        <w:spacing w:after="0"/>
        <w:rPr>
          <w:sz w:val="20"/>
          <w:szCs w:val="20"/>
          <w:color w:val="auto"/>
        </w:rPr>
      </w:pPr>
      <w:r>
        <w:rPr>
          <w:rFonts w:ascii="Times New Roman" w:cs="Times New Roman" w:eastAsia="Times New Roman" w:hAnsi="Times New Roman"/>
          <w:sz w:val="12"/>
          <w:szCs w:val="12"/>
          <w:b w:val="1"/>
          <w:bCs w:val="1"/>
          <w:color w:val="auto"/>
        </w:rPr>
        <w:t>17 State Street, 21st Floor</w:t>
      </w:r>
    </w:p>
    <w:p>
      <w:pPr>
        <w:spacing w:after="0" w:line="21" w:lineRule="exact"/>
        <w:rPr>
          <w:sz w:val="24"/>
          <w:szCs w:val="24"/>
          <w:color w:val="auto"/>
        </w:rPr>
      </w:pPr>
    </w:p>
    <w:p>
      <w:pPr>
        <w:jc w:val="center"/>
        <w:ind w:right="185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6" w:lineRule="exact"/>
        <w:rPr>
          <w:sz w:val="24"/>
          <w:szCs w:val="24"/>
          <w:color w:val="auto"/>
        </w:rPr>
      </w:pPr>
    </w:p>
    <w:p>
      <w:pPr>
        <w:jc w:val="center"/>
        <w:ind w:right="1852"/>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10004</w:t>
      </w:r>
    </w:p>
    <w:p>
      <w:pPr>
        <w:spacing w:after="0" w:line="21"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47" w:lineRule="exact"/>
        <w:rPr>
          <w:sz w:val="24"/>
          <w:szCs w:val="24"/>
          <w:color w:val="auto"/>
        </w:rPr>
      </w:pPr>
    </w:p>
    <w:p>
      <w:pPr>
        <w:sectPr>
          <w:pgSz w:w="11900" w:h="16838" w:orient="portrait"/>
          <w:cols w:equalWidth="0" w:num="2">
            <w:col w:w="7488" w:space="720"/>
            <w:col w:w="3100"/>
          </w:cols>
          <w:pgMar w:left="292" w:top="562"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(646) 465-9000</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type w:val="continuous"/>
        </w:sectPr>
      </w:pPr>
    </w:p>
    <w:p>
      <w:pPr>
        <w:spacing w:after="0" w:line="32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Securities Exchange Act of 1934:</w:t>
      </w:r>
    </w:p>
    <w:tbl>
      <w:tblPr>
        <w:tblLayout w:type="fixed"/>
        <w:tblInd w:w="8"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18"/>
        </w:trPr>
        <w:tc>
          <w:tcPr>
            <w:tcW w:w="5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Units, consisting of one share of Common Stock, $0.0001 par value per share, and three-quarters of one</w:t>
            </w:r>
          </w:p>
        </w:tc>
        <w:tc>
          <w:tcPr>
            <w:tcW w:w="10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740" w:type="dxa"/>
            <w:vAlign w:val="bottom"/>
            <w:tcBorders>
              <w:top w:val="single" w:sz="8" w:color="auto"/>
            </w:tcBorders>
          </w:tcPr>
          <w:p>
            <w:pPr>
              <w:spacing w:after="0"/>
              <w:rPr>
                <w:sz w:val="10"/>
                <w:szCs w:val="10"/>
                <w:color w:val="auto"/>
              </w:rPr>
            </w:pPr>
          </w:p>
        </w:tc>
      </w:tr>
      <w:tr>
        <w:trPr>
          <w:trHeight w:val="144"/>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Redeemable Warrant</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CNTQU</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r>
        <w:trPr>
          <w:trHeight w:val="144"/>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 included as part of the Units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CNTQ</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r>
        <w:trPr>
          <w:trHeight w:val="144"/>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Redeemable Warrants included as part of the Units, each exercisable for one share of Common Stock for</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159"/>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$11.50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CNTQW</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jc w:val="both"/>
        <w:ind w:left="8" w:right="2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May 16, 2022, Chardan NexTech Acquisition 2 Corp., a Delaware corporation (“</w:t>
      </w:r>
      <w:r>
        <w:rPr>
          <w:rFonts w:ascii="Times New Roman" w:cs="Times New Roman" w:eastAsia="Times New Roman" w:hAnsi="Times New Roman"/>
          <w:sz w:val="12"/>
          <w:szCs w:val="12"/>
          <w:u w:val="single" w:color="auto"/>
          <w:color w:val="auto"/>
        </w:rPr>
        <w:t>Chardan</w:t>
      </w:r>
      <w:r>
        <w:rPr>
          <w:rFonts w:ascii="Times New Roman" w:cs="Times New Roman" w:eastAsia="Times New Roman" w:hAnsi="Times New Roman"/>
          <w:sz w:val="12"/>
          <w:szCs w:val="12"/>
          <w:color w:val="auto"/>
        </w:rPr>
        <w:t>”), and Dragonfly Energy Corp., a Nevada corporation (“</w:t>
      </w:r>
      <w:r>
        <w:rPr>
          <w:rFonts w:ascii="Times New Roman" w:cs="Times New Roman" w:eastAsia="Times New Roman" w:hAnsi="Times New Roman"/>
          <w:sz w:val="12"/>
          <w:szCs w:val="12"/>
          <w:u w:val="single" w:color="auto"/>
          <w:color w:val="auto"/>
        </w:rPr>
        <w:t>Dragonfly</w:t>
      </w:r>
      <w:r>
        <w:rPr>
          <w:rFonts w:ascii="Times New Roman" w:cs="Times New Roman" w:eastAsia="Times New Roman" w:hAnsi="Times New Roman"/>
          <w:sz w:val="12"/>
          <w:szCs w:val="12"/>
          <w:color w:val="auto"/>
        </w:rPr>
        <w:t>”), issued a joint press release (the “</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 announcing the execution of an Agreement and Plan of Merger, dated as of May 15, 2022, by and among Chardan, Dragonfly and Bronco Merger Sub, Inc., a Nevada corporation and a direct, wholly owned subsidiary of Chardan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The Press Release is attached hereto as Exhibit 99.1 and incorporated by reference herein.</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Attached as Exhibit 99.2 and incorporated herein by reference is an investor presentation, dated as of May 16, 2022, for use by Chardan and Dragonfly in meetings with certain of Chardan’s stockholders as well as other persons with respect to Chardan’s proposed transaction with Dragonfly.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Exhibit 99.1 and Exhibit 99.2, is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liabilities under that section, and shall not be deemed to be incorporated by reference into the filings of Chardan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 and Exhibit 99.2.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Current Report on Form 8-K relates to a proposed transaction between Chardan and Dragonfly. Chardan intends to file a registration statement on Form S-4 with the U.S.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which will include a document that serves as a prospectus and proxy statement of Chardan, referred to as a proxy statement/prospectus. A proxy statement/prospectus will be sent to all Chardan stockholders. Chardan also will file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registration statement, the proxy statement/prospectus and all other relevant documents filed or that will be filed with the SEC by Chardan through the website maintained by the SEC at www.sec.gov.</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documents filed by Chardan with the SEC also may be obtained by contacting Chardan NexTech Acquisition 2 Corp. at 17 State Street, 21st Floor, New York, New York 10004, or by calling (646) 465-9001.</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Chardan’s Form S-1 (File Nos. 333-252449 and 333-253016), Annual Report on Form 10-K for the year ended December 31, 2021 and registration statement on Form S-4 with the SEC, which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gridSpan w:val="4"/>
          </w:tcPr>
          <w:p>
            <w:pPr>
              <w:ind w:left="420"/>
              <w:spacing w:after="0"/>
              <w:rPr>
                <w:sz w:val="20"/>
                <w:szCs w:val="20"/>
                <w:color w:val="auto"/>
              </w:rPr>
            </w:pPr>
            <w:r>
              <w:rPr>
                <w:rFonts w:ascii="Times New Roman" w:cs="Times New Roman" w:eastAsia="Times New Roman" w:hAnsi="Times New Roman"/>
                <w:sz w:val="12"/>
                <w:szCs w:val="12"/>
                <w:color w:val="auto"/>
              </w:rPr>
              <w:t>(d) Exhibits.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80" w:type="dxa"/>
            <w:vAlign w:val="bottom"/>
          </w:tcPr>
          <w:p>
            <w:pPr>
              <w:spacing w:after="0"/>
              <w:rPr>
                <w:sz w:val="13"/>
                <w:szCs w:val="13"/>
                <w:color w:val="auto"/>
              </w:rPr>
            </w:pPr>
          </w:p>
        </w:tc>
      </w:tr>
      <w:tr>
        <w:trPr>
          <w:trHeight w:val="261"/>
        </w:trPr>
        <w:tc>
          <w:tcPr>
            <w:tcW w:w="660" w:type="dxa"/>
            <w:vAlign w:val="bottom"/>
          </w:tcPr>
          <w:p>
            <w:pPr>
              <w:spacing w:after="0"/>
              <w:rPr>
                <w:sz w:val="22"/>
                <w:szCs w:val="22"/>
                <w:color w:val="auto"/>
              </w:rPr>
            </w:pPr>
          </w:p>
        </w:tc>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68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8780" w:type="dxa"/>
            <w:vAlign w:val="bottom"/>
            <w:gridSpan w:val="3"/>
          </w:tcPr>
          <w:p>
            <w:pPr>
              <w:spacing w:after="0"/>
              <w:rPr>
                <w:sz w:val="22"/>
                <w:szCs w:val="22"/>
                <w:color w:val="auto"/>
              </w:rPr>
            </w:pPr>
          </w:p>
        </w:tc>
      </w:tr>
      <w:tr>
        <w:trPr>
          <w:trHeight w:val="124"/>
        </w:trPr>
        <w:tc>
          <w:tcPr>
            <w:tcW w:w="1060" w:type="dxa"/>
            <w:vAlign w:val="bottom"/>
            <w:gridSpan w:val="3"/>
          </w:tcPr>
          <w:p>
            <w:pPr>
              <w:jc w:val="center"/>
              <w:ind w:left="8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as of May 16, 2022</w:t>
            </w:r>
          </w:p>
        </w:tc>
      </w:tr>
      <w:tr>
        <w:trPr>
          <w:trHeight w:val="20"/>
        </w:trPr>
        <w:tc>
          <w:tcPr>
            <w:tcW w:w="88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24"/>
        </w:trPr>
        <w:tc>
          <w:tcPr>
            <w:tcW w:w="1060" w:type="dxa"/>
            <w:vAlign w:val="bottom"/>
            <w:gridSpan w:val="3"/>
          </w:tcPr>
          <w:p>
            <w:pPr>
              <w:jc w:val="center"/>
              <w:ind w:left="8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as of May 16, 2022</w:t>
            </w:r>
          </w:p>
        </w:tc>
      </w:tr>
      <w:tr>
        <w:trPr>
          <w:trHeight w:val="20"/>
        </w:trPr>
        <w:tc>
          <w:tcPr>
            <w:tcW w:w="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106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color w:val="auto"/>
                <w:w w:val="99"/>
              </w:rPr>
              <w:t>104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cover page of this Current Report on Form 8-K, formatted in Inline XBRL</w:t>
            </w:r>
          </w:p>
        </w:tc>
      </w:tr>
      <w:tr>
        <w:trPr>
          <w:trHeight w:val="450"/>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00" w:type="dxa"/>
            <w:vAlign w:val="bottom"/>
          </w:tcPr>
          <w:p>
            <w:pPr>
              <w:spacing w:after="0"/>
              <w:rPr>
                <w:sz w:val="13"/>
                <w:szCs w:val="13"/>
                <w:color w:val="auto"/>
              </w:rPr>
            </w:pPr>
          </w:p>
        </w:tc>
        <w:tc>
          <w:tcPr>
            <w:tcW w:w="800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CHARDAN NEXTECH ACQUISITION 2 CORP.</w:t>
            </w:r>
          </w:p>
        </w:tc>
      </w:tr>
      <w:tr>
        <w:trPr>
          <w:trHeight w:val="28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May 16, 2022</w:t>
            </w:r>
          </w:p>
        </w:tc>
        <w:tc>
          <w:tcPr>
            <w:tcW w:w="800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By:   /s/ Jonas Grossman</w:t>
            </w:r>
          </w:p>
        </w:tc>
      </w:tr>
      <w:tr>
        <w:trPr>
          <w:trHeight w:val="122"/>
        </w:trPr>
        <w:tc>
          <w:tcPr>
            <w:tcW w:w="3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Jonas Grossman</w:t>
            </w:r>
          </w:p>
        </w:tc>
      </w:tr>
      <w:tr>
        <w:trPr>
          <w:trHeight w:val="155"/>
        </w:trPr>
        <w:tc>
          <w:tcPr>
            <w:tcW w:w="33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6361430</wp:posOffset>
            </wp:positionH>
            <wp:positionV relativeFrom="paragraph">
              <wp:posOffset>104775</wp:posOffset>
            </wp:positionV>
            <wp:extent cx="811530" cy="508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Dragonfly Energy, a Leading Energy Storage Company, to Publicly List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on Nasdaq through Business Combination with Chardan NexTech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Acquisition 2 Corp.</w:t>
      </w:r>
    </w:p>
    <w:p>
      <w:pPr>
        <w:spacing w:after="0" w:line="139" w:lineRule="exact"/>
        <w:rPr>
          <w:sz w:val="20"/>
          <w:szCs w:val="20"/>
          <w:color w:val="auto"/>
        </w:rPr>
      </w:pPr>
    </w:p>
    <w:p>
      <w:pPr>
        <w:ind w:left="4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Dragonfly has entered into a definitive business combination agreement with Chardan NexTech Acquisition 2 Corp. (Nasdaq: CNTQ); upon closing, the combined company will be listed on the Nasdaq under the new ticker DFLI.</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Dragonfly has a track record of top line growth and has produced 17 quarters of profitability. 2021 revenue and adjusted EBITDA were $78 million and $8.7 million, respectively, both representing an 80+% CAGR since 2018.</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enterprise value of the combined company is expected to be approximately $500 million. All Dragonfly shareholders will roll 100% of their equity holdings into the new combined company.</w:t>
      </w:r>
    </w:p>
    <w:p>
      <w:pPr>
        <w:spacing w:after="0" w:line="150" w:lineRule="exact"/>
        <w:rPr>
          <w:rFonts w:ascii="Times New Roman" w:cs="Times New Roman" w:eastAsia="Times New Roman" w:hAnsi="Times New Roman"/>
          <w:sz w:val="12"/>
          <w:szCs w:val="12"/>
          <w:color w:val="auto"/>
        </w:rPr>
      </w:pPr>
    </w:p>
    <w:p>
      <w:pPr>
        <w:ind w:left="420" w:hanging="212"/>
        <w:spacing w:after="0" w:line="297"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to support the business combination includes $128 million cash from trust (assuming no redemptions), a $75 million senior secured term loan for which Energy Impact Partners is lead arranger and a $5 million equity investment from CNTQ’s Sponsor. The transaction is further supported by a $150 million Chardan Equity Facility (ChEF</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w:t>
      </w:r>
    </w:p>
    <w:p>
      <w:pPr>
        <w:spacing w:after="0" w:line="17"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Dragonfly intends to use the proceeds from the transaction to accelerate the market penetration of its existing business and commercialize its proprietary and patented All-Solid-State-Battery technology that will dramatically reduce reliance on the power grid.</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RENO, NEVADA (May 16, 2022) — </w:t>
      </w:r>
      <w:r>
        <w:rPr>
          <w:rFonts w:ascii="Times New Roman" w:cs="Times New Roman" w:eastAsia="Times New Roman" w:hAnsi="Times New Roman"/>
          <w:sz w:val="12"/>
          <w:szCs w:val="12"/>
          <w:color w:val="auto"/>
        </w:rPr>
        <w:t>Dragonfly Energy Corp. (“Dragonfly” or the “Company”), a leader in energy storage and producer of deep cycle lithium-ion storage batteries, and Chardan NexTech Acquisition 2 Corp.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(“CNTQ”) (Nasdaq: CNTQ), a publicly traded special purpose acquisition company, today announced a definitive agreement for a business combination that will result in Dragonfly becoming a publicly listed company. Upon closing of the transaction, the combined company will be renamed Dragonfly Energy and is expected to be listed on the Nasdaq under the new ticker symbol “DFLI.”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Creating a New Standard for Environmentally Impactful Energy Storage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Dragonfly has created state-of-the-art lithium-ion batteries equipped with a proprietary battery management system that are currently used in recreational vehicles (“RVs”), marine vessels, material handling, and off-grid residences and solar applications. Dragonfly’s integrated lithium-ion products replace large and environmentally toxic lead-acid batteries and provide safe, efficient, and affordable energy storage solutions for a clean, renewable future.</w:t>
      </w:r>
    </w:p>
    <w:p>
      <w:pPr>
        <w:spacing w:after="0" w:line="1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Sold direct-to-consumers under the Battle Born Batteries™ brand and to original equipment manufacturers (“OEMs”), such as Keystone RV, a subsidiary of Thor Industries (NYSE: THO), and Midwest Automotive, a subsidiary of REV Group (NYSE: REVG), under the Dragonfly Energy</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 xml:space="preserve"> brand, Dragonfly generated $78 million of revenue and nearly $9 million of adjusted EBITDA in 2021, both representing an 80+% CAGR since 2018. As Dragonfly penetrates new and existing markets, the Company anticipates continued growth with 2022 and 2023 revenue forecasts of $115 million and $255 million, respectively, and 2022 and 2023 adjusted EBITDA forecasts of $12 million and $41 million, respectively. CNTQ believes that an investment in Dragonfly presents a compelling opportunity at a 32% discount to its peers’ 2023 revenue multiples.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 w:name="page7"/>
    <w:bookmarkEnd w:id="6"/>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jc w:val="both"/>
        <w:spacing w:after="0" w:line="279" w:lineRule="auto"/>
        <w:rPr>
          <w:sz w:val="20"/>
          <w:szCs w:val="20"/>
          <w:color w:val="auto"/>
        </w:rPr>
      </w:pPr>
      <w:r>
        <w:rPr>
          <w:rFonts w:ascii="Times New Roman" w:cs="Times New Roman" w:eastAsia="Times New Roman" w:hAnsi="Times New Roman"/>
          <w:sz w:val="12"/>
          <w:szCs w:val="12"/>
          <w:color w:val="auto"/>
        </w:rPr>
        <w:t>Dragonfly intends to use a portion of the proceeds raised from this transaction to accelerate the development and commercialization of its revolutionary All-Solid-State-Battery technology. All-Solid-State-Batteries are non-flammable and are designed to allow for efficient, distributed energy storage that enables renewables to be cost competitive with fossil fuels while further stabilizing the power grid.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Dragonfly Co-Founder, Chairman &amp; Chief Executive Officer, Dr. Denis Phares, and the current management team are expected to continue to lead the combined company.</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 Phares said: “CNTQ shares our vision for providing the safe and cost-effective distributed storage solution required for our renewable energy future and supports our unique customer-centric approach to technology and innovation. This transaction will help us grow our core business and facilitate the development and large-scale deployment of our All-Solid-State-Battery technology.”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Jonas Grossman, Chief Executive Officer and Director of CNTQ, added, “As an innovator in the battery space, Dragonfly can transform distributed energy storage with the growth and commercialization of its All-Solid-State-Battery technology. We are excited to support the team as they become a public 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Overview</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business combination values Dragonfly at an implied $500.1 million pro forma enterprise value. Estimated cash proceeds to the combined company are expected to consist of CNTQ’s approximately $128 million of cash in trust (assuming no redemptions) and an additional $230 million consisting of $75 million senior secured term loan (used in part to refinance approximately $45 million of outstanding Dragonfly indebtedness), a $5 million equity investment at $10.00 per share from CNTQ’s Sponsor, Chardan NexTech Investments 2 LLC, and a $150 million Chardan Equity Facility (ChEF</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 from Chardan, an affiliate of CNTQ’s sponsor.</w:t>
      </w:r>
    </w:p>
    <w:p>
      <w:pPr>
        <w:spacing w:after="0" w:line="2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transaction includes an earn-out provision for up to an additional 40 million shares as follows: 15 million issued if both 2023 audited Revenue and Operating Income reach $250 million and $35 million, respectively; 12.5 million issued at a price target of $22.50 by December 31, 2026; 12.5 million issued at a price target of $32.50 by December 31, 2028. All Dragonfly stockholders will roll 100% of their equity holdings into the new combined company.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commitment letter and term sheet have been agreed in connection with the $75 million term loan and $150 million equity facility, respectively. The availability of these facilities is subject to the negotiation and execution of related definitive documentation, customary funding conditions and closing of the business combination.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Boards of Directors of each of Dragonfly and CNTQ have unanimously approved the transaction, the Board of Directors of CNTQ has unanimously recommended to CNTQ stockholders the approval of the transaction, and the requisite stockholders of Dragonfly have approved the transaction. The transaction will require the approval of the stockholders of CNTQ, and is subject to satisfaction or waiver of the conditions stated in the merger agreement and other customary closing conditions, including the receipt of certain regulatory approvals. The transaction is currently expected to close in the second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7" w:name="page8"/>
    <w:bookmarkEnd w:id="7"/>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Additional information about the proposed transaction, including a copy of the merger agreement and investor presentation, will be provided in a Current Report on Form 8-K to be filed by CNTQ with the Securities and Exchange Commission (“SEC”) and will be available on the Dragonfly investor relations page at </w:t>
      </w:r>
      <w:r>
        <w:rPr>
          <w:rFonts w:ascii="Times New Roman" w:cs="Times New Roman" w:eastAsia="Times New Roman" w:hAnsi="Times New Roman"/>
          <w:sz w:val="12"/>
          <w:szCs w:val="12"/>
          <w:u w:val="single" w:color="auto"/>
          <w:color w:val="auto"/>
        </w:rPr>
        <w:t>www.dragonflyenergy.com/investors</w:t>
      </w:r>
      <w:r>
        <w:rPr>
          <w:rFonts w:ascii="Times New Roman" w:cs="Times New Roman" w:eastAsia="Times New Roman" w:hAnsi="Times New Roman"/>
          <w:sz w:val="12"/>
          <w:szCs w:val="12"/>
          <w:color w:val="auto"/>
        </w:rPr>
        <w:t xml:space="preserve"> and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More information about the proposed transaction will also be described in CNTQ’s proxy statement/prospectus relation to the business combination, which it will file with the SEC.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Stifel, Nicolaus &amp; Company, Incorporated is serving as financial advisor. O’Melveny &amp; Myers, LLP and Parsons Beble &amp; Latimer are serving as legal counsel to Dragonfly.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Chardan is serving as financial advisor, Stifel and Chardan are acting as joint placement agents, Skadden, Arps, Slate, Meagher &amp; Flom LLP and Brownstein Hyatt Farber Schreck, LLP are serving as legal counsel to CNTQ.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Energy Impact Partners is serving as lead arranger of the senior secured term loan. Chapman and Cutler LLP is serving as legal counsel to Energy Impact Partners.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Conference Call Information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Dragonfly and CNTQ will host a joint investor conference call at 8:30AM EDT today, May 16, 2022, to discuss the proposed transaction. To listen to the prepared remarks via telephone dial (844) 512-2921 (U.S.) or +1 (412) 317-6671 (International) and utilize the pin number: 150206. The telephone replay will be available utilizing this same number, through May 30, 2022 at 11:59 PM ET.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A transcript of this conference call can also be found on Dragonfly’s Investor page and will be filed by CNTQ with the SEC, which will be available on the SEC’s website at www.sec.gov. Additionally, CNTQ will file the investor presentation and a transcript of the investor conference call with the SEC as an exhibit to a Current Report on Form 8-K, which will be available on the SEC’s website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Dragonfly</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Dragonfly Energy Corp., headquartered in Reno, Nevada, is a leading manufacturer of deep cycle lithium-ion batteries.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that enables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2"/>
          <w:szCs w:val="12"/>
          <w:u w:val="single" w:color="auto"/>
          <w:color w:val="auto"/>
        </w:rPr>
        <w:t>www.dragonflyenergy.com/investors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8" w:name="page9"/>
    <w:bookmarkEnd w:id="8"/>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About Chardan NexTech Acquisition 2 Corp.</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2"/>
          <w:szCs w:val="12"/>
          <w:u w:val="single" w:color="auto"/>
          <w:color w:val="auto"/>
        </w:rPr>
        <w:t>https://www.cnaq.com/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 xml:space="preserve">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9" w:name="page10"/>
    <w:bookmarkEnd w:id="9"/>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Financial Information; Non-GAAP Measures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financial information and data contained in this press release is unaudited and may not conform to Regulation S-X. Such information and data may not be included in, may be adjusted in or may be presented differently in the registration statement to be filed relating to the proposed business combination and the proxy statement/prospectus contained therein.</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also includes certain financial measures not presented in accordance with generally accepted accounting principles (“GAAP”) including, but not limited to, Adjusted EBITDA. These non-GAAP financial measures, and other measures that are calculated using these non-GAAP measures, are not measures of financial performance in accordance with GAAP and may exclude items that are significant in understanding and assessing Dragonfly’s financial results. Therefore, these measures should not be considered in isolation or as an alternative to net income, cash flows from operations or other measures of profitability, liquidity or performance under GAAP. You should be aware that Dragonfly’s presentation of these measures may not be comparable to similarly-titled measures used by other companies. Dragonfly believes these non-GAAP measures of financial results provide useful information to management and investors regarding certain financial and business trends relating to Dragonfly’s financial condition and results of operations. CNTQ and Dragonfly believe that the use of these non-GAAP financial measures provides an additional tool for investors to use in evaluating ongoing operating results and trends and in comparing Dragonfly’s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press release may also include certain projections of non-GAAP financial measures. See ‘Use of Projections”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0" w:name="page11"/>
    <w:bookmarkEnd w:id="10"/>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Use of Projections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may contain financial forecasts of Dragonfly. Neither Dragonfly’s independent auditors, nor the independent registered public accounting firm of CNTQ, audited, reviewed, compiled or performed any procedures with respect to the projections for the purpose of their inclusion in this press release, and accordingly, neither of them expressed an opinion or provided any other form of assurance with respect thereto for the purpose of this press release. These projections are forward-looking statements and should not be relied upon as being necessarily indicative of future results. The projected financial information contained in this press release constitutes forward-looking information.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Accordingly, there can be no assurance that the prospective results are indicative of future performance of Dragonfly or that actual results will not differ materially from the results presented in the prospective financial information contained in this press release. Actual results may differ materially from the results contemplated by the projected financial information contained in this press release. The inclusion of such information in this press release should not be regarded as a representation by any person that the results reflected in such projections will be achieved.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press release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documents filed by CNTQ with the SEC also may be obtained by contacting Chardan NexTech Acquisition 2 Corp. at 17 State Street, 21st Floor, New York, New York 10004, or by calling (646) 465-9001.</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1" w:name="page12"/>
    <w:bookmarkEnd w:id="11"/>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 Dragonfly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Sioban Hickie, ICR,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DragonflyIR@icrinc.com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Public Relations, Media – Dragonfly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Zach Gorin, ICR,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2" w:name="page13"/>
    <w:bookmarkEnd w:id="12"/>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31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4603750</wp:posOffset>
            </wp:positionV>
            <wp:extent cx="6800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4603750</wp:posOffset>
            </wp:positionV>
            <wp:extent cx="6800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2022-05-16T07:26:22Z</dcterms:created>
  <dcterms:modified xsi:type="dcterms:W3CDTF">2022-05-16T07:26:22Z</dcterms:modified>
</cp:coreProperties>
</file>