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April 4, 2025</w:t>
      </w:r>
    </w:p>
    <w:p>
      <w:pPr>
        <w:spacing w:after="0" w:line="18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715073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176530</wp:posOffset>
            </wp:positionV>
            <wp:extent cx="715073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S-1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DRAGONFLY ENERGY HOLDINGS CORP.</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69" w:lineRule="exact"/>
        <w:rPr>
          <w:sz w:val="24"/>
          <w:szCs w:val="24"/>
          <w:color w:val="auto"/>
        </w:rPr>
      </w:pPr>
    </w:p>
    <w:tbl>
      <w:tblPr>
        <w:tblLayout w:type="fixed"/>
        <w:tblInd w:w="860" w:type="dxa"/>
        <w:tblCellMar>
          <w:top w:w="0" w:type="dxa"/>
          <w:left w:w="0" w:type="dxa"/>
          <w:bottom w:w="0" w:type="dxa"/>
          <w:right w:w="0" w:type="dxa"/>
        </w:tblCellMar>
      </w:tblPr>
      <w:tr>
        <w:trPr>
          <w:trHeight w:val="189"/>
        </w:trPr>
        <w:tc>
          <w:tcPr>
            <w:tcW w:w="2340" w:type="dxa"/>
            <w:vAlign w:val="bottom"/>
          </w:tcPr>
          <w:p>
            <w:pPr>
              <w:jc w:val="center"/>
              <w:ind w:right="402"/>
              <w:spacing w:after="0"/>
              <w:rPr>
                <w:sz w:val="20"/>
                <w:szCs w:val="20"/>
                <w:color w:val="auto"/>
              </w:rPr>
            </w:pPr>
            <w:r>
              <w:rPr>
                <w:rFonts w:ascii="Times New Roman" w:cs="Times New Roman" w:eastAsia="Times New Roman" w:hAnsi="Times New Roman"/>
                <w:sz w:val="16"/>
                <w:szCs w:val="16"/>
                <w:b w:val="1"/>
                <w:bCs w:val="1"/>
                <w:color w:val="auto"/>
                <w:w w:val="96"/>
              </w:rPr>
              <w:t>Nevada</w:t>
            </w:r>
          </w:p>
        </w:tc>
        <w:tc>
          <w:tcPr>
            <w:tcW w:w="502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3690</w:t>
            </w:r>
          </w:p>
        </w:tc>
        <w:tc>
          <w:tcPr>
            <w:tcW w:w="1820" w:type="dxa"/>
            <w:vAlign w:val="bottom"/>
          </w:tcPr>
          <w:p>
            <w:pPr>
              <w:jc w:val="center"/>
              <w:ind w:left="582"/>
              <w:spacing w:after="0"/>
              <w:rPr>
                <w:sz w:val="20"/>
                <w:szCs w:val="20"/>
                <w:color w:val="auto"/>
              </w:rPr>
            </w:pPr>
            <w:r>
              <w:rPr>
                <w:rFonts w:ascii="Times New Roman" w:cs="Times New Roman" w:eastAsia="Times New Roman" w:hAnsi="Times New Roman"/>
                <w:sz w:val="16"/>
                <w:szCs w:val="16"/>
                <w:b w:val="1"/>
                <w:bCs w:val="1"/>
                <w:color w:val="auto"/>
                <w:w w:val="98"/>
              </w:rPr>
              <w:t>85-1873463</w:t>
            </w:r>
          </w:p>
        </w:tc>
      </w:tr>
      <w:tr>
        <w:trPr>
          <w:trHeight w:val="187"/>
        </w:trPr>
        <w:tc>
          <w:tcPr>
            <w:tcW w:w="234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6"/>
              </w:rPr>
              <w:t>(State or jurisdiction of</w:t>
            </w:r>
          </w:p>
        </w:tc>
        <w:tc>
          <w:tcPr>
            <w:tcW w:w="502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7"/>
              </w:rPr>
              <w:t>(Primary Standard Industrial</w:t>
            </w:r>
          </w:p>
        </w:tc>
        <w:tc>
          <w:tcPr>
            <w:tcW w:w="1820" w:type="dxa"/>
            <w:vAlign w:val="bottom"/>
          </w:tcPr>
          <w:p>
            <w:pPr>
              <w:jc w:val="center"/>
              <w:ind w:left="582"/>
              <w:spacing w:after="0"/>
              <w:rPr>
                <w:sz w:val="20"/>
                <w:szCs w:val="20"/>
                <w:color w:val="auto"/>
              </w:rPr>
            </w:pPr>
            <w:r>
              <w:rPr>
                <w:rFonts w:ascii="Times New Roman" w:cs="Times New Roman" w:eastAsia="Times New Roman" w:hAnsi="Times New Roman"/>
                <w:sz w:val="16"/>
                <w:szCs w:val="16"/>
                <w:color w:val="auto"/>
                <w:w w:val="98"/>
              </w:rPr>
              <w:t>(IRS Employer</w:t>
            </w:r>
          </w:p>
        </w:tc>
      </w:tr>
      <w:tr>
        <w:trPr>
          <w:trHeight w:val="203"/>
        </w:trPr>
        <w:tc>
          <w:tcPr>
            <w:tcW w:w="234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incorporation or organization)</w:t>
            </w:r>
          </w:p>
        </w:tc>
        <w:tc>
          <w:tcPr>
            <w:tcW w:w="502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7"/>
              </w:rPr>
              <w:t>Classification Code Number)</w:t>
            </w:r>
          </w:p>
        </w:tc>
        <w:tc>
          <w:tcPr>
            <w:tcW w:w="1820" w:type="dxa"/>
            <w:vAlign w:val="bottom"/>
          </w:tcPr>
          <w:p>
            <w:pPr>
              <w:jc w:val="center"/>
              <w:ind w:left="582"/>
              <w:spacing w:after="0"/>
              <w:rPr>
                <w:sz w:val="20"/>
                <w:szCs w:val="20"/>
                <w:color w:val="auto"/>
              </w:rPr>
            </w:pPr>
            <w:r>
              <w:rPr>
                <w:rFonts w:ascii="Times New Roman" w:cs="Times New Roman" w:eastAsia="Times New Roman" w:hAnsi="Times New Roman"/>
                <w:sz w:val="16"/>
                <w:szCs w:val="16"/>
                <w:color w:val="auto"/>
                <w:w w:val="97"/>
              </w:rPr>
              <w:t>Identification No.)</w:t>
            </w:r>
          </w:p>
        </w:tc>
      </w:tr>
      <w:tr>
        <w:trPr>
          <w:trHeight w:val="356"/>
        </w:trPr>
        <w:tc>
          <w:tcPr>
            <w:tcW w:w="2340" w:type="dxa"/>
            <w:vAlign w:val="bottom"/>
          </w:tcPr>
          <w:p>
            <w:pPr>
              <w:spacing w:after="0"/>
              <w:rPr>
                <w:sz w:val="24"/>
                <w:szCs w:val="24"/>
                <w:color w:val="auto"/>
              </w:rPr>
            </w:pPr>
          </w:p>
        </w:tc>
        <w:tc>
          <w:tcPr>
            <w:tcW w:w="502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12915 Old Virginia Road</w:t>
            </w:r>
          </w:p>
        </w:tc>
        <w:tc>
          <w:tcPr>
            <w:tcW w:w="1820" w:type="dxa"/>
            <w:vAlign w:val="bottom"/>
          </w:tcPr>
          <w:p>
            <w:pPr>
              <w:spacing w:after="0"/>
              <w:rPr>
                <w:sz w:val="24"/>
                <w:szCs w:val="24"/>
                <w:color w:val="auto"/>
              </w:rPr>
            </w:pPr>
          </w:p>
        </w:tc>
      </w:tr>
      <w:tr>
        <w:trPr>
          <w:trHeight w:val="187"/>
        </w:trPr>
        <w:tc>
          <w:tcPr>
            <w:tcW w:w="2340" w:type="dxa"/>
            <w:vAlign w:val="bottom"/>
          </w:tcPr>
          <w:p>
            <w:pPr>
              <w:spacing w:after="0"/>
              <w:rPr>
                <w:sz w:val="16"/>
                <w:szCs w:val="16"/>
                <w:color w:val="auto"/>
              </w:rPr>
            </w:pPr>
          </w:p>
        </w:tc>
        <w:tc>
          <w:tcPr>
            <w:tcW w:w="502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7"/>
              </w:rPr>
              <w:t>Reno, Nevada 89521</w:t>
            </w:r>
          </w:p>
        </w:tc>
        <w:tc>
          <w:tcPr>
            <w:tcW w:w="1820" w:type="dxa"/>
            <w:vAlign w:val="bottom"/>
          </w:tcPr>
          <w:p>
            <w:pPr>
              <w:spacing w:after="0"/>
              <w:rPr>
                <w:sz w:val="16"/>
                <w:szCs w:val="16"/>
                <w:color w:val="auto"/>
              </w:rPr>
            </w:pPr>
          </w:p>
        </w:tc>
      </w:tr>
      <w:tr>
        <w:trPr>
          <w:trHeight w:val="189"/>
        </w:trPr>
        <w:tc>
          <w:tcPr>
            <w:tcW w:w="2340" w:type="dxa"/>
            <w:vAlign w:val="bottom"/>
          </w:tcPr>
          <w:p>
            <w:pPr>
              <w:spacing w:after="0"/>
              <w:rPr>
                <w:sz w:val="16"/>
                <w:szCs w:val="16"/>
                <w:color w:val="auto"/>
              </w:rPr>
            </w:pPr>
          </w:p>
        </w:tc>
        <w:tc>
          <w:tcPr>
            <w:tcW w:w="502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5"/>
              </w:rPr>
              <w:t>(775) 622-3448</w:t>
            </w:r>
          </w:p>
        </w:tc>
        <w:tc>
          <w:tcPr>
            <w:tcW w:w="1820" w:type="dxa"/>
            <w:vAlign w:val="bottom"/>
          </w:tcPr>
          <w:p>
            <w:pPr>
              <w:spacing w:after="0"/>
              <w:rPr>
                <w:sz w:val="16"/>
                <w:szCs w:val="16"/>
                <w:color w:val="auto"/>
              </w:rPr>
            </w:pPr>
          </w:p>
        </w:tc>
      </w:tr>
      <w:tr>
        <w:trPr>
          <w:trHeight w:val="187"/>
        </w:trPr>
        <w:tc>
          <w:tcPr>
            <w:tcW w:w="2340" w:type="dxa"/>
            <w:vAlign w:val="bottom"/>
          </w:tcPr>
          <w:p>
            <w:pPr>
              <w:spacing w:after="0"/>
              <w:rPr>
                <w:sz w:val="16"/>
                <w:szCs w:val="16"/>
                <w:color w:val="auto"/>
              </w:rPr>
            </w:pPr>
          </w:p>
        </w:tc>
        <w:tc>
          <w:tcPr>
            <w:tcW w:w="502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6"/>
              </w:rPr>
              <w:t>(Address, including zip code, and telephone number,</w:t>
            </w:r>
          </w:p>
        </w:tc>
        <w:tc>
          <w:tcPr>
            <w:tcW w:w="1820" w:type="dxa"/>
            <w:vAlign w:val="bottom"/>
          </w:tcPr>
          <w:p>
            <w:pPr>
              <w:spacing w:after="0"/>
              <w:rPr>
                <w:sz w:val="16"/>
                <w:szCs w:val="16"/>
                <w:color w:val="auto"/>
              </w:rPr>
            </w:pPr>
          </w:p>
        </w:tc>
      </w:tr>
      <w:tr>
        <w:trPr>
          <w:trHeight w:val="203"/>
        </w:trPr>
        <w:tc>
          <w:tcPr>
            <w:tcW w:w="2340" w:type="dxa"/>
            <w:vAlign w:val="bottom"/>
          </w:tcPr>
          <w:p>
            <w:pPr>
              <w:spacing w:after="0"/>
              <w:rPr>
                <w:sz w:val="17"/>
                <w:szCs w:val="17"/>
                <w:color w:val="auto"/>
              </w:rPr>
            </w:pPr>
          </w:p>
        </w:tc>
        <w:tc>
          <w:tcPr>
            <w:tcW w:w="502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7"/>
              </w:rPr>
              <w:t>including area code, of registrant’s principal executive offices)</w:t>
            </w:r>
          </w:p>
        </w:tc>
        <w:tc>
          <w:tcPr>
            <w:tcW w:w="1820" w:type="dxa"/>
            <w:vAlign w:val="bottom"/>
          </w:tcPr>
          <w:p>
            <w:pPr>
              <w:spacing w:after="0"/>
              <w:rPr>
                <w:sz w:val="17"/>
                <w:szCs w:val="17"/>
                <w:color w:val="auto"/>
              </w:rPr>
            </w:pPr>
          </w:p>
        </w:tc>
      </w:tr>
      <w:tr>
        <w:trPr>
          <w:trHeight w:val="356"/>
        </w:trPr>
        <w:tc>
          <w:tcPr>
            <w:tcW w:w="2340" w:type="dxa"/>
            <w:vAlign w:val="bottom"/>
          </w:tcPr>
          <w:p>
            <w:pPr>
              <w:spacing w:after="0"/>
              <w:rPr>
                <w:sz w:val="24"/>
                <w:szCs w:val="24"/>
                <w:color w:val="auto"/>
              </w:rPr>
            </w:pPr>
          </w:p>
        </w:tc>
        <w:tc>
          <w:tcPr>
            <w:tcW w:w="502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Denis Phares</w:t>
            </w:r>
          </w:p>
        </w:tc>
        <w:tc>
          <w:tcPr>
            <w:tcW w:w="1820" w:type="dxa"/>
            <w:vAlign w:val="bottom"/>
          </w:tcPr>
          <w:p>
            <w:pPr>
              <w:spacing w:after="0"/>
              <w:rPr>
                <w:sz w:val="24"/>
                <w:szCs w:val="24"/>
                <w:color w:val="auto"/>
              </w:rPr>
            </w:pPr>
          </w:p>
        </w:tc>
      </w:tr>
      <w:tr>
        <w:trPr>
          <w:trHeight w:val="187"/>
        </w:trPr>
        <w:tc>
          <w:tcPr>
            <w:tcW w:w="2340" w:type="dxa"/>
            <w:vAlign w:val="bottom"/>
          </w:tcPr>
          <w:p>
            <w:pPr>
              <w:spacing w:after="0"/>
              <w:rPr>
                <w:sz w:val="16"/>
                <w:szCs w:val="16"/>
                <w:color w:val="auto"/>
              </w:rPr>
            </w:pPr>
          </w:p>
        </w:tc>
        <w:tc>
          <w:tcPr>
            <w:tcW w:w="502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Chief Executive Officer</w:t>
            </w:r>
          </w:p>
        </w:tc>
        <w:tc>
          <w:tcPr>
            <w:tcW w:w="1820" w:type="dxa"/>
            <w:vAlign w:val="bottom"/>
          </w:tcPr>
          <w:p>
            <w:pPr>
              <w:spacing w:after="0"/>
              <w:rPr>
                <w:sz w:val="16"/>
                <w:szCs w:val="16"/>
                <w:color w:val="auto"/>
              </w:rPr>
            </w:pPr>
          </w:p>
        </w:tc>
      </w:tr>
      <w:tr>
        <w:trPr>
          <w:trHeight w:val="187"/>
        </w:trPr>
        <w:tc>
          <w:tcPr>
            <w:tcW w:w="2340" w:type="dxa"/>
            <w:vAlign w:val="bottom"/>
          </w:tcPr>
          <w:p>
            <w:pPr>
              <w:spacing w:after="0"/>
              <w:rPr>
                <w:sz w:val="16"/>
                <w:szCs w:val="16"/>
                <w:color w:val="auto"/>
              </w:rPr>
            </w:pPr>
          </w:p>
        </w:tc>
        <w:tc>
          <w:tcPr>
            <w:tcW w:w="502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Dragonfly Energy Holdings Corp.</w:t>
            </w:r>
          </w:p>
        </w:tc>
        <w:tc>
          <w:tcPr>
            <w:tcW w:w="1820" w:type="dxa"/>
            <w:vAlign w:val="bottom"/>
          </w:tcPr>
          <w:p>
            <w:pPr>
              <w:spacing w:after="0"/>
              <w:rPr>
                <w:sz w:val="16"/>
                <w:szCs w:val="16"/>
                <w:color w:val="auto"/>
              </w:rPr>
            </w:pPr>
          </w:p>
        </w:tc>
      </w:tr>
      <w:tr>
        <w:trPr>
          <w:trHeight w:val="187"/>
        </w:trPr>
        <w:tc>
          <w:tcPr>
            <w:tcW w:w="2340" w:type="dxa"/>
            <w:vAlign w:val="bottom"/>
          </w:tcPr>
          <w:p>
            <w:pPr>
              <w:spacing w:after="0"/>
              <w:rPr>
                <w:sz w:val="16"/>
                <w:szCs w:val="16"/>
                <w:color w:val="auto"/>
              </w:rPr>
            </w:pPr>
          </w:p>
        </w:tc>
        <w:tc>
          <w:tcPr>
            <w:tcW w:w="502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12915 Old Virginia Road</w:t>
            </w:r>
          </w:p>
        </w:tc>
        <w:tc>
          <w:tcPr>
            <w:tcW w:w="1820" w:type="dxa"/>
            <w:vAlign w:val="bottom"/>
          </w:tcPr>
          <w:p>
            <w:pPr>
              <w:spacing w:after="0"/>
              <w:rPr>
                <w:sz w:val="16"/>
                <w:szCs w:val="16"/>
                <w:color w:val="auto"/>
              </w:rPr>
            </w:pPr>
          </w:p>
        </w:tc>
      </w:tr>
      <w:tr>
        <w:trPr>
          <w:trHeight w:val="187"/>
        </w:trPr>
        <w:tc>
          <w:tcPr>
            <w:tcW w:w="2340" w:type="dxa"/>
            <w:vAlign w:val="bottom"/>
          </w:tcPr>
          <w:p>
            <w:pPr>
              <w:spacing w:after="0"/>
              <w:rPr>
                <w:sz w:val="16"/>
                <w:szCs w:val="16"/>
                <w:color w:val="auto"/>
              </w:rPr>
            </w:pPr>
          </w:p>
        </w:tc>
        <w:tc>
          <w:tcPr>
            <w:tcW w:w="502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7"/>
              </w:rPr>
              <w:t>Reno, Nevada 89521</w:t>
            </w:r>
          </w:p>
        </w:tc>
        <w:tc>
          <w:tcPr>
            <w:tcW w:w="1820" w:type="dxa"/>
            <w:vAlign w:val="bottom"/>
          </w:tcPr>
          <w:p>
            <w:pPr>
              <w:spacing w:after="0"/>
              <w:rPr>
                <w:sz w:val="16"/>
                <w:szCs w:val="16"/>
                <w:color w:val="auto"/>
              </w:rPr>
            </w:pPr>
          </w:p>
        </w:tc>
      </w:tr>
      <w:tr>
        <w:trPr>
          <w:trHeight w:val="189"/>
        </w:trPr>
        <w:tc>
          <w:tcPr>
            <w:tcW w:w="2340" w:type="dxa"/>
            <w:vAlign w:val="bottom"/>
          </w:tcPr>
          <w:p>
            <w:pPr>
              <w:spacing w:after="0"/>
              <w:rPr>
                <w:sz w:val="16"/>
                <w:szCs w:val="16"/>
                <w:color w:val="auto"/>
              </w:rPr>
            </w:pPr>
          </w:p>
        </w:tc>
        <w:tc>
          <w:tcPr>
            <w:tcW w:w="502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5"/>
              </w:rPr>
              <w:t>(775) 622-3488</w:t>
            </w:r>
          </w:p>
        </w:tc>
        <w:tc>
          <w:tcPr>
            <w:tcW w:w="1820" w:type="dxa"/>
            <w:vAlign w:val="bottom"/>
          </w:tcPr>
          <w:p>
            <w:pPr>
              <w:spacing w:after="0"/>
              <w:rPr>
                <w:sz w:val="16"/>
                <w:szCs w:val="16"/>
                <w:color w:val="auto"/>
              </w:rPr>
            </w:pPr>
          </w:p>
        </w:tc>
      </w:tr>
      <w:tr>
        <w:trPr>
          <w:trHeight w:val="187"/>
        </w:trPr>
        <w:tc>
          <w:tcPr>
            <w:tcW w:w="2340" w:type="dxa"/>
            <w:vAlign w:val="bottom"/>
          </w:tcPr>
          <w:p>
            <w:pPr>
              <w:spacing w:after="0"/>
              <w:rPr>
                <w:sz w:val="16"/>
                <w:szCs w:val="16"/>
                <w:color w:val="auto"/>
              </w:rPr>
            </w:pPr>
          </w:p>
        </w:tc>
        <w:tc>
          <w:tcPr>
            <w:tcW w:w="502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6"/>
              </w:rPr>
              <w:t>(Name, address, including zip code, and telephone number,</w:t>
            </w:r>
          </w:p>
        </w:tc>
        <w:tc>
          <w:tcPr>
            <w:tcW w:w="1820" w:type="dxa"/>
            <w:vAlign w:val="bottom"/>
          </w:tcPr>
          <w:p>
            <w:pPr>
              <w:spacing w:after="0"/>
              <w:rPr>
                <w:sz w:val="16"/>
                <w:szCs w:val="16"/>
                <w:color w:val="auto"/>
              </w:rPr>
            </w:pPr>
          </w:p>
        </w:tc>
      </w:tr>
      <w:tr>
        <w:trPr>
          <w:trHeight w:val="203"/>
        </w:trPr>
        <w:tc>
          <w:tcPr>
            <w:tcW w:w="2340" w:type="dxa"/>
            <w:vAlign w:val="bottom"/>
          </w:tcPr>
          <w:p>
            <w:pPr>
              <w:spacing w:after="0"/>
              <w:rPr>
                <w:sz w:val="17"/>
                <w:szCs w:val="17"/>
                <w:color w:val="auto"/>
              </w:rPr>
            </w:pPr>
          </w:p>
        </w:tc>
        <w:tc>
          <w:tcPr>
            <w:tcW w:w="502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including area code, of agent for service)</w:t>
            </w:r>
          </w:p>
        </w:tc>
        <w:tc>
          <w:tcPr>
            <w:tcW w:w="1820" w:type="dxa"/>
            <w:vAlign w:val="bottom"/>
          </w:tcPr>
          <w:p>
            <w:pPr>
              <w:spacing w:after="0"/>
              <w:rPr>
                <w:sz w:val="17"/>
                <w:szCs w:val="17"/>
                <w:color w:val="auto"/>
              </w:rPr>
            </w:pPr>
          </w:p>
        </w:tc>
      </w:tr>
    </w:tbl>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With copies to:</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Steven M. Skolnick</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Lowenstein Sandler LLP</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1251 Avenue of the Americas</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NY 10020</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Telephone: (212) 262-6700</w:t>
      </w:r>
    </w:p>
    <w:p>
      <w:pPr>
        <w:spacing w:after="0" w:line="172"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this Registration Statement becomes effective.</w:t>
      </w:r>
    </w:p>
    <w:p>
      <w:pPr>
        <w:spacing w:after="0" w:line="191" w:lineRule="exact"/>
        <w:rPr>
          <w:sz w:val="24"/>
          <w:szCs w:val="24"/>
          <w:color w:val="auto"/>
        </w:rPr>
      </w:pPr>
    </w:p>
    <w:p>
      <w:pPr>
        <w:jc w:val="both"/>
        <w:ind w:right="20" w:firstLine="280"/>
        <w:spacing w:after="0" w:line="207"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48" w:lineRule="exact"/>
        <w:rPr>
          <w:sz w:val="24"/>
          <w:szCs w:val="24"/>
          <w:color w:val="auto"/>
        </w:rPr>
      </w:pPr>
    </w:p>
    <w:p>
      <w:pPr>
        <w:jc w:val="both"/>
        <w:ind w:firstLine="280"/>
        <w:spacing w:after="0" w:line="207"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48" w:lineRule="exact"/>
        <w:rPr>
          <w:sz w:val="24"/>
          <w:szCs w:val="24"/>
          <w:color w:val="auto"/>
        </w:rPr>
      </w:pPr>
    </w:p>
    <w:p>
      <w:pPr>
        <w:jc w:val="both"/>
        <w:ind w:firstLine="280"/>
        <w:spacing w:after="0" w:line="207"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48" w:lineRule="exact"/>
        <w:rPr>
          <w:sz w:val="24"/>
          <w:szCs w:val="24"/>
          <w:color w:val="auto"/>
        </w:rPr>
      </w:pPr>
    </w:p>
    <w:p>
      <w:pPr>
        <w:jc w:val="both"/>
        <w:ind w:right="20" w:firstLine="280"/>
        <w:spacing w:after="0" w:line="207"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48" w:lineRule="exact"/>
        <w:rPr>
          <w:sz w:val="24"/>
          <w:szCs w:val="24"/>
          <w:color w:val="auto"/>
        </w:rPr>
      </w:pPr>
    </w:p>
    <w:p>
      <w:pPr>
        <w:jc w:val="both"/>
        <w:ind w:right="20" w:firstLine="280"/>
        <w:spacing w:after="0" w:line="34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0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Accelerated filer</w:t>
            </w:r>
          </w:p>
        </w:tc>
        <w:tc>
          <w:tcPr>
            <w:tcW w:w="2040" w:type="dxa"/>
            <w:vAlign w:val="bottom"/>
          </w:tcPr>
          <w:p>
            <w:pPr>
              <w:ind w:left="1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7"/>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0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040" w:type="dxa"/>
            <w:vAlign w:val="bottom"/>
          </w:tcPr>
          <w:p>
            <w:pPr>
              <w:ind w:left="1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0"/>
        </w:trPr>
        <w:tc>
          <w:tcPr>
            <w:tcW w:w="32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Emerging growth company</w:t>
            </w:r>
          </w:p>
        </w:tc>
        <w:tc>
          <w:tcPr>
            <w:tcW w:w="2040" w:type="dxa"/>
            <w:vAlign w:val="bottom"/>
          </w:tcPr>
          <w:p>
            <w:pPr>
              <w:ind w:left="19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3" w:lineRule="exact"/>
        <w:rPr>
          <w:sz w:val="24"/>
          <w:szCs w:val="24"/>
          <w:color w:val="auto"/>
        </w:rPr>
      </w:pPr>
    </w:p>
    <w:p>
      <w:pPr>
        <w:jc w:val="both"/>
        <w:ind w:firstLine="28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46" w:lineRule="exact"/>
        <w:rPr>
          <w:sz w:val="24"/>
          <w:szCs w:val="24"/>
          <w:color w:val="auto"/>
        </w:rPr>
      </w:pPr>
    </w:p>
    <w:p>
      <w:pPr>
        <w:jc w:val="both"/>
        <w:ind w:right="20" w:firstLine="280"/>
        <w:spacing w:after="0" w:line="257"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150735"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735" cy="14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140335</wp:posOffset>
            </wp:positionV>
            <wp:extent cx="715073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735"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414655</wp:posOffset>
            </wp:positionV>
            <wp:extent cx="71507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401" w:right="319" w:bottom="1440" w:gutter="0" w:footer="0" w:header="0"/>
        </w:sectPr>
      </w:pPr>
    </w:p>
    <w:bookmarkStart w:id="1" w:name="page2"/>
    <w:bookmarkEnd w:id="1"/>
    <w:p>
      <w:pPr>
        <w:jc w:val="both"/>
        <w:spacing w:after="0" w:line="257" w:lineRule="auto"/>
        <w:rPr>
          <w:sz w:val="20"/>
          <w:szCs w:val="20"/>
          <w:color w:val="auto"/>
        </w:rPr>
      </w:pPr>
      <w:r>
        <w:rPr>
          <w:rFonts w:ascii="Times New Roman" w:cs="Times New Roman" w:eastAsia="Times New Roman" w:hAnsi="Times New Roman"/>
          <w:sz w:val="16"/>
          <w:szCs w:val="16"/>
          <w:b w:val="1"/>
          <w:bCs w:val="1"/>
          <w:color w:val="FF0000"/>
        </w:rPr>
        <w:t>The information in this preliminary prospectus is not complete and may be changed. The Selling Stockholder may not resell these securities until the registration statement filed with the Securities and Exchange Commission is effective. This preliminary prospectus is not an offer to sell these securities, nor is it a solicitation of offers to buy these securities, in any state where the offer or sale is not permitted.</w:t>
      </w:r>
    </w:p>
    <w:p>
      <w:pPr>
        <w:spacing w:after="0" w:line="156" w:lineRule="exact"/>
        <w:rPr>
          <w:sz w:val="20"/>
          <w:szCs w:val="20"/>
          <w:color w:val="auto"/>
        </w:rPr>
      </w:pPr>
    </w:p>
    <w:p>
      <w:pPr>
        <w:ind w:left="700"/>
        <w:spacing w:after="0"/>
        <w:tabs>
          <w:tab w:leader="none" w:pos="4580" w:val="left"/>
          <w:tab w:leader="none" w:pos="8660" w:val="left"/>
        </w:tabs>
        <w:rPr>
          <w:sz w:val="20"/>
          <w:szCs w:val="20"/>
          <w:color w:val="auto"/>
        </w:rPr>
      </w:pPr>
      <w:r>
        <w:rPr>
          <w:rFonts w:ascii="Times New Roman" w:cs="Times New Roman" w:eastAsia="Times New Roman" w:hAnsi="Times New Roman"/>
          <w:sz w:val="16"/>
          <w:szCs w:val="16"/>
          <w:b w:val="1"/>
          <w:bCs w:val="1"/>
          <w:color w:val="FF0000"/>
        </w:rPr>
        <w:t>PRELIMINARY PROSPECTUS</w:t>
      </w:r>
      <w:r>
        <w:rPr>
          <w:sz w:val="20"/>
          <w:szCs w:val="20"/>
          <w:color w:val="auto"/>
        </w:rPr>
        <w:tab/>
      </w:r>
      <w:r>
        <w:rPr>
          <w:rFonts w:ascii="Times New Roman" w:cs="Times New Roman" w:eastAsia="Times New Roman" w:hAnsi="Times New Roman"/>
          <w:sz w:val="16"/>
          <w:szCs w:val="16"/>
          <w:b w:val="1"/>
          <w:bCs w:val="1"/>
          <w:color w:val="FF0000"/>
        </w:rPr>
        <w:t>SUBJECT TO COMPLETION</w:t>
      </w:r>
      <w:r>
        <w:rPr>
          <w:sz w:val="20"/>
          <w:szCs w:val="20"/>
          <w:color w:val="auto"/>
        </w:rPr>
        <w:tab/>
      </w:r>
      <w:r>
        <w:rPr>
          <w:rFonts w:ascii="Times New Roman" w:cs="Times New Roman" w:eastAsia="Times New Roman" w:hAnsi="Times New Roman"/>
          <w:sz w:val="14"/>
          <w:szCs w:val="14"/>
          <w:b w:val="1"/>
          <w:bCs w:val="1"/>
          <w:color w:val="FF0000"/>
        </w:rPr>
        <w:t>DATED APRIL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132080</wp:posOffset>
            </wp:positionV>
            <wp:extent cx="1511935" cy="377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1935" cy="37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36,901,132 Shares of Common Stock</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This prospectus relates to the resale or other disposition by the selling stockholder identified herein (the “Selling Stockholder”) of up to 36,901,132 shares of common stock, par value $0.0001 per share, of Dragonfly Energy Holdings Corp. (the “Company,” “we,” “our” or “us”) issuable upon the conversion of our Series A Convertible Preferred Stock, par value $0.0001 per share (the “Series A Preferred Stock”), including (i) up to 4,811,321 shares of common stock issuable upon the conversion of our Series A Preferred Stock issued to the Selling Stockholder on February 27, 2025 in the first closing of our private placement (the “Private Placement”), based on the floor price of $0.424, (ii) up to 27,000,000 shares of common stock issuable upon the conversion of our Series A Preferred Stock to be issued to the Selling Stockholder in the second closing of the Private Placement that will occur automatically upon receipt of Stockholder Approval (as hereinafter defined) and the effectiveness of the registration statement of which this prospectus forms a part, based on an assumed floor price of $0.20 and (iii) up to 5,089,811 shares of common stock potentially issuable upon conversion of additional shares of Series A Preferred Stock to be issued as payment-in-kind dividends (the “PIK Dividends”) on the Series A Preferred Stock issued or to be issued in Private Placement, based on the floor prices above, assuming that such dividends are not paid in cash per the terms of the Series A Preferred Stock. For additional information about the Private Placement, see “</w:t>
      </w:r>
      <w:r>
        <w:rPr>
          <w:rFonts w:ascii="Times New Roman" w:cs="Times New Roman" w:eastAsia="Times New Roman" w:hAnsi="Times New Roman"/>
          <w:sz w:val="16"/>
          <w:szCs w:val="16"/>
          <w:i w:val="1"/>
          <w:iCs w:val="1"/>
          <w:color w:val="auto"/>
        </w:rPr>
        <w:t>Private Placement</w:t>
      </w:r>
      <w:r>
        <w:rPr>
          <w:rFonts w:ascii="Times New Roman" w:cs="Times New Roman" w:eastAsia="Times New Roman" w:hAnsi="Times New Roman"/>
          <w:sz w:val="16"/>
          <w:szCs w:val="16"/>
          <w:color w:val="auto"/>
        </w:rPr>
        <w:t>” beginning on page 32 of this prospectus.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Selling Stockholder may, from time to time, sell, transfer or otherwise dispose of any or all of its shares of common stock or interests in its shares of common stock on any stock exchange, market or trading facility on which the shares of common stock are traded or in private transactions. These dispositions may be at fixed prices, at prevailing market prices at the time of sale, at prices related to the prevailing market price, at varying prices determined at the time of sale, or at negotiated prices. We will not receive any proceeds from the resale or other disposition of the shares of common stock by the Selling Stockholder. See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beginning on page 34 and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 beginning on page 101 of this prospectus for more information.</w:t>
      </w:r>
    </w:p>
    <w:p>
      <w:pPr>
        <w:spacing w:after="0" w:line="166"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14"/>
          <w:szCs w:val="14"/>
          <w:color w:val="auto"/>
        </w:rPr>
        <w:t>Our common stock is currently listed on the Nasdaq Capital Market under the symbol “DFLI” and our public warrants (the “Public Warrants”) are currently listed on the Nasdaq Capital Market under the symbol “DFLIW.” As of April 3, 2025, the closing price of our common stock was $0.77 and the closing price of our Public Warrants was $0.03.</w:t>
      </w:r>
    </w:p>
    <w:p>
      <w:pPr>
        <w:spacing w:after="0" w:line="10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You should read this prospectus carefully, together with additional information described under the heading “</w:t>
      </w:r>
      <w:r>
        <w:rPr>
          <w:rFonts w:ascii="Times New Roman" w:cs="Times New Roman" w:eastAsia="Times New Roman" w:hAnsi="Times New Roman"/>
          <w:sz w:val="16"/>
          <w:szCs w:val="16"/>
          <w:i w:val="1"/>
          <w:iCs w:val="1"/>
          <w:color w:val="auto"/>
        </w:rPr>
        <w:t>Where You Can Find More Information</w:t>
      </w:r>
      <w:r>
        <w:rPr>
          <w:rFonts w:ascii="Times New Roman" w:cs="Times New Roman" w:eastAsia="Times New Roman" w:hAnsi="Times New Roman"/>
          <w:sz w:val="16"/>
          <w:szCs w:val="16"/>
          <w:color w:val="auto"/>
        </w:rPr>
        <w:t>,” before you invest in any of our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an “emerging growth company” under applicable federal securities laws and are subject to reduced public company reporting requirements.</w:t>
      </w:r>
    </w:p>
    <w:p>
      <w:pPr>
        <w:spacing w:after="0" w:line="18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See the section entitled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beginning on page 6 of this prospectus for a discussion of risks that should be considered in connection with an investment in our securities.</w:t>
      </w:r>
    </w:p>
    <w:p>
      <w:pPr>
        <w:spacing w:after="0" w:line="14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or any state securities commission has approved or disapproved of these securities or passed upon the adequacy or accuracy of this prospectus. Any representation to the contrary is a criminal offense.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ind w:left="4280"/>
              <w:spacing w:after="0"/>
              <w:rPr>
                <w:sz w:val="20"/>
                <w:szCs w:val="20"/>
                <w:color w:val="auto"/>
              </w:rPr>
            </w:pPr>
            <w:r>
              <w:rPr>
                <w:rFonts w:ascii="Times New Roman" w:cs="Times New Roman" w:eastAsia="Times New Roman" w:hAnsi="Times New Roman"/>
                <w:sz w:val="16"/>
                <w:szCs w:val="16"/>
                <w:b w:val="1"/>
                <w:bCs w:val="1"/>
                <w:color w:val="auto"/>
              </w:rPr>
              <w:t>The date of this prospectus is</w:t>
            </w:r>
          </w:p>
        </w:tc>
        <w:tc>
          <w:tcPr>
            <w:tcW w:w="4860" w:type="dxa"/>
            <w:vAlign w:val="bottom"/>
          </w:tcPr>
          <w:p>
            <w:pPr>
              <w:jc w:val="right"/>
              <w:ind w:right="4202"/>
              <w:spacing w:after="0"/>
              <w:rPr>
                <w:sz w:val="20"/>
                <w:szCs w:val="20"/>
                <w:color w:val="auto"/>
              </w:rPr>
            </w:pPr>
            <w:r>
              <w:rPr>
                <w:rFonts w:ascii="Times New Roman" w:cs="Times New Roman" w:eastAsia="Times New Roman" w:hAnsi="Times New Roman"/>
                <w:sz w:val="16"/>
                <w:szCs w:val="16"/>
                <w:b w:val="1"/>
                <w:bCs w:val="1"/>
                <w:color w:val="auto"/>
              </w:rPr>
              <w:t>, 2025</w:t>
            </w:r>
          </w:p>
        </w:tc>
      </w:tr>
      <w:tr>
        <w:trPr>
          <w:trHeight w:val="374"/>
        </w:trPr>
        <w:tc>
          <w:tcPr>
            <w:tcW w:w="64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11"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80" w:type="dxa"/>
            <w:vAlign w:val="bottom"/>
            <w:gridSpan w:val="6"/>
          </w:tcPr>
          <w:p>
            <w:pPr>
              <w:ind w:left="9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920" w:type="dxa"/>
            <w:vAlign w:val="bottom"/>
            <w:gridSpan w:val="20"/>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EE"/>
              </w:rPr>
              <w:t>ABOUT THIS PROSPECTUS</w:t>
            </w:r>
          </w:p>
        </w:tc>
        <w:tc>
          <w:tcPr>
            <w:tcW w:w="134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auto"/>
              </w:rPr>
              <w:t>i</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6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6960" w:type="dxa"/>
            <w:vAlign w:val="bottom"/>
            <w:tcBorders>
              <w:bottom w:val="single" w:sz="8" w:color="0000EE"/>
            </w:tcBorders>
            <w:gridSpan w:val="17"/>
          </w:tcPr>
          <w:p>
            <w:pPr>
              <w:spacing w:after="0" w:line="152" w:lineRule="exact"/>
              <w:rPr>
                <w:sz w:val="20"/>
                <w:szCs w:val="20"/>
                <w:color w:val="auto"/>
              </w:rPr>
            </w:pPr>
            <w:r>
              <w:rPr>
                <w:rFonts w:ascii="Times New Roman" w:cs="Times New Roman" w:eastAsia="Times New Roman" w:hAnsi="Times New Roman"/>
                <w:sz w:val="16"/>
                <w:szCs w:val="16"/>
                <w:color w:val="0000EE"/>
                <w:w w:val="95"/>
              </w:rPr>
              <w:t>CAUTIONARY STATEMENT REGARDING FORWARD-LOOKING STATEMENTS AND INFORMATION</w:t>
            </w:r>
          </w:p>
        </w:tc>
        <w:tc>
          <w:tcPr>
            <w:tcW w:w="2960" w:type="dxa"/>
            <w:vAlign w:val="bottom"/>
            <w:gridSpan w:val="3"/>
          </w:tcPr>
          <w:p>
            <w:pPr>
              <w:spacing w:after="0"/>
              <w:rPr>
                <w:sz w:val="13"/>
                <w:szCs w:val="13"/>
                <w:color w:val="auto"/>
              </w:rPr>
            </w:pPr>
          </w:p>
        </w:tc>
        <w:tc>
          <w:tcPr>
            <w:tcW w:w="1340" w:type="dxa"/>
            <w:vAlign w:val="bottom"/>
          </w:tcPr>
          <w:p>
            <w:pPr>
              <w:jc w:val="right"/>
              <w:spacing w:after="0" w:line="15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00" w:type="dxa"/>
            <w:vAlign w:val="bottom"/>
            <w:tcBorders>
              <w:bottom w:val="single" w:sz="8" w:color="0000EE"/>
            </w:tcBorders>
            <w:gridSpan w:val="8"/>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w w:val="95"/>
              </w:rPr>
              <w:t>PROSPECTUS SUMMARY</w:t>
            </w:r>
          </w:p>
        </w:tc>
        <w:tc>
          <w:tcPr>
            <w:tcW w:w="8120" w:type="dxa"/>
            <w:vAlign w:val="bottom"/>
            <w:tcBorders>
              <w:bottom w:val="single" w:sz="8" w:color="CCEEFF"/>
            </w:tcBorders>
            <w:gridSpan w:val="12"/>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80" w:type="dxa"/>
            <w:vAlign w:val="bottom"/>
            <w:tcBorders>
              <w:bottom w:val="single" w:sz="8" w:color="0000EE"/>
            </w:tcBorders>
            <w:gridSpan w:val="2"/>
          </w:tcPr>
          <w:p>
            <w:pPr>
              <w:spacing w:after="0" w:line="152" w:lineRule="exact"/>
              <w:rPr>
                <w:sz w:val="20"/>
                <w:szCs w:val="20"/>
                <w:color w:val="auto"/>
              </w:rPr>
            </w:pPr>
            <w:r>
              <w:rPr>
                <w:rFonts w:ascii="Times New Roman" w:cs="Times New Roman" w:eastAsia="Times New Roman" w:hAnsi="Times New Roman"/>
                <w:sz w:val="16"/>
                <w:szCs w:val="16"/>
                <w:color w:val="0000EE"/>
                <w:w w:val="94"/>
              </w:rPr>
              <w:t>RISK FACTORS</w:t>
            </w:r>
          </w:p>
        </w:tc>
        <w:tc>
          <w:tcPr>
            <w:tcW w:w="8840" w:type="dxa"/>
            <w:vAlign w:val="bottom"/>
            <w:gridSpan w:val="18"/>
          </w:tcPr>
          <w:p>
            <w:pPr>
              <w:spacing w:after="0"/>
              <w:rPr>
                <w:sz w:val="13"/>
                <w:szCs w:val="13"/>
                <w:color w:val="auto"/>
              </w:rPr>
            </w:pPr>
          </w:p>
        </w:tc>
        <w:tc>
          <w:tcPr>
            <w:tcW w:w="1340" w:type="dxa"/>
            <w:vAlign w:val="bottom"/>
          </w:tcPr>
          <w:p>
            <w:pPr>
              <w:jc w:val="right"/>
              <w:spacing w:after="0" w:line="152" w:lineRule="exact"/>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9920" w:type="dxa"/>
            <w:vAlign w:val="bottom"/>
            <w:gridSpan w:val="20"/>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EE"/>
              </w:rPr>
              <w:t>PRIVATE PLACEMENT</w:t>
            </w:r>
          </w:p>
        </w:tc>
        <w:tc>
          <w:tcPr>
            <w:tcW w:w="13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360" w:type="dxa"/>
            <w:vAlign w:val="bottom"/>
            <w:tcBorders>
              <w:top w:val="single" w:sz="8" w:color="0000EE"/>
              <w:bottom w:val="single" w:sz="8" w:color="0000EE"/>
            </w:tcBorders>
            <w:gridSpan w:val="5"/>
          </w:tcPr>
          <w:p>
            <w:pPr>
              <w:spacing w:after="0" w:line="152" w:lineRule="exact"/>
              <w:rPr>
                <w:sz w:val="20"/>
                <w:szCs w:val="20"/>
                <w:color w:val="auto"/>
              </w:rPr>
            </w:pPr>
            <w:r>
              <w:rPr>
                <w:rFonts w:ascii="Times New Roman" w:cs="Times New Roman" w:eastAsia="Times New Roman" w:hAnsi="Times New Roman"/>
                <w:sz w:val="16"/>
                <w:szCs w:val="16"/>
                <w:color w:val="0000EE"/>
                <w:w w:val="95"/>
              </w:rPr>
              <w:t>USE OF PROCEEDS</w:t>
            </w:r>
          </w:p>
        </w:tc>
        <w:tc>
          <w:tcPr>
            <w:tcW w:w="220" w:type="dxa"/>
            <w:vAlign w:val="bottom"/>
            <w:tcBorders>
              <w:top w:val="single" w:sz="8" w:color="0000EE"/>
            </w:tcBorders>
          </w:tcPr>
          <w:p>
            <w:pPr>
              <w:spacing w:after="0"/>
              <w:rPr>
                <w:sz w:val="13"/>
                <w:szCs w:val="13"/>
                <w:color w:val="auto"/>
              </w:rPr>
            </w:pPr>
          </w:p>
        </w:tc>
        <w:tc>
          <w:tcPr>
            <w:tcW w:w="8340" w:type="dxa"/>
            <w:vAlign w:val="bottom"/>
            <w:tcBorders>
              <w:top w:val="single" w:sz="8" w:color="CCEEFF"/>
            </w:tcBorders>
            <w:gridSpan w:val="14"/>
          </w:tcPr>
          <w:p>
            <w:pPr>
              <w:spacing w:after="0"/>
              <w:rPr>
                <w:sz w:val="13"/>
                <w:szCs w:val="13"/>
                <w:color w:val="auto"/>
              </w:rPr>
            </w:pPr>
          </w:p>
        </w:tc>
        <w:tc>
          <w:tcPr>
            <w:tcW w:w="1340" w:type="dxa"/>
            <w:vAlign w:val="bottom"/>
            <w:tcBorders>
              <w:top w:val="single" w:sz="8" w:color="CCEEFF"/>
            </w:tcBorders>
          </w:tcPr>
          <w:p>
            <w:pPr>
              <w:jc w:val="right"/>
              <w:spacing w:after="0" w:line="152" w:lineRule="exact"/>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20" w:type="dxa"/>
            <w:vAlign w:val="bottom"/>
            <w:tcBorders>
              <w:bottom w:val="single" w:sz="8" w:color="0000EE"/>
            </w:tcBorders>
            <w:gridSpan w:val="1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EE"/>
                <w:w w:val="96"/>
              </w:rPr>
              <w:t>MARKET PRICE AND DIVIDEND INFORMATION</w:t>
            </w:r>
          </w:p>
        </w:tc>
        <w:tc>
          <w:tcPr>
            <w:tcW w:w="6500" w:type="dxa"/>
            <w:vAlign w:val="bottom"/>
            <w:tcBorders>
              <w:bottom w:val="single" w:sz="8" w:color="CCEEFF"/>
            </w:tcBorders>
            <w:gridSpan w:val="7"/>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7700" w:type="dxa"/>
            <w:vAlign w:val="bottom"/>
            <w:tcBorders>
              <w:bottom w:val="single" w:sz="8" w:color="0000EE"/>
            </w:tcBorders>
            <w:gridSpan w:val="18"/>
          </w:tcPr>
          <w:p>
            <w:pPr>
              <w:spacing w:after="0" w:line="152" w:lineRule="exact"/>
              <w:rPr>
                <w:sz w:val="20"/>
                <w:szCs w:val="20"/>
                <w:color w:val="auto"/>
              </w:rPr>
            </w:pPr>
            <w:r>
              <w:rPr>
                <w:rFonts w:ascii="Times New Roman" w:cs="Times New Roman" w:eastAsia="Times New Roman" w:hAnsi="Times New Roman"/>
                <w:sz w:val="16"/>
                <w:szCs w:val="16"/>
                <w:color w:val="0000EE"/>
                <w:w w:val="96"/>
              </w:rPr>
              <w:t>MANAGEMENT’S DISCUSSION AND ANALYSIS OF FINANCIAL CONDITION AND RESULTS OF OPERATIONS</w:t>
            </w:r>
          </w:p>
        </w:tc>
        <w:tc>
          <w:tcPr>
            <w:tcW w:w="2220" w:type="dxa"/>
            <w:vAlign w:val="bottom"/>
            <w:gridSpan w:val="2"/>
          </w:tcPr>
          <w:p>
            <w:pPr>
              <w:spacing w:after="0"/>
              <w:rPr>
                <w:sz w:val="13"/>
                <w:szCs w:val="13"/>
                <w:color w:val="auto"/>
              </w:rPr>
            </w:pPr>
          </w:p>
        </w:tc>
        <w:tc>
          <w:tcPr>
            <w:tcW w:w="1340" w:type="dxa"/>
            <w:vAlign w:val="bottom"/>
          </w:tcPr>
          <w:p>
            <w:pPr>
              <w:jc w:val="right"/>
              <w:spacing w:after="0" w:line="152" w:lineRule="exact"/>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100" w:type="dxa"/>
            <w:vAlign w:val="bottom"/>
            <w:tcBorders>
              <w:bottom w:val="single" w:sz="8" w:color="0000EE"/>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EE"/>
                <w:w w:val="95"/>
              </w:rPr>
              <w:t>OUR BUSINESS</w:t>
            </w:r>
          </w:p>
        </w:tc>
        <w:tc>
          <w:tcPr>
            <w:tcW w:w="8820" w:type="dxa"/>
            <w:vAlign w:val="bottom"/>
            <w:tcBorders>
              <w:bottom w:val="single" w:sz="8" w:color="CCEEFF"/>
            </w:tcBorders>
            <w:gridSpan w:val="17"/>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9920" w:type="dxa"/>
            <w:vAlign w:val="bottom"/>
            <w:gridSpan w:val="20"/>
          </w:tcPr>
          <w:p>
            <w:pPr>
              <w:spacing w:after="0" w:line="152" w:lineRule="exact"/>
              <w:rPr>
                <w:sz w:val="20"/>
                <w:szCs w:val="20"/>
                <w:color w:val="auto"/>
              </w:rPr>
            </w:pPr>
            <w:r>
              <w:rPr>
                <w:rFonts w:ascii="Times New Roman" w:cs="Times New Roman" w:eastAsia="Times New Roman" w:hAnsi="Times New Roman"/>
                <w:sz w:val="16"/>
                <w:szCs w:val="16"/>
                <w:color w:val="0000EE"/>
              </w:rPr>
              <w:t>DIRECTORS, EXECUTIVE OFFICERS AND CORPORATE GOVERNANCE</w:t>
            </w:r>
          </w:p>
        </w:tc>
        <w:tc>
          <w:tcPr>
            <w:tcW w:w="1340" w:type="dxa"/>
            <w:vAlign w:val="bottom"/>
          </w:tcPr>
          <w:p>
            <w:pPr>
              <w:jc w:val="right"/>
              <w:spacing w:after="0" w:line="152" w:lineRule="exact"/>
              <w:rPr>
                <w:sz w:val="20"/>
                <w:szCs w:val="20"/>
                <w:color w:val="auto"/>
              </w:rPr>
            </w:pPr>
            <w:r>
              <w:rPr>
                <w:rFonts w:ascii="Times New Roman" w:cs="Times New Roman" w:eastAsia="Times New Roman" w:hAnsi="Times New Roman"/>
                <w:sz w:val="16"/>
                <w:szCs w:val="16"/>
                <w:color w:val="auto"/>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000" w:type="dxa"/>
            <w:vAlign w:val="bottom"/>
            <w:tcBorders>
              <w:top w:val="single" w:sz="8" w:color="0000EE"/>
            </w:tcBorders>
            <w:gridSpan w:val="15"/>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EE"/>
              </w:rPr>
              <w:t>EXECUTIVE COMPENSATION</w:t>
            </w:r>
          </w:p>
        </w:tc>
        <w:tc>
          <w:tcPr>
            <w:tcW w:w="4920" w:type="dxa"/>
            <w:vAlign w:val="bottom"/>
            <w:gridSpan w:val="5"/>
            <w:shd w:val="clear" w:color="auto" w:fill="CCEEFF"/>
          </w:tcPr>
          <w:p>
            <w:pPr>
              <w:spacing w:after="0"/>
              <w:rPr>
                <w:sz w:val="13"/>
                <w:szCs w:val="13"/>
                <w:color w:val="auto"/>
              </w:rPr>
            </w:pPr>
          </w:p>
        </w:tc>
        <w:tc>
          <w:tcPr>
            <w:tcW w:w="13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6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40" w:type="dxa"/>
            <w:vAlign w:val="bottom"/>
            <w:tcBorders>
              <w:right w:val="single" w:sz="8" w:color="CCEEFF"/>
            </w:tcBorders>
            <w:shd w:val="clear" w:color="auto" w:fill="0000EE"/>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9920" w:type="dxa"/>
            <w:vAlign w:val="bottom"/>
            <w:gridSpan w:val="20"/>
          </w:tcPr>
          <w:p>
            <w:pPr>
              <w:spacing w:after="0" w:line="152" w:lineRule="exact"/>
              <w:rPr>
                <w:sz w:val="20"/>
                <w:szCs w:val="20"/>
                <w:color w:val="auto"/>
              </w:rPr>
            </w:pPr>
            <w:r>
              <w:rPr>
                <w:rFonts w:ascii="Times New Roman" w:cs="Times New Roman" w:eastAsia="Times New Roman" w:hAnsi="Times New Roman"/>
                <w:sz w:val="16"/>
                <w:szCs w:val="16"/>
                <w:color w:val="0000EE"/>
              </w:rPr>
              <w:t>CERTAIN RELATIONSHIPS AND RELATED TRANSACTIONS, AND DIRECTOR INDEPENDENCE</w:t>
            </w:r>
          </w:p>
        </w:tc>
        <w:tc>
          <w:tcPr>
            <w:tcW w:w="1340" w:type="dxa"/>
            <w:vAlign w:val="bottom"/>
          </w:tcPr>
          <w:p>
            <w:pPr>
              <w:jc w:val="right"/>
              <w:spacing w:after="0" w:line="152" w:lineRule="exact"/>
              <w:rPr>
                <w:sz w:val="20"/>
                <w:szCs w:val="20"/>
                <w:color w:val="auto"/>
              </w:rPr>
            </w:pPr>
            <w:r>
              <w:rPr>
                <w:rFonts w:ascii="Times New Roman" w:cs="Times New Roman" w:eastAsia="Times New Roman" w:hAnsi="Times New Roman"/>
                <w:sz w:val="16"/>
                <w:szCs w:val="16"/>
                <w:color w:val="auto"/>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6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16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8840" w:type="dxa"/>
            <w:vAlign w:val="bottom"/>
            <w:tcBorders>
              <w:bottom w:val="single" w:sz="8" w:color="0000EE"/>
            </w:tcBorders>
            <w:gridSpan w:val="19"/>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EE"/>
                <w:w w:val="96"/>
              </w:rPr>
              <w:t>SECURITY OWNERSHIP OF CERTAIN BENEFICIAL OWNERS AND MANAGEMENT AND RELATED STOCKHOLDER MATTERS</w:t>
            </w:r>
          </w:p>
        </w:tc>
        <w:tc>
          <w:tcPr>
            <w:tcW w:w="10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920" w:type="dxa"/>
            <w:vAlign w:val="bottom"/>
            <w:gridSpan w:val="20"/>
          </w:tcPr>
          <w:p>
            <w:pPr>
              <w:spacing w:after="0" w:line="152" w:lineRule="exact"/>
              <w:rPr>
                <w:sz w:val="20"/>
                <w:szCs w:val="20"/>
                <w:color w:val="auto"/>
              </w:rPr>
            </w:pPr>
            <w:r>
              <w:rPr>
                <w:rFonts w:ascii="Times New Roman" w:cs="Times New Roman" w:eastAsia="Times New Roman" w:hAnsi="Times New Roman"/>
                <w:sz w:val="16"/>
                <w:szCs w:val="16"/>
                <w:color w:val="0000EE"/>
              </w:rPr>
              <w:t>DESCRIPTION OF SECURITIES</w:t>
            </w:r>
          </w:p>
        </w:tc>
        <w:tc>
          <w:tcPr>
            <w:tcW w:w="1340" w:type="dxa"/>
            <w:vAlign w:val="bottom"/>
          </w:tcPr>
          <w:p>
            <w:pPr>
              <w:jc w:val="right"/>
              <w:spacing w:after="0" w:line="152" w:lineRule="exact"/>
              <w:rPr>
                <w:sz w:val="20"/>
                <w:szCs w:val="20"/>
                <w:color w:val="auto"/>
              </w:rPr>
            </w:pPr>
            <w:r>
              <w:rPr>
                <w:rFonts w:ascii="Times New Roman" w:cs="Times New Roman" w:eastAsia="Times New Roman" w:hAnsi="Times New Roman"/>
                <w:sz w:val="16"/>
                <w:szCs w:val="16"/>
                <w:color w:val="auto"/>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20" w:type="dxa"/>
            <w:vAlign w:val="bottom"/>
            <w:tcBorders>
              <w:top w:val="single" w:sz="8" w:color="0000EE"/>
              <w:bottom w:val="single" w:sz="8" w:color="0000EE"/>
            </w:tcBorders>
            <w:gridSpan w:val="9"/>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w w:val="95"/>
              </w:rPr>
              <w:t>SELLING STOCKHOLDER</w:t>
            </w:r>
          </w:p>
        </w:tc>
        <w:tc>
          <w:tcPr>
            <w:tcW w:w="340" w:type="dxa"/>
            <w:vAlign w:val="bottom"/>
            <w:tcBorders>
              <w:top w:val="single" w:sz="8" w:color="0000EE"/>
              <w:bottom w:val="single" w:sz="8" w:color="CCEEFF"/>
              <w:right w:val="single" w:sz="8" w:color="CCEEFF"/>
            </w:tcBorders>
            <w:gridSpan w:val="2"/>
            <w:shd w:val="clear" w:color="auto" w:fill="CCEEFF"/>
          </w:tcPr>
          <w:p>
            <w:pPr>
              <w:spacing w:after="0"/>
              <w:rPr>
                <w:sz w:val="15"/>
                <w:szCs w:val="15"/>
                <w:color w:val="auto"/>
              </w:rPr>
            </w:pPr>
          </w:p>
        </w:tc>
        <w:tc>
          <w:tcPr>
            <w:tcW w:w="7760" w:type="dxa"/>
            <w:vAlign w:val="bottom"/>
            <w:tcBorders>
              <w:bottom w:val="single" w:sz="8" w:color="CCEEFF"/>
            </w:tcBorders>
            <w:gridSpan w:val="9"/>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920" w:type="dxa"/>
            <w:vAlign w:val="bottom"/>
            <w:gridSpan w:val="20"/>
          </w:tcPr>
          <w:p>
            <w:pPr>
              <w:spacing w:after="0" w:line="152" w:lineRule="exact"/>
              <w:rPr>
                <w:sz w:val="20"/>
                <w:szCs w:val="20"/>
                <w:color w:val="auto"/>
              </w:rPr>
            </w:pPr>
            <w:r>
              <w:rPr>
                <w:rFonts w:ascii="Times New Roman" w:cs="Times New Roman" w:eastAsia="Times New Roman" w:hAnsi="Times New Roman"/>
                <w:sz w:val="16"/>
                <w:szCs w:val="16"/>
                <w:color w:val="0000EE"/>
              </w:rPr>
              <w:t>PLAN OF DISTRIBUTION</w:t>
            </w:r>
          </w:p>
        </w:tc>
        <w:tc>
          <w:tcPr>
            <w:tcW w:w="1340" w:type="dxa"/>
            <w:vAlign w:val="bottom"/>
          </w:tcPr>
          <w:p>
            <w:pPr>
              <w:jc w:val="right"/>
              <w:spacing w:after="0" w:line="152" w:lineRule="exact"/>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920" w:type="dxa"/>
            <w:vAlign w:val="bottom"/>
            <w:gridSpan w:val="20"/>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rPr>
              <w:t>WHERE YOU CAN FIND MORE INFORMATION</w:t>
            </w:r>
          </w:p>
        </w:tc>
        <w:tc>
          <w:tcPr>
            <w:tcW w:w="13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260" w:type="dxa"/>
            <w:vAlign w:val="bottom"/>
            <w:tcBorders>
              <w:top w:val="single" w:sz="8" w:color="0000EE"/>
              <w:bottom w:val="single" w:sz="8" w:color="0000EE"/>
            </w:tcBorders>
            <w:gridSpan w:val="4"/>
          </w:tcPr>
          <w:p>
            <w:pPr>
              <w:spacing w:after="0" w:line="152" w:lineRule="exact"/>
              <w:rPr>
                <w:sz w:val="20"/>
                <w:szCs w:val="20"/>
                <w:color w:val="auto"/>
              </w:rPr>
            </w:pPr>
            <w:r>
              <w:rPr>
                <w:rFonts w:ascii="Times New Roman" w:cs="Times New Roman" w:eastAsia="Times New Roman" w:hAnsi="Times New Roman"/>
                <w:sz w:val="16"/>
                <w:szCs w:val="16"/>
                <w:color w:val="0000EE"/>
                <w:w w:val="94"/>
              </w:rPr>
              <w:t>LEGAL MATTERS</w:t>
            </w:r>
          </w:p>
        </w:tc>
        <w:tc>
          <w:tcPr>
            <w:tcW w:w="2020" w:type="dxa"/>
            <w:vAlign w:val="bottom"/>
            <w:tcBorders>
              <w:top w:val="single" w:sz="8" w:color="0000EE"/>
            </w:tcBorders>
            <w:gridSpan w:val="8"/>
          </w:tcPr>
          <w:p>
            <w:pPr>
              <w:spacing w:after="0"/>
              <w:rPr>
                <w:sz w:val="13"/>
                <w:szCs w:val="13"/>
                <w:color w:val="auto"/>
              </w:rPr>
            </w:pPr>
          </w:p>
        </w:tc>
        <w:tc>
          <w:tcPr>
            <w:tcW w:w="6640" w:type="dxa"/>
            <w:vAlign w:val="bottom"/>
            <w:tcBorders>
              <w:top w:val="single" w:sz="8" w:color="CCEEFF"/>
            </w:tcBorders>
            <w:gridSpan w:val="8"/>
          </w:tcPr>
          <w:p>
            <w:pPr>
              <w:spacing w:after="0"/>
              <w:rPr>
                <w:sz w:val="13"/>
                <w:szCs w:val="13"/>
                <w:color w:val="auto"/>
              </w:rPr>
            </w:pPr>
          </w:p>
        </w:tc>
        <w:tc>
          <w:tcPr>
            <w:tcW w:w="1340" w:type="dxa"/>
            <w:vAlign w:val="bottom"/>
            <w:tcBorders>
              <w:top w:val="single" w:sz="8" w:color="CCEEFF"/>
            </w:tcBorders>
          </w:tcPr>
          <w:p>
            <w:pPr>
              <w:jc w:val="right"/>
              <w:spacing w:after="0" w:line="152" w:lineRule="exact"/>
              <w:rPr>
                <w:sz w:val="20"/>
                <w:szCs w:val="20"/>
                <w:color w:val="auto"/>
              </w:rPr>
            </w:pPr>
            <w:r>
              <w:rPr>
                <w:rFonts w:ascii="Times New Roman" w:cs="Times New Roman" w:eastAsia="Times New Roman" w:hAnsi="Times New Roman"/>
                <w:sz w:val="16"/>
                <w:szCs w:val="16"/>
                <w:color w:val="auto"/>
              </w:rPr>
              <w:t>103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60" w:type="dxa"/>
            <w:vAlign w:val="bottom"/>
            <w:tcBorders>
              <w:bottom w:val="single" w:sz="8" w:color="0000EE"/>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w w:val="92"/>
              </w:rPr>
              <w:t>EXPERTS</w:t>
            </w:r>
          </w:p>
        </w:tc>
        <w:tc>
          <w:tcPr>
            <w:tcW w:w="9260" w:type="dxa"/>
            <w:vAlign w:val="bottom"/>
            <w:tcBorders>
              <w:bottom w:val="single" w:sz="8" w:color="CCEEFF"/>
            </w:tcBorders>
            <w:gridSpan w:val="19"/>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920" w:type="dxa"/>
            <w:vAlign w:val="bottom"/>
            <w:gridSpan w:val="20"/>
          </w:tcPr>
          <w:p>
            <w:pPr>
              <w:spacing w:after="0" w:line="152" w:lineRule="exact"/>
              <w:rPr>
                <w:sz w:val="20"/>
                <w:szCs w:val="20"/>
                <w:color w:val="auto"/>
              </w:rPr>
            </w:pPr>
            <w:r>
              <w:rPr>
                <w:rFonts w:ascii="Times New Roman" w:cs="Times New Roman" w:eastAsia="Times New Roman" w:hAnsi="Times New Roman"/>
                <w:sz w:val="16"/>
                <w:szCs w:val="16"/>
                <w:color w:val="0000EE"/>
              </w:rPr>
              <w:t>INDEX TO CONSOLIDATED FINANCIAL STATEMENTS</w:t>
            </w:r>
          </w:p>
        </w:tc>
        <w:tc>
          <w:tcPr>
            <w:tcW w:w="1340" w:type="dxa"/>
            <w:vAlign w:val="bottom"/>
          </w:tcPr>
          <w:p>
            <w:pPr>
              <w:jc w:val="right"/>
              <w:spacing w:after="0" w:line="152" w:lineRule="exact"/>
              <w:rPr>
                <w:sz w:val="20"/>
                <w:szCs w:val="20"/>
                <w:color w:val="auto"/>
              </w:rPr>
            </w:pPr>
            <w:r>
              <w:rPr>
                <w:rFonts w:ascii="Times New Roman" w:cs="Times New Roman" w:eastAsia="Times New Roman" w:hAnsi="Times New Roman"/>
                <w:sz w:val="16"/>
                <w:szCs w:val="16"/>
                <w:color w:val="auto"/>
              </w:rPr>
              <w:t>F-1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8"/>
        </w:trPr>
        <w:tc>
          <w:tcPr>
            <w:tcW w:w="66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1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19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6"/>
          <w:szCs w:val="16"/>
          <w:color w:val="auto"/>
        </w:rPr>
        <w:t>Neither we nor the Selling Stockholder has authorized anyone to provide you with any information or to make any representations other than those contained in this prospectus or any applicable prospectus supplement prepared by or on behalf of us or to which we have referred you. When you make a decision about whether to invest in our securities, you should not rely upon any information other than the information in this prospectus that we may authorize to be delivered or made available to you. Neither the delivery of this prospectus nor the sale of our securities means that the information contained in this prospectus is correct after the date of this prospectus. This prospectus is not an offer to sell or the solicitation of an offer to buy our securities in any circumstances under which the offer or solicitation is unlawful.</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may also provide a prospectus supplement or post-effective amendment to the registration statement to add information to, or update or change information contained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read both this prospectus and any applicable prospectus supplement or post-effective amendment to the registration statement, together with the additional information to which we refer you in the sections of this prospectus titled “</w:t>
      </w:r>
      <w:r>
        <w:rPr>
          <w:rFonts w:ascii="Times New Roman" w:cs="Times New Roman" w:eastAsia="Times New Roman" w:hAnsi="Times New Roman"/>
          <w:sz w:val="16"/>
          <w:szCs w:val="16"/>
          <w:i w:val="1"/>
          <w:iCs w:val="1"/>
          <w:color w:val="auto"/>
        </w:rPr>
        <w:t>Where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You Can Find More Information</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will be filed as exhibits to the registration statement of which this prospectus is a part, and you may obtain copies of those documents as described below under “</w:t>
      </w:r>
      <w:r>
        <w:rPr>
          <w:rFonts w:ascii="Times New Roman" w:cs="Times New Roman" w:eastAsia="Times New Roman" w:hAnsi="Times New Roman"/>
          <w:sz w:val="16"/>
          <w:szCs w:val="16"/>
          <w:i w:val="1"/>
          <w:iCs w:val="1"/>
          <w:color w:val="auto"/>
        </w:rPr>
        <w:t>Where You Can Find More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Information</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This prospectus contains certain market data and industry statistics and forecasts that are based on studies sponsored by us, independent industry publications and other publicly available information. Although we believe these sources are reliable, estimates as they relate to projections involve numerous assumptions, are subject to risks and uncertainties, and are subject to change based on various factors, including those discussed under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in this prospectus. Accordingly, investors should not place undue reliance on this information.</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Unless the context otherwise requires, references in this prospectus to the “Company,” “we,” “us” and “our” and any related terms refer to Dragonfly Energy Holdings Corp. and its consolidated subsidiaries.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4" w:name="page5"/>
    <w:bookmarkEnd w:id="4"/>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 AND INFORMATION</w:t>
      </w:r>
    </w:p>
    <w:p>
      <w:pPr>
        <w:spacing w:after="0" w:line="191"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This prospectus contains forward-looking statements that involve substantial risks and uncertainties for purposes of the safe harbor provided by the Private Securities Litigation Reform Act of 1995. All statements contained in this prospectus other than statements of historical fact, including statements regarding our strategy, future operations, future financial position, liquidity, future revenue, projected expenses, results of operations, expectations concerning the timing and our ability to commence and subsequently report data from planned non-clinical studies and clinical trials, prospects, plans and objectives of management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w:t>
      </w:r>
    </w:p>
    <w:p>
      <w:pPr>
        <w:spacing w:after="0" w:line="168" w:lineRule="exact"/>
        <w:rPr>
          <w:sz w:val="20"/>
          <w:szCs w:val="20"/>
          <w:color w:val="auto"/>
        </w:rPr>
      </w:pPr>
    </w:p>
    <w:p>
      <w:pPr>
        <w:jc w:val="both"/>
        <w:ind w:left="7" w:right="20"/>
        <w:spacing w:after="0" w:line="255" w:lineRule="auto"/>
        <w:rPr>
          <w:sz w:val="20"/>
          <w:szCs w:val="20"/>
          <w:color w:val="auto"/>
        </w:rPr>
      </w:pPr>
      <w:r>
        <w:rPr>
          <w:rFonts w:ascii="Times New Roman" w:cs="Times New Roman" w:eastAsia="Times New Roman" w:hAnsi="Times New Roman"/>
          <w:sz w:val="16"/>
          <w:szCs w:val="16"/>
          <w:color w:val="auto"/>
        </w:rPr>
        <w:t>We have based these forward-looking statements largely on our current expectations and projections about future events and financial trends that we believe may affect our business, financial condition and results of operations. These forward-looking statements are subject to a number of risks, uncertainties, and assumptions, including those described in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in this prospectus. These factors include, but are not limited to:</w:t>
      </w:r>
    </w:p>
    <w:p>
      <w:pPr>
        <w:spacing w:after="0" w:line="160" w:lineRule="exact"/>
        <w:rPr>
          <w:sz w:val="20"/>
          <w:szCs w:val="20"/>
          <w:color w:val="auto"/>
        </w:rPr>
      </w:pPr>
    </w:p>
    <w:p>
      <w:pPr>
        <w:jc w:val="both"/>
        <w:ind w:left="287" w:right="20" w:hanging="287"/>
        <w:spacing w:after="0" w:line="250" w:lineRule="auto"/>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p>
      <w:pPr>
        <w:spacing w:after="0" w:line="1"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raise additional capital to fund our operations;</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increase market penetration into target markets;</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cure any listing deficiencies and maintain the listing of our common stock and Public Warrants on the Nasdaq Capital Market;</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addressable markets that we intend to target do not grow as expected;</w:t>
      </w:r>
    </w:p>
    <w:p>
      <w:pPr>
        <w:spacing w:after="0" w:line="2" w:lineRule="exact"/>
        <w:rPr>
          <w:rFonts w:ascii="Times New Roman" w:cs="Times New Roman" w:eastAsia="Times New Roman" w:hAnsi="Times New Roman"/>
          <w:sz w:val="16"/>
          <w:szCs w:val="16"/>
          <w:color w:val="auto"/>
        </w:rPr>
      </w:pPr>
    </w:p>
    <w:p>
      <w:pPr>
        <w:jc w:val="both"/>
        <w:ind w:left="287" w:right="20" w:hanging="287"/>
        <w:spacing w:after="0" w:line="278" w:lineRule="auto"/>
        <w:tabs>
          <w:tab w:leader="none" w:pos="287"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ind w:left="287" w:hanging="287"/>
        <w:spacing w:after="0" w:line="243" w:lineRule="auto"/>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generate revenue from future product sales in our existing markets or new markets that we enter, including the trucking and industrials markets, and our ability to achieve and maintain profitability;</w:t>
      </w: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impact of the conversion and the terms of our outstanding Series A Preferred Stock on the market price of our common stock;</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any members of our senior management team or other key personnel;</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any relationships with key suppliers, including suppliers in China;</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any relationships with key customers;</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our patents and other intellectual property;</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engage target customers and successfully retain these customers for future orders;</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successfully optimize solid-state cells or to produce commercially viable solid-state cells in a timely manner or at all, or to scale to mass production;</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produce lithium battery cells in the United States in a timely manner or at all, or to scale to mass production;</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timely achieve the anticipated benefits of our recent licensing arrangement with Stryten Energy LLC;</w:t>
      </w:r>
    </w:p>
    <w:p>
      <w:pPr>
        <w:spacing w:after="0" w:line="2" w:lineRule="exact"/>
        <w:rPr>
          <w:rFonts w:ascii="Times New Roman" w:cs="Times New Roman" w:eastAsia="Times New Roman" w:hAnsi="Times New Roman"/>
          <w:sz w:val="16"/>
          <w:szCs w:val="16"/>
          <w:color w:val="auto"/>
        </w:rPr>
      </w:pPr>
    </w:p>
    <w:p>
      <w:pPr>
        <w:ind w:left="287" w:hanging="287"/>
        <w:spacing w:after="0" w:line="243" w:lineRule="auto"/>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applicable laws or regulations, including changes in the rates of tariffs or any adjustments to the amounts payable by us to customs as a result of improperly identifying the applicable tariff rate payable on our products;</w:t>
      </w: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we may be adversely affected by other economic, business and/or competitive factors (including an economic slowdown or inflationary pressures);</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sell the desired amounts of shares of common stock at desired prices under our committed equity facility;</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accuracy of our projections and estimates regarding our expenses, capital requirements, cash utilization, and need for additional financing;</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relating to our competitors and our industry;</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reliance on two suppliers for our lithium iron phosphate cells and a single supplier for the manufacture of our battery management system;</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current dependence on one manufacturing facility; and</w:t>
      </w:r>
    </w:p>
    <w:p>
      <w:pPr>
        <w:spacing w:after="0" w:line="2" w:lineRule="exact"/>
        <w:rPr>
          <w:rFonts w:ascii="Times New Roman" w:cs="Times New Roman" w:eastAsia="Times New Roman" w:hAnsi="Times New Roman"/>
          <w:sz w:val="16"/>
          <w:szCs w:val="16"/>
          <w:color w:val="auto"/>
        </w:rPr>
      </w:pPr>
    </w:p>
    <w:p>
      <w:pPr>
        <w:ind w:left="287" w:right="20" w:hanging="287"/>
        <w:spacing w:after="0" w:line="247" w:lineRule="auto"/>
        <w:tabs>
          <w:tab w:leader="none" w:pos="2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impact of global and macroeconomic conditions, including economic, political and social instability, including the Russia-Ukraine conflict and Hamas’ attack on Israel, and their effects on our operations.</w:t>
      </w:r>
    </w:p>
    <w:p>
      <w:pPr>
        <w:spacing w:after="0" w:line="166"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of 1933, as amended (the “Securities Act”), do not protect any forward-looking statements that we make in connection with this offering. All forward-looking statements included in this prospectus are based on information available to us on the date of this prospectus.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We qualify all of our forward-looking statements by these cautionary statements.</w:t>
      </w:r>
    </w:p>
    <w:p>
      <w:pPr>
        <w:spacing w:after="0" w:line="164" w:lineRule="exact"/>
        <w:rPr>
          <w:sz w:val="20"/>
          <w:szCs w:val="20"/>
          <w:color w:val="auto"/>
        </w:rPr>
      </w:pPr>
    </w:p>
    <w:p>
      <w:pPr>
        <w:jc w:val="both"/>
        <w:ind w:left="7" w:right="20"/>
        <w:spacing w:after="0" w:line="270" w:lineRule="auto"/>
        <w:rPr>
          <w:sz w:val="20"/>
          <w:szCs w:val="20"/>
          <w:color w:val="auto"/>
        </w:rPr>
      </w:pPr>
      <w:r>
        <w:rPr>
          <w:rFonts w:ascii="Times New Roman" w:cs="Times New Roman" w:eastAsia="Times New Roman" w:hAnsi="Times New Roman"/>
          <w:sz w:val="16"/>
          <w:szCs w:val="16"/>
          <w:color w:val="auto"/>
        </w:rPr>
        <w:t>You should also read carefully the factors described in the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 of this prospectus, to better understand the risks and uncertainties inherent in our business and underlying any forward-looking statements.</w:t>
      </w:r>
    </w:p>
    <w:p>
      <w:pPr>
        <w:spacing w:after="0" w:line="14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PROSPECTUS SUMMARY</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This summary highlights information contained elsewhere in this prospectus. This summary does not contain all of the information that you should consider before deciding to invest in our securities. You should read this entire prospectus carefully, including the “Risk Factors” and “Management’s Discussion and Analysis of Financial Condition and Results of Operations,” sections in this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Company</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are a manufacturer of non-toxic deep cycle lithium-ion batteries that are designed to displace lead acid batteries in a number of different storage applications and end markets including recreational vehicle (“RV”), marine vessel, and solar, oil and gas and off-grid industries, with disruptive solid-state cell technology currently under development.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6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We currently offer several lines of batteries across our “Battle Born” and “Dragonfly” brands, each differentiated by size, power and capacity, consisting of seven different models, four of which come with a heated option. We primarily sell “Battle Born” branded batteries directly to consumers (“DTC”) and “Dragonfly” branded batteries to original equipment manufacturers (“OEMs”). Our RV OEM customers currently include Keystone, THOR Industries, Airstream, and REV, and we are in ongoing discussions with a number of additional RV OEMs to further increase adoption of our products.</w:t>
      </w:r>
    </w:p>
    <w:p>
      <w:pPr>
        <w:spacing w:after="0" w:line="16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 In April 2022, we also acquired the assets, including the Wakespeed Offshore brand (“Wakespeed”) of Thomason Jones, allowing us to include our own alternator regulator in systems that we sell.</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 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are currently producing sample cells for prospective customers across a variety of chemistries and end-markets and expect to begin scaling production during 2025. In addition, we are currently exploring opportunities within North America as part of our efforts to build a cell manufacturing facility.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mailing address of our principal executive office is 12915 Old Virginia Road, Reno, Nevada 89521, and our telephone number is (775) 622-3448.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more information about us, see the sections entitled “</w:t>
      </w:r>
      <w:r>
        <w:rPr>
          <w:rFonts w:ascii="Times New Roman" w:cs="Times New Roman" w:eastAsia="Times New Roman" w:hAnsi="Times New Roman"/>
          <w:sz w:val="16"/>
          <w:szCs w:val="16"/>
          <w:i w:val="1"/>
          <w:iCs w:val="1"/>
          <w:color w:val="auto"/>
        </w:rPr>
        <w:t>Our Business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Smaller Reporting Company</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6" w:name="page7"/>
    <w:bookmarkEnd w:id="6"/>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191" w:lineRule="exact"/>
        <w:rPr>
          <w:sz w:val="20"/>
          <w:szCs w:val="20"/>
          <w:color w:val="auto"/>
        </w:rPr>
      </w:pPr>
    </w:p>
    <w:p>
      <w:pPr>
        <w:ind w:left="7" w:right="20"/>
        <w:spacing w:after="0" w:line="267" w:lineRule="auto"/>
        <w:rPr>
          <w:sz w:val="20"/>
          <w:szCs w:val="20"/>
          <w:color w:val="auto"/>
        </w:rPr>
      </w:pPr>
      <w:r>
        <w:rPr>
          <w:rFonts w:ascii="Times New Roman" w:cs="Times New Roman" w:eastAsia="Times New Roman" w:hAnsi="Times New Roman"/>
          <w:sz w:val="16"/>
          <w:szCs w:val="16"/>
          <w:color w:val="auto"/>
        </w:rPr>
        <w:t>You should consider all the information contained in this prospectus before making a decision to invest in our common stock or warrants. In particular, you should consider the risk factors described under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beginning on page 6. Such risks include, but are not limited to, the following risks:</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Existing Lithium-Ion Battery Operations</w:t>
      </w:r>
    </w:p>
    <w:p>
      <w:pPr>
        <w:spacing w:after="0" w:line="191" w:lineRule="exact"/>
        <w:rPr>
          <w:sz w:val="20"/>
          <w:szCs w:val="20"/>
          <w:color w:val="auto"/>
        </w:rPr>
      </w:pPr>
    </w:p>
    <w:p>
      <w:pPr>
        <w:ind w:left="287" w:hanging="287"/>
        <w:spacing w:after="0"/>
        <w:tabs>
          <w:tab w:leader="none" w:pos="287"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and future growth depends on the needs and success of our customers.</w:t>
      </w:r>
    </w:p>
    <w:p>
      <w:pPr>
        <w:spacing w:after="0" w:line="18" w:lineRule="exact"/>
        <w:rPr>
          <w:rFonts w:ascii="Times New Roman" w:cs="Times New Roman" w:eastAsia="Times New Roman" w:hAnsi="Times New Roman"/>
          <w:sz w:val="16"/>
          <w:szCs w:val="16"/>
          <w:color w:val="auto"/>
        </w:rPr>
      </w:pPr>
    </w:p>
    <w:p>
      <w:pPr>
        <w:ind w:left="287" w:hanging="287"/>
        <w:spacing w:after="0" w:line="243" w:lineRule="auto"/>
        <w:tabs>
          <w:tab w:leader="none" w:pos="287"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competitive industry. We expect that the level of competition will increase and the nature of our competitors will change as we develop new lithium iron phosphate (“LFP”) battery products for, and enter into, new markets, and as the competitive landscape evolves.</w:t>
      </w:r>
    </w:p>
    <w:p>
      <w:pPr>
        <w:jc w:val="both"/>
        <w:ind w:left="287" w:right="20" w:hanging="287"/>
        <w:spacing w:after="0" w:line="243" w:lineRule="auto"/>
        <w:tabs>
          <w:tab w:leader="none" w:pos="287"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 w:lineRule="exact"/>
        <w:rPr>
          <w:rFonts w:ascii="Times New Roman" w:cs="Times New Roman" w:eastAsia="Times New Roman" w:hAnsi="Times New Roman"/>
          <w:sz w:val="16"/>
          <w:szCs w:val="16"/>
          <w:color w:val="auto"/>
        </w:rPr>
      </w:pPr>
    </w:p>
    <w:p>
      <w:pPr>
        <w:ind w:left="287" w:right="20" w:hanging="287"/>
        <w:spacing w:after="0" w:line="243" w:lineRule="auto"/>
        <w:tabs>
          <w:tab w:leader="none" w:pos="287"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ind w:left="287" w:hanging="287"/>
        <w:spacing w:after="0" w:line="316" w:lineRule="auto"/>
        <w:tabs>
          <w:tab w:leader="none" w:pos="28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currently, and likely will continue to be, dependent on a single manufacturing facility until the construction of our new facility is completed, if at all. If our facility becomes inoperable for any reason, or our automation and expansion plans do not yield the desired effects, our ability to produce our products could be negatively impacted.</w:t>
      </w:r>
    </w:p>
    <w:p>
      <w:pPr>
        <w:spacing w:after="0" w:line="11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Solid-State Technology Development</w:t>
      </w:r>
    </w:p>
    <w:p>
      <w:pPr>
        <w:spacing w:after="0" w:line="191" w:lineRule="exact"/>
        <w:rPr>
          <w:sz w:val="20"/>
          <w:szCs w:val="20"/>
          <w:color w:val="auto"/>
        </w:rPr>
      </w:pPr>
    </w:p>
    <w:p>
      <w:pPr>
        <w:ind w:left="287" w:hanging="287"/>
        <w:spacing w:after="0" w:line="253" w:lineRule="auto"/>
        <w:tabs>
          <w:tab w:leader="none" w:pos="28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significant engineering challenges in our attempts to develop and manufacture solid-state battery cells and these efforts may be delayed or fail which could negatively impact our business.</w:t>
      </w:r>
    </w:p>
    <w:p>
      <w:pPr>
        <w:spacing w:after="0" w:line="1" w:lineRule="exact"/>
        <w:rPr>
          <w:rFonts w:ascii="Times New Roman" w:cs="Times New Roman" w:eastAsia="Times New Roman" w:hAnsi="Times New Roman"/>
          <w:sz w:val="16"/>
          <w:szCs w:val="16"/>
          <w:color w:val="auto"/>
        </w:rPr>
      </w:pPr>
    </w:p>
    <w:p>
      <w:pPr>
        <w:ind w:left="287" w:right="20" w:hanging="287"/>
        <w:spacing w:after="0" w:line="243" w:lineRule="auto"/>
        <w:tabs>
          <w:tab w:leader="none" w:pos="28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ind w:left="287" w:hanging="287"/>
        <w:spacing w:after="0"/>
        <w:tabs>
          <w:tab w:leader="none" w:pos="28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solid-state batteries fail to perform as expected, our ability to further develop, market and sell our solid-state batteries could be harmed.</w:t>
      </w:r>
    </w:p>
    <w:p>
      <w:pPr>
        <w:spacing w:after="0" w:line="1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Supply chain and Third-Party Vendors</w:t>
      </w:r>
    </w:p>
    <w:p>
      <w:pPr>
        <w:spacing w:after="0" w:line="191" w:lineRule="exact"/>
        <w:rPr>
          <w:sz w:val="20"/>
          <w:szCs w:val="20"/>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components and other inputs that are sourced from a variety of domestic and international vendors.</w:t>
      </w:r>
    </w:p>
    <w:p>
      <w:pPr>
        <w:spacing w:after="0" w:line="18"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long-term relationships with our suppliers but have not significant long-term contracts with such suppliers.</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success will depend in large measure upon our ability to maintain our existing supplier relationships and/or develop new ones.</w:t>
      </w:r>
    </w:p>
    <w:p>
      <w:pPr>
        <w:spacing w:after="0" w:line="2" w:lineRule="exact"/>
        <w:rPr>
          <w:rFonts w:ascii="Times New Roman" w:cs="Times New Roman" w:eastAsia="Times New Roman" w:hAnsi="Times New Roman"/>
          <w:sz w:val="16"/>
          <w:szCs w:val="16"/>
          <w:color w:val="auto"/>
        </w:rPr>
      </w:pPr>
    </w:p>
    <w:p>
      <w:pPr>
        <w:ind w:left="287" w:right="20" w:hanging="287"/>
        <w:spacing w:after="0" w:line="243" w:lineRule="auto"/>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reliance exposes us to the risk of inadequate and untimely supplies of various products due to political, economic, social, health, or environmental conditions, transportation delays, or changes in laws and regulations affecting distribution.</w:t>
      </w:r>
    </w:p>
    <w:p>
      <w:pPr>
        <w:ind w:left="287" w:hanging="287"/>
        <w:spacing w:after="0" w:line="247" w:lineRule="auto"/>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vendors may be forced to reduce their production, shut down their operations or file for bankruptcy protection, which could make it difficult for us to serve the market needs and could have a material adverse effect on our business.</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Intellectual Property</w:t>
      </w:r>
    </w:p>
    <w:p>
      <w:pPr>
        <w:spacing w:after="0" w:line="191" w:lineRule="exact"/>
        <w:rPr>
          <w:sz w:val="20"/>
          <w:szCs w:val="20"/>
          <w:color w:val="auto"/>
        </w:rPr>
      </w:pPr>
    </w:p>
    <w:p>
      <w:pPr>
        <w:ind w:left="287" w:hanging="287"/>
        <w:spacing w:after="0"/>
        <w:tabs>
          <w:tab w:leader="none" w:pos="28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heavily upon our intellectual property portfolio. If we are unable to protect our intellectual property rights, our business and competitive position would be harmed.</w:t>
      </w:r>
    </w:p>
    <w:p>
      <w:pPr>
        <w:spacing w:after="0" w:line="41" w:lineRule="exact"/>
        <w:rPr>
          <w:rFonts w:ascii="Times New Roman" w:cs="Times New Roman" w:eastAsia="Times New Roman" w:hAnsi="Times New Roman"/>
          <w:sz w:val="14"/>
          <w:szCs w:val="14"/>
          <w:color w:val="auto"/>
        </w:rPr>
      </w:pPr>
    </w:p>
    <w:p>
      <w:pPr>
        <w:ind w:left="287" w:hanging="287"/>
        <w:spacing w:after="0"/>
        <w:tabs>
          <w:tab w:leader="none" w:pos="28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need to defend ourselves against intellectual property infringement claims, which may be time-consuming and could cause us to incur substantial costs.</w:t>
      </w:r>
    </w:p>
    <w:p>
      <w:pPr>
        <w:spacing w:after="0" w:line="17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7" w:name="page8"/>
    <w:bookmarkEnd w:id="7"/>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General Risk Factors</w:t>
      </w:r>
    </w:p>
    <w:p>
      <w:pPr>
        <w:spacing w:after="0" w:line="191" w:lineRule="exact"/>
        <w:rPr>
          <w:sz w:val="20"/>
          <w:szCs w:val="20"/>
          <w:color w:val="auto"/>
        </w:rPr>
      </w:pPr>
    </w:p>
    <w:p>
      <w:pPr>
        <w:ind w:left="287" w:right="20" w:hanging="287"/>
        <w:spacing w:after="0" w:line="253" w:lineRule="auto"/>
        <w:tabs>
          <w:tab w:leader="none" w:pos="28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uncertainty in global and macroeconomic conditions, including economic, political and socials instability, could reduce consumer spending and disrupt our supply chain which could negatively affect our results of operations.</w:t>
      </w:r>
    </w:p>
    <w:p>
      <w:pPr>
        <w:spacing w:after="0" w:line="1" w:lineRule="exact"/>
        <w:rPr>
          <w:rFonts w:ascii="Times New Roman" w:cs="Times New Roman" w:eastAsia="Times New Roman" w:hAnsi="Times New Roman"/>
          <w:sz w:val="16"/>
          <w:szCs w:val="16"/>
          <w:color w:val="auto"/>
        </w:rPr>
      </w:pPr>
    </w:p>
    <w:p>
      <w:pPr>
        <w:ind w:left="287" w:right="20" w:hanging="287"/>
        <w:spacing w:after="0" w:line="243" w:lineRule="auto"/>
        <w:tabs>
          <w:tab w:leader="none" w:pos="28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one or more members of our senior management team, other key personnel or our failure to attract additional qualified personnel may adversely affect our business and our ability to achieve our anticipated level of growth.</w:t>
      </w:r>
    </w:p>
    <w:p>
      <w:pPr>
        <w:ind w:left="287" w:right="20" w:hanging="287"/>
        <w:spacing w:after="0" w:line="243" w:lineRule="auto"/>
        <w:tabs>
          <w:tab w:leader="none" w:pos="28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manage our growth effectively, we may be unable to execute our business plan, maintain high levels of customer service, or adequately address competitive challenges.</w:t>
      </w:r>
    </w:p>
    <w:p>
      <w:pPr>
        <w:ind w:left="287" w:right="20" w:hanging="287"/>
        <w:spacing w:after="0" w:line="247" w:lineRule="auto"/>
        <w:tabs>
          <w:tab w:leader="none" w:pos="28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applicable laws or regulations could impact our operations, including changes in the rates of tariffs or any adjustments to the amounts payable by us to customs as a result of improperly identifying the applicable tariff rate payable on our products.</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Being a Public Company</w:t>
      </w:r>
    </w:p>
    <w:p>
      <w:pPr>
        <w:spacing w:after="0" w:line="191" w:lineRule="exact"/>
        <w:rPr>
          <w:sz w:val="20"/>
          <w:szCs w:val="20"/>
          <w:color w:val="auto"/>
        </w:rPr>
      </w:pPr>
    </w:p>
    <w:p>
      <w:pPr>
        <w:ind w:left="287" w:hanging="287"/>
        <w:spacing w:after="0" w:line="253" w:lineRule="auto"/>
        <w:tabs>
          <w:tab w:leader="none" w:pos="28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continue to incur significant increased expenses and administrative burdens as a public company, which could have an adverse effect on our business, financial condition and operating results.</w:t>
      </w:r>
    </w:p>
    <w:p>
      <w:pPr>
        <w:spacing w:after="0" w:line="1"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management team has limited experience managing a public company.</w:t>
      </w:r>
    </w:p>
    <w:p>
      <w:pPr>
        <w:spacing w:after="0" w:line="1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Financial Position and Capital Requirements related our ability to continue as a going concern</w:t>
      </w:r>
    </w:p>
    <w:p>
      <w:pPr>
        <w:spacing w:after="0" w:line="191" w:lineRule="exact"/>
        <w:rPr>
          <w:sz w:val="20"/>
          <w:szCs w:val="20"/>
          <w:color w:val="auto"/>
        </w:rPr>
      </w:pPr>
    </w:p>
    <w:p>
      <w:pPr>
        <w:ind w:left="287" w:hanging="287"/>
        <w:spacing w:after="0"/>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as well as our independent registered public accounting firm, have expressed substantial doubt about our ability to continue as a going concern.</w:t>
      </w:r>
    </w:p>
    <w:p>
      <w:pPr>
        <w:spacing w:after="0" w:line="18" w:lineRule="exact"/>
        <w:rPr>
          <w:rFonts w:ascii="Times New Roman" w:cs="Times New Roman" w:eastAsia="Times New Roman" w:hAnsi="Times New Roman"/>
          <w:sz w:val="16"/>
          <w:szCs w:val="16"/>
          <w:color w:val="auto"/>
        </w:rPr>
      </w:pPr>
    </w:p>
    <w:p>
      <w:pPr>
        <w:ind w:left="287" w:right="20" w:hanging="287"/>
        <w:spacing w:after="0" w:line="243" w:lineRule="auto"/>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is capital intensive, and we may not be able to raise additional capital on attractive terms, if at all. Any further indebtedness we incur may limit our operational flexibility in the future.</w:t>
      </w:r>
    </w:p>
    <w:p>
      <w:pPr>
        <w:jc w:val="both"/>
        <w:ind w:left="287" w:right="20" w:hanging="287"/>
        <w:spacing w:after="0" w:line="243" w:lineRule="auto"/>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p>
      <w:pPr>
        <w:spacing w:after="0" w:line="1" w:lineRule="exact"/>
        <w:rPr>
          <w:rFonts w:ascii="Times New Roman" w:cs="Times New Roman" w:eastAsia="Times New Roman" w:hAnsi="Times New Roman"/>
          <w:sz w:val="16"/>
          <w:szCs w:val="16"/>
          <w:color w:val="auto"/>
        </w:rPr>
      </w:pPr>
    </w:p>
    <w:p>
      <w:pPr>
        <w:ind w:left="287" w:right="20" w:hanging="287"/>
        <w:spacing w:after="0" w:line="247" w:lineRule="auto"/>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Ownership of Our Common Stock</w:t>
      </w:r>
    </w:p>
    <w:p>
      <w:pPr>
        <w:spacing w:after="0" w:line="191" w:lineRule="exact"/>
        <w:rPr>
          <w:sz w:val="20"/>
          <w:szCs w:val="20"/>
          <w:color w:val="auto"/>
        </w:rPr>
      </w:pPr>
    </w:p>
    <w:p>
      <w:pPr>
        <w:ind w:left="287" w:hanging="287"/>
        <w:spacing w:after="0" w:line="253" w:lineRule="auto"/>
        <w:tabs>
          <w:tab w:leader="none" w:pos="28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correct any deficiencies or meet the Nasdaq Stock Market continued listing standards, including the market value of listed securities, our common stock and Public Warrants may be delisted from the Nasdaq Stock Market;</w:t>
      </w:r>
    </w:p>
    <w:p>
      <w:pPr>
        <w:spacing w:after="0" w:line="1" w:lineRule="exact"/>
        <w:rPr>
          <w:rFonts w:ascii="Times New Roman" w:cs="Times New Roman" w:eastAsia="Times New Roman" w:hAnsi="Times New Roman"/>
          <w:sz w:val="16"/>
          <w:szCs w:val="16"/>
          <w:color w:val="auto"/>
        </w:rPr>
      </w:pPr>
    </w:p>
    <w:p>
      <w:pPr>
        <w:ind w:left="287" w:hanging="287"/>
        <w:spacing w:after="0" w:line="243" w:lineRule="auto"/>
        <w:tabs>
          <w:tab w:leader="none" w:pos="28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Series A Preferred Stock outstanding which securities have certain rights and provisions that could impact our ability to complete certain transactions and could impact the market price of our common stock.</w:t>
      </w:r>
    </w:p>
    <w:p>
      <w:pPr>
        <w:ind w:left="287" w:hanging="287"/>
        <w:spacing w:after="0"/>
        <w:tabs>
          <w:tab w:leader="none" w:pos="28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issuances of debt securities and equity securities may adversely affect us and may be dilutive to existing stockholders.</w:t>
      </w:r>
    </w:p>
    <w:p>
      <w:pPr>
        <w:spacing w:after="0" w:line="2" w:lineRule="exact"/>
        <w:rPr>
          <w:rFonts w:ascii="Times New Roman" w:cs="Times New Roman" w:eastAsia="Times New Roman" w:hAnsi="Times New Roman"/>
          <w:sz w:val="16"/>
          <w:szCs w:val="16"/>
          <w:color w:val="auto"/>
        </w:rPr>
      </w:pPr>
    </w:p>
    <w:p>
      <w:pPr>
        <w:ind w:left="287" w:right="20" w:hanging="287"/>
        <w:spacing w:after="0" w:line="247" w:lineRule="auto"/>
        <w:tabs>
          <w:tab w:leader="none" w:pos="28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issue additional shares of our common stock or other equity securities without your approval, which would dilute your ownership interests and may depress the market price of your shares.</w:t>
      </w:r>
    </w:p>
    <w:p>
      <w:pPr>
        <w:spacing w:after="0" w:line="16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38" w:orient="portrait"/>
          <w:cols w:equalWidth="0" w:num="1">
            <w:col w:w="11260"/>
          </w:cols>
          <w:pgMar w:left="320" w:top="611" w:right="31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offered by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36,901,132 shares consisting of:</w:t>
      </w:r>
    </w:p>
    <w:p>
      <w:pPr>
        <w:spacing w:after="0" w:line="773" w:lineRule="exact"/>
        <w:rPr>
          <w:sz w:val="20"/>
          <w:szCs w:val="20"/>
          <w:color w:val="auto"/>
        </w:rPr>
      </w:pPr>
    </w:p>
    <w:p>
      <w:pPr>
        <w:sectPr>
          <w:pgSz w:w="11900" w:h="16838" w:orient="portrait"/>
          <w:cols w:equalWidth="0" w:num="2">
            <w:col w:w="940" w:space="300"/>
            <w:col w:w="10020"/>
          </w:cols>
          <w:pgMar w:left="320" w:top="611" w:right="319" w:bottom="1440" w:gutter="0" w:footer="0" w:header="0"/>
          <w:type w:val="continuous"/>
        </w:sectPr>
      </w:pPr>
    </w:p>
    <w:p>
      <w:pPr>
        <w:ind w:left="1800" w:right="20" w:hanging="290"/>
        <w:spacing w:after="0" w:line="267" w:lineRule="auto"/>
        <w:tabs>
          <w:tab w:leader="none" w:pos="1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 to 4,811,321 shares of common stock issuable upon the conversion of our Series A Preferred Stock issued to the Selling Stockholder on February 27, 2025 in the first closing of the Private Placement, based on the floor price of $0.424;</w:t>
      </w:r>
    </w:p>
    <w:p>
      <w:pPr>
        <w:spacing w:after="0" w:line="150" w:lineRule="exact"/>
        <w:rPr>
          <w:rFonts w:ascii="Times New Roman" w:cs="Times New Roman" w:eastAsia="Times New Roman" w:hAnsi="Times New Roman"/>
          <w:sz w:val="16"/>
          <w:szCs w:val="16"/>
          <w:color w:val="auto"/>
        </w:rPr>
      </w:pPr>
    </w:p>
    <w:p>
      <w:pPr>
        <w:jc w:val="both"/>
        <w:ind w:left="1800" w:hanging="290"/>
        <w:spacing w:after="0" w:line="251" w:lineRule="auto"/>
        <w:tabs>
          <w:tab w:leader="none" w:pos="1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 to 27,000,000 shares of common stock issuable upon the conversion of our Series A Preferred Stock to be issued to the Selling Stockholder in the second closing of the Private Placement that will occur automatically upon receipt of such approval as may be required from the stockholders of the Company pursuant to the rules of Nasdaq (the “Stockholder Approval”) and the effectiveness of the registration statement of which this prospectus forms a part, based on an assumed floor price of $0.20; and</w:t>
      </w:r>
    </w:p>
    <w:p>
      <w:pPr>
        <w:spacing w:after="0" w:line="163" w:lineRule="exact"/>
        <w:rPr>
          <w:rFonts w:ascii="Times New Roman" w:cs="Times New Roman" w:eastAsia="Times New Roman" w:hAnsi="Times New Roman"/>
          <w:sz w:val="16"/>
          <w:szCs w:val="16"/>
          <w:color w:val="auto"/>
        </w:rPr>
      </w:pPr>
    </w:p>
    <w:p>
      <w:pPr>
        <w:jc w:val="both"/>
        <w:ind w:left="1800" w:hanging="290"/>
        <w:spacing w:after="0" w:line="255" w:lineRule="auto"/>
        <w:tabs>
          <w:tab w:leader="none" w:pos="1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 to 5,089,811 shares of common stock potentially issuable upon conversion of additional shares of Series A Preferred Stock to be issued as PIK Dividends on the Series A Preferred Stock issued or to be issued in Private Placement, assuming that such cash dividends are not paid in cash per the terms of the Series A Preferred Stock.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0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7,589,642 shares.</w:t>
            </w:r>
          </w:p>
        </w:tc>
      </w:tr>
      <w:tr>
        <w:trPr>
          <w:trHeight w:val="18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outstanding</w:t>
            </w:r>
          </w:p>
        </w:tc>
        <w:tc>
          <w:tcPr>
            <w:tcW w:w="420" w:type="dxa"/>
            <w:vAlign w:val="bottom"/>
          </w:tcPr>
          <w:p>
            <w:pPr>
              <w:spacing w:after="0"/>
              <w:rPr>
                <w:sz w:val="16"/>
                <w:szCs w:val="16"/>
                <w:color w:val="auto"/>
              </w:rPr>
            </w:pPr>
          </w:p>
        </w:tc>
        <w:tc>
          <w:tcPr>
            <w:tcW w:w="9680" w:type="dxa"/>
            <w:vAlign w:val="bottom"/>
          </w:tcPr>
          <w:p>
            <w:pPr>
              <w:spacing w:after="0"/>
              <w:rPr>
                <w:sz w:val="16"/>
                <w:szCs w:val="16"/>
                <w:color w:val="auto"/>
              </w:rPr>
            </w:pPr>
          </w:p>
        </w:tc>
      </w:tr>
      <w:tr>
        <w:trPr>
          <w:trHeight w:val="18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immediately</w:t>
            </w:r>
          </w:p>
        </w:tc>
        <w:tc>
          <w:tcPr>
            <w:tcW w:w="420" w:type="dxa"/>
            <w:vAlign w:val="bottom"/>
          </w:tcPr>
          <w:p>
            <w:pPr>
              <w:spacing w:after="0"/>
              <w:rPr>
                <w:sz w:val="16"/>
                <w:szCs w:val="16"/>
                <w:color w:val="auto"/>
              </w:rPr>
            </w:pPr>
          </w:p>
        </w:tc>
        <w:tc>
          <w:tcPr>
            <w:tcW w:w="9680" w:type="dxa"/>
            <w:vAlign w:val="bottom"/>
          </w:tcPr>
          <w:p>
            <w:pPr>
              <w:spacing w:after="0"/>
              <w:rPr>
                <w:sz w:val="16"/>
                <w:szCs w:val="16"/>
                <w:color w:val="auto"/>
              </w:rPr>
            </w:pPr>
          </w:p>
        </w:tc>
      </w:tr>
      <w:tr>
        <w:trPr>
          <w:trHeight w:val="18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before this</w:t>
            </w:r>
          </w:p>
        </w:tc>
        <w:tc>
          <w:tcPr>
            <w:tcW w:w="420" w:type="dxa"/>
            <w:vAlign w:val="bottom"/>
          </w:tcPr>
          <w:p>
            <w:pPr>
              <w:spacing w:after="0"/>
              <w:rPr>
                <w:sz w:val="16"/>
                <w:szCs w:val="16"/>
                <w:color w:val="auto"/>
              </w:rPr>
            </w:pPr>
          </w:p>
        </w:tc>
        <w:tc>
          <w:tcPr>
            <w:tcW w:w="9680" w:type="dxa"/>
            <w:vAlign w:val="bottom"/>
          </w:tcPr>
          <w:p>
            <w:pPr>
              <w:spacing w:after="0"/>
              <w:rPr>
                <w:sz w:val="16"/>
                <w:szCs w:val="16"/>
                <w:color w:val="auto"/>
              </w:rPr>
            </w:pPr>
          </w:p>
        </w:tc>
      </w:tr>
      <w:tr>
        <w:trPr>
          <w:trHeight w:val="20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offering</w:t>
            </w:r>
          </w:p>
        </w:tc>
        <w:tc>
          <w:tcPr>
            <w:tcW w:w="420" w:type="dxa"/>
            <w:vAlign w:val="bottom"/>
          </w:tcPr>
          <w:p>
            <w:pPr>
              <w:spacing w:after="0"/>
              <w:rPr>
                <w:sz w:val="17"/>
                <w:szCs w:val="17"/>
                <w:color w:val="auto"/>
              </w:rPr>
            </w:pPr>
          </w:p>
        </w:tc>
        <w:tc>
          <w:tcPr>
            <w:tcW w:w="9680" w:type="dxa"/>
            <w:vAlign w:val="bottom"/>
          </w:tcPr>
          <w:p>
            <w:pPr>
              <w:spacing w:after="0"/>
              <w:rPr>
                <w:sz w:val="17"/>
                <w:szCs w:val="17"/>
                <w:color w:val="auto"/>
              </w:rPr>
            </w:pPr>
          </w:p>
        </w:tc>
      </w:tr>
      <w:tr>
        <w:trPr>
          <w:trHeight w:val="35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0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44,490,774, assuming full conversion of the Series A Preferred Stock issued or to be issued in the Private Placement at the applicable floor price or assumed</w:t>
            </w:r>
          </w:p>
        </w:tc>
      </w:tr>
      <w:tr>
        <w:trPr>
          <w:trHeight w:val="18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outstanding</w:t>
            </w:r>
          </w:p>
        </w:tc>
        <w:tc>
          <w:tcPr>
            <w:tcW w:w="10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floor price.</w:t>
            </w:r>
          </w:p>
        </w:tc>
      </w:tr>
      <w:tr>
        <w:trPr>
          <w:trHeight w:val="18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immediately after</w:t>
            </w:r>
          </w:p>
        </w:tc>
        <w:tc>
          <w:tcPr>
            <w:tcW w:w="420" w:type="dxa"/>
            <w:vAlign w:val="bottom"/>
          </w:tcPr>
          <w:p>
            <w:pPr>
              <w:spacing w:after="0"/>
              <w:rPr>
                <w:sz w:val="16"/>
                <w:szCs w:val="16"/>
                <w:color w:val="auto"/>
              </w:rPr>
            </w:pPr>
          </w:p>
        </w:tc>
        <w:tc>
          <w:tcPr>
            <w:tcW w:w="9680" w:type="dxa"/>
            <w:vAlign w:val="bottom"/>
          </w:tcPr>
          <w:p>
            <w:pPr>
              <w:spacing w:after="0"/>
              <w:rPr>
                <w:sz w:val="16"/>
                <w:szCs w:val="16"/>
                <w:color w:val="auto"/>
              </w:rPr>
            </w:pPr>
          </w:p>
        </w:tc>
      </w:tr>
      <w:tr>
        <w:trPr>
          <w:trHeight w:val="20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this offering</w:t>
            </w:r>
          </w:p>
        </w:tc>
        <w:tc>
          <w:tcPr>
            <w:tcW w:w="420" w:type="dxa"/>
            <w:vAlign w:val="bottom"/>
          </w:tcPr>
          <w:p>
            <w:pPr>
              <w:spacing w:after="0"/>
              <w:rPr>
                <w:sz w:val="17"/>
                <w:szCs w:val="17"/>
                <w:color w:val="auto"/>
              </w:rPr>
            </w:pPr>
          </w:p>
        </w:tc>
        <w:tc>
          <w:tcPr>
            <w:tcW w:w="9680" w:type="dxa"/>
            <w:vAlign w:val="bottom"/>
          </w:tcPr>
          <w:p>
            <w:pPr>
              <w:spacing w:after="0"/>
              <w:rPr>
                <w:sz w:val="17"/>
                <w:szCs w:val="17"/>
                <w:color w:val="auto"/>
              </w:rPr>
            </w:pPr>
          </w:p>
        </w:tc>
      </w:tr>
      <w:tr>
        <w:trPr>
          <w:trHeight w:val="37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Use of proceeds</w:t>
            </w:r>
          </w:p>
        </w:tc>
        <w:tc>
          <w:tcPr>
            <w:tcW w:w="10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We will not receive any proceeds from the sale or other disposition of the shares of our common stock covered hereby by the Selling Stockholder.</w:t>
            </w:r>
          </w:p>
        </w:tc>
      </w:tr>
      <w:tr>
        <w:trPr>
          <w:trHeight w:val="35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Risk Factors</w:t>
            </w:r>
          </w:p>
        </w:tc>
        <w:tc>
          <w:tcPr>
            <w:tcW w:w="10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7"/>
              </w:rPr>
              <w:t>An investment in our securities involves a high degree of risk. See “</w:t>
            </w:r>
            <w:r>
              <w:rPr>
                <w:rFonts w:ascii="Times New Roman" w:cs="Times New Roman" w:eastAsia="Times New Roman" w:hAnsi="Times New Roman"/>
                <w:sz w:val="16"/>
                <w:szCs w:val="16"/>
                <w:i w:val="1"/>
                <w:iCs w:val="1"/>
                <w:color w:val="auto"/>
                <w:w w:val="97"/>
              </w:rPr>
              <w:t>Risk Factors”</w:t>
            </w:r>
            <w:r>
              <w:rPr>
                <w:rFonts w:ascii="Times New Roman" w:cs="Times New Roman" w:eastAsia="Times New Roman" w:hAnsi="Times New Roman"/>
                <w:sz w:val="16"/>
                <w:szCs w:val="16"/>
                <w:color w:val="auto"/>
                <w:w w:val="97"/>
              </w:rPr>
              <w:t xml:space="preserve"> beginning on page 6 of this prospectus for a discussion of the risk factors you</w:t>
            </w:r>
          </w:p>
        </w:tc>
      </w:tr>
      <w:tr>
        <w:trPr>
          <w:trHeight w:val="203"/>
        </w:trPr>
        <w:tc>
          <w:tcPr>
            <w:tcW w:w="1160" w:type="dxa"/>
            <w:vAlign w:val="bottom"/>
          </w:tcPr>
          <w:p>
            <w:pPr>
              <w:spacing w:after="0"/>
              <w:rPr>
                <w:sz w:val="17"/>
                <w:szCs w:val="17"/>
                <w:color w:val="auto"/>
              </w:rPr>
            </w:pPr>
          </w:p>
        </w:tc>
        <w:tc>
          <w:tcPr>
            <w:tcW w:w="10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should carefully consider before deciding to invest in our securities.</w:t>
            </w:r>
          </w:p>
        </w:tc>
      </w:tr>
      <w:tr>
        <w:trPr>
          <w:trHeight w:val="358"/>
        </w:trPr>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Nasdaq listing symbol</w:t>
            </w:r>
          </w:p>
        </w:tc>
        <w:tc>
          <w:tcPr>
            <w:tcW w:w="9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Our common stock is currently listed on the Nasdaq Capital Market under the symbol “DFLI” and our Public Warrants are currently listed on the</w:t>
            </w:r>
          </w:p>
        </w:tc>
      </w:tr>
      <w:tr>
        <w:trPr>
          <w:trHeight w:val="203"/>
        </w:trPr>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Nasdaq Capital Market under the symbol “DFLIW.”</w:t>
            </w:r>
          </w:p>
        </w:tc>
      </w:tr>
    </w:tbl>
    <w:p>
      <w:pPr>
        <w:spacing w:after="0" w:line="171"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The number of shares of common stock to be outstanding after this offering is based on 7,589,642 shares outstanding as of March 27, 2025, and does not include, as of such date:</w:t>
      </w:r>
    </w:p>
    <w:p>
      <w:pPr>
        <w:spacing w:after="0" w:line="151" w:lineRule="exact"/>
        <w:rPr>
          <w:sz w:val="20"/>
          <w:szCs w:val="20"/>
          <w:color w:val="auto"/>
        </w:rPr>
      </w:pPr>
    </w:p>
    <w:p>
      <w:pPr>
        <w:ind w:left="560" w:hanging="28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2,777,778 shares of common stock reserved for issuance in the event of certain milestones in connection with the Business Combination (as hereinafter defined) ;</w:t>
      </w:r>
    </w:p>
    <w:p>
      <w:pPr>
        <w:spacing w:after="0" w:line="18"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1,046,947 shares of common stock issuable upon exercise of Public Warrants outstanding as of March 27, 2025, with an exercise price of $103.50 per share;</w:t>
      </w:r>
    </w:p>
    <w:p>
      <w:pPr>
        <w:spacing w:after="0" w:line="2" w:lineRule="exact"/>
        <w:rPr>
          <w:rFonts w:ascii="Times New Roman" w:cs="Times New Roman" w:eastAsia="Times New Roman" w:hAnsi="Times New Roman"/>
          <w:sz w:val="16"/>
          <w:szCs w:val="16"/>
          <w:color w:val="auto"/>
        </w:rPr>
      </w:pPr>
    </w:p>
    <w:p>
      <w:pPr>
        <w:ind w:left="560" w:right="20" w:hanging="287"/>
        <w:spacing w:after="0" w:line="243"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166,821 shares of common stock issuable upon exercise of Private Warrants (as hereinafter defined) outstanding as of March 27, 2025, with an exercise price of $103.50 per share;</w:t>
      </w:r>
    </w:p>
    <w:p>
      <w:pPr>
        <w:ind w:left="560" w:hanging="28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1,300,240 shares of common stock issuable upon exercise of warrants outstanding as of March 27, 2025, with a weighted average exercise price of $18.22 per share;</w:t>
      </w:r>
    </w:p>
    <w:p>
      <w:pPr>
        <w:spacing w:after="0" w:line="2" w:lineRule="exact"/>
        <w:rPr>
          <w:rFonts w:ascii="Times New Roman" w:cs="Times New Roman" w:eastAsia="Times New Roman" w:hAnsi="Times New Roman"/>
          <w:sz w:val="16"/>
          <w:szCs w:val="16"/>
          <w:color w:val="auto"/>
        </w:rPr>
      </w:pPr>
    </w:p>
    <w:p>
      <w:pPr>
        <w:ind w:left="560" w:hanging="287"/>
        <w:spacing w:after="0" w:line="243"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1,061,685 shares of common stock issuable upon exercise of Penny Warrants (as hereinafter defined) outstanding as of March 27, 2025, with an exercise price of $0.09 per share;</w:t>
      </w:r>
    </w:p>
    <w:p>
      <w:pPr>
        <w:ind w:left="560" w:hanging="28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680,476 shares of common stock issuable upon exercise of Penny Warrants outstanding as of March 27, 2025, with an exercise price of $0.01 per share;</w:t>
      </w:r>
    </w:p>
    <w:p>
      <w:pPr>
        <w:spacing w:after="0" w:line="2"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161,939 shares of common stock underlying outstanding options as of March 27, 2025, with a weighted average exercise price of $25.66 per share; and</w:t>
      </w:r>
    </w:p>
    <w:p>
      <w:pPr>
        <w:spacing w:after="0" w:line="2"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410,704 shares of common stock underlying outstanding restricted stock units as of March 27, 2025.</w:t>
      </w:r>
    </w:p>
    <w:p>
      <w:pPr>
        <w:spacing w:after="0" w:line="174"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The above also does not include shares of common stock underlying the outstanding shares of Series A Preferred Stock and Private Placement Warrants (as hereinafter defined) as of March 27, 2025. Unless otherwise indicated, this prospectus reflects and assumes no issuances or exercises of any other outstanding shares, options or warrants after March 27, 2025.</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Cautionary Note Regarding Forward-Looking Statement.” Please see the section entitled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Where You Can Find More Information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in this prospectus.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Existing Lithium-Ion Battery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and future growth depends on the needs and success of our OEM’s and similar customers.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The demand for our products, including sales to OEM</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with Keystone RV Company, or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or THOR,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 Increased overall RV OEM sales in the future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and renew our supply agreements;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200" w:lineRule="exact"/>
        <w:rPr>
          <w:sz w:val="20"/>
          <w:szCs w:val="20"/>
          <w:color w:val="auto"/>
        </w:rPr>
      </w:pPr>
    </w:p>
    <w:p>
      <w:pPr>
        <w:spacing w:after="0" w:line="3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engage target customers successfully and convert these customers into meaningful orders in the future.</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 However,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 and in 2024.</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EV’s to our target markets.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6"/>
          <w:szCs w:val="16"/>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5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Our future success depends, in part, upon our ability to expand into additional end markets identified by us as opportunities for our LFP batteries. These markets include heavy-duty trucking, industrial solar integration,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12" w:name="page13"/>
    <w:bookmarkEnd w:id="12"/>
    <w:p>
      <w:pPr>
        <w:jc w:val="both"/>
        <w:ind w:left="7"/>
        <w:spacing w:after="0" w:line="246" w:lineRule="auto"/>
        <w:rPr>
          <w:sz w:val="20"/>
          <w:szCs w:val="20"/>
          <w:color w:val="auto"/>
        </w:rPr>
      </w:pPr>
      <w:r>
        <w:rPr>
          <w:rFonts w:ascii="Times New Roman" w:cs="Times New Roman" w:eastAsia="Times New Roman" w:hAnsi="Times New Roman"/>
          <w:sz w:val="16"/>
          <w:szCs w:val="16"/>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Further, our dependence on these third-party suppliers entails additional risks, including:</w:t>
      </w:r>
    </w:p>
    <w:p>
      <w:pPr>
        <w:spacing w:after="0" w:line="189" w:lineRule="exact"/>
        <w:rPr>
          <w:sz w:val="20"/>
          <w:szCs w:val="20"/>
          <w:color w:val="auto"/>
        </w:rPr>
      </w:pPr>
    </w:p>
    <w:p>
      <w:pPr>
        <w:ind w:left="287" w:hanging="287"/>
        <w:spacing w:after="0"/>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failure or unwillingness of third-party suppliers to comply with regulatory requirements;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breach of supply agreements by the third-party suppliers;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misappropriation or disclosure of our proprietary information, including our trade secrets and know-how;</w:t>
      </w:r>
    </w:p>
    <w:p>
      <w:pPr>
        <w:spacing w:after="0" w:line="189" w:lineRule="exact"/>
        <w:rPr>
          <w:rFonts w:ascii="Times New Roman" w:cs="Times New Roman" w:eastAsia="Times New Roman" w:hAnsi="Times New Roman"/>
          <w:sz w:val="16"/>
          <w:szCs w:val="16"/>
          <w:color w:val="auto"/>
        </w:rPr>
      </w:pPr>
    </w:p>
    <w:p>
      <w:pPr>
        <w:ind w:left="287" w:right="20" w:hanging="287"/>
        <w:spacing w:after="0" w:line="267" w:lineRule="auto"/>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5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or nonrenewal of agreements by third-party suppliers at times that are costly or inconvenient for us.</w:t>
      </w:r>
    </w:p>
    <w:p>
      <w:pPr>
        <w:spacing w:after="0" w:line="187"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48" w:lineRule="exact"/>
        <w:rPr>
          <w:sz w:val="20"/>
          <w:szCs w:val="20"/>
          <w:color w:val="auto"/>
        </w:rPr>
      </w:pPr>
    </w:p>
    <w:p>
      <w:pPr>
        <w:jc w:val="both"/>
        <w:ind w:left="7" w:right="20"/>
        <w:spacing w:after="0" w:line="249" w:lineRule="auto"/>
        <w:rPr>
          <w:sz w:val="20"/>
          <w:szCs w:val="20"/>
          <w:color w:val="auto"/>
        </w:rPr>
      </w:pPr>
      <w:r>
        <w:rPr>
          <w:rFonts w:ascii="Times New Roman" w:cs="Times New Roman" w:eastAsia="Times New Roman" w:hAnsi="Times New Roman"/>
          <w:sz w:val="16"/>
          <w:szCs w:val="16"/>
          <w:color w:val="auto"/>
        </w:rPr>
        <w:t>We seek to maintain approximately a six-month supply of LFP cells and other critical components by pre-ordering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would harm our business, financial condition and results of operations.</w:t>
      </w:r>
    </w:p>
    <w:p>
      <w:pPr>
        <w:spacing w:after="0" w:line="166"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66"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6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13" w:name="page14"/>
    <w:bookmarkEnd w:id="13"/>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are currently dependent on one manufacturing facility. If our facility becomes inoperable for any reason, or our automation and expansion plans do not yield the desired effects, our ability to produce our products could be negatively impacted.</w:t>
      </w:r>
    </w:p>
    <w:p>
      <w:pPr>
        <w:spacing w:after="0" w:line="148"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All of our battery assembly currently takes place at our 390,240 square foot headquarters and manufacturing facility located in Reno, Nevada. We also entered into the Fernley Lease Agreement in April 2024 for use of an approximately 64,000 square foot facility to further increase our capacity to produce our patented dry electrode process. We currently operate three LFP battery production lines, which has been sufficient to meet customer demand. If one or several production lines were to become inoperable for any period of time, we would face delays in meeting orders, which could prevent us from meeting demand or require us to incur unplanned costs, including capital expenditures.</w:t>
      </w:r>
    </w:p>
    <w:p>
      <w:pPr>
        <w:spacing w:after="0" w:line="1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Our facilities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In November 2024, we relocated our headquarters and production lines to a 390,240 square foot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Lithium-ion battery cells have been observed to catch fire or release smoke and flame, which may have a negative impact on our reputation and business.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6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6"/>
          <w:szCs w:val="16"/>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product liability claims, which could harm our financial condition and liquidity if we are not able to successfully defend or insure against such claims.</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6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5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Each of our batteries include our proprietary battery management system, which relies on software and hardware manufactured by third parties that is complex and technical. In addition, Dragonfly IntelLigence, our battery communications system which we launched in the first quarter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Solid-State Technology Development</w:t>
      </w:r>
    </w:p>
    <w:p>
      <w:pPr>
        <w:spacing w:after="0" w:line="1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4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spacing w:after="0" w:line="15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5" w:name="page16"/>
    <w:bookmarkEnd w:id="15"/>
    <w:p>
      <w:pPr>
        <w:jc w:val="both"/>
        <w:ind w:right="20"/>
        <w:spacing w:after="0" w:line="290" w:lineRule="auto"/>
        <w:rPr>
          <w:sz w:val="20"/>
          <w:szCs w:val="20"/>
          <w:color w:val="auto"/>
        </w:rPr>
      </w:pPr>
      <w:r>
        <w:rPr>
          <w:rFonts w:ascii="Times New Roman" w:cs="Times New Roman" w:eastAsia="Times New Roman" w:hAnsi="Times New Roman"/>
          <w:sz w:val="14"/>
          <w:szCs w:val="14"/>
          <w:color w:val="auto"/>
        </w:rPr>
        <w:t>We currently purchase the battery cells incorporated into our LFP batteries and have limited experience in manufacturing battery cells at a commercial scale.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3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our solid-state batteries fail to perform as expected, our ability to further develop, market and sell our solid-state batteries could be harmed.</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6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6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16" w:name="page17"/>
    <w:bookmarkEnd w:id="16"/>
    <w:p>
      <w:pPr>
        <w:jc w:val="both"/>
        <w:ind w:right="20"/>
        <w:spacing w:after="0" w:line="309" w:lineRule="auto"/>
        <w:rPr>
          <w:sz w:val="20"/>
          <w:szCs w:val="20"/>
          <w:color w:val="auto"/>
        </w:rPr>
      </w:pPr>
      <w:r>
        <w:rPr>
          <w:rFonts w:ascii="Times New Roman" w:cs="Times New Roman" w:eastAsia="Times New Roman" w:hAnsi="Times New Roman"/>
          <w:sz w:val="14"/>
          <w:szCs w:val="14"/>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Supply Chain and Third-Party Vendors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risks associated with vendors from whom our products are sourced.</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While we select these third-party vendors carefully, we do not control their actions or the manufacture of their products. Any problems caused by these third 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Changes in U.S. trade policy, including recently announced tariffs, could have a material adverse impact on our business, financial condition, and results of operations. 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further evolve under the current U.S. administration, and how such policies could adversely affect our business, results of operations, effective income tax rate, liquidity, and net income.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17" w:name="page18"/>
    <w:bookmarkEnd w:id="17"/>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In addition, the imposition of tariffs by the U.S. has resulted in the adoption of retaliatory tariffs by China on U.S. exports and could result in the adoption of tariffs by other countries as well. A resulting trade war could have a significant adverse effect on world trade and the global economy.</w:t>
      </w:r>
    </w:p>
    <w:p>
      <w:pPr>
        <w:spacing w:after="0" w:line="151" w:lineRule="exact"/>
        <w:rPr>
          <w:sz w:val="20"/>
          <w:szCs w:val="20"/>
          <w:color w:val="auto"/>
        </w:rPr>
      </w:pPr>
    </w:p>
    <w:p>
      <w:pPr>
        <w:jc w:val="both"/>
        <w:ind w:left="7"/>
        <w:spacing w:after="0" w:line="246" w:lineRule="auto"/>
        <w:rPr>
          <w:sz w:val="20"/>
          <w:szCs w:val="20"/>
          <w:color w:val="auto"/>
        </w:rPr>
      </w:pPr>
      <w:r>
        <w:rPr>
          <w:rFonts w:ascii="Times New Roman" w:cs="Times New Roman" w:eastAsia="Times New Roman" w:hAnsi="Times New Roman"/>
          <w:sz w:val="16"/>
          <w:szCs w:val="16"/>
          <w:color w:val="auto"/>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 In 2024, we identified an underpayment of tariffs to U.S. Customs and Border Protection (“CBP”) in the amount of approximately $1.58 million in the aggregate, related to the improper classification and valuation of certain of the products used in our batteries. The underpayment related to years 2021 through 2023. We have reported the underpayment to CBP. In the event CBP determines that we owe additional amounts or any penalties or determines in the future that we have not paid the correct duties, our results of operations could be materially impacted.</w:t>
      </w:r>
    </w:p>
    <w:p>
      <w:pPr>
        <w:spacing w:after="0" w:line="1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Changes in geopolitical conditions, U.S.-China trade relations and other factors beyond our control may adversely impact our business and operating results.</w:t>
      </w:r>
    </w:p>
    <w:p>
      <w:pPr>
        <w:spacing w:after="0" w:line="191"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Our operations and performance depend, in part, on global and regional economic and geopolitical conditions, given that we have suppliers located in China. Changes in U.S.-China trade policies, and a number of other economic and geopolitical factors both in China and abroad could have a material adverse effect on our business, financial condition, results of operations or prospects. Such factors may include:</w:t>
      </w:r>
    </w:p>
    <w:p>
      <w:pPr>
        <w:spacing w:after="0" w:line="160" w:lineRule="exact"/>
        <w:rPr>
          <w:sz w:val="20"/>
          <w:szCs w:val="20"/>
          <w:color w:val="auto"/>
        </w:rPr>
      </w:pPr>
    </w:p>
    <w:p>
      <w:pPr>
        <w:ind w:left="287" w:right="20" w:hanging="287"/>
        <w:spacing w:after="0" w:line="267" w:lineRule="auto"/>
        <w:tabs>
          <w:tab w:leader="none" w:pos="28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instability in political or economic conditions, such as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5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expanded jurisdiction of the Committee for Foreign Investment in the U.S.; and</w:t>
      </w:r>
    </w:p>
    <w:p>
      <w:pPr>
        <w:spacing w:after="0" w:line="189" w:lineRule="exact"/>
        <w:rPr>
          <w:rFonts w:ascii="Times New Roman" w:cs="Times New Roman" w:eastAsia="Times New Roman" w:hAnsi="Times New Roman"/>
          <w:sz w:val="16"/>
          <w:szCs w:val="16"/>
          <w:color w:val="auto"/>
        </w:rPr>
      </w:pPr>
    </w:p>
    <w:p>
      <w:pPr>
        <w:ind w:left="287" w:hanging="287"/>
        <w:spacing w:after="0" w:line="267" w:lineRule="auto"/>
        <w:tabs>
          <w:tab w:leader="none" w:pos="28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intergovernmental conflicts or actions, such as the armed conflicts between Russia and Ukraine and in the Middle East, trade wars, retaliatory tariffs, and acts of terrorism or war.</w:t>
      </w:r>
    </w:p>
    <w:p>
      <w:pPr>
        <w:spacing w:after="0" w:line="1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As a result of these events, our ability to obtain supplies from our China-based suppliers may be limited or adversely affected, and we may incur operational constraints.</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A significant disruption to the timely receipt of inventory could adversely impact sales or increase our transportation costs, which would decrease our profits.</w:t>
      </w:r>
    </w:p>
    <w:p>
      <w:pPr>
        <w:spacing w:after="0" w:line="191" w:lineRule="exact"/>
        <w:rPr>
          <w:sz w:val="20"/>
          <w:szCs w:val="20"/>
          <w:color w:val="auto"/>
        </w:rPr>
      </w:pPr>
    </w:p>
    <w:p>
      <w:pPr>
        <w:jc w:val="both"/>
        <w:ind w:left="7"/>
        <w:spacing w:after="0" w:line="245" w:lineRule="auto"/>
        <w:rPr>
          <w:sz w:val="20"/>
          <w:szCs w:val="20"/>
          <w:color w:val="auto"/>
        </w:rPr>
      </w:pPr>
      <w:r>
        <w:rPr>
          <w:rFonts w:ascii="Times New Roman" w:cs="Times New Roman" w:eastAsia="Times New Roman" w:hAnsi="Times New Roman"/>
          <w:sz w:val="16"/>
          <w:szCs w:val="16"/>
          <w:color w:val="auto"/>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spacing w:after="0" w:line="17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18" w:name="page19"/>
    <w:bookmarkEnd w:id="18"/>
    <w:p>
      <w:pPr>
        <w:ind w:left="7"/>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b w:val="1"/>
          <w:bCs w:val="1"/>
          <w:i w:val="1"/>
          <w:iCs w:val="1"/>
          <w:color w:val="auto"/>
        </w:rPr>
        <w:t>We rely heavily upon our intellectual property portfolio. If we are unable to protect our intellectual property rights, our business and competitive position would be harmed.</w:t>
      </w:r>
    </w:p>
    <w:p>
      <w:pPr>
        <w:spacing w:after="0" w:line="214"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and joint development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68"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We may need to defend ourselves against intellectual property infringement claims, which may be time-consuming and could cause us to incur substantial costs.</w:t>
      </w:r>
    </w:p>
    <w:p>
      <w:pPr>
        <w:spacing w:after="0" w:line="191" w:lineRule="exact"/>
        <w:rPr>
          <w:sz w:val="20"/>
          <w:szCs w:val="20"/>
          <w:color w:val="auto"/>
        </w:rPr>
      </w:pPr>
    </w:p>
    <w:p>
      <w:pPr>
        <w:jc w:val="both"/>
        <w:ind w:left="7"/>
        <w:spacing w:after="0" w:line="285" w:lineRule="auto"/>
        <w:rPr>
          <w:sz w:val="20"/>
          <w:szCs w:val="20"/>
          <w:color w:val="auto"/>
        </w:rPr>
      </w:pPr>
      <w:r>
        <w:rPr>
          <w:rFonts w:ascii="Times New Roman" w:cs="Times New Roman" w:eastAsia="Times New Roman" w:hAnsi="Times New Roman"/>
          <w:sz w:val="14"/>
          <w:szCs w:val="14"/>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(“FTO”)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333" w:lineRule="exact"/>
        <w:rPr>
          <w:sz w:val="20"/>
          <w:szCs w:val="20"/>
          <w:color w:val="auto"/>
        </w:rPr>
      </w:pPr>
    </w:p>
    <w:p>
      <w:pPr>
        <w:jc w:val="center"/>
        <w:ind w:left="5547" w:right="620" w:hanging="5547"/>
        <w:spacing w:after="0" w:line="511" w:lineRule="auto"/>
        <w:tabs>
          <w:tab w:leader="none" w:pos="27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cease using, making, having made, selling, having sold, developing, having developed or importing products that incorporate the infringed intellectual property rights;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15073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19" w:name="page20"/>
    <w:bookmarkEnd w:id="19"/>
    <w:p>
      <w:pPr>
        <w:ind w:left="287" w:hanging="287"/>
        <w:spacing w:after="0"/>
        <w:tabs>
          <w:tab w:leader="none" w:pos="28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substantial damages;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 license from the holder of the infringed intellectual property rights, which license may not be available on reasonable terms or at all; or</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redesign our processes or products, which may result in inferior products or processes.</w:t>
      </w:r>
    </w:p>
    <w:p>
      <w:pPr>
        <w:spacing w:after="0" w:line="189"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49" w:lineRule="exact"/>
        <w:rPr>
          <w:sz w:val="20"/>
          <w:szCs w:val="20"/>
          <w:color w:val="auto"/>
        </w:rPr>
      </w:pPr>
    </w:p>
    <w:p>
      <w:pPr>
        <w:jc w:val="both"/>
        <w:ind w:left="7"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48" w:lineRule="exact"/>
        <w:rPr>
          <w:sz w:val="20"/>
          <w:szCs w:val="20"/>
          <w:color w:val="auto"/>
        </w:rPr>
      </w:pPr>
    </w:p>
    <w:p>
      <w:pPr>
        <w:jc w:val="both"/>
        <w:ind w:left="7"/>
        <w:spacing w:after="0" w:line="246" w:lineRule="auto"/>
        <w:rPr>
          <w:sz w:val="20"/>
          <w:szCs w:val="20"/>
          <w:color w:val="auto"/>
        </w:rPr>
      </w:pPr>
      <w:r>
        <w:rPr>
          <w:rFonts w:ascii="Times New Roman" w:cs="Times New Roman" w:eastAsia="Times New Roman" w:hAnsi="Times New Roman"/>
          <w:sz w:val="16"/>
          <w:szCs w:val="16"/>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70" w:lineRule="exact"/>
        <w:rPr>
          <w:sz w:val="20"/>
          <w:szCs w:val="20"/>
          <w:color w:val="auto"/>
        </w:rPr>
      </w:pPr>
    </w:p>
    <w:p>
      <w:pPr>
        <w:jc w:val="both"/>
        <w:ind w:left="7" w:right="20"/>
        <w:spacing w:after="0" w:line="290" w:lineRule="auto"/>
        <w:rPr>
          <w:sz w:val="20"/>
          <w:szCs w:val="20"/>
          <w:color w:val="auto"/>
        </w:rPr>
      </w:pPr>
      <w:r>
        <w:rPr>
          <w:rFonts w:ascii="Times New Roman" w:cs="Times New Roman" w:eastAsia="Times New Roman" w:hAnsi="Times New Roman"/>
          <w:sz w:val="14"/>
          <w:szCs w:val="14"/>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spacing w:after="0" w:line="14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The uncertainty in global and macroeconomic conditions, including economic, political and social instability, including the Russia-Ukraine conflict and Hamas’ attack on Israel, could reduce consumer spending and disrupt our supply chain which could negatively affect our results of operations.</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global credit and financial markets have recently experienced extreme volatility and disruptions including severely diminished liquidity and credit availability, disruptions in access to bank deposits and lending commitments due to bank failures, declines in economic growth, increases in unemployment rates, supply chain disruptions, heightened interest rates and inflation, stock volatility and uncertainty about economic stability. Such conditions may continue or worsen in the future. The financial markets and the global economy may also be adversely affected by the current or anticipated impact of military conflict including Russia’s invasion of Ukraine and the conflict between Hamas and Israel, terrorism or other geopolitical events. Sanctions imposed by the U.S. and other countries in response to such conflicts, including sanctions imposed in connection with the war in Ukraine and the conflict between Hamas and Israel, the effect of tariffs and/or any resulting trade wars, increasing interest rates, or other factors may also adversely impact the financial markets and the global economy and any economic countermeasures by affected countries and others could exacerbate market and economic instability. For example, in late 2024 and early 2025, the United States, China, and the European Union each announced either new tariffs, non-tariff barriers, or export controls. Any of these risks, ensuing retaliation, or the further deterioration of trade relations between countries could have an adverse impact on our financial condition and results of operations. Additional tariffs or further retaliatory trade measures taken by China or other countries in response could affect the demand for any of our products, impact the competitive position of our products, prevent us from being able to sell products in certain countries or otherwise adversely impact our results of operations. Growing tensions, protectionist trade policies, and tariffs may also lead to a fragmentation of the global economy, a general reduction of international trade in goods and services, and a reduction in the integration of financial markets, any of which could materially and adversely affect our financial condition, or prospects. There can be no assurance that further deterioration in credit and financial markets and confidence in economic conditions will not occur.</w:t>
      </w:r>
    </w:p>
    <w:p>
      <w:pPr>
        <w:spacing w:after="0" w:line="17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Our general business strategy as well as our suppliers’ ability to provide us with raw materials and components, may be adversely affected by any such economic downturn, volatile business environment or continued unpredictable and unstable market conditions, which could directly affect our ability to attain our operating goals on schedule and on budget, including requiring us to delay or abandon certain development plans and could have a material adverse effect on our growth strategy, financial performance and stock price. In addition, there is a risk that one or more of our current suppliers may not survive an economic downturn, which could directly affect our ability to attain our operating goals on schedule and within budget.</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Changes in trade policies, including the imposition of tariffs or other trade restrictions, could materially impact our ability to obtain the raw materials, active pharmaceutical ingredients, and other components necessary for the manufacturing of our product candidates used in our clinical development activities. Some of these materials may be sourced from foreign suppliers, and any increase in tariffs or duties on imported goods could significantly raise the cost of doing business. Additionally, retaliatory tariffs, trade disputes, trade wars, or changes in international trade agreements may lead to supply chain disruptions, including delays in obtaining critical components or the need to seek alternative suppliers. If we are unable to mitigate the impact of increased costs or supply chain disruptions, our financial condition, and ability to develop our product candidates in a timely manner, could be adversely affected.</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i w:val="1"/>
          <w:iCs w:val="1"/>
          <w:color w:val="auto"/>
        </w:rPr>
        <w:t>Adverse global conditions, including economic uncertainty, may negatively impact our financial results.</w:t>
      </w:r>
    </w:p>
    <w:p>
      <w:pPr>
        <w:spacing w:after="0" w:line="1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Global conditions, dislocations in the financial markets, any negative financial impacts affecting U.S. as a result of tax reform or changes to existing trade agreements or tax conventions, may adversely impact our business.</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addition, the global macroeconomic environment has been and may continue to be negatively affected by, among other things, instability in global economic markets, increased U.S. trade tariffs and trade disputes with other countries, instability in the global credit markets, supply chain weaknesses, instability in the geopolitical environment and political tensions, and foreign governmental debt concerns. Such challenges have caused, and may continue to cause, uncertainty and instability in local economies and in global financial markets, which may adversely affect our business.</w:t>
      </w:r>
    </w:p>
    <w:p>
      <w:pPr>
        <w:spacing w:after="0" w:line="16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are highly dependent on the talent and services of Denis Phares, our Chief Executive Officer and Interim Chief Financial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spacing w:after="0" w:line="16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5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4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6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we fail to manage our growth effectively, we may be unable to execute our business plan, maintain high levels of customer service, or adequately address competitive challenges.</w:t>
      </w:r>
    </w:p>
    <w:p>
      <w:pPr>
        <w:spacing w:after="0" w:line="1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expand our business through acquisitions in the future, and any future acquisition may not be accretive and may negatively affect our business.</w:t>
      </w:r>
    </w:p>
    <w:p>
      <w:pPr>
        <w:spacing w:after="0" w:line="1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operations are subject to a variety of environmental, health and safety rules that can bring scrutiny from regulatory agencies and increase our costs.</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(“FCPA”).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social and governance matters may cause us to incur additional costs.</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Some legislatures, government agencies and listing exchanges have mandated or proposed, and others may in the future further mandate, certain environmental, social and governance (“ESG”) disclosure or performance. For example, the SEC has enacted rules that will mandate certain companies to provide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Being a Public Company</w:t>
      </w:r>
    </w:p>
    <w:p>
      <w:pPr>
        <w:spacing w:after="0" w:line="1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will continue to incur significant increased expenses and administrative burdens as a public company, which could have an adverse effect on our business, financial condition and operating results.</w:t>
      </w:r>
    </w:p>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We will continue to face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the Nasdaq Stock Market, LLC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prospectus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management team has limited experience managing a public company.</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Most of the members of our management team have limited experience managing and operating a publicly traded company, interacting with public company investors and complying with the increasingly complex laws pertaining to public companies. Our management team may not successfully or efficiently manage our role as a public company subject to significant regulatory oversight and reporting obligations under the federal securities laws and the continuous scrutiny of securities analysts and investors.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24" w:name="page25"/>
    <w:bookmarkEnd w:id="24"/>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These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Risks Related to Our Financial Position and Capital Requirements</w:t>
      </w:r>
    </w:p>
    <w:p>
      <w:pPr>
        <w:spacing w:after="0" w:line="189" w:lineRule="exact"/>
        <w:rPr>
          <w:sz w:val="20"/>
          <w:szCs w:val="20"/>
          <w:color w:val="auto"/>
        </w:rPr>
      </w:pPr>
    </w:p>
    <w:p>
      <w:pPr>
        <w:jc w:val="both"/>
        <w:ind w:left="7"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48" w:lineRule="exact"/>
        <w:rPr>
          <w:sz w:val="20"/>
          <w:szCs w:val="20"/>
          <w:color w:val="auto"/>
        </w:rPr>
      </w:pPr>
    </w:p>
    <w:p>
      <w:pPr>
        <w:jc w:val="both"/>
        <w:ind w:left="7"/>
        <w:spacing w:after="0" w:line="246" w:lineRule="auto"/>
        <w:rPr>
          <w:sz w:val="20"/>
          <w:szCs w:val="20"/>
          <w:color w:val="auto"/>
        </w:rPr>
      </w:pPr>
      <w:r>
        <w:rPr>
          <w:rFonts w:ascii="Times New Roman" w:cs="Times New Roman" w:eastAsia="Times New Roman" w:hAnsi="Times New Roman"/>
          <w:sz w:val="16"/>
          <w:szCs w:val="16"/>
          <w:color w:val="auto"/>
        </w:rPr>
        <w:t>As of December 31, 2024, we had cash totaling $4.8 million. Our net loss for the year ended December 31, 2024 was $40.6 million and our net loss for the year ended December 31, 2023 was $13.8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to provide additional capital to us. However, market conditions and certain restrictions contained in the agreements governing the ChEF Equity Facility, the Term Loan and the Series A Preferred Stock may limit our ability to access equity and debt under such agreements.</w:t>
      </w:r>
    </w:p>
    <w:p>
      <w:pPr>
        <w:spacing w:after="0" w:line="1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The incurrence of additional debt could adversely impact our business, including limiting our operational flexibility by:</w:t>
      </w:r>
    </w:p>
    <w:p>
      <w:pPr>
        <w:spacing w:after="0" w:line="189" w:lineRule="exact"/>
        <w:rPr>
          <w:sz w:val="20"/>
          <w:szCs w:val="20"/>
          <w:color w:val="auto"/>
        </w:rPr>
      </w:pPr>
    </w:p>
    <w:p>
      <w:pPr>
        <w:ind w:left="287" w:hanging="287"/>
        <w:spacing w:after="0"/>
        <w:tabs>
          <w:tab w:leader="none" w:pos="28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it difficult for us to pay other obligations;</w:t>
      </w:r>
    </w:p>
    <w:p>
      <w:pPr>
        <w:spacing w:after="0" w:line="18"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our cost of borrowing from other sources;</w:t>
      </w:r>
    </w:p>
    <w:p>
      <w:pPr>
        <w:spacing w:after="0" w:line="2" w:lineRule="exact"/>
        <w:rPr>
          <w:rFonts w:ascii="Times New Roman" w:cs="Times New Roman" w:eastAsia="Times New Roman" w:hAnsi="Times New Roman"/>
          <w:sz w:val="16"/>
          <w:szCs w:val="16"/>
          <w:color w:val="auto"/>
        </w:rPr>
      </w:pPr>
    </w:p>
    <w:p>
      <w:pPr>
        <w:ind w:left="287" w:right="20" w:hanging="287"/>
        <w:spacing w:after="0" w:line="243" w:lineRule="auto"/>
        <w:tabs>
          <w:tab w:leader="none" w:pos="28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it difficult to obtain favorable terms for any necessary future financing for working capital, capital expenditures, investments, acquisitions, debt service requirements, or other purposes;</w:t>
      </w:r>
    </w:p>
    <w:p>
      <w:pPr>
        <w:ind w:left="287" w:hanging="287"/>
        <w:spacing w:after="0"/>
        <w:tabs>
          <w:tab w:leader="none" w:pos="28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restricting us from making acquisitions or causing us to make divestitures or similar transactions;</w:t>
      </w:r>
    </w:p>
    <w:p>
      <w:pPr>
        <w:spacing w:after="0" w:line="2" w:lineRule="exact"/>
        <w:rPr>
          <w:rFonts w:ascii="Times New Roman" w:cs="Times New Roman" w:eastAsia="Times New Roman" w:hAnsi="Times New Roman"/>
          <w:sz w:val="16"/>
          <w:szCs w:val="16"/>
          <w:color w:val="auto"/>
        </w:rPr>
      </w:pPr>
    </w:p>
    <w:p>
      <w:pPr>
        <w:ind w:left="287" w:right="20" w:hanging="287"/>
        <w:spacing w:after="0" w:line="243" w:lineRule="auto"/>
        <w:tabs>
          <w:tab w:leader="none" w:pos="28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dedicate a substantial portion of our cash flow from operations to service and repay our indebtedness, reducing the amount of cash flow available for other purposes;</w:t>
      </w:r>
    </w:p>
    <w:p>
      <w:pPr>
        <w:ind w:left="287" w:hanging="287"/>
        <w:spacing w:after="0"/>
        <w:tabs>
          <w:tab w:leader="none" w:pos="28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placing us at a competitive disadvantage compared to our less leveraged competitors; and</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flexibility in planning for and reacting to changes in our business.</w:t>
      </w:r>
    </w:p>
    <w:p>
      <w:pPr>
        <w:spacing w:after="0" w:line="172" w:lineRule="exact"/>
        <w:rPr>
          <w:sz w:val="20"/>
          <w:szCs w:val="20"/>
          <w:color w:val="auto"/>
        </w:rPr>
      </w:pPr>
    </w:p>
    <w:p>
      <w:pPr>
        <w:jc w:val="both"/>
        <w:ind w:left="7"/>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Failure to service our outstanding debt or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 Additionally, without additional concessions or modifications to our loan agreement and the inherent uncertainty surrounding the realization of projected revenues from new markets, there is substantial doubt about our ability to continue as a going concern. Due to these reasons, this could require us, to among other things, reduce operations, sell off our assets, seek the protection of bankruptcy courts or shut down our operations and dissolve.</w:t>
      </w:r>
    </w:p>
    <w:p>
      <w:pPr>
        <w:spacing w:after="0" w:line="164" w:lineRule="exact"/>
        <w:rPr>
          <w:sz w:val="20"/>
          <w:szCs w:val="20"/>
          <w:color w:val="auto"/>
        </w:rPr>
      </w:pPr>
    </w:p>
    <w:p>
      <w:pPr>
        <w:jc w:val="both"/>
        <w:ind w:left="7" w:right="20"/>
        <w:spacing w:after="0" w:line="251" w:lineRule="auto"/>
        <w:rPr>
          <w:sz w:val="20"/>
          <w:szCs w:val="20"/>
          <w:color w:val="auto"/>
        </w:rPr>
      </w:pPr>
      <w:r>
        <w:rPr>
          <w:rFonts w:ascii="Times New Roman" w:cs="Times New Roman" w:eastAsia="Times New Roman" w:hAnsi="Times New Roman"/>
          <w:sz w:val="16"/>
          <w:szCs w:val="16"/>
          <w:color w:val="auto"/>
        </w:rPr>
        <w:t>For the year ended December 31, 2024, we incurred losses and had a negative cash flow from operations. As of December 31, 2024, we had approximately $4.8 million in cash and cash equivalents and working capital of $11.1 million. As of December 31, 2024, we had $86 million outstanding under our Term Loan Agreement. Our ability to achieve profitability and positive cash flow depends on our ability to increase revenue, contain our expenses and maintain compliance with the financial covenants in our outstanding indebtedness agreements.</w:t>
      </w:r>
    </w:p>
    <w:p>
      <w:pPr>
        <w:spacing w:after="0" w:line="1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25" w:name="page26"/>
    <w:bookmarkEnd w:id="25"/>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and September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and September 30, 2023, respectively. On December 29, 2023, we received an additional waiver from our Administrative Agent and Term Loan Lenders in regards to our compliance with the Tests as of the last day of the quarter ended December 31, 2023. On March 31, 2024, April 29, 2024, May 30, 2024, June 28, 2024, July 31, 2024, August 31, 2024, September 30, 2024, October 31, 2024, November 30, 2024, December 31, 2024 and January 31, 2025, we received an additional waiver from the Administrative Agent and the Term Loan Lenders in regard to our compliance with the liquidity requirement under the Term Loan as of the last day of the fiscal quarter ended March 31, 2024, June 30, 2024, September 30, 2024 and December 31, 2024.</w:t>
      </w:r>
    </w:p>
    <w:p>
      <w:pPr>
        <w:spacing w:after="0" w:line="166"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color w:val="auto"/>
        </w:rPr>
        <w:t>On February 26, 2025, subsequent to the current year ended December 31, 2024, we entered into a Securities Purchase agreement (“Purchase Agreement”). Under the Purchase Agreement, we authorized a new series of convertible preferred stock designated as the Series A Convertible Preferred Stock, which shares are convertible into shares of our common stock, and sold shares of Series A Preferred Stock. We raised $3.5 million and expect to have an additional closing for $4.5 million, which we will use for working capital general corporate purposes and mandatory payments on the Term Loan if we raise additional capital. In connection with the Purchase Agreement, the Term Loan was amended to (i) extend the maturity date by one (1) year to October 2027, (ii) defer all principal and interest payments to April 2026 and (iii) Remove any applicable financial covenants (except for a financial covenant requiring us to maintain cash and cash equivalents equal to or greater than $2,500) for the next one and a half years.</w:t>
      </w:r>
    </w:p>
    <w:p>
      <w:pPr>
        <w:spacing w:after="0" w:line="166" w:lineRule="exact"/>
        <w:rPr>
          <w:sz w:val="20"/>
          <w:szCs w:val="20"/>
          <w:color w:val="auto"/>
        </w:rPr>
      </w:pPr>
    </w:p>
    <w:p>
      <w:pPr>
        <w:jc w:val="both"/>
        <w:ind w:left="7"/>
        <w:spacing w:after="0" w:line="290" w:lineRule="auto"/>
        <w:rPr>
          <w:sz w:val="20"/>
          <w:szCs w:val="20"/>
          <w:color w:val="auto"/>
        </w:rPr>
      </w:pPr>
      <w:r>
        <w:rPr>
          <w:rFonts w:ascii="Times New Roman" w:cs="Times New Roman" w:eastAsia="Times New Roman" w:hAnsi="Times New Roman"/>
          <w:sz w:val="14"/>
          <w:szCs w:val="14"/>
          <w:color w:val="auto"/>
        </w:rPr>
        <w:t>As presented above, strategic initiatives were executed in order to alleviate the substantial doubt, such as the Company’s ability to raise funds through the Purchase Agreement, the maturity extension of the Term Loan (which reclassifies the loan as long-term on the financial statements for the year ending December 31, 2024), and the absence of any covenants, other than a $2,500 minimum cash requirement, for at least one year from the financial statement issuance date. While these initiatives were enough support to move our debt to a long term classification, the initiatives were not enough support to completely alleviate the Company’s going concern. Due to no other concessions being made by the lenders in terms of future debt and interest due, except for extending payments into 2026 and the maturity date by one year, and due to the inherent uncertainty surrounding the realization of projected revenues from new markets, management concluded that there is significant doubt about the Company’s ability to continue as a going concern.</w:t>
      </w:r>
    </w:p>
    <w:p>
      <w:pPr>
        <w:spacing w:after="0" w:line="140"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As a result, our independent registered public accounting firm included an explanatory paragraph in its report on our 2024 consolidated financial statements, with respect to this uncertainty.</w:t>
      </w:r>
    </w:p>
    <w:p>
      <w:pPr>
        <w:spacing w:after="0" w:line="151" w:lineRule="exact"/>
        <w:rPr>
          <w:sz w:val="20"/>
          <w:szCs w:val="20"/>
          <w:color w:val="auto"/>
        </w:rPr>
      </w:pPr>
    </w:p>
    <w:p>
      <w:pPr>
        <w:jc w:val="both"/>
        <w:ind w:left="7"/>
        <w:spacing w:after="0" w:line="246" w:lineRule="auto"/>
        <w:rPr>
          <w:sz w:val="20"/>
          <w:szCs w:val="20"/>
          <w:color w:val="auto"/>
        </w:rPr>
      </w:pPr>
      <w:r>
        <w:rPr>
          <w:rFonts w:ascii="Times New Roman" w:cs="Times New Roman" w:eastAsia="Times New Roman" w:hAnsi="Times New Roman"/>
          <w:sz w:val="16"/>
          <w:szCs w:val="16"/>
          <w:color w:val="auto"/>
        </w:rPr>
        <w:t>In addition, we will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If we are unable to raise additional capital or service our debt, we may be forced to reduce operations, seek the protection of bankruptcy courts or shut down our operations and dissolve. If we liquidate our assets and the values we receive for our assets in liquidation or dissolution could be significantly lower than the values reflected in our financial statements.</w:t>
      </w:r>
    </w:p>
    <w:p>
      <w:pPr>
        <w:spacing w:after="0" w:line="166" w:lineRule="exact"/>
        <w:rPr>
          <w:sz w:val="20"/>
          <w:szCs w:val="20"/>
          <w:color w:val="auto"/>
        </w:rPr>
      </w:pPr>
    </w:p>
    <w:p>
      <w:pPr>
        <w:jc w:val="both"/>
        <w:ind w:left="7"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4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The agreements governing our indebtedness restrict us from engaging in specified types of transactions. These restrictive covenants restrict our ability to, among other things:</w:t>
      </w:r>
    </w:p>
    <w:p>
      <w:pPr>
        <w:spacing w:after="0" w:line="189" w:lineRule="exact"/>
        <w:rPr>
          <w:sz w:val="20"/>
          <w:szCs w:val="20"/>
          <w:color w:val="auto"/>
        </w:rPr>
      </w:pPr>
    </w:p>
    <w:p>
      <w:pPr>
        <w:ind w:left="287" w:hanging="287"/>
        <w:spacing w:after="0"/>
        <w:tabs>
          <w:tab w:leader="none" w:pos="28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additional indebtedness;</w:t>
      </w:r>
    </w:p>
    <w:p>
      <w:pPr>
        <w:spacing w:after="0" w:line="2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26" w:name="page27"/>
    <w:bookmarkEnd w:id="26"/>
    <w:p>
      <w:pPr>
        <w:ind w:left="287" w:hanging="287"/>
        <w:spacing w:after="0"/>
        <w:tabs>
          <w:tab w:leader="none" w:pos="28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or incur encumbrances or liens;</w:t>
      </w:r>
    </w:p>
    <w:p>
      <w:pPr>
        <w:spacing w:after="0" w:line="18"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consolidations, amalgamations, mergers, acquisitions, liquidations, dissolutions or dispositions;</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or otherwise dispose of assets; and</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and distributions on, or purchase, redeem, defease, or otherwise acquire or retire for value, our stock.</w:t>
      </w:r>
    </w:p>
    <w:p>
      <w:pPr>
        <w:spacing w:after="0" w:line="174"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66"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66"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have in the past identified material weaknesses in our internal control over financial reporting. These material weaknesses in the future could adversely affect our ability to report our results of operations and financial condition accurately and in a timely manner</w:t>
      </w:r>
    </w:p>
    <w:p>
      <w:pPr>
        <w:spacing w:after="0" w:line="148"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(“U.S. GAAP”).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6"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As described elsewhere in this prospectus, our management identified material weaknesses in our internal control over financial reporting as a result of our failure to capture, and record, and pay tariffs correctly related to the imported merchandise on previously filed 2022 and 2021 financial statements. We have implemented additional measures to address the material weakness relating to tariff by designing new controls to capture, record, and pay tariffs related to the imported merchandise.</w:t>
      </w:r>
    </w:p>
    <w:p>
      <w:pPr>
        <w:spacing w:after="0" w:line="160"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Our efforts to remediate these material weaknesses in internal controls over financial reporting may not be successful,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spacing w:after="0" w:line="16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36" w:right="319" w:bottom="1440" w:gutter="0" w:footer="0" w:header="0"/>
        </w:sectPr>
      </w:pPr>
    </w:p>
    <w:bookmarkStart w:id="27" w:name="page28"/>
    <w:bookmarkEnd w:id="27"/>
    <w:p>
      <w:pPr>
        <w:jc w:val="both"/>
        <w:spacing w:after="0" w:line="247" w:lineRule="auto"/>
        <w:rPr>
          <w:sz w:val="20"/>
          <w:szCs w:val="20"/>
          <w:color w:val="auto"/>
        </w:rPr>
      </w:pPr>
      <w:r>
        <w:rPr>
          <w:rFonts w:ascii="Times New Roman" w:cs="Times New Roman" w:eastAsia="Times New Roman" w:hAnsi="Times New Roman"/>
          <w:sz w:val="16"/>
          <w:szCs w:val="16"/>
          <w:color w:val="auto"/>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and/or a “non-accelerated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spacing w:after="0" w:line="166" w:lineRule="exact"/>
        <w:rPr>
          <w:sz w:val="20"/>
          <w:szCs w:val="20"/>
          <w:color w:val="auto"/>
        </w:rPr>
      </w:pPr>
    </w:p>
    <w:p>
      <w:pPr>
        <w:jc w:val="both"/>
        <w:ind w:right="20"/>
        <w:spacing w:after="0" w:line="343" w:lineRule="auto"/>
        <w:rPr>
          <w:sz w:val="20"/>
          <w:szCs w:val="20"/>
          <w:color w:val="auto"/>
        </w:rPr>
      </w:pPr>
      <w:r>
        <w:rPr>
          <w:rFonts w:ascii="Times New Roman" w:cs="Times New Roman" w:eastAsia="Times New Roman" w:hAnsi="Times New Roman"/>
          <w:sz w:val="14"/>
          <w:szCs w:val="14"/>
          <w:b w:val="1"/>
          <w:bCs w:val="1"/>
          <w:i w:val="1"/>
          <w:iCs w:val="1"/>
          <w:color w:val="auto"/>
        </w:rPr>
        <w:t>We are not currently in compliance with the continued listing requirements for The Nasdaq Capital Market. If we do not regain compliance and continue to meet the continued listing requirements, our securities may be delisted, which could affect the market price and liquidity for our common stock and reduce our ability to raise additional capital.</w:t>
      </w:r>
    </w:p>
    <w:p>
      <w:pPr>
        <w:spacing w:after="0" w:line="1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On December 12, 2024, we received a written notice (the “Notice”) from the Listing Qualifications Staff of Nasdaq indicating that we are not in compliance with Nasdaq Listing Rule 5550(b)(2), which requires us to maintain a minimum Market Value of Listed Securities (“MVLS”) of $35 million for continued listing on The Nasdaq Capital Market (the “MVLS Requirement”) for the 30 consecutive business days preceding receipt of the Notice. Additionally,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 In accordance with Nasdaq Listing Rule 5810(c)(3)(C), we will have 180 calendar days, or until June 10, 2025, to regain compliance with the MVLS Requirement, subject to extension by Nasdaq.</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intend to monitor our MVLS and may, if appropriate, consider implementing available options to regain compliance with the MVLS Requirement. If we do not regain compliance within the allotted compliance period, including any extensions that may be granted by Nasdaq, Nasdaq will provide notice that our securities will be subject to delisting. We would then be entitled to appeal that determination to a Nasdaq hearings panel. There can be no assurance that we will regain compliance with the MVLS Requirement during the 180-day compliance period or maintain compliance with the other Nasdaq listing requirements. A delisting could substantially decrease trading in our common stock, adversely affect the market liquidity of our common stock as a result of the loss of market efficiencies associated with Nasdaq and the loss of federal preemption of state securities laws, adversely affect our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resales of our outstanding securities may cause the market price of our securities to drop significantly, even if our business is doing well.</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We have filed registration statements registering the resale of up to approximately 1.7 million shares of common stock underlying outstanding warrants that may be sold and/or issued into the public markets by certain securityholders. The shares being registered for resale into the public markets represent a significant number of shares in respect to our outstanding common stock. The securityholders selling pursuant to the registration statements will determine the timing, pricing and rate at which they sell such shares into the public market and such sales could have a significant negative impact on the trading price of our common stock.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and may cause the trading prices of our securities to experience a decline.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28" w:name="page29"/>
    <w:bookmarkEnd w:id="28"/>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Further, we have registered 2,390,226 shares of common stock to be issued and sold to CCM LLC in connection with the ChEF Equity Facility. Any sales of such shares into the public market could have a significant negative impact on the trading price of our common stock. This impact may be heightened by the fact that sales to CCM LLC will generally be at prices below the then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Risks Related to Ownership of Our Common Stock</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about us, or publish negative reports, our stock price and trading volume could decline.</w:t>
      </w:r>
    </w:p>
    <w:p>
      <w:pPr>
        <w:spacing w:after="0" w:line="191"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62" w:lineRule="exact"/>
        <w:rPr>
          <w:sz w:val="20"/>
          <w:szCs w:val="20"/>
          <w:color w:val="auto"/>
        </w:rPr>
      </w:pPr>
    </w:p>
    <w:p>
      <w:pPr>
        <w:jc w:val="both"/>
        <w:ind w:left="7"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we do not meet the expectations of investors, stockholders or securities analysts, the market price of our securities may decline. In addition, fluctuations in the price of our securities could contribute to the loss of all or part of your investment.</w:t>
      </w:r>
    </w:p>
    <w:p>
      <w:pPr>
        <w:spacing w:after="0" w:line="148"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Factors affecting the trading price of our securities may include:</w:t>
      </w:r>
    </w:p>
    <w:p>
      <w:pPr>
        <w:spacing w:after="0" w:line="189" w:lineRule="exact"/>
        <w:rPr>
          <w:sz w:val="20"/>
          <w:szCs w:val="20"/>
          <w:color w:val="auto"/>
        </w:rPr>
      </w:pPr>
    </w:p>
    <w:p>
      <w:pPr>
        <w:ind w:left="287" w:hanging="287"/>
        <w:spacing w:after="0"/>
        <w:tabs>
          <w:tab w:leader="none" w:pos="28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quarterly financial results or the quarterly financial results of companies perceived to be similar to ours;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market’s expectations about our operating results;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public’s reaction to our press releases, other public announcements and filings with the SEC;</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speculation in the press or investment community;</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developments in our business, competitors’ businesses or the competitive landscape generally;</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innovations or new products developed by us or our competitors;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supply or distribution delays or shortages;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changes to our relationship with any manufacturers, suppliers, licensors, future collaborators, or other strategic partners;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operating results failing to meet the expectation of securities analysts or investors in a particular period;</w:t>
      </w:r>
    </w:p>
    <w:p>
      <w:pPr>
        <w:spacing w:after="0" w:line="2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29" w:name="page30"/>
    <w:bookmarkEnd w:id="29"/>
    <w:p>
      <w:pPr>
        <w:ind w:left="287" w:hanging="287"/>
        <w:spacing w:after="0"/>
        <w:tabs>
          <w:tab w:leader="none" w:pos="28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and recommendations by securities analysts concerning us or the market in general;</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and stock price performance of other companies that investors deem comparable to ours;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and regulations affecting our business;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of, or involvement in, litigation involving us;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capital structure, such as future issuances of securities or the incurrence of additional debt;</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volume of our common stock available for public sale;</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major change in our board of directors or management;</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substantial amounts of our common stock by our directors, officers or significant stockholders or the perception that such sales could occur; and</w:t>
      </w:r>
    </w:p>
    <w:p>
      <w:pPr>
        <w:spacing w:after="0" w:line="189" w:lineRule="exact"/>
        <w:rPr>
          <w:rFonts w:ascii="Times New Roman" w:cs="Times New Roman" w:eastAsia="Times New Roman" w:hAnsi="Times New Roman"/>
          <w:sz w:val="16"/>
          <w:szCs w:val="16"/>
          <w:color w:val="auto"/>
        </w:rPr>
      </w:pPr>
    </w:p>
    <w:p>
      <w:pPr>
        <w:ind w:left="287" w:right="20" w:hanging="287"/>
        <w:spacing w:after="0" w:line="267" w:lineRule="auto"/>
        <w:tabs>
          <w:tab w:leader="none" w:pos="28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political conditions such as recessions, interest rates, “trade wars,” pandemics (such as COVID-19) and acts of war or terrorism (including the Russia-Ukraine conflict and Hamas’ attack on Israel).</w:t>
      </w:r>
    </w:p>
    <w:p>
      <w:pPr>
        <w:spacing w:after="0" w:line="151"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68" w:lineRule="exact"/>
        <w:rPr>
          <w:sz w:val="20"/>
          <w:szCs w:val="20"/>
          <w:color w:val="auto"/>
        </w:rPr>
      </w:pPr>
    </w:p>
    <w:p>
      <w:pPr>
        <w:jc w:val="both"/>
        <w:ind w:left="7" w:right="20"/>
        <w:spacing w:after="0" w:line="309" w:lineRule="auto"/>
        <w:rPr>
          <w:sz w:val="20"/>
          <w:szCs w:val="20"/>
          <w:color w:val="auto"/>
        </w:rPr>
      </w:pPr>
      <w:r>
        <w:rPr>
          <w:rFonts w:ascii="Times New Roman" w:cs="Times New Roman" w:eastAsia="Times New Roman" w:hAnsi="Times New Roman"/>
          <w:sz w:val="14"/>
          <w:szCs w:val="14"/>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2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An active trading market for our securities may not be available on a consistent basis to provide stockholders with adequate liquidity.</w:t>
      </w:r>
    </w:p>
    <w:p>
      <w:pPr>
        <w:spacing w:after="0" w:line="191"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49"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The exercise of outstanding warrants to acquire our common stock would increase the number of shares eligible for future resale in the public market and result in dilution to our stockholders.</w:t>
      </w:r>
    </w:p>
    <w:p>
      <w:pPr>
        <w:spacing w:after="0" w:line="148"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color w:val="auto"/>
        </w:rPr>
        <w:t>The exercise of outstanding warrants to acquire our common stock will increase the number of shares eligible for future resale in the public market and result in dilution to our stockholders. As of March 27, 2025 , there are currently (i) 1,046,947 shares of common stock issuable upon the exercise of outstanding Public Warrants at an exercise price of $103.50 per share; (ii) 166,821 shares of common stock issuable upon the exercise of outstanding private warrants at an exercise price of $103.50 per share (the “Private Warrants”); and (iii) 680,473 shares of common stock issuable upon exercise of outstanding Penny Warrants (the “Penny Warrants”) at an exercise price of $0.01 per share and 1,061,685 shares of common stock issuable upon exercise of outstanding Penny Warrants at an exercise price of $0.09 per share. The $10 Warrants were exercised in full in 2022 and are no longer outstanding.</w:t>
      </w:r>
    </w:p>
    <w:p>
      <w:pPr>
        <w:spacing w:after="0" w:line="16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36" w:right="319" w:bottom="1440" w:gutter="0" w:footer="0" w:header="0"/>
        </w:sectPr>
      </w:pPr>
    </w:p>
    <w:bookmarkStart w:id="30" w:name="page31"/>
    <w:bookmarkEnd w:id="30"/>
    <w:p>
      <w:pPr>
        <w:jc w:val="both"/>
        <w:ind w:left="7"/>
        <w:spacing w:after="0" w:line="246" w:lineRule="auto"/>
        <w:rPr>
          <w:sz w:val="20"/>
          <w:szCs w:val="20"/>
          <w:color w:val="auto"/>
        </w:rPr>
      </w:pPr>
      <w:r>
        <w:rPr>
          <w:rFonts w:ascii="Times New Roman" w:cs="Times New Roman" w:eastAsia="Times New Roman" w:hAnsi="Times New Roman"/>
          <w:sz w:val="16"/>
          <w:szCs w:val="16"/>
          <w:color w:val="auto"/>
        </w:rPr>
        <w:t>In addition, the Penny Warrants have price-based anti-dilution protection against subsequent equity sales or distributions at below $90.00 per share of common stock, subject to exclusions including for issuances upon conversion exercise or exchange of securities outstanding as of October 7, 2022, the closing date of the Business Combination (as defined below),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$45.00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spacing w:after="0" w:line="168"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48"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51" w:lineRule="exact"/>
        <w:rPr>
          <w:sz w:val="20"/>
          <w:szCs w:val="20"/>
          <w:color w:val="auto"/>
        </w:rPr>
      </w:pPr>
    </w:p>
    <w:p>
      <w:pPr>
        <w:ind w:left="287" w:hanging="287"/>
        <w:spacing w:after="0"/>
        <w:tabs>
          <w:tab w:leader="none" w:pos="28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engage target customers and successfully convert these customers into meaningful orders in the future;</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two suppliers for LFP cells and a single supplier for the manufacture of our battery management system;</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and growth of the potential markets for our batteries and its ability to serve those markets;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in our attempts to develop and produce solid state battery cells;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demand for any products, which may vary significantly;</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accounting pronouncements or changes in our accounting policies;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conditions, both nationally and locally; and</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change in the competitive landscape of our industry, including consolidation among our competitors or partners.</w:t>
      </w:r>
    </w:p>
    <w:p>
      <w:pPr>
        <w:spacing w:after="0" w:line="189"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spacing w:after="0" w:line="151"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Changes in laws, regulations or rules, or a failure to comply with any laws, regulations or rules, may adversely affect our business, investments and results of operations.</w:t>
      </w:r>
    </w:p>
    <w:p>
      <w:pPr>
        <w:spacing w:after="0" w:line="191"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6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31" w:name="page32"/>
    <w:bookmarkEnd w:id="31"/>
    <w:p>
      <w:pPr>
        <w:jc w:val="both"/>
        <w:ind w:left="7"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48" w:lineRule="exact"/>
        <w:rPr>
          <w:sz w:val="20"/>
          <w:szCs w:val="20"/>
          <w:color w:val="auto"/>
        </w:rPr>
      </w:pPr>
    </w:p>
    <w:p>
      <w:pPr>
        <w:jc w:val="both"/>
        <w:ind w:left="7"/>
        <w:spacing w:after="0" w:line="246" w:lineRule="auto"/>
        <w:rPr>
          <w:sz w:val="20"/>
          <w:szCs w:val="20"/>
          <w:color w:val="auto"/>
        </w:rPr>
      </w:pPr>
      <w:r>
        <w:rPr>
          <w:rFonts w:ascii="Times New Roman" w:cs="Times New Roman" w:eastAsia="Times New Roman" w:hAnsi="Times New Roman"/>
          <w:sz w:val="16"/>
          <w:szCs w:val="16"/>
          <w:color w:val="auto"/>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Nevada Revised Statutes (the “NRS”)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70"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Our Articles of Incorporation could discourage another company from acquiring us and may prevent attempts by our stockholders to replace or remove our management.</w:t>
      </w:r>
    </w:p>
    <w:p>
      <w:pPr>
        <w:spacing w:after="0" w:line="191"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color w:val="auto"/>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66" w:lineRule="exact"/>
        <w:rPr>
          <w:sz w:val="20"/>
          <w:szCs w:val="20"/>
          <w:color w:val="auto"/>
        </w:rPr>
      </w:pPr>
    </w:p>
    <w:p>
      <w:pPr>
        <w:ind w:left="287" w:right="20" w:hanging="287"/>
        <w:spacing w:after="0" w:line="267" w:lineRule="auto"/>
        <w:tabs>
          <w:tab w:leader="none" w:pos="28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will be divided into three classes, with each class serving staggered three-year terms, which may delay the ability of stockholders to change the membership of a majority of our board of directors;</w:t>
      </w:r>
    </w:p>
    <w:p>
      <w:pPr>
        <w:spacing w:after="0" w:line="150" w:lineRule="exact"/>
        <w:rPr>
          <w:rFonts w:ascii="Times New Roman" w:cs="Times New Roman" w:eastAsia="Times New Roman" w:hAnsi="Times New Roman"/>
          <w:sz w:val="16"/>
          <w:szCs w:val="16"/>
          <w:color w:val="auto"/>
        </w:rPr>
      </w:pPr>
    </w:p>
    <w:p>
      <w:pPr>
        <w:ind w:left="287" w:right="20" w:hanging="287"/>
        <w:spacing w:after="0" w:line="267" w:lineRule="auto"/>
        <w:tabs>
          <w:tab w:leader="none" w:pos="28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5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stockholders may not act by written consent, which forces stockholder action to be taken at an annual or special meeting of stockholders;</w:t>
      </w:r>
    </w:p>
    <w:p>
      <w:pPr>
        <w:spacing w:after="0" w:line="18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32" w:name="page33"/>
    <w:bookmarkEnd w:id="32"/>
    <w:p>
      <w:pPr>
        <w:ind w:left="287" w:right="20" w:hanging="287"/>
        <w:spacing w:after="0" w:line="267" w:lineRule="auto"/>
        <w:tabs>
          <w:tab w:leader="none" w:pos="28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15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Articles of Incorporation prohibits cumulative voting in the election of directors, which limits the ability of minority stockholders to elect director candidates;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may alter certain provisions of our Bylaws without obtaining stockholder approval;</w:t>
      </w:r>
    </w:p>
    <w:p>
      <w:pPr>
        <w:spacing w:after="0" w:line="189" w:lineRule="exact"/>
        <w:rPr>
          <w:rFonts w:ascii="Times New Roman" w:cs="Times New Roman" w:eastAsia="Times New Roman" w:hAnsi="Times New Roman"/>
          <w:sz w:val="16"/>
          <w:szCs w:val="16"/>
          <w:color w:val="auto"/>
        </w:rPr>
      </w:pPr>
    </w:p>
    <w:p>
      <w:pPr>
        <w:jc w:val="both"/>
        <w:ind w:left="287" w:hanging="287"/>
        <w:spacing w:after="0" w:line="255" w:lineRule="auto"/>
        <w:tabs>
          <w:tab w:leader="none" w:pos="28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the holders of at least sixty-six and two-thirds percent (66 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p>
      <w:pPr>
        <w:spacing w:after="0" w:line="160" w:lineRule="exact"/>
        <w:rPr>
          <w:rFonts w:ascii="Times New Roman" w:cs="Times New Roman" w:eastAsia="Times New Roman" w:hAnsi="Times New Roman"/>
          <w:sz w:val="16"/>
          <w:szCs w:val="16"/>
          <w:color w:val="auto"/>
        </w:rPr>
      </w:pPr>
    </w:p>
    <w:p>
      <w:pPr>
        <w:jc w:val="both"/>
        <w:ind w:left="287" w:right="20" w:hanging="287"/>
        <w:spacing w:after="0" w:line="255" w:lineRule="auto"/>
        <w:tabs>
          <w:tab w:leader="none" w:pos="28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160" w:lineRule="exact"/>
        <w:rPr>
          <w:rFonts w:ascii="Times New Roman" w:cs="Times New Roman" w:eastAsia="Times New Roman" w:hAnsi="Times New Roman"/>
          <w:sz w:val="16"/>
          <w:szCs w:val="16"/>
          <w:color w:val="auto"/>
        </w:rPr>
      </w:pPr>
    </w:p>
    <w:p>
      <w:pPr>
        <w:ind w:left="287" w:right="20" w:hanging="287"/>
        <w:spacing w:after="0" w:line="267" w:lineRule="auto"/>
        <w:tabs>
          <w:tab w:leader="none" w:pos="28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49" w:lineRule="exact"/>
        <w:rPr>
          <w:sz w:val="20"/>
          <w:szCs w:val="20"/>
          <w:color w:val="auto"/>
        </w:rPr>
      </w:pPr>
    </w:p>
    <w:p>
      <w:pPr>
        <w:ind w:left="7"/>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48" w:lineRule="exact"/>
        <w:rPr>
          <w:sz w:val="20"/>
          <w:szCs w:val="20"/>
          <w:color w:val="auto"/>
        </w:rPr>
      </w:pPr>
    </w:p>
    <w:p>
      <w:pPr>
        <w:ind w:left="7" w:right="20"/>
        <w:spacing w:after="0" w:line="267"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51" w:lineRule="exact"/>
        <w:rPr>
          <w:sz w:val="20"/>
          <w:szCs w:val="20"/>
          <w:color w:val="auto"/>
        </w:rPr>
      </w:pPr>
    </w:p>
    <w:p>
      <w:pPr>
        <w:ind w:left="287" w:hanging="287"/>
        <w:spacing w:after="0"/>
        <w:tabs>
          <w:tab w:leader="none" w:pos="28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have an independent registered public accounting firm audit our internal control over financial reporting under Section 404 of the Sarbanes-Oxley Act;</w:t>
      </w:r>
    </w:p>
    <w:p>
      <w:pPr>
        <w:spacing w:after="0" w:line="212" w:lineRule="exact"/>
        <w:rPr>
          <w:rFonts w:ascii="Times New Roman" w:cs="Times New Roman" w:eastAsia="Times New Roman" w:hAnsi="Times New Roman"/>
          <w:sz w:val="14"/>
          <w:szCs w:val="14"/>
          <w:color w:val="auto"/>
        </w:rPr>
      </w:pPr>
    </w:p>
    <w:p>
      <w:pPr>
        <w:ind w:left="287" w:hanging="287"/>
        <w:spacing w:after="0"/>
        <w:tabs>
          <w:tab w:leader="none" w:pos="28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disclosure obligations regarding executive compensation in our periodic reports and annual report on Form 10-K; and</w:t>
      </w:r>
    </w:p>
    <w:p>
      <w:pPr>
        <w:spacing w:after="0" w:line="189" w:lineRule="exact"/>
        <w:rPr>
          <w:rFonts w:ascii="Times New Roman" w:cs="Times New Roman" w:eastAsia="Times New Roman" w:hAnsi="Times New Roman"/>
          <w:sz w:val="16"/>
          <w:szCs w:val="16"/>
          <w:color w:val="auto"/>
        </w:rPr>
      </w:pPr>
    </w:p>
    <w:p>
      <w:pPr>
        <w:ind w:left="287" w:hanging="287"/>
        <w:spacing w:after="0" w:line="267" w:lineRule="auto"/>
        <w:tabs>
          <w:tab w:leader="none" w:pos="28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exemptions from the requirements of holding non-binding advisory votes on executive compensation and stockholder approval of any golden parachute payments not previously approved.</w:t>
      </w:r>
    </w:p>
    <w:p>
      <w:pPr>
        <w:spacing w:after="0" w:line="151" w:lineRule="exact"/>
        <w:rPr>
          <w:sz w:val="20"/>
          <w:szCs w:val="20"/>
          <w:color w:val="auto"/>
        </w:rPr>
      </w:pPr>
    </w:p>
    <w:p>
      <w:pPr>
        <w:ind w:left="7"/>
        <w:spacing w:after="0" w:line="267" w:lineRule="auto"/>
        <w:rPr>
          <w:sz w:val="20"/>
          <w:szCs w:val="20"/>
          <w:color w:val="auto"/>
        </w:rPr>
      </w:pPr>
      <w:r>
        <w:rPr>
          <w:rFonts w:ascii="Times New Roman" w:cs="Times New Roman" w:eastAsia="Times New Roman" w:hAnsi="Times New Roman"/>
          <w:sz w:val="16"/>
          <w:szCs w:val="16"/>
          <w:color w:val="auto"/>
        </w:rPr>
        <w:t>As a result, the stockholders may not have access to certain information that they may deem important. Our status as an emerging growth company will end as soon as any of the following takes place:</w:t>
      </w:r>
    </w:p>
    <w:p>
      <w:pPr>
        <w:spacing w:after="0" w:line="151" w:lineRule="exact"/>
        <w:rPr>
          <w:sz w:val="20"/>
          <w:szCs w:val="20"/>
          <w:color w:val="auto"/>
        </w:rPr>
      </w:pPr>
    </w:p>
    <w:p>
      <w:pPr>
        <w:ind w:left="287" w:hanging="287"/>
        <w:spacing w:after="0"/>
        <w:tabs>
          <w:tab w:leader="none" w:pos="28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have at least $1.235 billion in annual revenue;</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we qualify as a “large accelerated filer,” with at least $700.0 million of equity securities held by non-affiliates;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issued, in any three-year period, more than $1.0 billion in non-convertible debt securities; or</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ending after the fifth anniversary of our IPO.</w:t>
      </w:r>
    </w:p>
    <w:p>
      <w:pPr>
        <w:spacing w:after="0" w:line="189" w:lineRule="exact"/>
        <w:rPr>
          <w:sz w:val="20"/>
          <w:szCs w:val="20"/>
          <w:color w:val="auto"/>
        </w:rPr>
      </w:pPr>
    </w:p>
    <w:p>
      <w:pPr>
        <w:ind w:left="7"/>
        <w:spacing w:after="0" w:line="267" w:lineRule="auto"/>
        <w:rPr>
          <w:sz w:val="20"/>
          <w:szCs w:val="20"/>
          <w:color w:val="auto"/>
        </w:rPr>
      </w:pPr>
      <w:r>
        <w:rPr>
          <w:rFonts w:ascii="Times New Roman" w:cs="Times New Roman" w:eastAsia="Times New Roman" w:hAnsi="Times New Roman"/>
          <w:sz w:val="16"/>
          <w:szCs w:val="16"/>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5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33" w:name="page34"/>
    <w:bookmarkEnd w:id="33"/>
    <w:p>
      <w:pPr>
        <w:jc w:val="both"/>
        <w:ind w:left="7" w:right="20"/>
        <w:spacing w:after="0" w:line="255" w:lineRule="auto"/>
        <w:rPr>
          <w:sz w:val="20"/>
          <w:szCs w:val="20"/>
          <w:color w:val="auto"/>
        </w:rPr>
      </w:pPr>
      <w:r>
        <w:rPr>
          <w:rFonts w:ascii="Times New Roman" w:cs="Times New Roman" w:eastAsia="Times New Roman" w:hAnsi="Times New Roman"/>
          <w:sz w:val="16"/>
          <w:szCs w:val="16"/>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58" w:lineRule="exact"/>
        <w:rPr>
          <w:sz w:val="20"/>
          <w:szCs w:val="20"/>
          <w:color w:val="auto"/>
        </w:rPr>
      </w:pPr>
    </w:p>
    <w:p>
      <w:pPr>
        <w:jc w:val="both"/>
        <w:ind w:left="7"/>
        <w:spacing w:after="0" w:line="343"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02"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As a public company, we will be required to comply with the requirements of the Sarbanes-Oxley Act, including,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management, including our principal executive and financial officers.</w:t>
      </w:r>
    </w:p>
    <w:p>
      <w:pPr>
        <w:spacing w:after="0" w:line="166" w:lineRule="exact"/>
        <w:rPr>
          <w:sz w:val="20"/>
          <w:szCs w:val="20"/>
          <w:color w:val="auto"/>
        </w:rPr>
      </w:pPr>
    </w:p>
    <w:p>
      <w:pPr>
        <w:jc w:val="both"/>
        <w:ind w:left="7"/>
        <w:spacing w:after="0" w:line="246" w:lineRule="auto"/>
        <w:rPr>
          <w:sz w:val="20"/>
          <w:szCs w:val="20"/>
          <w:color w:val="auto"/>
        </w:rPr>
      </w:pPr>
      <w:r>
        <w:rPr>
          <w:rFonts w:ascii="Times New Roman" w:cs="Times New Roman" w:eastAsia="Times New Roman" w:hAnsi="Times New Roman"/>
          <w:sz w:val="16"/>
          <w:szCs w:val="16"/>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70" w:lineRule="exact"/>
        <w:rPr>
          <w:sz w:val="20"/>
          <w:szCs w:val="20"/>
          <w:color w:val="auto"/>
        </w:rPr>
      </w:pPr>
    </w:p>
    <w:p>
      <w:pPr>
        <w:jc w:val="both"/>
        <w:ind w:left="7" w:right="20"/>
        <w:spacing w:after="0" w:line="255" w:lineRule="auto"/>
        <w:rPr>
          <w:sz w:val="20"/>
          <w:szCs w:val="20"/>
          <w:color w:val="auto"/>
        </w:rPr>
      </w:pPr>
      <w:r>
        <w:rPr>
          <w:rFonts w:ascii="Times New Roman" w:cs="Times New Roman" w:eastAsia="Times New Roman" w:hAnsi="Times New Roman"/>
          <w:sz w:val="16"/>
          <w:szCs w:val="16"/>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58"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48"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51" w:lineRule="exact"/>
        <w:rPr>
          <w:sz w:val="20"/>
          <w:szCs w:val="20"/>
          <w:color w:val="auto"/>
        </w:rPr>
      </w:pPr>
    </w:p>
    <w:p>
      <w:pPr>
        <w:ind w:left="287" w:hanging="287"/>
        <w:spacing w:after="0"/>
        <w:tabs>
          <w:tab w:leader="none" w:pos="28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valuation of our deferred tax assets and liabilities;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timing and amount of the release of any tax valuation allowances;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effects of stock-based compensation;</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intercompany restructurings;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laws, regulations or interpretations thereof; or</w:t>
      </w:r>
    </w:p>
    <w:p>
      <w:pPr>
        <w:spacing w:after="0" w:line="189" w:lineRule="exact"/>
        <w:rPr>
          <w:rFonts w:ascii="Times New Roman" w:cs="Times New Roman" w:eastAsia="Times New Roman" w:hAnsi="Times New Roman"/>
          <w:sz w:val="16"/>
          <w:szCs w:val="16"/>
          <w:color w:val="auto"/>
        </w:rPr>
      </w:pPr>
    </w:p>
    <w:p>
      <w:pPr>
        <w:ind w:left="287" w:right="20" w:hanging="287"/>
        <w:spacing w:after="0" w:line="267" w:lineRule="auto"/>
        <w:tabs>
          <w:tab w:leader="none" w:pos="28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than anticipated future earnings in jurisdictions where we have lower statutory tax rates and higher than anticipated future earnings in jurisdictions where we have higher statutory tax rates.</w:t>
      </w:r>
    </w:p>
    <w:p>
      <w:pPr>
        <w:spacing w:after="0" w:line="15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34" w:name="page35"/>
    <w:bookmarkEnd w:id="34"/>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Stockholders may experience dilution of their ownership interest due to the issuance of additional shares of common stock upon the conversion of the Series A Preferred Stock, especially since the Series A Preferred Stock has fluctuating conversion rates that are set at a discount to the market price of our common stock during the period immediately prior to conversion.</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We have raised approximately $3.5 million in February 2025 through the issuance of shares of Series A Preferred Stock, and expect to issue an additional $4.5 million of additional shares of Series A Preferred Stock upon stockholder approval of the issuance of certain of the shares of common stock underlying the Series A Preferred Stock in compliance with the rules of Nasdaq and the effectiveness of this registration statement in compliance with the agreements governing the Series A Preferred Stock and may issue additional shares of Series A Preferred Stock upon certain events. The shares of Series A Preferred Stock are convertible into shares of our common stock, at the option of the holder, subject to certain conditions and limitations, at the lesser of (i) the fixed conversion price and (ii) 90% of the lowest VWAP during the 10 trading days prior to exercise, subject to the floor prices set forth in the Series A Preferred Stock. This could result in material dilution to our existing stockholders. Because the conversion price is based upon a discount to the trading price of our common stock at the time of conversion, the number of shares into which the Series A Preferred Stock may be converted may increase, subject to the floor prices of the respective series of the Series A Preferred Stock. If the trading prices of our common stock is low when the conversion price of the Series A Preferred Stock is determined, we would be required to issue a greater number of shares of common stock to the holder, which could cause substantial dilution to our stockholders. Based upon the current floor prices and the assumed floor price based on the market price of the common stock on March 31, 2025 for the Series A Preferred Stock to be issued at the Second Closing (as defined below), the outstanding Series A Preferred Stock could convert into up to approximately 34.8 million shares of common stock. In addition, if the holder of the Series A Preferred Stock converts and then sells our common stock, this could result in an imbalance of supply and demand for our common stock and reduce our stock price in the market significantly. The further our stock price declines, the further the adjustment of the conversion price will fall and the greater the number of shares of common stock we will have to issue upon conversion, resulting in further dilution to its stockholders. Market price-based conversion formulas, like the one contained in the Series A Preferred Stock can lead to dramatic stock price reductions and corresponding negative effects on both us and our stockholders.</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have Series A Preferred Stock outstanding which securities have certain rights and provisions that could impact our ability to complete certain transactions and could impact the market price of our common stock.</w:t>
      </w:r>
    </w:p>
    <w:p>
      <w:pPr>
        <w:spacing w:after="0" w:line="14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We currently have 320 shares of Series A Preferred Stock outstanding that were issued on February 27, 2025, which were initially convertible, subject to certain beneficial ownership limitations and Nasdaq restrictions until we obtain shareholder approval for the issuance of such shares in compliance with the Nasdaq rules, at the holder’s option at any time.</w:t>
      </w:r>
    </w:p>
    <w:p>
      <w:pPr>
        <w:spacing w:after="0" w:line="16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Series A Preferred Stock gives its holders, subject to the preference and priority to the holders of its Common Stock, the preferred right to receive dividends, commencing from the date of issuance of the Series A Preferred Stock. The Series A Preferred Stock provides for dividends, payable quarterly in arrears in cash or shares of Series A Preferred Stock, at the dividend rate of 8% per annum and we expect such dividends to be paid in additional shares of Series A Preferred Stock.</w:t>
      </w:r>
    </w:p>
    <w:p>
      <w:pPr>
        <w:spacing w:after="0" w:line="16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Each share of Series A Preferred Stock carries a liquidation preference equal to the greater of (A) the Conversion Amount (as defined in the Certificate of Designation of the Powers, Preferences and Relative, Participating, Optional and Other Restrictions of the Series A Preferred Stock (the “Certificate of Designation”)) of such Series A Preferred Stock on the date of such payment and (B) the amount per share such holder would receive if such holder converted such Series A Preferred Stock into common stock immediately prior to the date of such payment.</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agreements governing our Series A Preferred Stock restrict us from engaging in specified types of transactions. These restrictive covenants restrict our ability to, among other things, incur additional indebtedness; create or incur encumbrances or liens; pay dividends and distributions on, or purchase, redeem, defease, or otherwise acquire or retire for value, our stock, make certain sales under our ChEF Equity Facility and other restrictive covenants.</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Our obligations to the holders of the Series A Preferred Stock could limit our ability to obtain additional financing or complete certain transactions or increase our borrowing costs, which could have an adverse effect on its financial condition and hinder the accomplishment of our corporate goals.</w:t>
      </w:r>
    </w:p>
    <w:p>
      <w:pPr>
        <w:spacing w:after="0" w:line="15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In addition to the Series A Preferred Stock, our board could authorize the issuance of additional series of preferred stock with such rights preferential to the rights of our common stock, including the issuance of a series of preferred stock that has greater voting power than our common stock or that is convertible into our common stock, which could decrease the relative voting power of our common stock or result in dilution to its existing stockholders.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35" w:name="page36"/>
    <w:bookmarkEnd w:id="35"/>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PRIVATE PLACEMENT</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Securities Purchase Agreement</w:t>
      </w:r>
    </w:p>
    <w:p>
      <w:pPr>
        <w:spacing w:after="0" w:line="191" w:lineRule="exact"/>
        <w:rPr>
          <w:sz w:val="20"/>
          <w:szCs w:val="20"/>
          <w:color w:val="auto"/>
        </w:rPr>
      </w:pPr>
    </w:p>
    <w:p>
      <w:pPr>
        <w:jc w:val="both"/>
        <w:ind w:left="7"/>
        <w:spacing w:after="0" w:line="290" w:lineRule="auto"/>
        <w:rPr>
          <w:sz w:val="20"/>
          <w:szCs w:val="20"/>
          <w:color w:val="auto"/>
        </w:rPr>
      </w:pPr>
      <w:r>
        <w:rPr>
          <w:rFonts w:ascii="Times New Roman" w:cs="Times New Roman" w:eastAsia="Times New Roman" w:hAnsi="Times New Roman"/>
          <w:sz w:val="14"/>
          <w:szCs w:val="14"/>
          <w:color w:val="auto"/>
        </w:rPr>
        <w:t>On February 26, 2025, we entered into a securities purchase agreement (the “Purchase Agreement”) with the Selling Stockholder, pursuant to which we sold in a registered direct offering (the “Registered Direct Offering”), 180 shares of Series A Preferred Stock, at a price of $10,000 per share, initially convertible into shares of common stock at a conversion price of $2.332 per share. Concurrently with the Registered Direct Offering and pursuant to the terms of the Securities Purchase Agreement, we sold to the Selling Stockholder, in the initial closing of the Private Placement, 170 shares of Series A Preferred Stock at an offering price of $10,000 per share, initially convertible into shares of Common Stock at a conversion price of $2.332, and warrants (the “Private Placement Warrants”) to purchase up to 4,000 shares of Series A Preferred Stock, with an exercise price equal to $10,000 per share. The closing of the Registered Direct Offering and the initial closing of the Private Placement occurred on February 27, 2025 (the “Initial Closing Date”).</w:t>
      </w:r>
    </w:p>
    <w:p>
      <w:pPr>
        <w:spacing w:after="0" w:line="140"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In addition, upon receipt of the Stockholder Approval and the effectiveness of the registration statement of which this prospectus forms a part, the Selling Shareholder shall be automatically required to purchase at a second closing of the Private Placement (the “Second Closing”) an additional 450 shares of Series A Preferred Stock.</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Series A Preferred Stock</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Description of the Securities</w:t>
      </w:r>
      <w:r>
        <w:rPr>
          <w:rFonts w:ascii="Times New Roman" w:cs="Times New Roman" w:eastAsia="Times New Roman" w:hAnsi="Times New Roman"/>
          <w:sz w:val="16"/>
          <w:szCs w:val="16"/>
          <w:color w:val="auto"/>
        </w:rPr>
        <w:t>” in this prospectus for a description of the terms of the Series A Preferred Stock.</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Private Placement Warrants</w:t>
      </w:r>
    </w:p>
    <w:p>
      <w:pPr>
        <w:spacing w:after="0" w:line="191"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The following is a summary of the material terms and provisions of the Private Placement Warrants that were sold in the Private Placement. This summary is subject to and qualified in its entirety by the form of Private Placement Warrant, which is filed as an exhibit to the registration statement of which this prospectus forms a part.</w:t>
      </w:r>
    </w:p>
    <w:p>
      <w:pPr>
        <w:spacing w:after="0" w:line="149"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i w:val="1"/>
          <w:iCs w:val="1"/>
          <w:color w:val="auto"/>
        </w:rPr>
        <w:t>Duration and Exercise Price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exercise price under each Private Placement Warrant is $10,000 per share of Series A Preferred Stock. The Private Placement Warrants have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 beginning on the issuance date and ending on or prior to the earlier of (i) the thirty-three (33) month anniversary of the date the shares of common stock issued or issuable upon the conversion of the Series A Preferred Stock issued in the Registered Direct Offering and the Private Placement are registered for resale pursuant to an effective registration statement (such date, the “Registration Effectiveness Date”) and (ii) (A) the consummation of a Change of Control (as defined in the Certificate of Designation) and (B) the consummation of a redemption of the then outstanding Series A Preferred Stock in full (the “Termination Date”). The exercise price and number of shares of Series A Preferred Stock issuable upon exercise are subject to appropriate adjustment in the event of share dividends, share splits, reorganizations or similar events affecting our shares of common stock. The Private Placement Warrants will be issued in certificated form only.</w:t>
      </w:r>
    </w:p>
    <w:p>
      <w:pPr>
        <w:spacing w:after="0" w:line="163"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Call Right. </w:t>
      </w:r>
      <w:r>
        <w:rPr>
          <w:rFonts w:ascii="Times New Roman" w:cs="Times New Roman" w:eastAsia="Times New Roman" w:hAnsi="Times New Roman"/>
          <w:sz w:val="16"/>
          <w:szCs w:val="16"/>
          <w:color w:val="auto"/>
        </w:rPr>
        <w:t>If, no earlier than two (2) months following (1) the Registration Effectiveness Date and (2) the most recent call or exercise of a Private Placement Warrant (but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excluding any partial exercises of such Private Placement Warrant by the holder prior to the holder’s receipt of a Call Notice (as defined below)) (each, a “Funding Date”), (i) the VWAP for each of twenty (20) trading days (the “Measurement Period”) exceeds $3.00, (ii) the average daily volume for such Measurement Period exceeds $300,000 per trading day, (iii) the aggregate stated value of the outstanding Series A Preferred Stock is less than or equal to $1,500,000, (iv) the Private Placement Warrant Shares are registered for resale pursuant to an effective registration statement and (v) there has not been an Equity Conditions Failure (as defined below), then we may, within one (1) trading day of the end of such Measurement Period, require the holder to exercise in part or in full the number of shares of Series A Preferred Stock set forth in an irrevocable written notice (a “Call Notice”) for consideration equal to the applicable number of Series A Preferred Stock issuable upon exercise of the Private Placement Warrants.</w:t>
      </w:r>
    </w:p>
    <w:p>
      <w:pPr>
        <w:spacing w:after="0" w:line="163" w:lineRule="exact"/>
        <w:rPr>
          <w:sz w:val="20"/>
          <w:szCs w:val="20"/>
          <w:color w:val="auto"/>
        </w:rPr>
      </w:pPr>
    </w:p>
    <w:p>
      <w:pPr>
        <w:jc w:val="both"/>
        <w:ind w:left="7"/>
        <w:spacing w:after="0" w:line="291" w:lineRule="auto"/>
        <w:rPr>
          <w:sz w:val="20"/>
          <w:szCs w:val="20"/>
          <w:color w:val="auto"/>
        </w:rPr>
      </w:pPr>
      <w:r>
        <w:rPr>
          <w:rFonts w:ascii="Times New Roman" w:cs="Times New Roman" w:eastAsia="Times New Roman" w:hAnsi="Times New Roman"/>
          <w:sz w:val="14"/>
          <w:szCs w:val="14"/>
          <w:i w:val="1"/>
          <w:iCs w:val="1"/>
          <w:color w:val="auto"/>
        </w:rPr>
        <w:t>Exercisability</w:t>
      </w:r>
      <w:r>
        <w:rPr>
          <w:rFonts w:ascii="Times New Roman" w:cs="Times New Roman" w:eastAsia="Times New Roman" w:hAnsi="Times New Roman"/>
          <w:sz w:val="14"/>
          <w:szCs w:val="14"/>
          <w:color w:val="auto"/>
        </w:rPr>
        <w:t>. Subject to the call right described above, the Private Placement Warrants will be exercisable at any time after the date of issuance prior to the Termination Date, at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option of each holder, in full or in increments of $500,000, by delivering to us a duly executed exercise notice (an “Exercise Notice”) (such delivery date, the “Exercise Date”) and</w:t>
      </w:r>
    </w:p>
    <w:p>
      <w:pPr>
        <w:spacing w:after="0" w:line="1" w:lineRule="exact"/>
        <w:rPr>
          <w:sz w:val="20"/>
          <w:szCs w:val="20"/>
          <w:color w:val="auto"/>
        </w:rPr>
      </w:pPr>
    </w:p>
    <w:p>
      <w:pPr>
        <w:ind w:left="5547" w:right="2040" w:hanging="5547"/>
        <w:spacing w:after="0" w:line="490" w:lineRule="auto"/>
        <w:tabs>
          <w:tab w:leader="none" w:pos="22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in full for the number of shares of Series A Preferred Stock purchased upon such exercise within two trading days of the Exercise Date.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15073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36" w:name="page37"/>
    <w:bookmarkEnd w:id="36"/>
    <w:p>
      <w:pPr>
        <w:jc w:val="both"/>
        <w:ind w:right="20"/>
        <w:spacing w:after="0" w:line="270" w:lineRule="auto"/>
        <w:rPr>
          <w:sz w:val="20"/>
          <w:szCs w:val="20"/>
          <w:color w:val="auto"/>
        </w:rPr>
      </w:pPr>
      <w:r>
        <w:rPr>
          <w:rFonts w:ascii="Times New Roman" w:cs="Times New Roman" w:eastAsia="Times New Roman" w:hAnsi="Times New Roman"/>
          <w:sz w:val="16"/>
          <w:szCs w:val="16"/>
          <w:i w:val="1"/>
          <w:iCs w:val="1"/>
          <w:color w:val="auto"/>
        </w:rPr>
        <w:t>Transferability</w:t>
      </w:r>
      <w:r>
        <w:rPr>
          <w:rFonts w:ascii="Times New Roman" w:cs="Times New Roman" w:eastAsia="Times New Roman" w:hAnsi="Times New Roman"/>
          <w:sz w:val="16"/>
          <w:szCs w:val="16"/>
          <w:color w:val="auto"/>
        </w:rPr>
        <w:t>. In accordance with its terms and subject to applicable laws, a Private Placement Warrant may be transferred at the option of the holder upon surrender of the Private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Placement Warrant to us together with the appropriate instruments of transfer and payment of funds sufficient to pay any transfer taxes (if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Fractional Shares</w:t>
      </w:r>
      <w:r>
        <w:rPr>
          <w:rFonts w:ascii="Times New Roman" w:cs="Times New Roman" w:eastAsia="Times New Roman" w:hAnsi="Times New Roman"/>
          <w:sz w:val="16"/>
          <w:szCs w:val="16"/>
          <w:color w:val="auto"/>
        </w:rPr>
        <w:t>. No fractional shares of Series A Preferred Stock will be issued upon the exercise of the Private Placement Warrants.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Trading Market</w:t>
      </w:r>
      <w:r>
        <w:rPr>
          <w:rFonts w:ascii="Times New Roman" w:cs="Times New Roman" w:eastAsia="Times New Roman" w:hAnsi="Times New Roman"/>
          <w:sz w:val="16"/>
          <w:szCs w:val="16"/>
          <w:color w:val="auto"/>
        </w:rPr>
        <w:t>. There is no established trading market for the Private Placement Warrants, and we do not expect a market to develop. We do not intend to apply for a listing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Private Placement Warrants on any securities exchange or other nationally recognized trading system. Without an active trading market, the liquidity of the Private Placement Warrants will be limited.</w:t>
      </w:r>
    </w:p>
    <w:p>
      <w:pPr>
        <w:spacing w:after="0" w:line="15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4"/>
          <w:szCs w:val="14"/>
          <w:i w:val="1"/>
          <w:iCs w:val="1"/>
          <w:color w:val="auto"/>
        </w:rPr>
        <w:t>Rights as a Shareholder</w:t>
      </w:r>
      <w:r>
        <w:rPr>
          <w:rFonts w:ascii="Times New Roman" w:cs="Times New Roman" w:eastAsia="Times New Roman" w:hAnsi="Times New Roman"/>
          <w:sz w:val="14"/>
          <w:szCs w:val="14"/>
          <w:color w:val="auto"/>
        </w:rPr>
        <w:t>. Except as otherwise provided in the Private Placement Warrants or by virtue of the holders’ ownership of shares of common stock, the holders of Private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Placement Warrants do not have the rights or privileges of holders of our shares of common stock, including any voting rights, until such time, if any, that the Private Placement Warrant holders exercise their warrants for Private Placement Warrant Shares and subsequently convert such Private Placement Warrant Shares into shares of common stock.</w:t>
      </w:r>
    </w:p>
    <w:p>
      <w:pPr>
        <w:spacing w:after="0" w:line="12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i w:val="1"/>
          <w:iCs w:val="1"/>
          <w:color w:val="auto"/>
        </w:rPr>
        <w:t>Amendment and Waiver</w:t>
      </w:r>
      <w:r>
        <w:rPr>
          <w:rFonts w:ascii="Times New Roman" w:cs="Times New Roman" w:eastAsia="Times New Roman" w:hAnsi="Times New Roman"/>
          <w:sz w:val="16"/>
          <w:szCs w:val="16"/>
          <w:color w:val="auto"/>
        </w:rPr>
        <w:t>. A Private Placement Warrant may be modified or amended or the provisions thereof waived with the written consent of us and the holder of the Private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Placement Warrant.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 xml:space="preserve">Pursuant to registration rights agreement, dated as of February 26, 2025 (the “Registration Rights Agreement”), entered into with the Selling Stockholder, within 50 calendar days following the Initial Closing Date, we were required to file a registration statement to register the shares of common stock issuable upon: (i) the conversion of the Series A Preferred Stock sold in the Private Placement, and (ii) the conversion of the Private Placement Warrant Shares, subject to adjustment in the number of shares between us and the investor; and to cause such and to cause such registration statement to be declared effective under the Securities Act as promptly as possible after the filing thereof, but in any event no later than 75 days following the Initial Closing Date (or 120 days if such registration statement is subject to SEC review);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we and the Selling Stockholder may mutually agree that such initial registration statement shall register for resale a lesser number of shares of common stock. We have agreed to use our best efforts to keep such registration statement continuously effective under the Securities Act until the date that all shares of Series A Preferred Stock, including the Series A Preferred Stock issuable upon exercise of the Private Placement Warrants (collectively, the “Registrable Securities”) have been sold or are otherwise able to be sold pursuant to Rule 144, in each case subject to certain exceptions and any restrictions pursuant to Rule 415. We will be subject to certain penalties in the event we do not satisfy our obligations under the Registration Rights Agreement. In addition, holders of Series A Preferred Stock will be entitled to certain piggyback registration rights in the event there is not an effective registration statement on file covering the Registrable Securities as set forth in the Registration Rights Agreement and such Registrable Securities are not otherwise eligible for resale under Rule 144 without restriction.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filed the registration statement of which this prospectus forms a part pursuant to the Registration Rights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 Agreement Covenants</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Pursuant to Nasdaq Listing Rule 5635, the Stockholder Approval is required for the issuance of any shares of common stock in excess of 1,450,489 shares of common stock in the aggregate (the “Issuable Maximum”) underlying the Series A Preferred Stock.</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addition, to ensure we have a sufficient number of authorized shares of common stock to cover all of the shares of common stock issuable upon the conversion of the Series A Preferred Stock issued, or obtained through exercise in full of all of the Private Placement Warrants, we have agreed to seek stockholder approval for an increase in the number of authorized shares of common stock from 250,000,000 to 400,000,000.</w:t>
      </w:r>
    </w:p>
    <w:p>
      <w:pPr>
        <w:spacing w:after="0" w:line="1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Accordingly, we are required pursuant to the Purchase Agreement relating to this offering and the concurrent Private Placement to hold a meeting of our stockholders not later than sixty (60) days after the ate (the “Meeting Deadline”) to seek the Stockholder Approval for (i) the issuance, upon conversion of the Series A Preferred Stock, of the number of shares of common stock which would exceed the Issuable Maximum, and (ii) an increase in the number of authorized shares of common stock from 250,000,000 to 400,000,000. In the event the Stockholder Approval is not received on or prior to the Meeting Deadline, we must hold an additional meeting of our stockholders every sixty (60) days thereafter until the Stockholder Approval is obtained. Until we receive the Stockholder Approval, the Private Placement Warrant Shares will not be exercisable. We have filed a definitive proxy statement with the SEC for a special meeting of stockholders to be held on April 25, 2025.</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Pursuant to the Purchase Agreement, we entered into a support agreement with our stockholder signatory thereto that hold in excess of 20% of our voting stock as of the date of the Purchase Agreement, by which such stockholder agreed to vote in favor of a proposal to obtain the Stockholder Approval and to vote against any proposal that would result in the breach of any representation or warranty under the Transaction Documents (as defined in the Certificate of Designation), or otherwise result in any of our obligations under the Transaction Documents from being fulfilled.</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Purchase Agreement also includes customary affirmative and negative covenants with respect our operation of the business, reservation of shares as well as a variety of obligations on our part not to engage in certain transactions or activities, including effecting variable rate transactions, certain issuances of additional securities, and the filing of additional registration statements not related to the Series A Preferred Stock, in each case during the periods specified and subject to limited exceptions set forth in the Purchase Agreement. We will be obligated to make certain payments in the event we do not satisfy our obligations under the Purchase Agreement.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37" w:name="page38"/>
    <w:bookmarkEnd w:id="37"/>
    <w:p>
      <w:pPr>
        <w:ind w:left="4900"/>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not receive any proceeds from the sale of common stock offered by the Selling Stockholder under this prospectus.</w:t>
      </w: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0139"/>
          </w:cols>
          <w:pgMar w:left="320" w:top="611"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MARKET PRICE AND DIVIDEND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common stock is currently listed on the Nasdaq under the symbol “DFLI” and our Public Warrants are currently listed on the Nasdaq Capital Market under the symbol “DFLIW”. As of March 27, 2025, the closing price of our common stock and Public Warrants was $1.07 and $0.03, respectively. As of March 27, 2025, there were 83 holders of record of our common stock and 2 holders of record of our Public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currently intend to retain all available funds and any future earnings to fund the growth and development of our business. We have never declared or paid any cash dividends on our capital stock. Other than with respect to the dividends payable on the Series A Preferred Stock which may be paid in cash, we do not intend to pay cash dividends to our stockholders in the foreseeable future. Investors should not purchase our common stock with the expectation of receiving cash dividends.</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4"/>
          <w:szCs w:val="14"/>
          <w:i w:val="1"/>
          <w:iCs w:val="1"/>
          <w:color w:val="auto"/>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i w:val="1"/>
          <w:iCs w:val="1"/>
          <w:color w:val="auto"/>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are a manufacturer of non-toxic deep cycle lithium-ion batteries that are designed to displace lead acid batteries in a number of different storage applications and end markets including RV, marine vessel, and solar and off-grid industries, and trucking, industrial and energy storage with disruptive cell manufacturing and solid-state cell technology currently under development.</w:t>
      </w:r>
    </w:p>
    <w:p>
      <w:pPr>
        <w:spacing w:after="0" w:line="16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4"/>
          <w:szCs w:val="14"/>
          <w:color w:val="auto"/>
        </w:rPr>
        <w:t>Since 2020, we have sold over 330,000 batteries. For the years ended December 31, 2024 and 2023, we sold 42,447 and 64,096 batteries, respectively, and had $50.6 million and $64.4 million in net sales, respectively. We currently offer a line of batteries across our “Battle Born” and “Dragonfly” brands, each differentiated by size, power and capacity, consisting of seven different models, having optional features including internal heat for cold temperature operation and Dragonfly IntelLigence communication capabilities.</w:t>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decrease in 2024 total sales is a reflection of weaker demand from DTC customers in our core RV and marine markets due to rising interest rates and inflation, as well as increased market competition from imported products sold direct to consumer on Amazon.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 The decision of Keystone RV to make lithium batteries an option rather than a standard reduced our OEM revenue in the second half of 2023. However, our increase in RV OEM business in 2024 kept our RV OEM revenue relatively flat from 2023 to 2024.</w:t>
      </w:r>
    </w:p>
    <w:p>
      <w:pPr>
        <w:spacing w:after="0" w:line="16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5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In May 2024, we announced that we achieved full certification for our energy storage products to be deployed for use in oil &amp; gas operations in North America. As a result of this certification, a number of opportunities within the oil &amp; gas space have appeared. For example, we have designed a power product for Alegacy Equipment, a market leading natural gas compressor package company, and their affiliate Agnes Systems. This power system is expected to be used in natural gas compression equipment to reduce methane emissions. The first of these systems was successfully deployed in the fourth quarter of 2024; and this business line is expected to begin contributing to net sales in 2025.</w:t>
      </w:r>
    </w:p>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To supplement our battery offerings, we are also a reseller of accessories for battery systems. These include chargers, inverters, monitors, controllers, solar panels, and other system accessories from brands such as Victron Energy, Progressive Dynamics, Magnum Energy and Sterling Power. Pursuant to the Asset Purchase Agreement dated April 22, 2022 by and among us and Thomason Jones and the other parties thereto, we also acquired the assets, including Wakespeed of Thomason Jones, allowing us to include our own alternator regulator in systems that we sell.</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40" w:name="page41"/>
    <w:bookmarkEnd w:id="40"/>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In addition to our conventional LFP batteries, we have been developing proprietary dry electrode cell manufacturing processes and solid-state cell technology. We believe that our solid-state technology design allows for a much safer, more efficient battery cell that we believe will be a key differentiator in the energy storage market.</w:t>
      </w:r>
    </w:p>
    <w:p>
      <w:pPr>
        <w:spacing w:after="0" w:line="151"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As of December 31, 2024, we had cash totaling $4.8 million. Our net loss for the years ended December 31, 2024 and December 31, 2023, were $40.6 million and $13.8 million, respectively. In addition, in February 2025, we completed an offering of shares of our Series A Preferred Stock which provided us with an additional net proceeds of $3.2 million As discussed under “</w:t>
      </w:r>
      <w:r>
        <w:rPr>
          <w:rFonts w:ascii="Times New Roman" w:cs="Times New Roman" w:eastAsia="Times New Roman" w:hAnsi="Times New Roman"/>
          <w:sz w:val="16"/>
          <w:szCs w:val="16"/>
          <w:i w:val="1"/>
          <w:iCs w:val="1"/>
          <w:color w:val="auto"/>
        </w:rPr>
        <w:t>—Liquidity and Capital Resources</w:t>
      </w:r>
      <w:r>
        <w:rPr>
          <w:rFonts w:ascii="Times New Roman" w:cs="Times New Roman" w:eastAsia="Times New Roman" w:hAnsi="Times New Roman"/>
          <w:sz w:val="16"/>
          <w:szCs w:val="16"/>
          <w:color w:val="auto"/>
        </w:rPr>
        <w:t>” below 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reduce operations, sell off our assets, seek the protection of bankruptcy courts or shut down our operations and dissolve.</w:t>
      </w:r>
    </w:p>
    <w:p>
      <w:pPr>
        <w:spacing w:after="0" w:line="1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License Agreement with Stryten</w:t>
      </w:r>
    </w:p>
    <w:p>
      <w:pPr>
        <w:spacing w:after="0" w:line="191"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color w:val="auto"/>
        </w:rPr>
        <w:t>On July 29, 2024, Legacy Dragonfly and Battle Born Battery Products, LLC (“Battle Born LLC”), a newly formed wholly-owned subsidiary of Legacy Dragonfly, entered into a License Agreement (the “License Agreement”) with Stryten. Pursuant to the License Agreement, Battle Born LLC granted Stryten an exclusive, worldwide license to use certain trademarks relating to Legacy Dragonfly’s lithium-ion battery brand, Battle Born Batteries® (the “Licensed Trademarks”) for business-to-business sales of batteries to customers within the following markets: (i) automative, (ii) marine, (iii) powersports, (iv) lawn and garden, (v) golf cart, and (vi) military and defense (such industries, the “Stryten Market”). In exchange for the licensing rights, Stryten agreed to pay Battle Born LLC an initial licensing fee of five million dollars ($5,000,000) (the “Initial Licensing Fee”), which was paid on August 29, 2024.</w:t>
      </w:r>
    </w:p>
    <w:p>
      <w:pPr>
        <w:spacing w:after="0" w:line="166" w:lineRule="exact"/>
        <w:rPr>
          <w:sz w:val="20"/>
          <w:szCs w:val="20"/>
          <w:color w:val="auto"/>
        </w:rPr>
      </w:pPr>
    </w:p>
    <w:p>
      <w:pPr>
        <w:jc w:val="both"/>
        <w:ind w:left="7"/>
        <w:spacing w:after="0" w:line="283" w:lineRule="auto"/>
        <w:rPr>
          <w:sz w:val="20"/>
          <w:szCs w:val="20"/>
          <w:color w:val="auto"/>
        </w:rPr>
      </w:pPr>
      <w:r>
        <w:rPr>
          <w:rFonts w:ascii="Times New Roman" w:cs="Times New Roman" w:eastAsia="Times New Roman" w:hAnsi="Times New Roman"/>
          <w:sz w:val="14"/>
          <w:szCs w:val="14"/>
          <w:color w:val="auto"/>
        </w:rPr>
        <w:t>The License Agreement provides for mid-single digit royalty payments based on net sales using the Licensed Trademarks, with a tiered structure reaching up to twenty-five million dollars ($25,000,000), at which point Stryten will be required to pay a nominal annual license fee. Additional fees will apply for battery design and contract manufacturing services outside of the License Agreement. 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w:t>
      </w:r>
    </w:p>
    <w:p>
      <w:pPr>
        <w:ind w:left="7" w:right="20" w:hanging="7"/>
        <w:spacing w:after="0" w:line="247" w:lineRule="auto"/>
        <w:tabs>
          <w:tab w:leader="none" w:pos="31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of notice of such breach, (y) upon the occurrence of certain bankruptcy-related events, or (z) under certain circumstances, if the aggregate royalty payments received by Battle Born LLC under the License Agreement are less than fifteen million dollars ($15,000,000) after five (5) years.</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Earnout Merger Consideration</w:t>
      </w:r>
    </w:p>
    <w:p>
      <w:pPr>
        <w:spacing w:after="0" w:line="191" w:lineRule="exact"/>
        <w:rPr>
          <w:sz w:val="20"/>
          <w:szCs w:val="20"/>
          <w:color w:val="auto"/>
        </w:rPr>
      </w:pPr>
    </w:p>
    <w:p>
      <w:pPr>
        <w:ind w:left="7" w:right="20"/>
        <w:spacing w:after="0" w:line="267" w:lineRule="auto"/>
        <w:rPr>
          <w:sz w:val="20"/>
          <w:szCs w:val="20"/>
          <w:color w:val="auto"/>
        </w:rPr>
      </w:pPr>
      <w:r>
        <w:rPr>
          <w:rFonts w:ascii="Times New Roman" w:cs="Times New Roman" w:eastAsia="Times New Roman" w:hAnsi="Times New Roman"/>
          <w:sz w:val="16"/>
          <w:szCs w:val="16"/>
          <w:color w:val="auto"/>
        </w:rPr>
        <w:t>In addition to the initial merger consideration in connection with the Business Combination, up to 4,444,445 additional shares of common stock (“Earnout Shares”) may be issued based on achieving specified milestones in three tranches:</w:t>
      </w:r>
    </w:p>
    <w:p>
      <w:pPr>
        <w:spacing w:after="0" w:line="151" w:lineRule="exact"/>
        <w:rPr>
          <w:sz w:val="20"/>
          <w:szCs w:val="20"/>
          <w:color w:val="auto"/>
        </w:rPr>
      </w:pPr>
    </w:p>
    <w:p>
      <w:pPr>
        <w:ind w:left="567" w:right="20" w:hanging="287"/>
        <w:spacing w:after="0" w:line="253" w:lineRule="auto"/>
        <w:tabs>
          <w:tab w:leader="none" w:pos="56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Tranche (1,666,667 shares): Issuable if 2023 total audited revenue is at least $250 million and audited operating income is at least $35 million. This milestone was not achieved for 2023.</w:t>
      </w:r>
    </w:p>
    <w:p>
      <w:pPr>
        <w:spacing w:after="0" w:line="1" w:lineRule="exact"/>
        <w:rPr>
          <w:rFonts w:ascii="Times New Roman" w:cs="Times New Roman" w:eastAsia="Times New Roman" w:hAnsi="Times New Roman"/>
          <w:sz w:val="16"/>
          <w:szCs w:val="16"/>
          <w:color w:val="auto"/>
        </w:rPr>
      </w:pPr>
    </w:p>
    <w:p>
      <w:pPr>
        <w:ind w:left="567" w:hanging="287"/>
        <w:spacing w:after="0" w:line="243" w:lineRule="auto"/>
        <w:tabs>
          <w:tab w:leader="none" w:pos="56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Tranche (1,388,889 shares): Issuable if the volume-weighted average trading price of common stock reaches $202.50 over any 20 trading days within a 30-day period, on or before December 31, 2026.</w:t>
      </w:r>
    </w:p>
    <w:p>
      <w:pPr>
        <w:ind w:left="567" w:right="20" w:hanging="287"/>
        <w:spacing w:after="0" w:line="247" w:lineRule="auto"/>
        <w:tabs>
          <w:tab w:leader="none" w:pos="56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Tranche (1,388,889 shares): Issuable if the volume-weighted average trading price of common stock reaches $292.50 over any 20 trading days within a 30-day period, on or before December 31, 2028.</w:t>
      </w:r>
    </w:p>
    <w:p>
      <w:pPr>
        <w:spacing w:after="0" w:line="166" w:lineRule="exact"/>
        <w:rPr>
          <w:sz w:val="20"/>
          <w:szCs w:val="20"/>
          <w:color w:val="auto"/>
        </w:rPr>
      </w:pPr>
    </w:p>
    <w:p>
      <w:pPr>
        <w:ind w:left="7"/>
        <w:spacing w:after="0" w:line="267" w:lineRule="auto"/>
        <w:rPr>
          <w:sz w:val="20"/>
          <w:szCs w:val="20"/>
          <w:color w:val="auto"/>
        </w:rPr>
      </w:pPr>
      <w:r>
        <w:rPr>
          <w:rFonts w:ascii="Times New Roman" w:cs="Times New Roman" w:eastAsia="Times New Roman" w:hAnsi="Times New Roman"/>
          <w:sz w:val="16"/>
          <w:szCs w:val="16"/>
          <w:color w:val="auto"/>
        </w:rPr>
        <w:t>If a change of control occurs during the second or third earnout periods, unachieved milestones will be automatically deemed satisfied if the share price at the time of the transaction meets or exceeds $202.50 for the second period or $292.50 for the third period.</w:t>
      </w:r>
    </w:p>
    <w:p>
      <w:pPr>
        <w:spacing w:after="0" w:line="15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i w:val="1"/>
          <w:iCs w:val="1"/>
          <w:color w:val="auto"/>
        </w:rPr>
        <w:t>ChEF Equity Facility</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have the ChEF Equity Facility. During the year ended December 31, 2024, we sold 350,423 shares pursuant to the Purchase Agreement with CCM LLC for aggregate proceeds to us of $2,043,885.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June 2023 Offering</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On June 20, 2023, we entered into the Underwriting Agreement with the Underwriters, pursuant to which we sold to the Underwriters, in a firm commitment underwritten public offering, or the June 2023 Offering, an aggregate of (i) 1,111,111 shares of common stock, par value $0.0001 and (ii) Investor Warrants to purchase up to 1,111,111 shares of common Stock, at the combined public offering price of $18.00 per share and accompanying Investor Warrant, less underwriting discounts and commissions, and (iii) Underwriters’ Warrants to purchase up to an aggregate of 63,362 shares of common stock. In addition, we granted the Underwriters a 45-day over-allotment option to purchase up to an additional 166,667 shares of common stock and/or Investor Warrants to purchase up to an aggregate of 166,667 shares of Common Stock at the public offering price per security, less underwriting discounts and commissions.</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Investor Warrants are exercisable for five years from the closing date of the Offering, have an exercise price of $18.00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$22.50 per share, which equals 125% of the per share public offering price in the Offering.</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As part of the June 2023 Offering, the Underwriters partially exercised their over-allotment option in the amount of 156,112 shares of Common Stock and Investor Warrants to purchase 156,112 shares of common stock. The June 2023 Offering closed on June 22, 2023. The aggregate net proceeds from the June 2023 Offering, including the partial overallotment option, was approximately $20.7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December 2023 Private Placement</w:t>
      </w:r>
    </w:p>
    <w:p>
      <w:pPr>
        <w:spacing w:after="0" w:line="19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On December 29, 2023, we received a waiver (the “December 2023 Waiver”) from the Term Loan Lenders in regards to our compliance with the fixed charge coverage ratio and maximum senior leverage ratio with respect to the minimum cash requirements (the “Tests”) under Term Loan Agreement, as of the last day of the quarter ended December 31, 2023. The December 2023 Waiver provided for a one-time issuance of penny warrants (the “December 2023 Penny Warrants”) to purchase up to 142,964 shares of common stock (the “December 2023 Waiver Shares”), at an exercise price of $0.09 per share, in connection with the Term Loan Lender’s agreement to waive the Tests under the Term Loan for the quarter ended December 31, 2023. The Waiver Penny Warrants were immediately exercisable upon issuance and will expire ten years from the date of issuance.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May 2024 Private Placement</w:t>
      </w:r>
    </w:p>
    <w:p>
      <w:pPr>
        <w:spacing w:after="0" w:line="19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On May 13, 2024, we received a waiver (the “May 2024 Waiver”) from the Term Loan Lenders in regards to our compliance with the Tests as of the last day of the quarter ended March 31, 2024. The May 2024 Waiver provided for a one-time issuance of penny warrants (the “May 2024 Penny Warrants”) to purchase up to 283,334 shares of our common stock (the “May 2024 Penny Warrant Shares”), at an exercise price of $0.09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42" w:name="page43"/>
    <w:bookmarkEnd w:id="42"/>
    <w:p>
      <w:pPr>
        <w:ind w:left="7"/>
        <w:spacing w:after="0"/>
        <w:rPr>
          <w:sz w:val="20"/>
          <w:szCs w:val="20"/>
          <w:color w:val="auto"/>
        </w:rPr>
      </w:pPr>
      <w:r>
        <w:rPr>
          <w:rFonts w:ascii="Times New Roman" w:cs="Times New Roman" w:eastAsia="Times New Roman" w:hAnsi="Times New Roman"/>
          <w:sz w:val="16"/>
          <w:szCs w:val="16"/>
          <w:i w:val="1"/>
          <w:iCs w:val="1"/>
          <w:color w:val="auto"/>
        </w:rPr>
        <w:t>June 2024 Private Placement and First Amendment to Term Loan Agreement</w:t>
      </w:r>
    </w:p>
    <w:p>
      <w:pPr>
        <w:spacing w:after="0" w:line="191"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On June 28, 2024, we received a limited waiver and first amendment (the “First Amendment”) to the Term Loan Agreement from the Term Loan Lenders in regards to our compliance with the Tests as of the last day of the quarter ended June 30, 2024. The First Amendment provided for a one-time issuance of penny warrants (the “June 2024 Penny Warrants”) to purchase up to 233,334 shares of our common stock (the “June 2024 Penny Warrant Shares”), at an exercise price of $0.09 per share, in connection with the Term Loan Lender’s agreement to waive the Tests under the Term Loan for the quarter ended June 30, 2024. The June 2024 Penny Warrants were immediately exercisable upon issuance and will expire ten years from the date of issuance.</w:t>
      </w:r>
    </w:p>
    <w:p>
      <w:pPr>
        <w:spacing w:after="0" w:line="166" w:lineRule="exact"/>
        <w:rPr>
          <w:sz w:val="20"/>
          <w:szCs w:val="20"/>
          <w:color w:val="auto"/>
        </w:rPr>
      </w:pPr>
    </w:p>
    <w:p>
      <w:pPr>
        <w:jc w:val="both"/>
        <w:ind w:left="7" w:right="20"/>
        <w:spacing w:after="0" w:line="255" w:lineRule="auto"/>
        <w:rPr>
          <w:sz w:val="20"/>
          <w:szCs w:val="20"/>
          <w:color w:val="auto"/>
        </w:rPr>
      </w:pPr>
      <w:r>
        <w:rPr>
          <w:rFonts w:ascii="Times New Roman" w:cs="Times New Roman" w:eastAsia="Times New Roman" w:hAnsi="Times New Roman"/>
          <w:sz w:val="16"/>
          <w:szCs w:val="16"/>
          <w:color w:val="auto"/>
        </w:rPr>
        <w:t>In addition, the First Amendment (i) reduced the liquidity requirement under the Term Loan to be $3.5 million as of the last day of the month ended June 30, 2024, and $10.0 million as of the last day of each fiscal month thereafter commencing with the fiscal month ended July 31, 2024 and (ii) provided for the interest to be paid on the Payment Date (as defined in the Term Loan Agreement) occurred on July 1, 2024 to be solely payable-in-kind.</w:t>
      </w:r>
    </w:p>
    <w:p>
      <w:pPr>
        <w:spacing w:after="0" w:line="1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Second Amendment to Term Loan Agreement</w:t>
      </w:r>
    </w:p>
    <w:p>
      <w:pPr>
        <w:spacing w:after="0" w:line="191"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In connection with the License Agreement, on July 29, 2024, us, Legacy Dragonfly and Battle Born LLC entered into a Limited Waiver, Consent and Second Amendment to the Term Loan, Guarantee and Security Agreement (the “Second Amendment”) with the Term Loan Lenders under our Original Term Loan Agreement (as defined below).</w:t>
      </w:r>
    </w:p>
    <w:p>
      <w:pPr>
        <w:spacing w:after="0" w:line="1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Pursuant to the Second Amendment, the Term Loan Lenders (i) consented to the transactions contemplated by the License Agreement and the Trademark Transfer Agreement and</w:t>
      </w:r>
    </w:p>
    <w:p>
      <w:pPr>
        <w:spacing w:after="0" w:line="42" w:lineRule="exact"/>
        <w:rPr>
          <w:sz w:val="20"/>
          <w:szCs w:val="20"/>
          <w:color w:val="auto"/>
        </w:rPr>
      </w:pPr>
    </w:p>
    <w:p>
      <w:pPr>
        <w:ind w:left="7" w:hanging="7"/>
        <w:spacing w:after="0" w:line="247" w:lineRule="auto"/>
        <w:tabs>
          <w:tab w:leader="none" w:pos="24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agreed to waive the mandatory prepayment under the Term Loan Agreement that would have been due to the Term Loan Lenders under the Loan Agreement upon Battle Born LLC’s receipt of the Initial Licensing Fee.</w:t>
      </w:r>
    </w:p>
    <w:p>
      <w:pPr>
        <w:spacing w:after="0" w:line="166"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In connection with the Amendment, Battle Born LLC entered into a Joinder Agreement with the Term Loan Lenders (the “Joinder”) whereby Battle Born LLC became a guarantor and credit party to the Term Loan Agreement.</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September 2024 Private Placement and Third Amendment to the Term Loan Agreement</w:t>
      </w:r>
    </w:p>
    <w:p>
      <w:pPr>
        <w:spacing w:after="0" w:line="191"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On September 30, 2024, we received a limited waiver and third amendment (the “Third Amendment”) to the Term Loan Agreement from the Term Loan Lenders in regards to our compliance with the Tests as of the last day of the quarter ended September 30, 2024. The Third Amendment provided for a one-time issuance of penny warrants (the “September 2024 Penny Warrants”) to purchase up to 333,334 shares of our common stock (the “September 2024 Penny Warrant Shares”), at an exercise price of $0.09 per share, in connection with the Term Loan Lender’s agreement to waive the Tests under the Term Loan for the quarter ended September 30, 2024. The September 2024 Penny Warrants were immediately exercisable upon issuance and will expire ten years from the date of issuance.</w:t>
      </w:r>
    </w:p>
    <w:p>
      <w:pPr>
        <w:spacing w:after="0" w:line="166"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In addition, the Third Amendment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(as defined in the Term Loan Agreement) plus the Applicable Margin (as defined in the Term Loan Agreement).</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December 2024 Private Placement and Fourth Amendment to the Term Loan Agreement</w:t>
      </w:r>
    </w:p>
    <w:p>
      <w:pPr>
        <w:spacing w:after="0" w:line="191"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On December 31, 2024, we received a limited waiver and fourth amendment (the “Fourth Amendment”) to the Term Loan Agreement from the Term Loan Lenders in regards to our compliance with the Tests as of the last day of the quarter ended December 31, 2024. The Fourth Amendment provided for a one-time issuance of penny warrants (the “December 2024 Penny Warrants”) to purchase up to 350,000 shares of our common stock (the “December 2024 Penny Warrant Shares”), at an exercise price of $0.01 per share, in connection with the Term Loan Lender’s agreement to waive the Tests under the Term Loan for the quarter ended December 31, 2024. The December 2024 Penny Warrants will be exercisable at such time that we obtain the Warrant Issuance Shareholder Approval (as defined below) and will expire ten years from the date of issuance.</w:t>
      </w:r>
    </w:p>
    <w:p>
      <w:pPr>
        <w:spacing w:after="0" w:line="16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43" w:name="page44"/>
    <w:bookmarkEnd w:id="43"/>
    <w:p>
      <w:pPr>
        <w:jc w:val="both"/>
        <w:spacing w:after="0" w:line="251" w:lineRule="auto"/>
        <w:rPr>
          <w:sz w:val="20"/>
          <w:szCs w:val="20"/>
          <w:color w:val="auto"/>
        </w:rPr>
      </w:pPr>
      <w:r>
        <w:rPr>
          <w:rFonts w:ascii="Times New Roman" w:cs="Times New Roman" w:eastAsia="Times New Roman" w:hAnsi="Times New Roman"/>
          <w:sz w:val="16"/>
          <w:szCs w:val="16"/>
          <w:color w:val="auto"/>
        </w:rPr>
        <w:t>In addition, the Fourth Amendment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Pursuant to the Fourth Amendment, we agreed to use commercially reasonable efforts to obtain shareholder approval for the issuance of up to 1,400,000 shares of common stock underlying penny warrants issued to the Term Loan Lenders on and after the date of the Fourth Amendment, including the December 2024 Penny Warrant Shares and the Accrued Warrant Shares (as defined below), in accordance with Rules 5635(b) and 5635(d) of the Nasdaq Stock Market (the “Warrant Issuance Shareholder Approval”). Further, we agreed to issue the Term Loan Lenders additional penny warrants (the “Accrued Penny Warrants”) exercisable for a number of shares of common stock pursuant to the formula set forth in the Fourth Amendment (the “Accrued Warrant Shares”) upon the earlier to occur of (i) five business days after the end of the Waiver Period (as defined below) or (ii) five business days prior to the effectiveness of a Change of Control (as defined in the Term Loan Agreement), in which such Accrued Penny Warrants would not be exercisable prior to receipt of the Warrant Issuance Shareholder Approval.</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Under the Fourth Amendment, the Term Loan Lenders agreed to temporarily suspend the Term Loan Lenders’ rights under Section 4(b) of the Penny Warrants to receive additional warrant shares in connection with the issuances by us of shares of common stock pursuant to the ChEF Equity Facility during the Waiver Period. In addition, the Fourth Amendment: (i) provided for the interest to be paid on the Payment Date (as defined in the Term Loan Agreement) occurring on January 1, 2025 to be payable partly in cash and the remainder payable-in-kind as set forth in the Amendment; and (ii) reduced the liquidity requirement under the Term Loan Agreement to be $3.5 million as of the last day of the fiscal month ended December 31,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February 2025 Registered Direct Offering and Concurrent Private Placement and Fifth Amendment to Term Loan Agreement</w:t>
      </w:r>
    </w:p>
    <w:p>
      <w:pPr>
        <w:spacing w:after="0" w:line="19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On February 26, 2025, we entered into the Purchase Agreement with a single institutional investor, pursuant to which we sold in the Registered Direct Offering 180 shares of Series A Preferred Stock, at a price of $10,000 per share, initially convertible into shares of our common stock, at a conversion price of $2.332 per share of common stock. The Series A Preferred Stock is also convertible by the investor at an adjusted conversion price, subject to the applicable floor price, which is based on a discount to the market price of our common stock as set forth in the Certificate of Designation. The floor price for the Series A Preferred Stock sold in the Registered Direct Offering is $1.00.</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Concurrently with the sale of the Series A Preferred Stock in the Registered Direct Offering, in the Private Placement, we sold, at the initial closing of the Private Placement (the “Initial Closing”), (i) an additional 170 shares of Series A Preferred Stock at the same offering price as the Series A Preferred Stock offered in the Registered Direct Offering, initially convertible into shares of common stock at a conversion price of $2.332 per share, and (ii) the Private Placement Warrants to purchase up to an aggregate of 4,000 shares of Series A Preferred Stock (the “Private Placement Warrant Shares”), with an exercise price of $10,000 per share of Series A Preferred Stock, and a term as described below. The floor price for the Series A Preferred Stock sold in the Private Placement is $0.424.</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exercise price under each Private Placement Warrant will be $10,000 per share of Series A Preferred Stock. Each Private Placement Warrant will be exercisable for 200 shares of Series A Preferred Stock in minimum increments of $500,000. The Private Placement Warrants will have a term beginning on the issuance date and ending on or prior to the earlier of (i) the Registration Effectiveness Date and (ii) (A) the consummation of a Change of Control and (B) the consummation of a redemption of the then outstanding Series A Preferred Stock in full. The exercise price and number of shares of Series A Preferred Stock issuable upon exercise are subject to appropriate adjustment in the event of share dividends, share splits, reorganizations or similar events affecting shares of our common stock.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44" w:name="page45"/>
    <w:bookmarkEnd w:id="44"/>
    <w:p>
      <w:pPr>
        <w:jc w:val="both"/>
        <w:spacing w:after="0" w:line="288" w:lineRule="auto"/>
        <w:rPr>
          <w:sz w:val="20"/>
          <w:szCs w:val="20"/>
          <w:color w:val="auto"/>
        </w:rPr>
      </w:pPr>
      <w:r>
        <w:rPr>
          <w:rFonts w:ascii="Times New Roman" w:cs="Times New Roman" w:eastAsia="Times New Roman" w:hAnsi="Times New Roman"/>
          <w:sz w:val="14"/>
          <w:szCs w:val="14"/>
          <w:color w:val="auto"/>
        </w:rPr>
        <w:t>Pursuant to the Private Placement Warrants, we have a call right upon the occurrence of certain events. No earlier than two (2) months following the Registration Effectiveness Date and (2) the most recent conversion or exercise in full of a Private Placement Warrant, (i) the VWAP for the Measurement Period exceeds $3.00, (ii) the average daily volume for such Measurement Period exceeds $300,000 per trading day, (iii) the aggregate stated value of the then outstanding Series A Preferred Stock is less than or equal to $1,500,000, (iv) the Private Placement Warrant Shares are registered for resale pursuant to an effective registration statement and (v) there has not been an Equity Conditions Failure (as defined in the Certificate of Designation), then we may, within one (1) trading day of the end of such Measurement Period, call for cancellation of all or any portion of the Private Placement Warrant for which a notice to exercise has not yet been delivered and require the holder to exercise in part or in full the number of shares of Series A Preferred Stock set forth in a Call Notice for consideration equal to the applicable number of Series A Preferred Stock issuable upon exercise or cancellation of the Private Placement Warrants.</w:t>
      </w:r>
    </w:p>
    <w:p>
      <w:pPr>
        <w:spacing w:after="0" w:line="14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6"/>
          <w:szCs w:val="16"/>
          <w:color w:val="auto"/>
        </w:rPr>
        <w:t>In addition, upon receipt of stockholder approval pursuant to the rules of Nasdaq for certain shares of common stock issuable upon conversion of the Series A Preferred Stock and the Registration Effectiveness, the investor will be automatically required to purchase for $4.5 million in the Second Closing an additional 450 shares of Series A Preferred Stock (the “Second Closing Preferred Shares”). The Second Closing Preferred Shares will be identical to the Series A Preferred Stock offered in the Registered Direct Offering and sold in the initial closing of the Private Placement, other than the conversion price and the floor price which will be determined at the time of the Second Closing based on the Nasdaq minimum price.</w:t>
      </w:r>
    </w:p>
    <w:p>
      <w:pPr>
        <w:spacing w:after="0" w:line="16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net proceeds to us from the closing of the Registered Direct Offering and the Initial Closing, after deducting the placement agent’s fees and expenses and estimated offering expenses, were approximately $3.2 million, excluding the net proceeds, if any, from the exercise of the Private Placement Warrants.</w:t>
      </w:r>
    </w:p>
    <w:p>
      <w:pPr>
        <w:spacing w:after="0" w:line="15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As a condition precedent to the closing of the Offerings, on February 26, 2025, we entered into the Fifth Amendment (the “Fifth Amendment”) to the Term Loan Agreement with the Term Loan Lenders. Under the Fifth Amendment, the Term Loan Lenders agreed to, among other matters (i) receive no principal or interest payments under the Term Loan Agreement through March 31, 2026, and (ii) remove certain financial covenant tests under the Term Loan, provided that we maintain cash and cash equivalents equal to at least $2.5 million through such date.</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Pursuant to the Fifth Amendment, we agreed to make certain mandatory prepayments on the Term Loan upon the occurrence of certain events. We are obligated to make a mandatory prepayment of the term loan equal to (i) 100% of the net cash proceeds of certain equity issuances by us made on or after the announcement of a Change of Control (as defined in the Term Loan Agreement), and (ii) 20% of the net cash proceeds of certain equity issuances by us made prior to the announcement of a Change of Control.</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In connection with the entry into the Fifth Amendment, we issued to the Term Loan Lenders 330,000 penny warrants (the “February 2025 Penny Warrants”) to purchase shares of our common stock at an exercise price of $0.01 per share on the date of the Initial Closing in connection with the waiver of the antidilution provisions in the existing penny warrants held by the Term Loan Lenders with respect to the shares of Series A Preferred Stock issued at the closing of the Registered Direct Offering and the initial closing of the Private Placement. We also agreed to increase the number of shares subject to the Warrant Issuance Shareholder Approval (as defined in the Term Loan Agreement) from 1,400,000 to 3,130,000. Further, we and the Term Loan Lenders agreed to waive the antidilution provisions in the existing penny warrants held by the Lenders with respect to the Private Placement Warrants issued at the initial closing of the Private Placement and the shares of Series A Preferred Stock issued at the Second Closing on the condition that we will issue to the Term Loan Lenders a number of penny warrants which will be determined by the parties within five (5) trading days after the end of each fiscal quarter after the Second Closing.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financial position and results of operations depend to a significant extent on the following factors: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i w:val="1"/>
          <w:iCs w:val="1"/>
          <w:color w:val="auto"/>
        </w:rPr>
        <w:t>End Market Consumers</w:t>
      </w:r>
    </w:p>
    <w:p>
      <w:pPr>
        <w:spacing w:after="0" w:line="1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demand for our products ultimately depends on demand from consumers in our current end markets. We generate sales through (1) direct-to-customer and (2) through OEMs, particularly in the RV market.</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An increasing proportion of our sales has been and is expected to continue to be derived from sales to RV and other OEMs, driven by continued efforts to develop larger and more complete storage systems. Although our battery systems are built in to each model,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Demand from end market consumers is impacted by a number of factors, including travel restrictions, fuel costs and energy demands (including an increasing trend towards the use of green energy), as well as overall macro-economic conditions and inflation. Sales of our batteries have benefited from the increased adoption of the RV lifestyle, the demand for and inclusion of additional appliances and electronics in RVs, and the accelerating trend of solar power adoption among RV customers. However, macro-economic conditions and increased competition from imported battery packs have led to a decrease in direct to consumer sales. We have addressed this drop in through product diversification by the release of our Dragonfly IntelLigence feature, as well as more targeted marketing efforts to increase the efficiency of our marketing spend. We expect that direct to consumer sales will remain relatively flat through 2025. However, we expect growth among our existing RV OEM customers due to an overall increase in RV shipments as the industry slowly recovers from the market correction, as well as our customers expanding the number of models that will include our battery systems in the new model year. Moreover, we expect increased revenue through our market diversification efforts – especially in our industrials market, including industrial solar and oil and gas, as well as the trucking market, in which we have been piloting our systems with fleets for the last two years.</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Our strategy includes plans to expand into new end markets that we have identified as opportunities for our LFP batteries, including,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Supply</w:t>
      </w:r>
    </w:p>
    <w:p>
      <w:pPr>
        <w:spacing w:after="0" w:line="1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actively working down our inventory to more appropriate safety stock levels.</w:t>
      </w:r>
    </w:p>
    <w:p>
      <w:pPr>
        <w:spacing w:after="0" w:line="14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i w:val="1"/>
          <w:iCs w:val="1"/>
          <w:color w:val="auto"/>
        </w:rPr>
        <w:t>Product and Customer Mix</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Production Capacity</w:t>
      </w:r>
    </w:p>
    <w:p>
      <w:pPr>
        <w:spacing w:after="0" w:line="19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All of our battery assembly currently takes place at our 390,240 square foot headquarters and manufacturing facility located in Reno, Nevada. While the lease for the 99,000 facility is continuing, no manufacturing is taking place in this location.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Competition</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own conventional LFP cells and, in the longer term,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Our research and development is currently primarily focused on the scaling our proprietary dry electrode process for domestic production of full LFP cells. Although we have reallocated resources from the advanced manufacturing of solid-state lithium-ion batteries in order to focus on conventional cells, we expect to return to the solid-state chemistry as capital becomes more available for these longer term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sales is primarily generated from the sale of our LFP batteries to OEMs and consumers, as well as chargers and other accessories, either individually or bundled.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w:t>
      </w:r>
    </w:p>
    <w:p>
      <w:pPr>
        <w:spacing w:after="0" w:line="19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Cost of goods sold includes the cost of cells and other components of our LFP batteries, labor and overhead, logistics and freight costs, and depreciation of manufacturing equipment.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Gross Profit</w:t>
      </w:r>
    </w:p>
    <w:p>
      <w:pPr>
        <w:spacing w:after="0" w:line="19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Gross profit, calculated as net sales less cost of goods sold, may vary between periods and is primarily affected by various factors including average selling prices, product costs, product mix and customer mix.</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19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Research and development costs include personnel-related expenses for scientists, experienced engineers and technicians as well as the material and supplies to support the development of new products and our solid-state technology.</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9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Selling and marketing</w:t>
      </w:r>
    </w:p>
    <w:p>
      <w:pPr>
        <w:spacing w:after="0" w:line="19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Total Other Income (Expense)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income (expense) consists primarily of interest expense, the change in fair value of the warrant liability and amortization of debt issuance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Comparisons for the Years Ended December 31, 2024 and 2023</w:t>
      </w:r>
    </w:p>
    <w:p>
      <w:pPr>
        <w:spacing w:after="0" w:line="19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The following table sets forth our results of operations for the years ended December 31, 2024 and 2023. This data should be read together with our financial statements and related notes included elsewhere in this prospectus, and is qualified in its entirety by reference to such financial statements and related notes.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5"/>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6"/>
              </w:rPr>
              <w:t>Years ended December 31,</w:t>
            </w:r>
          </w:p>
        </w:tc>
        <w:tc>
          <w:tcPr>
            <w:tcW w:w="1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0"/>
        </w:trPr>
        <w:tc>
          <w:tcPr>
            <w:tcW w:w="3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 Net Sales</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 Net Sales</w:t>
            </w:r>
          </w:p>
        </w:tc>
        <w:tc>
          <w:tcPr>
            <w:tcW w:w="120" w:type="dxa"/>
            <w:vAlign w:val="bottom"/>
          </w:tcPr>
          <w:p>
            <w:pPr>
              <w:spacing w:after="0"/>
              <w:rPr>
                <w:sz w:val="16"/>
                <w:szCs w:val="16"/>
                <w:color w:val="auto"/>
              </w:rPr>
            </w:pPr>
          </w:p>
        </w:tc>
      </w:tr>
      <w:tr>
        <w:trPr>
          <w:trHeight w:val="178"/>
        </w:trPr>
        <w:tc>
          <w:tcPr>
            <w:tcW w:w="3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40" w:type="dxa"/>
            <w:vAlign w:val="bottom"/>
            <w:gridSpan w:val="3"/>
          </w:tcPr>
          <w:p>
            <w:pPr>
              <w:jc w:val="center"/>
              <w:ind w:left="922"/>
              <w:spacing w:after="0" w:line="178"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540" w:type="dxa"/>
            <w:vAlign w:val="bottom"/>
            <w:gridSpan w:val="2"/>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50,645</w:t>
            </w:r>
          </w:p>
        </w:tc>
        <w:tc>
          <w:tcPr>
            <w:tcW w:w="18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100.0</w:t>
            </w:r>
          </w:p>
        </w:tc>
        <w:tc>
          <w:tcPr>
            <w:tcW w:w="4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64,392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6"/>
                <w:szCs w:val="16"/>
                <w:color w:val="auto"/>
              </w:rPr>
            </w:pPr>
          </w:p>
        </w:tc>
      </w:tr>
      <w:tr>
        <w:trPr>
          <w:trHeight w:val="198"/>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gridSpan w:val="2"/>
          </w:tcPr>
          <w:p>
            <w:pPr>
              <w:jc w:val="right"/>
              <w:ind w:right="262"/>
              <w:spacing w:after="0"/>
              <w:rPr>
                <w:sz w:val="20"/>
                <w:szCs w:val="20"/>
                <w:color w:val="auto"/>
              </w:rPr>
            </w:pPr>
            <w:r>
              <w:rPr>
                <w:rFonts w:ascii="Times New Roman" w:cs="Times New Roman" w:eastAsia="Times New Roman" w:hAnsi="Times New Roman"/>
                <w:sz w:val="16"/>
                <w:szCs w:val="16"/>
                <w:color w:val="auto"/>
              </w:rPr>
              <w:t>39,019</w:t>
            </w:r>
          </w:p>
        </w:tc>
        <w:tc>
          <w:tcPr>
            <w:tcW w:w="1820" w:type="dxa"/>
            <w:vAlign w:val="bottom"/>
            <w:gridSpan w:val="2"/>
          </w:tcPr>
          <w:p>
            <w:pPr>
              <w:jc w:val="right"/>
              <w:ind w:right="262"/>
              <w:spacing w:after="0"/>
              <w:rPr>
                <w:sz w:val="20"/>
                <w:szCs w:val="20"/>
                <w:color w:val="auto"/>
              </w:rPr>
            </w:pPr>
            <w:r>
              <w:rPr>
                <w:rFonts w:ascii="Times New Roman" w:cs="Times New Roman" w:eastAsia="Times New Roman" w:hAnsi="Times New Roman"/>
                <w:sz w:val="16"/>
                <w:szCs w:val="16"/>
                <w:color w:val="auto"/>
              </w:rPr>
              <w:t>77.0</w:t>
            </w:r>
          </w:p>
        </w:tc>
        <w:tc>
          <w:tcPr>
            <w:tcW w:w="420" w:type="dxa"/>
            <w:vAlign w:val="bottom"/>
          </w:tcPr>
          <w:p>
            <w:pPr>
              <w:spacing w:after="0"/>
              <w:rPr>
                <w:sz w:val="17"/>
                <w:szCs w:val="17"/>
                <w:color w:val="auto"/>
              </w:rPr>
            </w:pPr>
          </w:p>
        </w:tc>
        <w:tc>
          <w:tcPr>
            <w:tcW w:w="136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48,946</w:t>
            </w:r>
          </w:p>
        </w:tc>
        <w:tc>
          <w:tcPr>
            <w:tcW w:w="15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76.0</w:t>
            </w:r>
          </w:p>
        </w:tc>
      </w:tr>
      <w:tr>
        <w:trPr>
          <w:trHeight w:val="178"/>
        </w:trPr>
        <w:tc>
          <w:tcPr>
            <w:tcW w:w="36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Gross profit</w:t>
            </w:r>
          </w:p>
        </w:tc>
        <w:tc>
          <w:tcPr>
            <w:tcW w:w="6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11,626</w:t>
            </w:r>
          </w:p>
        </w:tc>
        <w:tc>
          <w:tcPr>
            <w:tcW w:w="3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23.0</w:t>
            </w:r>
          </w:p>
        </w:tc>
        <w:tc>
          <w:tcPr>
            <w:tcW w:w="3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15,446</w:t>
            </w:r>
          </w:p>
        </w:tc>
        <w:tc>
          <w:tcPr>
            <w:tcW w:w="3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24.0</w:t>
            </w: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3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10.8</w:t>
            </w: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6"/>
                <w:szCs w:val="16"/>
                <w:color w:val="auto"/>
              </w:rPr>
            </w:pPr>
          </w:p>
        </w:tc>
      </w:tr>
      <w:tr>
        <w:trPr>
          <w:trHeight w:val="187"/>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gridSpan w:val="2"/>
          </w:tcPr>
          <w:p>
            <w:pPr>
              <w:jc w:val="right"/>
              <w:ind w:right="262"/>
              <w:spacing w:after="0"/>
              <w:rPr>
                <w:sz w:val="20"/>
                <w:szCs w:val="20"/>
                <w:color w:val="auto"/>
              </w:rPr>
            </w:pPr>
            <w:r>
              <w:rPr>
                <w:rFonts w:ascii="Times New Roman" w:cs="Times New Roman" w:eastAsia="Times New Roman" w:hAnsi="Times New Roman"/>
                <w:sz w:val="16"/>
                <w:szCs w:val="16"/>
                <w:color w:val="auto"/>
              </w:rPr>
              <w:t>21,909</w:t>
            </w:r>
          </w:p>
        </w:tc>
        <w:tc>
          <w:tcPr>
            <w:tcW w:w="1820" w:type="dxa"/>
            <w:vAlign w:val="bottom"/>
            <w:gridSpan w:val="2"/>
          </w:tcPr>
          <w:p>
            <w:pPr>
              <w:jc w:val="right"/>
              <w:ind w:right="262"/>
              <w:spacing w:after="0"/>
              <w:rPr>
                <w:sz w:val="20"/>
                <w:szCs w:val="20"/>
                <w:color w:val="auto"/>
              </w:rPr>
            </w:pPr>
            <w:r>
              <w:rPr>
                <w:rFonts w:ascii="Times New Roman" w:cs="Times New Roman" w:eastAsia="Times New Roman" w:hAnsi="Times New Roman"/>
                <w:sz w:val="16"/>
                <w:szCs w:val="16"/>
                <w:color w:val="auto"/>
              </w:rPr>
              <w:t>43.3</w:t>
            </w:r>
          </w:p>
        </w:tc>
        <w:tc>
          <w:tcPr>
            <w:tcW w:w="420" w:type="dxa"/>
            <w:vAlign w:val="bottom"/>
          </w:tcPr>
          <w:p>
            <w:pPr>
              <w:spacing w:after="0"/>
              <w:rPr>
                <w:sz w:val="16"/>
                <w:szCs w:val="16"/>
                <w:color w:val="auto"/>
              </w:rPr>
            </w:pPr>
          </w:p>
        </w:tc>
        <w:tc>
          <w:tcPr>
            <w:tcW w:w="136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26,389</w:t>
            </w:r>
          </w:p>
        </w:tc>
        <w:tc>
          <w:tcPr>
            <w:tcW w:w="15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41.0</w:t>
            </w:r>
          </w:p>
        </w:tc>
      </w:tr>
      <w:tr>
        <w:trPr>
          <w:trHeight w:val="198"/>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10,025</w:t>
            </w:r>
          </w:p>
        </w:tc>
        <w:tc>
          <w:tcPr>
            <w:tcW w:w="18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19.8</w:t>
            </w: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12,623</w:t>
            </w:r>
          </w:p>
        </w:tc>
        <w:tc>
          <w:tcPr>
            <w:tcW w:w="15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19.6</w:t>
            </w:r>
          </w:p>
        </w:tc>
      </w:tr>
      <w:tr>
        <w:trPr>
          <w:trHeight w:val="178"/>
        </w:trPr>
        <w:tc>
          <w:tcPr>
            <w:tcW w:w="3680" w:type="dxa"/>
            <w:vAlign w:val="bottom"/>
            <w:tcBorders>
              <w:bottom w:val="single" w:sz="8" w:color="CCEEFF"/>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60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37,385</w:t>
            </w:r>
          </w:p>
        </w:tc>
        <w:tc>
          <w:tcPr>
            <w:tcW w:w="340" w:type="dxa"/>
            <w:vAlign w:val="bottom"/>
            <w:tcBorders>
              <w:bottom w:val="single" w:sz="8" w:color="CCEEFF"/>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73.8</w:t>
            </w:r>
          </w:p>
        </w:tc>
        <w:tc>
          <w:tcPr>
            <w:tcW w:w="34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42,875</w:t>
            </w:r>
          </w:p>
        </w:tc>
        <w:tc>
          <w:tcPr>
            <w:tcW w:w="320" w:type="dxa"/>
            <w:vAlign w:val="bottom"/>
            <w:tcBorders>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66.6</w:t>
            </w:r>
          </w:p>
        </w:tc>
        <w:tc>
          <w:tcPr>
            <w:tcW w:w="120" w:type="dxa"/>
            <w:vAlign w:val="bottom"/>
            <w:tcBorders>
              <w:bottom w:val="single" w:sz="8" w:color="CCEEFF"/>
            </w:tcBorders>
          </w:tcPr>
          <w:p>
            <w:pPr>
              <w:spacing w:after="0"/>
              <w:rPr>
                <w:sz w:val="15"/>
                <w:szCs w:val="15"/>
                <w:color w:val="auto"/>
              </w:rPr>
            </w:pPr>
          </w:p>
        </w:tc>
      </w:tr>
      <w:tr>
        <w:trPr>
          <w:trHeight w:val="178"/>
        </w:trPr>
        <w:tc>
          <w:tcPr>
            <w:tcW w:w="36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Loss From Operations</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5"/>
              </w:rPr>
              <w:t>(25,759)</w:t>
            </w:r>
          </w:p>
        </w:tc>
        <w:tc>
          <w:tcPr>
            <w:tcW w:w="34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202"/>
              <w:spacing w:after="0" w:line="178" w:lineRule="exact"/>
              <w:rPr>
                <w:sz w:val="20"/>
                <w:szCs w:val="20"/>
                <w:color w:val="auto"/>
              </w:rPr>
            </w:pPr>
            <w:r>
              <w:rPr>
                <w:rFonts w:ascii="Times New Roman" w:cs="Times New Roman" w:eastAsia="Times New Roman" w:hAnsi="Times New Roman"/>
                <w:sz w:val="16"/>
                <w:szCs w:val="16"/>
                <w:color w:val="auto"/>
              </w:rPr>
              <w:t>(50.9)</w:t>
            </w: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(27,429)</w:t>
            </w:r>
          </w:p>
        </w:tc>
        <w:tc>
          <w:tcPr>
            <w:tcW w:w="3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(42.6)</w:t>
            </w:r>
          </w:p>
        </w:tc>
      </w:tr>
      <w:tr>
        <w:trPr>
          <w:trHeight w:val="187"/>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income</w:t>
            </w: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(36)</w:t>
            </w:r>
          </w:p>
        </w:tc>
        <w:tc>
          <w:tcPr>
            <w:tcW w:w="18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(0.1)</w:t>
            </w: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6"/>
                <w:szCs w:val="16"/>
                <w:color w:val="auto"/>
              </w:rPr>
            </w:pPr>
          </w:p>
        </w:tc>
      </w:tr>
      <w:tr>
        <w:trPr>
          <w:trHeight w:val="187"/>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(21,504)</w:t>
            </w:r>
          </w:p>
        </w:tc>
        <w:tc>
          <w:tcPr>
            <w:tcW w:w="182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(42.5)</w:t>
            </w:r>
          </w:p>
        </w:tc>
        <w:tc>
          <w:tcPr>
            <w:tcW w:w="420" w:type="dxa"/>
            <w:vAlign w:val="bottom"/>
          </w:tcPr>
          <w:p>
            <w:pPr>
              <w:spacing w:after="0"/>
              <w:rPr>
                <w:sz w:val="16"/>
                <w:szCs w:val="16"/>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(16,015)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198"/>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market value of warrant liability</w:t>
            </w: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6,684</w:t>
            </w:r>
          </w:p>
        </w:tc>
        <w:tc>
          <w:tcPr>
            <w:tcW w:w="3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13.2</w:t>
            </w: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29,582</w:t>
            </w:r>
          </w:p>
        </w:tc>
        <w:tc>
          <w:tcPr>
            <w:tcW w:w="15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45.9</w:t>
            </w:r>
          </w:p>
        </w:tc>
      </w:tr>
      <w:tr>
        <w:trPr>
          <w:trHeight w:val="178"/>
        </w:trPr>
        <w:tc>
          <w:tcPr>
            <w:tcW w:w="3680" w:type="dxa"/>
            <w:vAlign w:val="bottom"/>
            <w:tcBorders>
              <w:bottom w:val="single" w:sz="8" w:color="CCEEFF"/>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Other (Expense) Income</w:t>
            </w:r>
          </w:p>
        </w:tc>
        <w:tc>
          <w:tcPr>
            <w:tcW w:w="60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(14,856</w:t>
            </w:r>
          </w:p>
        </w:tc>
        <w:tc>
          <w:tcPr>
            <w:tcW w:w="340" w:type="dxa"/>
            <w:vAlign w:val="bottom"/>
            <w:tcBorders>
              <w:bottom w:val="single" w:sz="8" w:color="CCEEFF"/>
            </w:tcBorders>
          </w:tcPr>
          <w:p>
            <w:pPr>
              <w:jc w:val="right"/>
              <w:ind w:right="2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(29.3</w:t>
            </w:r>
          </w:p>
        </w:tc>
        <w:tc>
          <w:tcPr>
            <w:tcW w:w="340" w:type="dxa"/>
            <w:vAlign w:val="bottom"/>
            <w:tcBorders>
              <w:bottom w:val="single" w:sz="8" w:color="CCEEFF"/>
            </w:tcBorders>
          </w:tcPr>
          <w:p>
            <w:pPr>
              <w:jc w:val="right"/>
              <w:ind w:right="2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13,586</w:t>
            </w:r>
          </w:p>
        </w:tc>
        <w:tc>
          <w:tcPr>
            <w:tcW w:w="320" w:type="dxa"/>
            <w:vAlign w:val="bottom"/>
            <w:tcBorders>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21.1</w:t>
            </w:r>
          </w:p>
        </w:tc>
        <w:tc>
          <w:tcPr>
            <w:tcW w:w="120" w:type="dxa"/>
            <w:vAlign w:val="bottom"/>
            <w:tcBorders>
              <w:bottom w:val="single" w:sz="8" w:color="CCEEFF"/>
            </w:tcBorders>
          </w:tcPr>
          <w:p>
            <w:pPr>
              <w:spacing w:after="0"/>
              <w:rPr>
                <w:sz w:val="15"/>
                <w:szCs w:val="15"/>
                <w:color w:val="auto"/>
              </w:rPr>
            </w:pPr>
          </w:p>
        </w:tc>
      </w:tr>
      <w:tr>
        <w:trPr>
          <w:trHeight w:val="178"/>
        </w:trPr>
        <w:tc>
          <w:tcPr>
            <w:tcW w:w="36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Loss Before Taxes</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5"/>
              </w:rPr>
              <w:t>(40,615)</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(80.2)</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(13,843)</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(21.5)</w:t>
            </w:r>
          </w:p>
        </w:tc>
        <w:tc>
          <w:tcPr>
            <w:tcW w:w="120" w:type="dxa"/>
            <w:vAlign w:val="bottom"/>
            <w:shd w:val="clear" w:color="auto" w:fill="CCEEFF"/>
          </w:tcPr>
          <w:p>
            <w:pPr>
              <w:spacing w:after="0"/>
              <w:rPr>
                <w:sz w:val="15"/>
                <w:szCs w:val="15"/>
                <w:color w:val="auto"/>
              </w:rPr>
            </w:pPr>
          </w:p>
        </w:tc>
      </w:tr>
      <w:tr>
        <w:trPr>
          <w:trHeight w:val="198"/>
        </w:trPr>
        <w:tc>
          <w:tcPr>
            <w:tcW w:w="3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Benefit</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82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(0.0)</w:t>
            </w:r>
          </w:p>
        </w:tc>
        <w:tc>
          <w:tcPr>
            <w:tcW w:w="42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(26)</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7"/>
                <w:szCs w:val="17"/>
                <w:color w:val="auto"/>
              </w:rPr>
            </w:pPr>
          </w:p>
        </w:tc>
      </w:tr>
      <w:tr>
        <w:trPr>
          <w:trHeight w:val="190"/>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(40,615</w:t>
            </w:r>
          </w:p>
        </w:tc>
        <w:tc>
          <w:tcPr>
            <w:tcW w:w="340" w:type="dxa"/>
            <w:vAlign w:val="bottom"/>
            <w:tcBorders>
              <w:top w:val="single" w:sz="8" w:color="CCEEFF"/>
              <w:bottom w:val="single" w:sz="8" w:color="CCEEFF"/>
            </w:tcBorders>
            <w:shd w:val="clear" w:color="auto" w:fill="CCEEFF"/>
          </w:tcPr>
          <w:p>
            <w:pPr>
              <w:jc w:val="right"/>
              <w:ind w:right="202"/>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340" w:type="dxa"/>
            <w:vAlign w:val="bottom"/>
            <w:tcBorders>
              <w:top w:val="single" w:sz="8" w:color="CCEEFF"/>
              <w:bottom w:val="single" w:sz="8" w:color="CCEEFF"/>
            </w:tcBorders>
            <w:shd w:val="clear" w:color="auto" w:fill="CCEEFF"/>
          </w:tcPr>
          <w:p>
            <w:pPr>
              <w:jc w:val="right"/>
              <w:ind w:right="202"/>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(13,817</w:t>
            </w:r>
          </w:p>
        </w:tc>
        <w:tc>
          <w:tcPr>
            <w:tcW w:w="320" w:type="dxa"/>
            <w:vAlign w:val="bottom"/>
            <w:tcBorders>
              <w:top w:val="single" w:sz="8" w:color="CCEEFF"/>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w w:val="7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8"/>
        </w:trPr>
        <w:tc>
          <w:tcPr>
            <w:tcW w:w="3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11" w:right="31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160" w:type="dxa"/>
            <w:vAlign w:val="bottom"/>
            <w:tcBorders>
              <w:bottom w:val="single" w:sz="8" w:color="auto"/>
            </w:tcBorders>
            <w:gridSpan w:val="4"/>
          </w:tcPr>
          <w:p>
            <w:pPr>
              <w:jc w:val="center"/>
              <w:ind w:left="482"/>
              <w:spacing w:after="0"/>
              <w:rPr>
                <w:sz w:val="20"/>
                <w:szCs w:val="20"/>
                <w:color w:val="auto"/>
              </w:rPr>
            </w:pPr>
            <w:r>
              <w:rPr>
                <w:rFonts w:ascii="Times New Roman" w:cs="Times New Roman" w:eastAsia="Times New Roman" w:hAnsi="Times New Roman"/>
                <w:sz w:val="16"/>
                <w:szCs w:val="16"/>
                <w:b w:val="1"/>
                <w:bCs w:val="1"/>
                <w:color w:val="auto"/>
                <w:w w:val="96"/>
              </w:rPr>
              <w:t>Years ended December 31,</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0"/>
        </w:trPr>
        <w:tc>
          <w:tcPr>
            <w:tcW w:w="4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8"/>
        </w:trPr>
        <w:tc>
          <w:tcPr>
            <w:tcW w:w="43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20" w:type="dxa"/>
            <w:vAlign w:val="bottom"/>
            <w:gridSpan w:val="3"/>
          </w:tcPr>
          <w:p>
            <w:pPr>
              <w:jc w:val="center"/>
              <w:ind w:right="522"/>
              <w:spacing w:after="0" w:line="178" w:lineRule="exact"/>
              <w:rPr>
                <w:sz w:val="20"/>
                <w:szCs w:val="20"/>
                <w:color w:val="auto"/>
              </w:rPr>
            </w:pPr>
            <w:r>
              <w:rPr>
                <w:rFonts w:ascii="Times New Roman" w:cs="Times New Roman" w:eastAsia="Times New Roman" w:hAnsi="Times New Roman"/>
                <w:sz w:val="16"/>
                <w:szCs w:val="16"/>
                <w:b w:val="1"/>
                <w:bCs w:val="1"/>
                <w:color w:val="auto"/>
                <w:w w:val="96"/>
              </w:rPr>
              <w:t>(in thousands)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DTC</w:t>
            </w:r>
          </w:p>
        </w:tc>
        <w:tc>
          <w:tcPr>
            <w:tcW w:w="3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22,616</w:t>
            </w:r>
          </w:p>
        </w:tc>
        <w:tc>
          <w:tcPr>
            <w:tcW w:w="1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36,875</w:t>
            </w:r>
          </w:p>
        </w:tc>
      </w:tr>
      <w:tr>
        <w:trPr>
          <w:trHeight w:val="187"/>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Net Sales</w:t>
            </w:r>
          </w:p>
        </w:tc>
        <w:tc>
          <w:tcPr>
            <w:tcW w:w="3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44.7</w:t>
            </w:r>
          </w:p>
        </w:tc>
        <w:tc>
          <w:tcPr>
            <w:tcW w:w="11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57.3</w:t>
            </w:r>
          </w:p>
        </w:tc>
      </w:tr>
      <w:tr>
        <w:trPr>
          <w:trHeight w:val="18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OEM</w:t>
            </w:r>
          </w:p>
        </w:tc>
        <w:tc>
          <w:tcPr>
            <w:tcW w:w="3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27,612</w:t>
            </w:r>
          </w:p>
        </w:tc>
        <w:tc>
          <w:tcPr>
            <w:tcW w:w="1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27,517</w:t>
            </w:r>
          </w:p>
        </w:tc>
      </w:tr>
      <w:tr>
        <w:trPr>
          <w:trHeight w:val="187"/>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Net Sales</w:t>
            </w:r>
          </w:p>
        </w:tc>
        <w:tc>
          <w:tcPr>
            <w:tcW w:w="3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54.5</w:t>
            </w:r>
          </w:p>
        </w:tc>
        <w:tc>
          <w:tcPr>
            <w:tcW w:w="11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42.7</w:t>
            </w:r>
          </w:p>
        </w:tc>
      </w:tr>
      <w:tr>
        <w:trPr>
          <w:trHeight w:val="18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Licensing Revenue</w:t>
            </w:r>
          </w:p>
        </w:tc>
        <w:tc>
          <w:tcPr>
            <w:tcW w:w="3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417</w:t>
            </w:r>
          </w:p>
        </w:tc>
        <w:tc>
          <w:tcPr>
            <w:tcW w:w="1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87"/>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Net Sales</w:t>
            </w:r>
          </w:p>
        </w:tc>
        <w:tc>
          <w:tcPr>
            <w:tcW w:w="3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4260" w:type="dxa"/>
            <w:vAlign w:val="bottom"/>
            <w:gridSpan w:val="2"/>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50,645</w:t>
            </w:r>
          </w:p>
        </w:tc>
        <w:tc>
          <w:tcPr>
            <w:tcW w:w="114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64,392</w:t>
            </w:r>
          </w:p>
        </w:tc>
      </w:tr>
      <w:tr>
        <w:trPr>
          <w:trHeight w:val="20"/>
        </w:trPr>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Net sales decreased by $13.7 million, or 21.3%, to $50.6 million for the year ended December 31, 2024, as compared to $64.4 million for the year ended December 31, 2023. This decrease was primarily due to lower DTC battery and accessory sales due to a decline in demand in our core RV markets, partially offset by a slight increase in average sale prices for our batteries which is related to product mix. For the year ended December 31, 2024, DTC revenue decreased by $14.3 million as a result of decreased customer demand for our products due to rising interest rates and inflation. We expect our sales to increase as the cyclical recovery of the RV market gains momentum in the coming quarters and entrance into new markets, trucking and industrials, with new product offerings.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Cost of goods sold decreased by $9.9 million, or 20.3%, to $39.0 million for the year ended December 31, 2024, as compared to $48.9 million for the year ended December 31, 2023. This decrease was primarily due to a $9.1 million decrease in product cost due to lower unit volume, a decrease in labor expense due to reduced headcount and reduced overhead. We expect the materials and labor portion of our Cost of goods sold to increase in conjunction with the anticipated increase in revenue over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Gross Profit</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Gross profit decreased by $3.8 million, or 24.7%, to $11.6 million for the year ended December 31, 2024, as compared to $15.4 million for the year ended December 31, 2023. The decrease in gross profit was primarily due to lower unit volumes and a change in revenue mix that included a larger percentage of lower margin OEM sales and a lower percentage of higher margin DTC sales. Gross Profit percentage decreased by 1.0% from 24.0% in 2023 to 23.0% in 2024. Lower volume caused a reduction in absorption of labor and overhead impacting gross profit by 1.6% along with a decrease in material costs increasing gross profit by 0.6%. We expect our Gross Profit, as a percentage of revenue, to increase over the next 12 months with higher volumes increasing absorption of labor and overhead.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Research and development expenses increased by $1.6 million, or 41.1%, to $5.5 million for the year ended December 31, 2024, as compared to $3.9 million for the year ended December 31, 2023. The increase was primarily due to $0.8 million in higher employee related expenses due to increased headcount and an increase in rent related to the new lease in Fernley. Product development expenses and depreciation also increased related to new products introduced during the year ended December 31, 2024. We expect Research and Development expenses to reduce as we change our focus from Solid State to Product Development.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General and administrative expenses decreased by $4.5 million, or 17.0%, to $21.9 million for the year ended December 31, 2024, as compared to $26.4 million for the year ended December 31, 2023. This decrease was primarily due to reduction of employee related costs totaling $7.0 million due to lower headcount, which includes lower stock-based compensation expense in the amount of $4.9 million. We also incurred lower compliance, insurance, and professional fees related to public company costs in the amount of $1.3 million, and a $0.7 million decrease in investor relations expenses. The decrease in expense was offset by an impairment loss accrued for assets held for sale at year end of $0.9 million and a loss on patent litigation settlement accrued of $2.5 million. We expect General and Administrative Expenses, as a percentage of revenue, to increase as we increase the staffing in our Engineering department over the next 12 months.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and Marketing Expenses</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Sales and marketing expenses decreased by $2.6 million, or 20.6%, to $10.0 million for the year ended December 31, 2024, as compared to $12.6 million for the year ended December 31, 2023. This decrease was primarily due to a $2.3 million reduction in employee related costs and lower stock-based compensation. Shipping costs are also lower by $0.9 million due to lower unit volumes, partially offset by travel and entertainment, previously allocated to General and Administrative Expense, and higher general marketing expenses. We expect our Selling and Marketing Expenses to be relatively stable over the next 12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Total Other Income (Expense)</w:t>
      </w:r>
    </w:p>
    <w:p>
      <w:pPr>
        <w:spacing w:after="0" w:line="19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Other expense totaled $14.9 million for the year ended December 31, 2024 as compared to total other income of $13.6 million for the year ended December 31, 2023. Other expense in 2024 is comprised primarily of interest expense of $21.5 million related to our debt securities partially offset by a change in fair market value of warrant liability in the amount of $6.7 million. Other income in 2023 is comprised of a change in fair market value of warrant liability in the amount of $29.6 million, partially offset by interest expense of $16.0 million related to our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Benefit</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income tax benefit for the years ended December 31, 2024 and December 31, 2024 were immaterial.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$19.7 million was recorded as of December 31, 2023 revalued at $29.4 million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We experienced a net loss of $40.6 million for the year ended December 31, 2024, as compared to a net loss of $13.8 million for the year ended December 31, 2023. As described above, this result was driven by increased other expenses, lower sales due to reduced demand in the RV market, partially offset by lower cost of goods sold and lower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Accounting Estimates</w:t>
      </w:r>
    </w:p>
    <w:p>
      <w:pPr>
        <w:spacing w:after="0" w:line="1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6"/>
          <w:szCs w:val="16"/>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6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that the following accounting policies are those most critical to the judgments and estimates used in the preparation of our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Inventory Valuation</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6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The amount of the deferred tax asset considered realizable could be adjusted if our actual results in the future do not generate taxable income that is sufficient to allow us to utilize our deferred tax assets. Our future taxable income projections are subject to a high degree of uncertainty and could be impacted, both positively and negatively, by changes in our business or the markets in which we operate. A change in the assessment of the realizability of our deferred tax assets could materially impact our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Acquired right-of-use assets and assumed lease liabilities are measured based on the remaining lease payments over the remaining portion of the lease term. As our leases do not provide an implicit rate, our incremental borrowing rate is used as a discount rate in determining the present value of lease payments. Our incremental borrowing rate was determined by comparing current low- and high-end mortgage loan rates and calculating an average. For our new Damonte lease, to be conservative in our estimate, we chose to use the high-end average as our incremental borrowing rate.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51" w:name="page52"/>
    <w:bookmarkEnd w:id="51"/>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License Arrangement</w:t>
      </w:r>
    </w:p>
    <w:p>
      <w:pPr>
        <w:spacing w:after="0" w:line="191"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We have entered into license arrangements that involve receiving upfront compensation, which is recognized as revenue over a five-year period. Management estimates the appropriate recognition pattern based on the expected delivery of related services and the period over which the economic benefits will be realized. This estimate involves judgments about the timing of performance obligations and the likelihood of continued customer engagement. Changes in these assumptions or unexpected developments could result in adjustments to revenue recognition, impacting the financial statements. As of the reporting date, management believes the estimate reflects the current understanding of the license arrangement’s performance obligations.</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91"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This prospectus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64" w:lineRule="exact"/>
        <w:rPr>
          <w:sz w:val="20"/>
          <w:szCs w:val="20"/>
          <w:color w:val="auto"/>
        </w:rPr>
      </w:pPr>
    </w:p>
    <w:p>
      <w:pPr>
        <w:jc w:val="both"/>
        <w:ind w:left="7" w:right="20"/>
        <w:spacing w:after="0" w:line="251" w:lineRule="auto"/>
        <w:rPr>
          <w:sz w:val="20"/>
          <w:szCs w:val="20"/>
          <w:color w:val="auto"/>
        </w:rPr>
      </w:pPr>
      <w:r>
        <w:rPr>
          <w:rFonts w:ascii="Times New Roman" w:cs="Times New Roman" w:eastAsia="Times New Roman" w:hAnsi="Times New Roman"/>
          <w:sz w:val="16"/>
          <w:szCs w:val="16"/>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The table below presents our adjusted EBITDA, reconciled to net (loss) income for the years ended December 31, 2024 and 2023.</w:t>
      </w:r>
    </w:p>
    <w:p>
      <w:pPr>
        <w:spacing w:after="0" w:line="199" w:lineRule="exact"/>
        <w:rPr>
          <w:sz w:val="20"/>
          <w:szCs w:val="20"/>
          <w:color w:val="auto"/>
        </w:rPr>
      </w:pPr>
    </w:p>
    <w:tbl>
      <w:tblPr>
        <w:tblLayout w:type="fixed"/>
        <w:tblInd w:w="7" w:type="dxa"/>
        <w:tblCellMar>
          <w:top w:w="0" w:type="dxa"/>
          <w:left w:w="0" w:type="dxa"/>
          <w:bottom w:w="0" w:type="dxa"/>
          <w:right w:w="0" w:type="dxa"/>
        </w:tblCellMar>
      </w:tblPr>
      <w:tr>
        <w:trPr>
          <w:trHeight w:val="205"/>
        </w:trPr>
        <w:tc>
          <w:tcPr>
            <w:tcW w:w="5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0"/>
        </w:trPr>
        <w:tc>
          <w:tcPr>
            <w:tcW w:w="53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8"/>
        </w:trPr>
        <w:tc>
          <w:tcPr>
            <w:tcW w:w="5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0" w:type="dxa"/>
            <w:vAlign w:val="bottom"/>
            <w:gridSpan w:val="3"/>
          </w:tcPr>
          <w:p>
            <w:pPr>
              <w:jc w:val="right"/>
              <w:ind w:right="722"/>
              <w:spacing w:after="0" w:line="178"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3200" w:type="dxa"/>
            <w:vAlign w:val="bottom"/>
            <w:gridSpan w:val="2"/>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(40,615)</w:t>
            </w:r>
          </w:p>
        </w:tc>
        <w:tc>
          <w:tcPr>
            <w:tcW w:w="110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(13,817)</w:t>
            </w:r>
          </w:p>
        </w:tc>
      </w:tr>
      <w:tr>
        <w:trPr>
          <w:trHeight w:val="187"/>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21,504</w:t>
            </w:r>
          </w:p>
        </w:tc>
        <w:tc>
          <w:tcPr>
            <w:tcW w:w="1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16,015</w:t>
            </w:r>
          </w:p>
        </w:tc>
      </w:tr>
      <w:tr>
        <w:trPr>
          <w:trHeight w:val="18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20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r>
      <w:tr>
        <w:trPr>
          <w:trHeight w:val="198"/>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0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3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20" w:type="dxa"/>
            <w:vAlign w:val="bottom"/>
            <w:tcBorders>
              <w:bottom w:val="single" w:sz="8" w:color="CCEEFF"/>
            </w:tcBorders>
          </w:tcPr>
          <w:p>
            <w:pPr>
              <w:spacing w:after="0"/>
              <w:rPr>
                <w:sz w:val="17"/>
                <w:szCs w:val="17"/>
                <w:color w:val="auto"/>
              </w:rPr>
            </w:pPr>
          </w:p>
        </w:tc>
      </w:tr>
      <w:tr>
        <w:trPr>
          <w:trHeight w:val="178"/>
        </w:trPr>
        <w:tc>
          <w:tcPr>
            <w:tcW w:w="53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EBITDA</w:t>
            </w:r>
          </w:p>
        </w:tc>
        <w:tc>
          <w:tcPr>
            <w:tcW w:w="20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(17,739)</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3,409</w:t>
            </w:r>
          </w:p>
        </w:tc>
        <w:tc>
          <w:tcPr>
            <w:tcW w:w="120" w:type="dxa"/>
            <w:vAlign w:val="bottom"/>
            <w:shd w:val="clear" w:color="auto" w:fill="CCEEFF"/>
          </w:tcPr>
          <w:p>
            <w:pPr>
              <w:spacing w:after="0"/>
              <w:rPr>
                <w:sz w:val="15"/>
                <w:szCs w:val="15"/>
                <w:color w:val="auto"/>
              </w:rPr>
            </w:pPr>
          </w:p>
        </w:tc>
      </w:tr>
      <w:tr>
        <w:trPr>
          <w:trHeight w:val="187"/>
        </w:trPr>
        <w:tc>
          <w:tcPr>
            <w:tcW w:w="53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Adjusted for:</w:t>
            </w:r>
          </w:p>
        </w:tc>
        <w:tc>
          <w:tcPr>
            <w:tcW w:w="2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2"/>
        </w:trPr>
        <w:tc>
          <w:tcPr>
            <w:tcW w:w="5360" w:type="dxa"/>
            <w:vAlign w:val="bottom"/>
            <w:shd w:val="clear" w:color="auto" w:fill="CCEEFF"/>
          </w:tcPr>
          <w:p>
            <w:pPr>
              <w:ind w:left="140"/>
              <w:spacing w:after="0" w:line="222"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5"/>
                <w:szCs w:val="25"/>
                <w:color w:val="auto"/>
                <w:vertAlign w:val="superscript"/>
              </w:rPr>
              <w:t>(1)</w:t>
            </w:r>
          </w:p>
        </w:tc>
        <w:tc>
          <w:tcPr>
            <w:tcW w:w="20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6,710</w:t>
            </w:r>
          </w:p>
        </w:tc>
        <w:tc>
          <w:tcPr>
            <w:tcW w:w="120" w:type="dxa"/>
            <w:vAlign w:val="bottom"/>
            <w:shd w:val="clear" w:color="auto" w:fill="CCEEFF"/>
          </w:tcPr>
          <w:p>
            <w:pPr>
              <w:spacing w:after="0"/>
              <w:rPr>
                <w:sz w:val="19"/>
                <w:szCs w:val="19"/>
                <w:color w:val="auto"/>
              </w:rPr>
            </w:pPr>
          </w:p>
        </w:tc>
      </w:tr>
      <w:tr>
        <w:trPr>
          <w:trHeight w:val="222"/>
        </w:trPr>
        <w:tc>
          <w:tcPr>
            <w:tcW w:w="5360" w:type="dxa"/>
            <w:vAlign w:val="bottom"/>
          </w:tcPr>
          <w:p>
            <w:pPr>
              <w:ind w:left="140"/>
              <w:spacing w:after="0" w:line="222" w:lineRule="exact"/>
              <w:rPr>
                <w:sz w:val="20"/>
                <w:szCs w:val="20"/>
                <w:color w:val="auto"/>
              </w:rPr>
            </w:pPr>
            <w:r>
              <w:rPr>
                <w:rFonts w:ascii="Times New Roman" w:cs="Times New Roman" w:eastAsia="Times New Roman" w:hAnsi="Times New Roman"/>
                <w:sz w:val="16"/>
                <w:szCs w:val="16"/>
                <w:color w:val="auto"/>
              </w:rPr>
              <w:t xml:space="preserve">June 2023 Offering Costs </w:t>
            </w:r>
            <w:r>
              <w:rPr>
                <w:rFonts w:ascii="Times New Roman" w:cs="Times New Roman" w:eastAsia="Times New Roman" w:hAnsi="Times New Roman"/>
                <w:sz w:val="25"/>
                <w:szCs w:val="25"/>
                <w:color w:val="auto"/>
                <w:vertAlign w:val="superscript"/>
              </w:rPr>
              <w:t>(2)</w:t>
            </w:r>
          </w:p>
        </w:tc>
        <w:tc>
          <w:tcPr>
            <w:tcW w:w="2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904</w:t>
            </w:r>
          </w:p>
        </w:tc>
      </w:tr>
      <w:tr>
        <w:trPr>
          <w:trHeight w:val="18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20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712</w:t>
            </w:r>
          </w:p>
        </w:tc>
      </w:tr>
      <w:tr>
        <w:trPr>
          <w:trHeight w:val="222"/>
        </w:trPr>
        <w:tc>
          <w:tcPr>
            <w:tcW w:w="5360" w:type="dxa"/>
            <w:vAlign w:val="bottom"/>
          </w:tcPr>
          <w:p>
            <w:pPr>
              <w:ind w:left="140"/>
              <w:spacing w:after="0" w:line="222" w:lineRule="exact"/>
              <w:rPr>
                <w:sz w:val="20"/>
                <w:szCs w:val="20"/>
                <w:color w:val="auto"/>
              </w:rPr>
            </w:pPr>
            <w:r>
              <w:rPr>
                <w:rFonts w:ascii="Times New Roman" w:cs="Times New Roman" w:eastAsia="Times New Roman" w:hAnsi="Times New Roman"/>
                <w:sz w:val="16"/>
                <w:szCs w:val="16"/>
                <w:color w:val="auto"/>
              </w:rPr>
              <w:t>Separation Agreement</w:t>
            </w:r>
            <w:r>
              <w:rPr>
                <w:rFonts w:ascii="Times New Roman" w:cs="Times New Roman" w:eastAsia="Times New Roman" w:hAnsi="Times New Roman"/>
                <w:sz w:val="25"/>
                <w:szCs w:val="25"/>
                <w:color w:val="auto"/>
                <w:vertAlign w:val="superscript"/>
              </w:rPr>
              <w:t>(3)</w:t>
            </w:r>
          </w:p>
        </w:tc>
        <w:tc>
          <w:tcPr>
            <w:tcW w:w="2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720</w:t>
            </w:r>
          </w:p>
        </w:tc>
      </w:tr>
      <w:tr>
        <w:trPr>
          <w:trHeight w:val="222"/>
        </w:trPr>
        <w:tc>
          <w:tcPr>
            <w:tcW w:w="5360" w:type="dxa"/>
            <w:vAlign w:val="bottom"/>
            <w:shd w:val="clear" w:color="auto" w:fill="CCEEFF"/>
          </w:tcPr>
          <w:p>
            <w:pPr>
              <w:ind w:left="140"/>
              <w:spacing w:after="0" w:line="222" w:lineRule="exact"/>
              <w:rPr>
                <w:sz w:val="20"/>
                <w:szCs w:val="20"/>
                <w:color w:val="auto"/>
              </w:rPr>
            </w:pPr>
            <w:r>
              <w:rPr>
                <w:rFonts w:ascii="Times New Roman" w:cs="Times New Roman" w:eastAsia="Times New Roman" w:hAnsi="Times New Roman"/>
                <w:sz w:val="16"/>
                <w:szCs w:val="16"/>
                <w:color w:val="auto"/>
              </w:rPr>
              <w:t xml:space="preserve">Change in fair market value of warrant liability </w:t>
            </w:r>
            <w:r>
              <w:rPr>
                <w:rFonts w:ascii="Times New Roman" w:cs="Times New Roman" w:eastAsia="Times New Roman" w:hAnsi="Times New Roman"/>
                <w:sz w:val="25"/>
                <w:szCs w:val="25"/>
                <w:color w:val="auto"/>
                <w:vertAlign w:val="superscript"/>
              </w:rPr>
              <w:t>(4)</w:t>
            </w:r>
          </w:p>
        </w:tc>
        <w:tc>
          <w:tcPr>
            <w:tcW w:w="20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(6,684)</w:t>
            </w:r>
          </w:p>
        </w:tc>
        <w:tc>
          <w:tcPr>
            <w:tcW w:w="1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(29,582)</w:t>
            </w:r>
          </w:p>
        </w:tc>
      </w:tr>
      <w:tr>
        <w:trPr>
          <w:trHeight w:val="187"/>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Non-Recurring/One-Time Expenses:</w:t>
            </w:r>
          </w:p>
        </w:tc>
        <w:tc>
          <w:tcPr>
            <w:tcW w:w="2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5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Tariff Investigation(5)</w:t>
            </w:r>
          </w:p>
        </w:tc>
        <w:tc>
          <w:tcPr>
            <w:tcW w:w="20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463</w:t>
            </w:r>
          </w:p>
        </w:tc>
        <w:tc>
          <w:tcPr>
            <w:tcW w:w="1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Patent Litigation(6)</w:t>
            </w:r>
          </w:p>
        </w:tc>
        <w:tc>
          <w:tcPr>
            <w:tcW w:w="2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624</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5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Reverse Stock Split (7)</w:t>
            </w:r>
          </w:p>
        </w:tc>
        <w:tc>
          <w:tcPr>
            <w:tcW w:w="20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Stryten Licensing Agreement(8)</w:t>
            </w:r>
          </w:p>
        </w:tc>
        <w:tc>
          <w:tcPr>
            <w:tcW w:w="2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284</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5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Loss on Settlement(9)</w:t>
            </w:r>
          </w:p>
        </w:tc>
        <w:tc>
          <w:tcPr>
            <w:tcW w:w="20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87"/>
        </w:trPr>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on Impairment of Assets(10)</w:t>
            </w:r>
          </w:p>
        </w:tc>
        <w:tc>
          <w:tcPr>
            <w:tcW w:w="2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873</w:t>
            </w:r>
          </w:p>
        </w:tc>
        <w:tc>
          <w:tcPr>
            <w:tcW w:w="1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8"/>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200" w:type="dxa"/>
            <w:vAlign w:val="bottom"/>
            <w:gridSpan w:val="2"/>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(18,500)</w:t>
            </w:r>
          </w:p>
        </w:tc>
        <w:tc>
          <w:tcPr>
            <w:tcW w:w="110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(17,127)</w:t>
            </w:r>
          </w:p>
        </w:tc>
      </w:tr>
      <w:tr>
        <w:trPr>
          <w:trHeight w:val="20"/>
        </w:trPr>
        <w:tc>
          <w:tcPr>
            <w:tcW w:w="5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ind w:left="5547" w:right="1900" w:hanging="5547"/>
        <w:spacing w:after="0" w:line="511" w:lineRule="auto"/>
        <w:tabs>
          <w:tab w:leader="none" w:pos="27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is comprised of costs associated with option and RSU grants made to our employees, consultants and board members.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15073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52" w:name="page53"/>
    <w:bookmarkEnd w:id="52"/>
    <w:p>
      <w:pPr>
        <w:ind w:left="287" w:hanging="287"/>
        <w:spacing w:after="0"/>
        <w:tabs>
          <w:tab w:leader="none" w:pos="28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June 2023 Offering Costs related to the warrant liability are comprised of fees and expenses, including legal, accounting, and other expenses associated with this offering.</w:t>
      </w:r>
    </w:p>
    <w:p>
      <w:pPr>
        <w:spacing w:after="0" w:line="189" w:lineRule="exact"/>
        <w:rPr>
          <w:rFonts w:ascii="Times New Roman" w:cs="Times New Roman" w:eastAsia="Times New Roman" w:hAnsi="Times New Roman"/>
          <w:sz w:val="16"/>
          <w:szCs w:val="16"/>
          <w:color w:val="auto"/>
        </w:rPr>
      </w:pPr>
    </w:p>
    <w:p>
      <w:pPr>
        <w:ind w:left="287" w:right="20" w:hanging="287"/>
        <w:spacing w:after="0" w:line="267" w:lineRule="auto"/>
        <w:tabs>
          <w:tab w:leader="none" w:pos="28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Separation Agreement in 2023 is comprised of $720 in cash severance associated with separation agreement dated April 26, 2023, between us and our former Chief Legal Officer.</w:t>
      </w:r>
    </w:p>
    <w:p>
      <w:pPr>
        <w:spacing w:after="0" w:line="15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fair market value of warrant liabilities represents the change in fair value from the date the warrants were issued through December 31, 2024.</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Tariff Investigation are legal and forensic accounting related fees and expenses related to this investigation.</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 Investigation are legal fees and expenses related to the Internation Trade Commission ‘ITC’ Lithium Hub patent infringement case.</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Reverse Stock Split are transfer agent and legal expenses and fees related to the reverse stock split with the SEC.</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Stryten Licensing Agreement is comprised of Legal expenses and fees related to the Licensing agreement with Stryten Energy, LLC</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settlement from patent licensing litigation</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impairment of assets from subsequent sale at a price lower than its carrying value</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1"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December 31, 2024, we had cash totaling $4.8 million. In addition, in February 2025, we raised $8.0 million with net proceeds of $3.2 million in connection with the sale of the shares of our Series A Preferred Stock received in February 2025 and the remainder expected in early May 2025. We believe that our cash at December 31, 2024 and the net proceeds of our February 2025 offering will fund our operations into the first quarter of 2026.</w:t>
      </w:r>
    </w:p>
    <w:p>
      <w:pPr>
        <w:spacing w:after="0" w:line="166" w:lineRule="exact"/>
        <w:rPr>
          <w:sz w:val="20"/>
          <w:szCs w:val="20"/>
          <w:color w:val="auto"/>
        </w:rPr>
      </w:pPr>
    </w:p>
    <w:p>
      <w:pPr>
        <w:jc w:val="both"/>
        <w:ind w:left="7" w:right="20"/>
        <w:spacing w:after="0" w:line="255" w:lineRule="auto"/>
        <w:rPr>
          <w:sz w:val="20"/>
          <w:szCs w:val="20"/>
          <w:color w:val="auto"/>
        </w:rPr>
      </w:pPr>
      <w:r>
        <w:rPr>
          <w:rFonts w:ascii="Times New Roman" w:cs="Times New Roman" w:eastAsia="Times New Roman" w:hAnsi="Times New Roman"/>
          <w:sz w:val="16"/>
          <w:szCs w:val="16"/>
          <w:color w:val="auto"/>
        </w:rPr>
        <w:t>On July 29, 2024, Legacy Dragonfly and Battle Born LLC entered into the License with Stryten. In exchange for the licensing rights, Stryten agreed to pay Battle Born LLC the Initial Licensing Fee of five million dollars ($5,000,000). Per the License Agreement, payment for the Initial Licensing Fee is due within 30 days of the effective date of the License Agreement. We received the Initial Licensing Fee in August 2024.</w:t>
      </w:r>
    </w:p>
    <w:p>
      <w:pPr>
        <w:spacing w:after="0" w:line="160"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In connection with the contraction of our business and uncertainty around the timing of future needs, we reduced our purchase activities in 2024. As a result, our inventory balance at December 31, 2024 decreased by $17.1 million to $21.7 million, compared to $38.8 million at December 31, 2023.</w:t>
      </w:r>
    </w:p>
    <w:p>
      <w:pPr>
        <w:spacing w:after="0" w:line="151"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Further, any future debt or equity financings may be dilutive to our current stockholders.</w:t>
      </w:r>
    </w:p>
    <w:p>
      <w:pPr>
        <w:spacing w:after="0" w:line="16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53" w:name="page54"/>
    <w:bookmarkEnd w:id="53"/>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Financing Obligations and Requirements</w:t>
      </w:r>
    </w:p>
    <w:p>
      <w:pPr>
        <w:spacing w:after="0" w:line="191" w:lineRule="exact"/>
        <w:rPr>
          <w:sz w:val="20"/>
          <w:szCs w:val="20"/>
          <w:color w:val="auto"/>
        </w:rPr>
      </w:pPr>
    </w:p>
    <w:p>
      <w:pPr>
        <w:jc w:val="both"/>
        <w:ind w:left="7"/>
        <w:spacing w:after="0" w:line="246" w:lineRule="auto"/>
        <w:rPr>
          <w:sz w:val="20"/>
          <w:szCs w:val="20"/>
          <w:color w:val="auto"/>
        </w:rPr>
      </w:pPr>
      <w:r>
        <w:rPr>
          <w:rFonts w:ascii="Times New Roman" w:cs="Times New Roman" w:eastAsia="Times New Roman" w:hAnsi="Times New Roman"/>
          <w:sz w:val="16"/>
          <w:szCs w:val="16"/>
          <w:color w:val="auto"/>
        </w:rPr>
        <w:t>On November 24, 2021, we issued $45 million of fixed rate senior notes, secured by among other things, a security interest in our intellectual property. As part of the Business Combination, we entered into a senior secured term loan facility in an aggregate principal amount of $75 million (the “Term Loan”) pursuant to the Term Loan, Guarantee and Security Agreement (the “Original Term Loan Agreement”) by and among, us, Legacy Dragonfly, Alter Domus (US) LLC, as the Agent to the lenders time-to-time party thereto (such lenders, the “Term Loan Lenders”), the proceeds of which were used to repay the $45 million fixed rate senior notes, and ChEF Equity Facility. On June 28, 2024, we entered into the First Amendment with the Term Loan Lenders. The First Amendment provided for a one-time issuance of the June 2024 Penny Warrants to purchase up to 233,334 shares of common stock and certain amendments to the Term Loan. On July 29, 2024, we entered into the Second Amendment with the Term Loan Lenders in connection with the License Agreement. On September 30, 2024, we entered into the Third Amendment with the Term Loan Lenders, which provided for the issuance of the September 2024 Penny Warrants to purchase up to 333,334 shares of common stock and certain amendments to the Term Loan Agreement. On December 31, 2024, we entered into the Fourth Amendment with the Term Loan Lenders, which provided for the issuance of the December 2024 Penny Warrants to purchase up to 350,000 shares of common stock and certain amendments to the Term Loan Agreement.</w:t>
      </w:r>
    </w:p>
    <w:p>
      <w:pPr>
        <w:spacing w:after="0" w:line="168"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In connection with the License Agreement, on July 29, 2024, us, Legacy Dragonfly and Battle Born LLC entered into the Second Amendment (together with the Original Term Loan, the First Amendment, the Second Amendment, the Third Amendment and the Fourth Amendment, the “Term Loan Agreement”).</w:t>
      </w:r>
    </w:p>
    <w:p>
      <w:pPr>
        <w:spacing w:after="0" w:line="1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Pursuant to the Second Amendment, the Term Loan Lenders (i) consented to the transactions contemplated by the License Agreement and the Trademark Transfer Agreement and</w:t>
      </w:r>
    </w:p>
    <w:p>
      <w:pPr>
        <w:spacing w:after="0" w:line="42" w:lineRule="exact"/>
        <w:rPr>
          <w:sz w:val="20"/>
          <w:szCs w:val="20"/>
          <w:color w:val="auto"/>
        </w:rPr>
      </w:pPr>
    </w:p>
    <w:p>
      <w:pPr>
        <w:ind w:left="7" w:hanging="7"/>
        <w:spacing w:after="0" w:line="247" w:lineRule="auto"/>
        <w:tabs>
          <w:tab w:leader="none" w:pos="23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agreed to waive the mandatory prepayment under the Term Loan that would have been due to the Term Loan Lenders under the Term Loan Agreement upon Battle Born LLC’s receipt of the Initial Licensing Fee. In connection with the Second Amendment, Battle Born LLC entered into the Joinder.</w:t>
      </w:r>
    </w:p>
    <w:p>
      <w:pPr>
        <w:spacing w:after="0" w:line="166" w:lineRule="exact"/>
        <w:rPr>
          <w:sz w:val="20"/>
          <w:szCs w:val="20"/>
          <w:color w:val="auto"/>
        </w:rPr>
      </w:pPr>
    </w:p>
    <w:p>
      <w:pPr>
        <w:jc w:val="both"/>
        <w:ind w:left="7"/>
        <w:spacing w:after="0" w:line="244" w:lineRule="auto"/>
        <w:rPr>
          <w:sz w:val="20"/>
          <w:szCs w:val="20"/>
          <w:color w:val="auto"/>
        </w:rPr>
      </w:pPr>
      <w:r>
        <w:rPr>
          <w:rFonts w:ascii="Times New Roman" w:cs="Times New Roman" w:eastAsia="Times New Roman" w:hAnsi="Times New Roman"/>
          <w:sz w:val="16"/>
          <w:szCs w:val="16"/>
          <w:color w:val="auto"/>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September 29, 2023, December 29, 2023, May 13, 2024, June 28, 2024, September 30, 2024 and December 31, 2024, we obtained waivers from Alter Domus (US) LLC, as the administrative agent for the lenders (the “Administrative Agent”) and EICF Agent LLC and certain third-party financing source of our failure to satisfy the Tests under the Term Loan during the quarters ended March 31, 2023, September 30, 2023, December 31, 2023, March 31, 2024, June 30, 2024, September 30, 2024, and December 31, 2024. On March 31, 2024, April 29, 2024, May 30, 2024, June 28, 2024, July 31, 2024, August 30, 2024, September 30, 2024, October 31, 2024, November 30, 2024 and December 31, 2024, we received additional waivers from the Administrative Agent and the Term Loan Lenders in regard to our compliance with the liquidity requirement under the Term Loan as of the last day of the fiscal quarters ended March 31, 2024, June 30, 2024, September 30, 2024 and December 31, 2024, and as of the last fiscal day for the months ended April 30, 2024, May 31, 2024, July 31, 2024, August 31, 2024, October 31, 2024 and November 30, 2024. However, it is probable that we will fail to meet these covenants within the next twelve months. In accordance with U.S. GAAP, we reclassified our notes payable from a long-term liability to a current liability. The Term Loan accrues interest as follows: (i) until April 1, 2024, at a per annum rate equal to adjusted secured overnight financing rate (“SOFR”) plus 7% payable in cash plus an amount ranging from 4.5% to 6.5%, depending on our senior leverage ratio; (ii) effective April 1, 2024 and thereafter, interest payable to certain lenders subject to regulations of the U.S. Small Business Administration (“SBA”)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spacing w:after="0" w:line="18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color w:val="auto"/>
        </w:rPr>
        <w:t>Payments of interest based on the Term Loan are as follows:</w:t>
      </w:r>
    </w:p>
    <w:p>
      <w:pPr>
        <w:spacing w:after="0" w:line="189" w:lineRule="exact"/>
        <w:rPr>
          <w:sz w:val="20"/>
          <w:szCs w:val="20"/>
          <w:color w:val="auto"/>
        </w:rPr>
      </w:pPr>
    </w:p>
    <w:p>
      <w:pPr>
        <w:ind w:left="1120" w:hanging="566"/>
        <w:spacing w:after="0"/>
        <w:tabs>
          <w:tab w:leader="none" w:pos="11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payable on April 1, 2024, was paid in cash.</w:t>
      </w:r>
    </w:p>
    <w:p>
      <w:pPr>
        <w:spacing w:after="0" w:line="18" w:lineRule="exact"/>
        <w:rPr>
          <w:rFonts w:ascii="Times New Roman" w:cs="Times New Roman" w:eastAsia="Times New Roman" w:hAnsi="Times New Roman"/>
          <w:sz w:val="16"/>
          <w:szCs w:val="16"/>
          <w:color w:val="auto"/>
        </w:rPr>
      </w:pPr>
    </w:p>
    <w:p>
      <w:pPr>
        <w:ind w:left="1120" w:hanging="566"/>
        <w:spacing w:after="0"/>
        <w:tabs>
          <w:tab w:leader="none" w:pos="11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payable on July 1, 2024, became payable-in-kind.</w:t>
      </w:r>
    </w:p>
    <w:p>
      <w:pPr>
        <w:spacing w:after="0" w:line="2" w:lineRule="exact"/>
        <w:rPr>
          <w:rFonts w:ascii="Times New Roman" w:cs="Times New Roman" w:eastAsia="Times New Roman" w:hAnsi="Times New Roman"/>
          <w:sz w:val="16"/>
          <w:szCs w:val="16"/>
          <w:color w:val="auto"/>
        </w:rPr>
      </w:pPr>
    </w:p>
    <w:p>
      <w:pPr>
        <w:jc w:val="both"/>
        <w:ind w:left="1120" w:hanging="566"/>
        <w:spacing w:after="0" w:line="243" w:lineRule="auto"/>
        <w:tabs>
          <w:tab w:leader="none" w:pos="11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payable on October 1, 2024, became payable partly in cash and partly in-kind, at a per annum rate equal to adjusted SOFR plus 7% payable in cash plus an amount ranging from 4.5% to 6.5% paid-in-kind, depending on the senior leverage ratio of the consolidated company (subject to the 14.0% limit for lenders subject to SBA regulations).</w:t>
      </w:r>
    </w:p>
    <w:p>
      <w:pPr>
        <w:spacing w:after="0" w:line="1" w:lineRule="exact"/>
        <w:rPr>
          <w:rFonts w:ascii="Times New Roman" w:cs="Times New Roman" w:eastAsia="Times New Roman" w:hAnsi="Times New Roman"/>
          <w:sz w:val="16"/>
          <w:szCs w:val="16"/>
          <w:color w:val="auto"/>
        </w:rPr>
      </w:pPr>
    </w:p>
    <w:p>
      <w:pPr>
        <w:ind w:left="1120" w:hanging="566"/>
        <w:spacing w:after="0"/>
        <w:tabs>
          <w:tab w:leader="none" w:pos="11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(iv) For each payment date occurring on or after January 1, 2025, interest will be payable in cash.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each of the foregoing cases, adjusted SOFR will be no less than 1%.</w:t>
      </w:r>
    </w:p>
    <w:p>
      <w:pPr>
        <w:spacing w:after="0" w:line="18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6"/>
          <w:szCs w:val="16"/>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66" w:lineRule="exact"/>
        <w:rPr>
          <w:sz w:val="20"/>
          <w:szCs w:val="20"/>
          <w:color w:val="auto"/>
        </w:rPr>
      </w:pPr>
    </w:p>
    <w:p>
      <w:pPr>
        <w:jc w:val="both"/>
        <w:ind w:hanging="7"/>
        <w:spacing w:after="0" w:line="293" w:lineRule="auto"/>
        <w:rPr>
          <w:sz w:val="20"/>
          <w:szCs w:val="20"/>
          <w:color w:val="auto"/>
        </w:rPr>
      </w:pPr>
      <w:r>
        <w:rPr>
          <w:rFonts w:ascii="Times New Roman" w:cs="Times New Roman" w:eastAsia="Times New Roman" w:hAnsi="Times New Roman"/>
          <w:sz w:val="14"/>
          <w:szCs w:val="14"/>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spacing w:after="0" w:line="138" w:lineRule="exact"/>
        <w:rPr>
          <w:sz w:val="20"/>
          <w:szCs w:val="20"/>
          <w:color w:val="auto"/>
        </w:rPr>
      </w:pPr>
    </w:p>
    <w:p>
      <w:pPr>
        <w:jc w:val="both"/>
        <w:ind w:hanging="7"/>
        <w:spacing w:after="0" w:line="246" w:lineRule="auto"/>
        <w:rPr>
          <w:sz w:val="20"/>
          <w:szCs w:val="20"/>
          <w:color w:val="auto"/>
        </w:rPr>
      </w:pPr>
      <w:r>
        <w:rPr>
          <w:rFonts w:ascii="Times New Roman" w:cs="Times New Roman" w:eastAsia="Times New Roman" w:hAnsi="Times New Roman"/>
          <w:sz w:val="16"/>
          <w:szCs w:val="16"/>
          <w:color w:val="auto"/>
        </w:rPr>
        <w:t>Pursuant to the Purchase Agreement, on the terms of and subject to the satisfaction of the conditions in the Purchase Agreement, including the filing and effectiveness of a registration statement registering the resale by CCM LLC of the shares of common stock issued to it under the Purchase Agreement, we will have the right from time to time at our option to direct CCM LLC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2,390,226 shares that may be resold into the public markets by CCM LLC, which represented approximately 33% of the shares of our common stock outstanding as of December 31, 2023. During the year ended December 31, 2023, we issued and sold approximately 65,389 shares of our common stock under this facility, resulting in net cash proceeds of $1,278,566. During the year ended December 31, 2024, we issued 350,423 shares pursuant to the Purchase Agreement with CCM LLC for aggregate proceeds to the Company of $2,043,885. This impact may be heightened by the fact that sales to CCM LLC will generally be at prices below the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On March 5, 2023, we issued a note in the principal amount of $1.0 million (the “Principal Amount”) to Brian Nelson, one of our directors, in a private placement in exchange for cash in an equal amount (the “March Note”). The March Note became due and payable in full on April 1, 2023. We were also obligated to pay a fee in the amount of $100,000 (the “March Loan Fee”) to Mr. Nelson on April 4, 2023. The Principal Amount of the March Note was paid in full on April 1, 2023 and the March Loan Fee was paid in full on April 4, 2023.</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55" w:name="page56"/>
    <w:bookmarkEnd w:id="55"/>
    <w:p>
      <w:pPr>
        <w:jc w:val="both"/>
        <w:ind w:left="20"/>
        <w:spacing w:after="0" w:line="309" w:lineRule="auto"/>
        <w:rPr>
          <w:sz w:val="20"/>
          <w:szCs w:val="20"/>
          <w:color w:val="auto"/>
        </w:rPr>
      </w:pPr>
      <w:r>
        <w:rPr>
          <w:rFonts w:ascii="Times New Roman" w:cs="Times New Roman" w:eastAsia="Times New Roman" w:hAnsi="Times New Roman"/>
          <w:sz w:val="14"/>
          <w:szCs w:val="14"/>
          <w:color w:val="auto"/>
        </w:rPr>
        <w:t>On January 30, 2024, we issued an unsecured convertible promissory note (the “January Note”) in the principal amount of $1.0 million (the “January Principal Amount”) to Brian Nelson, one of our directors, in a private placement in exchange for cash in an equal amount. The January Note became due and payable in full on February 2, 2024. We were also obligated to pay $50,000 (the “January Loan Fee”) to Mr. Nelson on February 2, 2024. We paid the January Principal Amount and the January Loan Fee in full on February 2, 2024.</w:t>
      </w:r>
    </w:p>
    <w:p>
      <w:pPr>
        <w:spacing w:after="0" w:line="125" w:lineRule="exact"/>
        <w:rPr>
          <w:sz w:val="20"/>
          <w:szCs w:val="20"/>
          <w:color w:val="auto"/>
        </w:rPr>
      </w:pPr>
    </w:p>
    <w:p>
      <w:pPr>
        <w:jc w:val="both"/>
        <w:ind w:left="20" w:hanging="7"/>
        <w:spacing w:after="0" w:line="255" w:lineRule="auto"/>
        <w:rPr>
          <w:sz w:val="20"/>
          <w:szCs w:val="20"/>
          <w:color w:val="auto"/>
        </w:rPr>
      </w:pPr>
      <w:r>
        <w:rPr>
          <w:rFonts w:ascii="Times New Roman" w:cs="Times New Roman" w:eastAsia="Times New Roman" w:hAnsi="Times New Roman"/>
          <w:sz w:val="16"/>
          <w:szCs w:val="16"/>
          <w:color w:val="auto"/>
        </w:rPr>
        <w:t>On February 27, 2024, we issued the February Note to Brian Nelson in the February Principal Amount of $1.7 million in a private placement in exchange for cash in an equal amount. The February Note became due and payable in full on March 1, 2024. We were also obligated to pay the February Loan Fee in the amount of $85,000 to Mr. Nelson on March 1, 2024. The February Principal Amount of the February Note and the February Loan Fee were paid in full on March 1, 2024.</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 a discussion of our other financing transaction, see “</w:t>
      </w:r>
      <w:r>
        <w:rPr>
          <w:rFonts w:ascii="Times New Roman" w:cs="Times New Roman" w:eastAsia="Times New Roman" w:hAnsi="Times New Roman"/>
          <w:sz w:val="16"/>
          <w:szCs w:val="16"/>
          <w:i w:val="1"/>
          <w:iCs w:val="1"/>
          <w:color w:val="auto"/>
        </w:rPr>
        <w:t>Overview</w:t>
      </w:r>
      <w:r>
        <w:rPr>
          <w:rFonts w:ascii="Times New Roman" w:cs="Times New Roman" w:eastAsia="Times New Roman" w:hAnsi="Times New Roman"/>
          <w:sz w:val="16"/>
          <w:szCs w:val="16"/>
          <w:color w:val="auto"/>
        </w:rPr>
        <w:t>” above.</w:t>
      </w:r>
    </w:p>
    <w:p>
      <w:pPr>
        <w:spacing w:after="0" w:line="191" w:lineRule="exact"/>
        <w:rPr>
          <w:sz w:val="20"/>
          <w:szCs w:val="20"/>
          <w:color w:val="auto"/>
        </w:rPr>
      </w:pPr>
    </w:p>
    <w:p>
      <w:pPr>
        <w:jc w:val="both"/>
        <w:ind w:left="20" w:right="20" w:hanging="7"/>
        <w:spacing w:after="0" w:line="267" w:lineRule="auto"/>
        <w:rPr>
          <w:sz w:val="20"/>
          <w:szCs w:val="20"/>
          <w:color w:val="auto"/>
        </w:rPr>
      </w:pPr>
      <w:r>
        <w:rPr>
          <w:rFonts w:ascii="Times New Roman" w:cs="Times New Roman" w:eastAsia="Times New Roman" w:hAnsi="Times New Roman"/>
          <w:sz w:val="16"/>
          <w:szCs w:val="16"/>
          <w:color w:val="auto"/>
        </w:rPr>
        <w:t>In 2024, we identified an underpayment of tariffs to CBP in the amount of approximately $1.66 million in the aggregate, related to the improper classification and valuation of certain of the products used in our batteries. We have reported the underpayment to CBP.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Going Concern</w:t>
      </w:r>
    </w:p>
    <w:p>
      <w:pPr>
        <w:spacing w:after="0" w:line="191" w:lineRule="exact"/>
        <w:rPr>
          <w:sz w:val="20"/>
          <w:szCs w:val="20"/>
          <w:color w:val="auto"/>
        </w:rPr>
      </w:pPr>
    </w:p>
    <w:p>
      <w:pPr>
        <w:jc w:val="both"/>
        <w:ind w:left="20" w:hanging="7"/>
        <w:spacing w:after="0" w:line="267" w:lineRule="auto"/>
        <w:rPr>
          <w:sz w:val="20"/>
          <w:szCs w:val="20"/>
          <w:color w:val="auto"/>
        </w:rPr>
      </w:pPr>
      <w:r>
        <w:rPr>
          <w:rFonts w:ascii="Times New Roman" w:cs="Times New Roman" w:eastAsia="Times New Roman" w:hAnsi="Times New Roman"/>
          <w:sz w:val="16"/>
          <w:szCs w:val="16"/>
          <w:color w:val="auto"/>
        </w:rPr>
        <w:t>For the year ended December 31, 2024, we incurred losses and had a negative cash flow from operations. As of December 31, 2024, we had approximately $4.8 million in cash and cash equivalents and a working capital of $11.1 million.</w:t>
      </w:r>
    </w:p>
    <w:p>
      <w:pPr>
        <w:spacing w:after="0" w:line="151" w:lineRule="exact"/>
        <w:rPr>
          <w:sz w:val="20"/>
          <w:szCs w:val="20"/>
          <w:color w:val="auto"/>
        </w:rPr>
      </w:pPr>
    </w:p>
    <w:p>
      <w:pPr>
        <w:jc w:val="both"/>
        <w:ind w:left="20" w:hanging="7"/>
        <w:spacing w:after="0" w:line="246" w:lineRule="auto"/>
        <w:rPr>
          <w:sz w:val="20"/>
          <w:szCs w:val="20"/>
          <w:color w:val="auto"/>
        </w:rPr>
      </w:pPr>
      <w:r>
        <w:rPr>
          <w:rFonts w:ascii="Times New Roman" w:cs="Times New Roman" w:eastAsia="Times New Roman" w:hAnsi="Times New Roman"/>
          <w:sz w:val="16"/>
          <w:szCs w:val="16"/>
          <w:color w:val="auto"/>
        </w:rPr>
        <w:t>Under the Term Loan Agreement, we are obligated to comply with certain financial covenants, which include maintaining a maximum senior leverage ratio, minimum liquidity, a springing fixed charge coverage ratio, and maximum capital expenditures. On March 31, 2024, April 29, 2024, May, 30, 2024, June 28, 2024, July 31, 2024, August 31, 2024, September 30, 2024, October 31, 2024, November 30, 2024 and December 31, 2024, we obtained waivers from the Term Loan administrative agent and lenders of its failures to satisfy the liquidity requirement under the Term Loan for the quarters ended March 31, 2024, June 30, 2024, September 30, 2024, and December 31, 2024 and the fiscal months ended April 30, 2024, May 31, 2024, July 31, 2024, August 31, 2024, October 31, 2024, and November 30, 2024, as applicable. In connection with the License Agreement, on July 29, 2024, us, Legacy Dragonfly and Battle Born LLC entered into the Second Amendment. Pursuant to the Second Amendment, the Term Loan Lenders (i) consented to the transactions contemplated by the License Agreement and the Trademark Transfer Agreement and (ii) agreed to waive the mandatory prepayment under the Loan Agreement that would have been due to the Lenders under the Term Loan upon Battle Born LLC’s receipt of the Initial Licensing Fee. In connection with the Second Amendment, Battle Born LLC entered into the Joinder.</w:t>
      </w:r>
    </w:p>
    <w:p>
      <w:pPr>
        <w:spacing w:after="0" w:line="170" w:lineRule="exact"/>
        <w:rPr>
          <w:sz w:val="20"/>
          <w:szCs w:val="20"/>
          <w:color w:val="auto"/>
        </w:rPr>
      </w:pPr>
    </w:p>
    <w:p>
      <w:pPr>
        <w:jc w:val="both"/>
        <w:ind w:left="20" w:hanging="7"/>
        <w:spacing w:after="0" w:line="249" w:lineRule="auto"/>
        <w:rPr>
          <w:sz w:val="20"/>
          <w:szCs w:val="20"/>
          <w:color w:val="auto"/>
        </w:rPr>
      </w:pPr>
      <w:r>
        <w:rPr>
          <w:rFonts w:ascii="Times New Roman" w:cs="Times New Roman" w:eastAsia="Times New Roman" w:hAnsi="Times New Roman"/>
          <w:sz w:val="16"/>
          <w:szCs w:val="16"/>
          <w:color w:val="auto"/>
        </w:rPr>
        <w:t>On September 30, 2024, the Company entered into the Third Amendment, which: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for the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plus the Applicable Margin.</w:t>
      </w:r>
    </w:p>
    <w:p>
      <w:pPr>
        <w:spacing w:after="0" w:line="166" w:lineRule="exact"/>
        <w:rPr>
          <w:sz w:val="20"/>
          <w:szCs w:val="20"/>
          <w:color w:val="auto"/>
        </w:rPr>
      </w:pPr>
    </w:p>
    <w:p>
      <w:pPr>
        <w:jc w:val="both"/>
        <w:ind w:left="20" w:hanging="7"/>
        <w:spacing w:after="0" w:line="251" w:lineRule="auto"/>
        <w:rPr>
          <w:sz w:val="20"/>
          <w:szCs w:val="20"/>
          <w:color w:val="auto"/>
        </w:rPr>
      </w:pPr>
      <w:r>
        <w:rPr>
          <w:rFonts w:ascii="Times New Roman" w:cs="Times New Roman" w:eastAsia="Times New Roman" w:hAnsi="Times New Roman"/>
          <w:sz w:val="16"/>
          <w:szCs w:val="16"/>
          <w:color w:val="auto"/>
        </w:rPr>
        <w:t>On December 31, 2024, the Company entered into the Fourth Amendment, which: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spacing w:after="0" w:line="164" w:lineRule="exact"/>
        <w:rPr>
          <w:sz w:val="20"/>
          <w:szCs w:val="20"/>
          <w:color w:val="auto"/>
        </w:rPr>
      </w:pPr>
    </w:p>
    <w:p>
      <w:pPr>
        <w:jc w:val="both"/>
        <w:ind w:left="20" w:hanging="7"/>
        <w:spacing w:after="0" w:line="251" w:lineRule="auto"/>
        <w:rPr>
          <w:sz w:val="20"/>
          <w:szCs w:val="20"/>
          <w:color w:val="auto"/>
        </w:rPr>
      </w:pPr>
      <w:r>
        <w:rPr>
          <w:rFonts w:ascii="Times New Roman" w:cs="Times New Roman" w:eastAsia="Times New Roman" w:hAnsi="Times New Roman"/>
          <w:sz w:val="16"/>
          <w:szCs w:val="16"/>
          <w:color w:val="auto"/>
        </w:rPr>
        <w:t>On February 2025, subsequent to the current year ended December 31, 2024, in connection with the Securities Purchase Agreement, the Company entered into the Fifth Amendment, which: (i) extended the maturity date by one year to October 2027, (ii) deferred all principal and interest payments to April 2026 and (iii) removed any applicable financial covenants (except for a financial covenant requiring the Company to maintain cash and cash equivalents equal to or greater than $2,500 on a monthly basis) for the next 1.5 years.</w:t>
      </w:r>
    </w:p>
    <w:p>
      <w:pPr>
        <w:spacing w:after="0" w:line="164" w:lineRule="exact"/>
        <w:rPr>
          <w:sz w:val="20"/>
          <w:szCs w:val="20"/>
          <w:color w:val="auto"/>
        </w:rPr>
      </w:pPr>
    </w:p>
    <w:p>
      <w:pPr>
        <w:jc w:val="both"/>
        <w:ind w:left="20" w:hanging="7"/>
        <w:spacing w:after="0" w:line="290" w:lineRule="auto"/>
        <w:rPr>
          <w:sz w:val="20"/>
          <w:szCs w:val="20"/>
          <w:color w:val="auto"/>
        </w:rPr>
      </w:pPr>
      <w:r>
        <w:rPr>
          <w:rFonts w:ascii="Times New Roman" w:cs="Times New Roman" w:eastAsia="Times New Roman" w:hAnsi="Times New Roman"/>
          <w:sz w:val="14"/>
          <w:szCs w:val="14"/>
          <w:color w:val="auto"/>
        </w:rPr>
        <w:t>As presented above, strategic initiatives were executed in order to alleviate the substantial doubt, such as the Company’s ability to raise funds through the Purchase Agreement, the maturity extension of the Term Loan (which reclassifies the loan as long-term on the financial statements for the year ending December 31, 2024), and the absence of any covenants, other than a $2,500 minimum cash requirement, for at least one year from the financial statement issuance date. While these initiatives were enough support to move our debt to a long term classification, the initiatives were not enough support to completely alleviate the Company’s going concern. Due to no other concessions being made by the lenders in terms of future debt and interest due, except for extending payments into 2026 and the maturity date by one year, and due to the inherent uncertainty surrounding the realization of projected revenues from new markets, management concluded that there is significant doubt about the Company’s ability to continue as a going concern.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715073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80"/>
          </w:cols>
          <w:pgMar w:left="300" w:top="613" w:right="319" w:bottom="1440" w:gutter="0" w:footer="0" w:header="0"/>
        </w:sectPr>
      </w:pPr>
    </w:p>
    <w:bookmarkStart w:id="56" w:name="page57"/>
    <w:bookmarkEnd w:id="56"/>
    <w:p>
      <w:pPr>
        <w:jc w:val="both"/>
        <w:ind w:left="20" w:right="20" w:hanging="7"/>
        <w:spacing w:after="0" w:line="267" w:lineRule="auto"/>
        <w:rPr>
          <w:sz w:val="20"/>
          <w:szCs w:val="20"/>
          <w:color w:val="auto"/>
        </w:rPr>
      </w:pPr>
      <w:r>
        <w:rPr>
          <w:rFonts w:ascii="Times New Roman" w:cs="Times New Roman" w:eastAsia="Times New Roman" w:hAnsi="Times New Roman"/>
          <w:sz w:val="16"/>
          <w:szCs w:val="16"/>
          <w:color w:val="auto"/>
        </w:rPr>
        <w:t>As a result, our independent registered public accounting firm included an explanatory paragraph in its report on our 2024 consolidated financial statements, with respect to this uncertainty.</w:t>
      </w:r>
    </w:p>
    <w:p>
      <w:pPr>
        <w:spacing w:after="0" w:line="151" w:lineRule="exact"/>
        <w:rPr>
          <w:sz w:val="20"/>
          <w:szCs w:val="20"/>
          <w:color w:val="auto"/>
        </w:rPr>
      </w:pPr>
    </w:p>
    <w:p>
      <w:pPr>
        <w:jc w:val="both"/>
        <w:ind w:left="20" w:hanging="7"/>
        <w:spacing w:after="0" w:line="247" w:lineRule="auto"/>
        <w:rPr>
          <w:sz w:val="20"/>
          <w:szCs w:val="20"/>
          <w:color w:val="auto"/>
        </w:rPr>
      </w:pPr>
      <w:r>
        <w:rPr>
          <w:rFonts w:ascii="Times New Roman" w:cs="Times New Roman" w:eastAsia="Times New Roman" w:hAnsi="Times New Roman"/>
          <w:sz w:val="16"/>
          <w:szCs w:val="16"/>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which may adversely affect our business, operating results, financial condition and prospects. Further, future debt or equity financings may be dilutive to our current stockholders.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for the Years ended December 31, 2024 and 2023</w:t>
            </w: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120" w:type="dxa"/>
            <w:vAlign w:val="bottom"/>
            <w:tcBorders>
              <w:bottom w:val="single" w:sz="8" w:color="auto"/>
            </w:tcBorders>
            <w:gridSpan w:val="3"/>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w:t>
            </w:r>
          </w:p>
        </w:tc>
        <w:tc>
          <w:tcPr>
            <w:tcW w:w="1760" w:type="dxa"/>
            <w:vAlign w:val="bottom"/>
          </w:tcPr>
          <w:p>
            <w:pPr>
              <w:spacing w:after="0"/>
              <w:rPr>
                <w:sz w:val="16"/>
                <w:szCs w:val="16"/>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8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60" w:type="dxa"/>
            <w:vAlign w:val="bottom"/>
            <w:gridSpan w:val="2"/>
          </w:tcPr>
          <w:p>
            <w:pPr>
              <w:jc w:val="right"/>
              <w:ind w:right="722"/>
              <w:spacing w:after="0" w:line="178"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2920" w:type="dxa"/>
            <w:vAlign w:val="bottom"/>
            <w:gridSpan w:val="2"/>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(7,182)</w:t>
            </w:r>
          </w:p>
        </w:tc>
        <w:tc>
          <w:tcPr>
            <w:tcW w:w="122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(17,706)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2920" w:type="dxa"/>
            <w:vAlign w:val="bottom"/>
            <w:gridSpan w:val="2"/>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(2,729)</w:t>
            </w:r>
          </w:p>
        </w:tc>
        <w:tc>
          <w:tcPr>
            <w:tcW w:w="1220" w:type="dxa"/>
            <w:vAlign w:val="bottom"/>
          </w:tcPr>
          <w:p>
            <w:pPr>
              <w:jc w:val="right"/>
              <w:ind w:right="9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(6,885)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2920" w:type="dxa"/>
            <w:vAlign w:val="bottom"/>
            <w:gridSpan w:val="2"/>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2,047</w:t>
            </w:r>
          </w:p>
        </w:tc>
        <w:tc>
          <w:tcPr>
            <w:tcW w:w="122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19,523</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91" w:lineRule="exact"/>
        <w:rPr>
          <w:sz w:val="20"/>
          <w:szCs w:val="20"/>
          <w:color w:val="auto"/>
        </w:rPr>
      </w:pPr>
    </w:p>
    <w:p>
      <w:pPr>
        <w:jc w:val="both"/>
        <w:ind w:left="20" w:hanging="7"/>
        <w:spacing w:after="0" w:line="267" w:lineRule="auto"/>
        <w:rPr>
          <w:sz w:val="20"/>
          <w:szCs w:val="20"/>
          <w:color w:val="auto"/>
        </w:rPr>
      </w:pPr>
      <w:r>
        <w:rPr>
          <w:rFonts w:ascii="Times New Roman" w:cs="Times New Roman" w:eastAsia="Times New Roman" w:hAnsi="Times New Roman"/>
          <w:sz w:val="16"/>
          <w:szCs w:val="16"/>
          <w:color w:val="auto"/>
        </w:rPr>
        <w:t>Net cash used in operating activities was $7.2 million for the year ended December 31, 2024, primarily due to a net loss during the period and the change in fair market value of the warrant liability, partially offset by a decrease in inventory as a result of management’s decision to lower overall stocking levels to adjust for more modest demand.</w:t>
      </w:r>
    </w:p>
    <w:p>
      <w:pPr>
        <w:spacing w:after="0" w:line="151" w:lineRule="exact"/>
        <w:rPr>
          <w:sz w:val="20"/>
          <w:szCs w:val="20"/>
          <w:color w:val="auto"/>
        </w:rPr>
      </w:pPr>
    </w:p>
    <w:p>
      <w:pPr>
        <w:jc w:val="both"/>
        <w:ind w:left="20" w:hanging="7"/>
        <w:spacing w:after="0" w:line="267" w:lineRule="auto"/>
        <w:rPr>
          <w:sz w:val="20"/>
          <w:szCs w:val="20"/>
          <w:color w:val="auto"/>
        </w:rPr>
      </w:pPr>
      <w:r>
        <w:rPr>
          <w:rFonts w:ascii="Times New Roman" w:cs="Times New Roman" w:eastAsia="Times New Roman" w:hAnsi="Times New Roman"/>
          <w:sz w:val="16"/>
          <w:szCs w:val="16"/>
          <w:color w:val="auto"/>
        </w:rPr>
        <w:t>Net cash used in operating activities was $17.7 million for the year ended December 31, 2023, primarily due to a net loss during the period and the change in fair market value of the warrant liability, partially offset by a decrease in inventory as a result of management’s decision to lower overall stocking levels to adjust for more modest demand.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91" w:lineRule="exact"/>
        <w:rPr>
          <w:sz w:val="20"/>
          <w:szCs w:val="20"/>
          <w:color w:val="auto"/>
        </w:rPr>
      </w:pPr>
    </w:p>
    <w:p>
      <w:pPr>
        <w:jc w:val="both"/>
        <w:ind w:left="20" w:hanging="7"/>
        <w:spacing w:after="0" w:line="267" w:lineRule="auto"/>
        <w:rPr>
          <w:sz w:val="20"/>
          <w:szCs w:val="20"/>
          <w:color w:val="auto"/>
        </w:rPr>
      </w:pPr>
      <w:r>
        <w:rPr>
          <w:rFonts w:ascii="Times New Roman" w:cs="Times New Roman" w:eastAsia="Times New Roman" w:hAnsi="Times New Roman"/>
          <w:sz w:val="16"/>
          <w:szCs w:val="16"/>
          <w:color w:val="auto"/>
        </w:rPr>
        <w:t>Net cash used in investing activities was $2.7 million for the year ended December 31, 2024, as compared to $6.9 million for the year ended December 31, 2023. The cash used in investing activities was primarily driven by capital expenditures in leasehold improvements for our new lease and to support our core battery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91" w:lineRule="exact"/>
        <w:rPr>
          <w:sz w:val="20"/>
          <w:szCs w:val="20"/>
          <w:color w:val="auto"/>
        </w:rPr>
      </w:pPr>
    </w:p>
    <w:p>
      <w:pPr>
        <w:jc w:val="both"/>
        <w:ind w:left="20" w:hanging="7"/>
        <w:spacing w:after="0" w:line="267" w:lineRule="auto"/>
        <w:rPr>
          <w:sz w:val="20"/>
          <w:szCs w:val="20"/>
          <w:color w:val="auto"/>
        </w:rPr>
      </w:pPr>
      <w:r>
        <w:rPr>
          <w:rFonts w:ascii="Times New Roman" w:cs="Times New Roman" w:eastAsia="Times New Roman" w:hAnsi="Times New Roman"/>
          <w:sz w:val="16"/>
          <w:szCs w:val="16"/>
          <w:color w:val="auto"/>
        </w:rPr>
        <w:t>Net cash provided by financing activities was $2.0 million for the year ended December 31, 2024, primarily as a result of proceeds $2.0 million from the utilization of the ChEF Equity Facility.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financing activities was $19.5 million for the year ended December 31, 2023, primarily as a result of $20.7 million proceeds from the June 2023 Offering.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191" w:lineRule="exact"/>
        <w:rPr>
          <w:sz w:val="20"/>
          <w:szCs w:val="20"/>
          <w:color w:val="auto"/>
        </w:rPr>
      </w:pPr>
    </w:p>
    <w:p>
      <w:pPr>
        <w:jc w:val="both"/>
        <w:ind w:left="20" w:right="20" w:hanging="7"/>
        <w:spacing w:after="0" w:line="267" w:lineRule="auto"/>
        <w:rPr>
          <w:sz w:val="20"/>
          <w:szCs w:val="20"/>
          <w:color w:val="auto"/>
        </w:rPr>
      </w:pPr>
      <w:r>
        <w:rPr>
          <w:rFonts w:ascii="Times New Roman" w:cs="Times New Roman" w:eastAsia="Times New Roman" w:hAnsi="Times New Roman"/>
          <w:sz w:val="16"/>
          <w:szCs w:val="16"/>
          <w:color w:val="auto"/>
        </w:rPr>
        <w:t>Our estimated future obligations consist of short-term and long-term operating and financing lease liabilities. As of December 31, 2024, we had $3.0 million in short-term operating and financing lease liabilities and $22.7 million in long-term operating, and financing lease liabilities.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disclosed above, we have a Term Loan and as of December 31, 2024, the principal amount outstanding under the Term Loan was $69.9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JOBS Act Accounting Election</w:t>
      </w:r>
    </w:p>
    <w:p>
      <w:pPr>
        <w:spacing w:after="0" w:line="191" w:lineRule="exact"/>
        <w:rPr>
          <w:sz w:val="20"/>
          <w:szCs w:val="20"/>
          <w:color w:val="auto"/>
        </w:rPr>
      </w:pPr>
    </w:p>
    <w:p>
      <w:pPr>
        <w:jc w:val="both"/>
        <w:ind w:left="20" w:hanging="7"/>
        <w:spacing w:after="0" w:line="248" w:lineRule="auto"/>
        <w:rPr>
          <w:sz w:val="20"/>
          <w:szCs w:val="20"/>
          <w:color w:val="auto"/>
        </w:rPr>
      </w:pPr>
      <w:r>
        <w:rPr>
          <w:rFonts w:ascii="Times New Roman" w:cs="Times New Roman" w:eastAsia="Times New Roman" w:hAnsi="Times New Roman"/>
          <w:sz w:val="16"/>
          <w:szCs w:val="16"/>
          <w:color w:val="auto"/>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715073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80"/>
          </w:cols>
          <w:pgMar w:left="300" w:top="613"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6"/>
          <w:szCs w:val="16"/>
          <w:b w:val="1"/>
          <w:bCs w:val="1"/>
          <w:color w:val="auto"/>
        </w:rPr>
        <w:t>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are a manufacturer of non-toxic deep cycle lithium-ion batteries that caters to customers in the consumer industry (including the recreational vehicle (“RV”), marine vessel, solar and off-grid residence industries), and trucking, industrial and energy storage markets, with proprietary, patented and disruptive battery cell manufacturing and non-flammable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6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(“LiFePO4”)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gases, which are chemically unstable and form hydrogen sulfide when exposed to air).</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have a dual-brand strategy for battery products, Dragonfly Energy (“Dragonfly Energy”) and Battle Born Batteries (“Battle Born”). Battle Born branded products are primarily sold direct-to-consumers (“DTC”), while the Dragonfly Energy brand is primarily sold to original equipment manufacturers (“OEMs”).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Reflecting the strength of our DTC brand, we signed a brand licensing contract in July of 2024 with Stryten Energy for the Battle Born brand to be deployed in B2B sales within Stryten’s target market. The contract is expected to bring $30 million of licensing revenues within a seven year period. Additionally, we signed a contract manufacturing agreement that allows for us to assemble battery packs to be sold by Stryten under the Battle Born label. Both licensing and contract manufacturing revenues from these contracts are expected to come in throughout 2025, and we believe will represent a significant portion of our total revenues beginning in 2026.</w:t>
      </w:r>
    </w:p>
    <w:p>
      <w:pPr>
        <w:spacing w:after="0" w:line="16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Founded as an aftermarket-focused company, we initially targeted direct-to-consumer (DTC) sales within the recreational vehicle (RV) market. Since our inception in 2020, we have successfully sold over 330,000 batteries. For the fiscal years ended December 31, 2024, and December 31, 2023, we sold 42,447 and 64,906 batteries, respectively, generating revenues of $50.6 million and $64.5 million for each year.</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Our innovative battery products have disrupted the traditional lead-acid battery markets. The strong DTC demand, combined with our efforts to educate and market to original equipment manufacturers (OEMs), has facilitated significant penetration into the OEM sector. Historically, we have driven total sales growth through several strategies:</w:t>
      </w:r>
    </w:p>
    <w:p>
      <w:pPr>
        <w:spacing w:after="0" w:line="149" w:lineRule="exact"/>
        <w:rPr>
          <w:sz w:val="20"/>
          <w:szCs w:val="20"/>
          <w:color w:val="auto"/>
        </w:rPr>
      </w:pPr>
    </w:p>
    <w:p>
      <w:pPr>
        <w:ind w:left="560" w:hanging="287"/>
        <w:spacing w:after="0"/>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Expansion of DTC Sales</w:t>
      </w:r>
      <w:r>
        <w:rPr>
          <w:rFonts w:ascii="Times New Roman" w:cs="Times New Roman" w:eastAsia="Times New Roman" w:hAnsi="Times New Roman"/>
          <w:sz w:val="16"/>
          <w:szCs w:val="16"/>
          <w:color w:val="auto"/>
        </w:rPr>
        <w:t>: Increasing direct sales of batteries for RV applications.</w:t>
      </w:r>
    </w:p>
    <w:p>
      <w:pPr>
        <w:spacing w:after="0" w:line="20"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Market Diversification</w:t>
      </w:r>
      <w:r>
        <w:rPr>
          <w:rFonts w:ascii="Times New Roman" w:cs="Times New Roman" w:eastAsia="Times New Roman" w:hAnsi="Times New Roman"/>
          <w:sz w:val="16"/>
          <w:szCs w:val="16"/>
          <w:color w:val="auto"/>
        </w:rPr>
        <w:t>: Entering the marine vessel and off-grid storage markets with related DTC offerings.</w:t>
      </w:r>
    </w:p>
    <w:p>
      <w:pPr>
        <w:spacing w:after="0" w:line="2"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OEM Partnerships</w:t>
      </w:r>
      <w:r>
        <w:rPr>
          <w:rFonts w:ascii="Times New Roman" w:cs="Times New Roman" w:eastAsia="Times New Roman" w:hAnsi="Times New Roman"/>
          <w:sz w:val="16"/>
          <w:szCs w:val="16"/>
          <w:color w:val="auto"/>
        </w:rPr>
        <w:t>: Supplying batteries to RV OEMs.</w:t>
      </w:r>
    </w:p>
    <w:p>
      <w:pPr>
        <w:spacing w:after="0" w:line="2"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Distributor Engagement</w:t>
      </w:r>
      <w:r>
        <w:rPr>
          <w:rFonts w:ascii="Times New Roman" w:cs="Times New Roman" w:eastAsia="Times New Roman" w:hAnsi="Times New Roman"/>
          <w:sz w:val="16"/>
          <w:szCs w:val="16"/>
          <w:color w:val="auto"/>
        </w:rPr>
        <w:t>: Enhancing sales through increased distribution channels.</w:t>
      </w:r>
    </w:p>
    <w:p>
      <w:pPr>
        <w:spacing w:after="0" w:line="2"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Accessory Sales</w:t>
      </w:r>
      <w:r>
        <w:rPr>
          <w:rFonts w:ascii="Times New Roman" w:cs="Times New Roman" w:eastAsia="Times New Roman" w:hAnsi="Times New Roman"/>
          <w:sz w:val="16"/>
          <w:szCs w:val="16"/>
          <w:color w:val="auto"/>
        </w:rPr>
        <w:t>: Reselling accessories for our battery systems.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58" w:name="page59"/>
    <w:bookmarkEnd w:id="58"/>
    <w:p>
      <w:pPr>
        <w:jc w:val="both"/>
        <w:spacing w:after="0" w:line="267" w:lineRule="auto"/>
        <w:rPr>
          <w:sz w:val="20"/>
          <w:szCs w:val="20"/>
          <w:color w:val="auto"/>
        </w:rPr>
      </w:pPr>
      <w:r>
        <w:rPr>
          <w:rFonts w:ascii="Times New Roman" w:cs="Times New Roman" w:eastAsia="Times New Roman" w:hAnsi="Times New Roman"/>
          <w:sz w:val="16"/>
          <w:szCs w:val="16"/>
          <w:color w:val="auto"/>
        </w:rPr>
        <w:t>Our valued RV OEM partners currently include industry leaders such as Airstream, Tiffin Motorhomes, Forest River, nuCamp RV, Triple E RV, REV Group, Keystone, and THOR Industries (“THOR”). Notably, THOR has made a strategic investment in our business, which we believe underscores our strong industry relationships.</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For the year ended December 31, 2024, we experienced a period of sustained market correction characterized by ongoing inflation and historically high interest rates, which posed challenges to our DTC markets. While there were small increases in retail registrations and wholesale shipments within the RV industry, much of this growth was concentrated in the price-sensitive entry-level segment. These entry-level RVs typically do not incorporate our battery products, resulting in a decline in our overall sales due to the limited growth in segments aligned with our offerings.</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However, we did observe increased OEM adoption of our products outside the entry-level segment, marked by the acquisition of new customers and enhanced market share within existing customer product lines. As a result, a higher proportion of our revenue was generated through the OEM channel compared to the DTC market.</w:t>
      </w:r>
    </w:p>
    <w:p>
      <w:pPr>
        <w:spacing w:after="0" w:line="15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We successfully entered into two significant distribution agreements with Keystone Automotive Group (a division of LKQ) and Meyer Distribution. These partnerships are expected to expand our reach within the RV and marine dealer networks and support continued growth in our DTC channels.</w:t>
      </w:r>
    </w:p>
    <w:p>
      <w:pPr>
        <w:spacing w:after="0" w:line="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In 2024, RV dealers continued to optimize their inventory levels, resulting in relatively flat sales after a substantial 36% correction in 2023. The industry’s pivot towards entry-level RVs, which do not typically utilize our batteries, contributed to the decline in total revenue for the year ended December 31, 2024, compared to the prior year.</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Based on our ongoing discussions with customers and current unit forecast projections, we anticipate an increase in revenue within the RV market for 2025. We remain committed to expanding our market presence, leveraging strategic partnerships, and driving innovation to sustain our growth trajectory.</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currently offer several lines of batteries across our two brands, each differentiated by size, power and capacity, consisting of seven different models, which come with an option for internal heat for cold temperature operation or an option for wireless communication using our Dragonfly IntelLigence feature. 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battery packs are designed and assembled in-house in the United States. In November 2024, we relocated from our 99,000 square foot facility in Reno, Nevada to our new 390,240 square foot facility also in Reno, Nevada, which has allowed us to increase our production capacity and gives us the ability to increase sales to existing customers and penetrate new markets. Our 390,240 square foot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also entered into a lease for use of an approximately 64,000 square foot facility to further increase our capacity to produce our patented dry electrode process (the “Fernley Lease Agreement”).</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Through our Battle Born Batteries and Wakespeed brands, we operate in three primary consumer end markets: RVs, marine vessels, and off-grid storage systems. We are strategically expanding into additional markets, with a focus on trucking – including heavy-duty trucks and work trucks – and industrial markets – including oil and gas and industrial solar integration. Within our core markets, we focus on displacing lead-acid batteries with our technologically advanced and greener lithium-ion solutions. Our Battle Born Batteries portfolio is designed to provide customers with a reliable, long-lasting, and highly efficient off-grid power source.</w:t>
      </w:r>
    </w:p>
    <w:p>
      <w:pPr>
        <w:spacing w:after="0" w:line="16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continue to leverage our proven sales and marketing strategy to efficiently penetrate our target end markets. We prioritize customer education through various channels, highlighting the distinct advantages of lithium-ion batteries over traditional lead-acid alternatives. Tradeshows, rallies, and industry events serve as key platforms for direct customer engagement, featuring product demonstrations, educational seminars, and opportunities for interaction with knowledgeable sales and technical experts. We further amplify our reach through a robust social media program, strategically partnering with content creators and industry influencers to disseminate product benefits to targeted audiences. Additionally, we cultivate relationships with industry publications to secure editorial coverage that informs and educates potential customers. We also employ a targeted pay-per-click (“PPC”) advertising campaigns across various platforms, including search engines, social media, and connected TV to efficiently convert high-intent customers at the bottom of the purchase funnel.</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59" w:name="page60"/>
    <w:bookmarkEnd w:id="59"/>
    <w:p>
      <w:pPr>
        <w:jc w:val="both"/>
        <w:ind w:left="7" w:right="20"/>
        <w:spacing w:after="0" w:line="255" w:lineRule="auto"/>
        <w:rPr>
          <w:sz w:val="20"/>
          <w:szCs w:val="20"/>
          <w:color w:val="auto"/>
        </w:rPr>
      </w:pPr>
      <w:r>
        <w:rPr>
          <w:rFonts w:ascii="Times New Roman" w:cs="Times New Roman" w:eastAsia="Times New Roman" w:hAnsi="Times New Roman"/>
          <w:sz w:val="16"/>
          <w:szCs w:val="16"/>
          <w:color w:val="auto"/>
        </w:rPr>
        <w:t>Drawing upon our success in collaborating with RV and marine OEMs, we have begun expanding into the heavy-duty trucking market. We are leveraging our expertise in designing and supporting lithium-ion storage systems to tailor solutions meeting specific requirements for fleets. These solutions have been adopted as factory options, demonstrating their value proposition for truck fleets seeking to:</w:t>
      </w:r>
    </w:p>
    <w:p>
      <w:pPr>
        <w:spacing w:after="0" w:line="160" w:lineRule="exact"/>
        <w:rPr>
          <w:sz w:val="20"/>
          <w:szCs w:val="20"/>
          <w:color w:val="auto"/>
        </w:rPr>
      </w:pPr>
    </w:p>
    <w:p>
      <w:pPr>
        <w:ind w:left="567" w:hanging="287"/>
        <w:spacing w:after="0"/>
        <w:tabs>
          <w:tab w:leader="none" w:pos="567"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diesel fuel costs: our technology delivers significant fuel savings, offering a rapid return on investment.</w:t>
      </w:r>
    </w:p>
    <w:p>
      <w:pPr>
        <w:spacing w:after="0" w:line="18" w:lineRule="exact"/>
        <w:rPr>
          <w:rFonts w:ascii="Times New Roman" w:cs="Times New Roman" w:eastAsia="Times New Roman" w:hAnsi="Times New Roman"/>
          <w:sz w:val="16"/>
          <w:szCs w:val="16"/>
          <w:color w:val="auto"/>
        </w:rPr>
      </w:pPr>
    </w:p>
    <w:p>
      <w:pPr>
        <w:ind w:left="567" w:right="20" w:hanging="287"/>
        <w:spacing w:after="0" w:line="243" w:lineRule="auto"/>
        <w:tabs>
          <w:tab w:leader="none" w:pos="567"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anti-idling regulations: Lithium-ion batteries enable efficient power management eliminating the need for long haul truck drivers to idle, thus aligning with increasingly stringent regulations.</w:t>
      </w:r>
    </w:p>
    <w:p>
      <w:pPr>
        <w:ind w:left="567" w:hanging="287"/>
        <w:spacing w:after="0"/>
        <w:tabs>
          <w:tab w:leader="none" w:pos="567"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 sustainability efforts: Transitioning to long lasting and greener lithium-ion solutions contributes to improved environmental impact.</w:t>
      </w:r>
    </w:p>
    <w:p>
      <w:pPr>
        <w:spacing w:after="0" w:line="174"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This strategic approach has resulted in successful pilot programs with fleets representing over 15% of the North American heavy-duty trucking market, and has already resulted in several new arrangements, including Stevens Transport and Highway Transport.</w:t>
      </w:r>
    </w:p>
    <w:p>
      <w:pPr>
        <w:spacing w:after="0" w:line="151" w:lineRule="exact"/>
        <w:rPr>
          <w:sz w:val="20"/>
          <w:szCs w:val="20"/>
          <w:color w:val="auto"/>
        </w:rPr>
      </w:pPr>
    </w:p>
    <w:p>
      <w:pPr>
        <w:jc w:val="both"/>
        <w:ind w:left="7"/>
        <w:spacing w:after="0" w:line="299" w:lineRule="auto"/>
        <w:rPr>
          <w:sz w:val="20"/>
          <w:szCs w:val="20"/>
          <w:color w:val="auto"/>
        </w:rPr>
      </w:pPr>
      <w:r>
        <w:rPr>
          <w:rFonts w:ascii="Times New Roman" w:cs="Times New Roman" w:eastAsia="Times New Roman" w:hAnsi="Times New Roman"/>
          <w:sz w:val="14"/>
          <w:szCs w:val="14"/>
          <w:color w:val="auto"/>
        </w:rPr>
        <w:t>In the Fall of 2024, a partnership with Alegacy – a packager of natural gas compression equipment – led to a successful demonstration of an uninterruptible battery powered vapor recovery unit (VRU) that exhibited methane leakage mitigation in a large (greater than 3000 hp) gas compression unit. We believe that this successful demonstration will pave the way for the aftermarket and OEM deployments of these lithium battery powered VRUs, beginning in 2025. The opportunity leverages our expertise in combining alternator charging and battery cycling, as well as our Class 1 Div 2 battery classification, which allows our battery systems to be deployed in the vicinity of oil &amp; gas pipelines.</w:t>
      </w:r>
    </w:p>
    <w:p>
      <w:pPr>
        <w:spacing w:after="0" w:line="131"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To augment our core lithium-ion battery pack business, we rely on our research and development department. The team has successfully developed innovative manufacturing processes for dry-electrode manufacturing of lithium-ion cells, and continues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66"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Industry Background</w:t>
      </w:r>
    </w:p>
    <w:p>
      <w:pPr>
        <w:spacing w:after="0" w:line="191"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For decades, lead-acid batteries have been the dominant player in power and energy markets worldwide. Since the introduction of the absorbed glass mat (“AGM”) lead-acid battery in the mid-1970s, the technological advancements in lead-acid battery technology have been limited. LFP batteries have numerous advantages over the incumbent lead-acid batteries used in today’s markets:</w:t>
      </w:r>
    </w:p>
    <w:p>
      <w:pPr>
        <w:spacing w:after="0" w:line="158" w:lineRule="exact"/>
        <w:rPr>
          <w:sz w:val="20"/>
          <w:szCs w:val="20"/>
          <w:color w:val="auto"/>
        </w:rPr>
      </w:pPr>
    </w:p>
    <w:p>
      <w:pPr>
        <w:jc w:val="both"/>
        <w:ind w:left="287" w:hanging="287"/>
        <w:spacing w:after="0" w:line="291" w:lineRule="auto"/>
        <w:tabs>
          <w:tab w:leader="none" w:pos="28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Environmentally Friendly, Socially Responsible and Safer. </w:t>
      </w:r>
      <w:r>
        <w:rPr>
          <w:rFonts w:ascii="Times New Roman" w:cs="Times New Roman" w:eastAsia="Times New Roman" w:hAnsi="Times New Roman"/>
          <w:sz w:val="14"/>
          <w:szCs w:val="14"/>
          <w:color w:val="auto"/>
        </w:rPr>
        <w:t>Lead-acid batteries that are not recycled or disposed of properly are extremely toxic and can cause areas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3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60" w:name="page61"/>
    <w:bookmarkEnd w:id="60"/>
    <w:p>
      <w:pPr>
        <w:jc w:val="both"/>
        <w:ind w:left="287" w:hanging="287"/>
        <w:spacing w:after="0" w:line="248" w:lineRule="auto"/>
        <w:tabs>
          <w:tab w:leader="none" w:pos="28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Longer Lifespan. </w:t>
      </w:r>
      <w:r>
        <w:rPr>
          <w:rFonts w:ascii="Times New Roman" w:cs="Times New Roman" w:eastAsia="Times New Roman" w:hAnsi="Times New Roman"/>
          <w:sz w:val="16"/>
          <w:szCs w:val="16"/>
          <w:color w:val="auto"/>
        </w:rPr>
        <w:t>Lithium-ion batteries have longer lifecycles compared to lead-acid batteries. LFP batteries are able to cycle (i.e., discharge and charge) 3,000 to 5,000 times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p>
      <w:pPr>
        <w:spacing w:after="0" w:line="166" w:lineRule="exact"/>
        <w:rPr>
          <w:rFonts w:ascii="Times New Roman" w:cs="Times New Roman" w:eastAsia="Times New Roman" w:hAnsi="Times New Roman"/>
          <w:sz w:val="16"/>
          <w:szCs w:val="16"/>
          <w:color w:val="auto"/>
        </w:rPr>
      </w:pPr>
    </w:p>
    <w:p>
      <w:pPr>
        <w:jc w:val="both"/>
        <w:ind w:left="287" w:hanging="287"/>
        <w:spacing w:after="0" w:line="250" w:lineRule="auto"/>
        <w:tabs>
          <w:tab w:leader="none" w:pos="28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Power and Performance. </w:t>
      </w:r>
      <w:r>
        <w:rPr>
          <w:rFonts w:ascii="Times New Roman" w:cs="Times New Roman" w:eastAsia="Times New Roman" w:hAnsi="Times New Roman"/>
          <w:sz w:val="16"/>
          <w:szCs w:val="16"/>
          <w:color w:val="auto"/>
        </w:rPr>
        <w:t>As new technologies evolve and people consume more electricity, the importance of battery power and performance increases. Compared to lead-acid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62" w:lineRule="exact"/>
        <w:rPr>
          <w:rFonts w:ascii="Times New Roman" w:cs="Times New Roman" w:eastAsia="Times New Roman" w:hAnsi="Times New Roman"/>
          <w:sz w:val="16"/>
          <w:szCs w:val="16"/>
          <w:color w:val="auto"/>
        </w:rPr>
      </w:pPr>
    </w:p>
    <w:p>
      <w:pPr>
        <w:jc w:val="both"/>
        <w:ind w:left="287" w:hanging="287"/>
        <w:spacing w:after="0" w:line="252" w:lineRule="auto"/>
        <w:tabs>
          <w:tab w:leader="none" w:pos="28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Charging. </w:t>
      </w:r>
      <w:r>
        <w:rPr>
          <w:rFonts w:ascii="Times New Roman" w:cs="Times New Roman" w:eastAsia="Times New Roman" w:hAnsi="Times New Roman"/>
          <w:sz w:val="16"/>
          <w:szCs w:val="16"/>
          <w:color w:val="auto"/>
        </w:rPr>
        <w:t>Lead-acid batteries were the first rechargeable batteries on the market. However, due to new advancements in energy density (i.e., the amount of energy stored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60" w:lineRule="exact"/>
        <w:rPr>
          <w:rFonts w:ascii="Times New Roman" w:cs="Times New Roman" w:eastAsia="Times New Roman" w:hAnsi="Times New Roman"/>
          <w:sz w:val="16"/>
          <w:szCs w:val="16"/>
          <w:color w:val="auto"/>
        </w:rPr>
      </w:pPr>
    </w:p>
    <w:p>
      <w:pPr>
        <w:jc w:val="both"/>
        <w:ind w:left="287" w:hanging="287"/>
        <w:spacing w:after="0" w:line="250" w:lineRule="auto"/>
        <w:tabs>
          <w:tab w:leader="none" w:pos="28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Maintenance-Free. </w:t>
      </w:r>
      <w:r>
        <w:rPr>
          <w:rFonts w:ascii="Times New Roman" w:cs="Times New Roman" w:eastAsia="Times New Roman" w:hAnsi="Times New Roman"/>
          <w:sz w:val="16"/>
          <w:szCs w:val="16"/>
          <w:color w:val="auto"/>
        </w:rPr>
        <w:t>LFP batteries provide the benefit of being a maintenance-free option compared to lead-acid batteries. Unlike lead-acid batteries which have no battery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1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End Markets</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Current Markets</w:t>
      </w:r>
    </w:p>
    <w:p>
      <w:pPr>
        <w:spacing w:after="0" w:line="191" w:lineRule="exact"/>
        <w:rPr>
          <w:sz w:val="20"/>
          <w:szCs w:val="20"/>
          <w:color w:val="auto"/>
        </w:rPr>
      </w:pPr>
    </w:p>
    <w:p>
      <w:pPr>
        <w:ind w:left="7" w:right="20"/>
        <w:spacing w:after="0" w:line="267" w:lineRule="auto"/>
        <w:rPr>
          <w:sz w:val="20"/>
          <w:szCs w:val="20"/>
          <w:color w:val="auto"/>
        </w:rPr>
      </w:pPr>
      <w:r>
        <w:rPr>
          <w:rFonts w:ascii="Times New Roman" w:cs="Times New Roman" w:eastAsia="Times New Roman" w:hAnsi="Times New Roman"/>
          <w:sz w:val="16"/>
          <w:szCs w:val="16"/>
          <w:color w:val="auto"/>
        </w:rPr>
        <w:t>According to a Frost and Sullivan report commissioned by us in 2021 (“Frost &amp; Sullivan”), the total addressable market (“TAM”) of our three current end markets was estimated to be approximately $12 billion by 2025.</w:t>
      </w:r>
    </w:p>
    <w:p>
      <w:pPr>
        <w:spacing w:after="0" w:line="149" w:lineRule="exact"/>
        <w:rPr>
          <w:sz w:val="20"/>
          <w:szCs w:val="20"/>
          <w:color w:val="auto"/>
        </w:rPr>
      </w:pPr>
    </w:p>
    <w:p>
      <w:pPr>
        <w:jc w:val="both"/>
        <w:ind w:left="287" w:hanging="287"/>
        <w:spacing w:after="0" w:line="287" w:lineRule="auto"/>
        <w:tabs>
          <w:tab w:leader="none" w:pos="28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Recreational Vehicles. </w:t>
      </w:r>
      <w:r>
        <w:rPr>
          <w:rFonts w:ascii="Times New Roman" w:cs="Times New Roman" w:eastAsia="Times New Roman" w:hAnsi="Times New Roman"/>
          <w:sz w:val="14"/>
          <w:szCs w:val="14"/>
          <w:color w:val="auto"/>
        </w:rPr>
        <w:t>The growth of the RV market is expected to continue to drive demand for LFP storage batteries. According to the 2025 RV Industry Association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(“RVIA”) Owner Demographic Profile, 16% of RV buyers are between the ages of 18 and 34. In addition, over a third of the respondents in the study (36%) are first-time owners, underscoring the growth of the industry in the past decade. RV interiors are becoming more modern as customers adopt the full-time RV lifestyle, with additional appliances and electronics being installed, increasing the need for reliable power.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2024 RV Market Report, approximately 89% of wholesale RV units shipping in 2025 are projected to be towable units, representing a significant growth opportunity for LFP batteries.</w:t>
      </w:r>
    </w:p>
    <w:p>
      <w:pPr>
        <w:spacing w:after="0" w:line="32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61" w:name="page62"/>
    <w:bookmarkEnd w:id="61"/>
    <w:p>
      <w:pPr>
        <w:jc w:val="both"/>
        <w:ind w:left="287" w:hanging="287"/>
        <w:spacing w:after="0" w:line="294" w:lineRule="auto"/>
        <w:tabs>
          <w:tab w:leader="none" w:pos="28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Marine Vessels. </w:t>
      </w:r>
      <w:r>
        <w:rPr>
          <w:rFonts w:ascii="Times New Roman" w:cs="Times New Roman" w:eastAsia="Times New Roman" w:hAnsi="Times New Roman"/>
          <w:sz w:val="14"/>
          <w:szCs w:val="14"/>
          <w:color w:val="auto"/>
        </w:rPr>
        <w:t>As boating becomes more popular in North America, the need for a reliable, non-flammable energy storage system is becoming increasingly apparent.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According to the 2020 Recreational Boating Statistics and the 2020 National Recreational Boating Safety Survey, in 2018 over 84 million Americans participated in some form of boating activity. There were a total of over 11.6 million registered boats on the water as of 2023.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34" w:lineRule="exact"/>
        <w:rPr>
          <w:rFonts w:ascii="Times New Roman" w:cs="Times New Roman" w:eastAsia="Times New Roman" w:hAnsi="Times New Roman"/>
          <w:sz w:val="14"/>
          <w:szCs w:val="14"/>
          <w:color w:val="auto"/>
        </w:rPr>
      </w:pPr>
    </w:p>
    <w:p>
      <w:pPr>
        <w:jc w:val="both"/>
        <w:ind w:left="287" w:hanging="287"/>
        <w:spacing w:after="0" w:line="248" w:lineRule="auto"/>
        <w:tabs>
          <w:tab w:leader="none" w:pos="28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Off-Grid Residences. </w:t>
      </w:r>
      <w:r>
        <w:rPr>
          <w:rFonts w:ascii="Times New Roman" w:cs="Times New Roman" w:eastAsia="Times New Roman" w:hAnsi="Times New Roman"/>
          <w:sz w:val="16"/>
          <w:szCs w:val="16"/>
          <w:color w:val="auto"/>
        </w:rPr>
        <w:t>Many people are turning to off-grid housing and, as individuals and governments become more conscious of their carbon footprint, a shift towards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(“SEIA”),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p>
      <w:pPr>
        <w:spacing w:after="0" w:line="16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Addressable Adjacent Markets</w:t>
      </w:r>
    </w:p>
    <w:p>
      <w:pPr>
        <w:spacing w:after="0" w:line="191" w:lineRule="exact"/>
        <w:rPr>
          <w:sz w:val="20"/>
          <w:szCs w:val="20"/>
          <w:color w:val="auto"/>
        </w:rPr>
      </w:pPr>
    </w:p>
    <w:p>
      <w:pPr>
        <w:jc w:val="both"/>
        <w:ind w:left="7" w:right="20"/>
        <w:spacing w:after="0" w:line="255" w:lineRule="auto"/>
        <w:rPr>
          <w:sz w:val="20"/>
          <w:szCs w:val="20"/>
          <w:color w:val="auto"/>
        </w:rPr>
      </w:pPr>
      <w:r>
        <w:rPr>
          <w:rFonts w:ascii="Times New Roman" w:cs="Times New Roman" w:eastAsia="Times New Roman" w:hAnsi="Times New Roman"/>
          <w:sz w:val="16"/>
          <w:szCs w:val="16"/>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w:t>
      </w:r>
    </w:p>
    <w:p>
      <w:pPr>
        <w:spacing w:after="0" w:line="158" w:lineRule="exact"/>
        <w:rPr>
          <w:sz w:val="20"/>
          <w:szCs w:val="20"/>
          <w:color w:val="auto"/>
        </w:rPr>
      </w:pPr>
    </w:p>
    <w:p>
      <w:pPr>
        <w:jc w:val="both"/>
        <w:ind w:left="287" w:hanging="287"/>
        <w:spacing w:after="0" w:line="246" w:lineRule="auto"/>
        <w:tabs>
          <w:tab w:leader="none" w:pos="28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Heavy Duty Truck. </w:t>
      </w:r>
      <w:r>
        <w:rPr>
          <w:rFonts w:ascii="Times New Roman" w:cs="Times New Roman" w:eastAsia="Times New Roman" w:hAnsi="Times New Roman"/>
          <w:sz w:val="16"/>
          <w:szCs w:val="16"/>
          <w:color w:val="auto"/>
        </w:rPr>
        <w:t>The heavy-duty truck market encompasses a broad range of vehicles designed for extensive commercial and industrial use, such as long-haul transport,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construction, and logistics. With more than 300,000 Class 8 units sold in 2022, the market demonstrates a robust demand for vehicles that are integral to the backbone of global commerce and infrastructure projects. As the demand for more efficient, sustainable, and reliable transportation solutions grows, the use of Auxiliary Power Units (“</w:t>
      </w:r>
      <w:r>
        <w:rPr>
          <w:rFonts w:ascii="Times New Roman" w:cs="Times New Roman" w:eastAsia="Times New Roman" w:hAnsi="Times New Roman"/>
          <w:sz w:val="16"/>
          <w:szCs w:val="16"/>
          <w:b w:val="1"/>
          <w:bCs w:val="1"/>
          <w:color w:val="auto"/>
        </w:rPr>
        <w:t>APUs</w:t>
      </w:r>
      <w:r>
        <w:rPr>
          <w:rFonts w:ascii="Times New Roman" w:cs="Times New Roman" w:eastAsia="Times New Roman" w:hAnsi="Times New Roman"/>
          <w:sz w:val="16"/>
          <w:szCs w:val="16"/>
          <w:color w:val="auto"/>
        </w:rPr>
        <w:t>”) in heavy duty trucks is becoming increasingly significant. APUs provide an alternative energy source for powering onboard systems and maintaining cabin comfort during rest periods, without the need for the main engine to run—thereby reducing fuel consumption and emissions. Additionally, the market opportunity extends to the electrification of Transport Refrigeration Units (“</w:t>
      </w:r>
      <w:r>
        <w:rPr>
          <w:rFonts w:ascii="Times New Roman" w:cs="Times New Roman" w:eastAsia="Times New Roman" w:hAnsi="Times New Roman"/>
          <w:sz w:val="16"/>
          <w:szCs w:val="16"/>
          <w:b w:val="1"/>
          <w:bCs w:val="1"/>
          <w:color w:val="auto"/>
        </w:rPr>
        <w:t>TRUs</w:t>
      </w:r>
      <w:r>
        <w:rPr>
          <w:rFonts w:ascii="Times New Roman" w:cs="Times New Roman" w:eastAsia="Times New Roman" w:hAnsi="Times New Roman"/>
          <w:sz w:val="16"/>
          <w:szCs w:val="16"/>
          <w:color w:val="auto"/>
        </w:rPr>
        <w:t>”) on trailers and smaller class refrigerated vehicles, which are crucial for the cold chain logistics sector. This shift towards electrification is driven by the need for more sustainable and efficient cooling solutions, reducing the carbon footprint of refrigerated transport. The expansion of global trade and the continuous push for lower emissions standards are driving the demand for heavy duty trucks equipped with APUs, as well as for the electrification of TRUs, highlighting a considerable market opportunity. This trend emphasizes the potential for advanced battery technologies not only as an environmental solution but also as a competitive advantage in the heavy-duty truck and refrigerated transport markets, offering a substantial retrofitting and market penetration opportunity for battery manufacturers and suppliers with the requisite expertise and product offerings.</w:t>
      </w:r>
    </w:p>
    <w:p>
      <w:pPr>
        <w:spacing w:after="0" w:line="166" w:lineRule="exact"/>
        <w:rPr>
          <w:rFonts w:ascii="Times New Roman" w:cs="Times New Roman" w:eastAsia="Times New Roman" w:hAnsi="Times New Roman"/>
          <w:sz w:val="16"/>
          <w:szCs w:val="16"/>
          <w:color w:val="auto"/>
        </w:rPr>
      </w:pPr>
    </w:p>
    <w:p>
      <w:pPr>
        <w:jc w:val="both"/>
        <w:ind w:left="287" w:right="20" w:hanging="287"/>
        <w:spacing w:after="0" w:line="250" w:lineRule="auto"/>
        <w:tabs>
          <w:tab w:leader="none" w:pos="28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Industrial / Material Handlings / Work Truck. </w:t>
      </w:r>
      <w:r>
        <w:rPr>
          <w:rFonts w:ascii="Times New Roman" w:cs="Times New Roman" w:eastAsia="Times New Roman" w:hAnsi="Times New Roman"/>
          <w:sz w:val="16"/>
          <w:szCs w:val="16"/>
          <w:color w:val="auto"/>
        </w:rPr>
        <w:t>The industrial vehicle market includes work trucks, material handling and warehousing equipment and compact construction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equipment. As industrial vehicles increase in terms of automation and incorporate more onboard tools, the need for a long 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1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62" w:name="page63"/>
    <w:bookmarkEnd w:id="62"/>
    <w:p>
      <w:pPr>
        <w:jc w:val="both"/>
        <w:ind w:left="287" w:hanging="287"/>
        <w:spacing w:after="0" w:line="250" w:lineRule="auto"/>
        <w:tabs>
          <w:tab w:leader="none" w:pos="28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Specialty Vehicles. </w:t>
      </w:r>
      <w:r>
        <w:rPr>
          <w:rFonts w:ascii="Times New Roman" w:cs="Times New Roman" w:eastAsia="Times New Roman" w:hAnsi="Times New Roman"/>
          <w:sz w:val="16"/>
          <w:szCs w:val="16"/>
          <w:color w:val="auto"/>
        </w:rPr>
        <w:t>According to Mordor Intelligence, as of 2019, approximately 40% of the specialty vehicle market in the United States consists of medical and healthcare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62" w:lineRule="exact"/>
        <w:rPr>
          <w:rFonts w:ascii="Times New Roman" w:cs="Times New Roman" w:eastAsia="Times New Roman" w:hAnsi="Times New Roman"/>
          <w:sz w:val="16"/>
          <w:szCs w:val="16"/>
          <w:color w:val="auto"/>
        </w:rPr>
      </w:pPr>
    </w:p>
    <w:p>
      <w:pPr>
        <w:jc w:val="both"/>
        <w:ind w:left="287" w:hanging="287"/>
        <w:spacing w:after="0" w:line="291" w:lineRule="auto"/>
        <w:tabs>
          <w:tab w:leader="none" w:pos="28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Emergency and Standby Power. </w:t>
      </w:r>
      <w:r>
        <w:rPr>
          <w:rFonts w:ascii="Times New Roman" w:cs="Times New Roman" w:eastAsia="Times New Roman" w:hAnsi="Times New Roman"/>
          <w:sz w:val="14"/>
          <w:szCs w:val="14"/>
          <w:color w:val="auto"/>
        </w:rPr>
        <w:t>Demand for reliable emergency and standby power sources is expected to continue to drive demand for effective power storage for residential,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35" w:lineRule="exact"/>
        <w:rPr>
          <w:rFonts w:ascii="Times New Roman" w:cs="Times New Roman" w:eastAsia="Times New Roman" w:hAnsi="Times New Roman"/>
          <w:sz w:val="14"/>
          <w:szCs w:val="14"/>
          <w:color w:val="auto"/>
        </w:rPr>
      </w:pPr>
    </w:p>
    <w:p>
      <w:pPr>
        <w:jc w:val="both"/>
        <w:ind w:left="287" w:hanging="287"/>
        <w:spacing w:after="0" w:line="248" w:lineRule="auto"/>
        <w:tabs>
          <w:tab w:leader="none" w:pos="28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Telecom. </w:t>
      </w:r>
      <w:r>
        <w:rPr>
          <w:rFonts w:ascii="Times New Roman" w:cs="Times New Roman" w:eastAsia="Times New Roman" w:hAnsi="Times New Roman"/>
          <w:sz w:val="16"/>
          <w:szCs w:val="16"/>
          <w:color w:val="auto"/>
        </w:rPr>
        <w:t>Demand for mobile data continues to increase and network providers are investing heavily in 5G networks, particularly in unserved and underserved regions,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66" w:lineRule="exact"/>
        <w:rPr>
          <w:rFonts w:ascii="Times New Roman" w:cs="Times New Roman" w:eastAsia="Times New Roman" w:hAnsi="Times New Roman"/>
          <w:sz w:val="16"/>
          <w:szCs w:val="16"/>
          <w:color w:val="auto"/>
        </w:rPr>
      </w:pPr>
    </w:p>
    <w:p>
      <w:pPr>
        <w:jc w:val="both"/>
        <w:ind w:left="287" w:hanging="287"/>
        <w:spacing w:after="0" w:line="248" w:lineRule="auto"/>
        <w:tabs>
          <w:tab w:leader="none" w:pos="28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Rail. </w:t>
      </w:r>
      <w:r>
        <w:rPr>
          <w:rFonts w:ascii="Times New Roman" w:cs="Times New Roman" w:eastAsia="Times New Roman" w:hAnsi="Times New Roman"/>
          <w:sz w:val="16"/>
          <w:szCs w:val="16"/>
          <w:color w:val="auto"/>
        </w:rPr>
        <w:t>Rail transportation is a large potential market, with an estimated U.S. market size of $110.1 billion in 2023, according to IBISWorld. Many railroad operators have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66" w:lineRule="exact"/>
        <w:rPr>
          <w:rFonts w:ascii="Times New Roman" w:cs="Times New Roman" w:eastAsia="Times New Roman" w:hAnsi="Times New Roman"/>
          <w:sz w:val="16"/>
          <w:szCs w:val="16"/>
          <w:color w:val="auto"/>
        </w:rPr>
      </w:pPr>
    </w:p>
    <w:p>
      <w:pPr>
        <w:jc w:val="both"/>
        <w:ind w:left="287" w:hanging="287"/>
        <w:spacing w:after="0" w:line="248" w:lineRule="auto"/>
        <w:tabs>
          <w:tab w:leader="none" w:pos="28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Data Centers. </w:t>
      </w:r>
      <w:r>
        <w:rPr>
          <w:rFonts w:ascii="Times New Roman" w:cs="Times New Roman" w:eastAsia="Times New Roman" w:hAnsi="Times New Roman"/>
          <w:sz w:val="16"/>
          <w:szCs w:val="16"/>
          <w:color w:val="auto"/>
        </w:rPr>
        <w:t>Data centers have seen strong growth in recent years, with over 5,000 data centers in the United States as of September 2023 according to Statista. Constant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6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63" w:name="page64"/>
    <w:bookmarkEnd w:id="63"/>
    <w:p>
      <w:pPr>
        <w:jc w:val="both"/>
        <w:ind w:left="287" w:hanging="287"/>
        <w:spacing w:after="0" w:line="247" w:lineRule="auto"/>
        <w:tabs>
          <w:tab w:leader="none" w:pos="28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On-grid Storage. </w:t>
      </w:r>
      <w:r>
        <w:rPr>
          <w:rFonts w:ascii="Times New Roman" w:cs="Times New Roman" w:eastAsia="Times New Roman" w:hAnsi="Times New Roman"/>
          <w:sz w:val="16"/>
          <w:szCs w:val="16"/>
          <w:color w:val="auto"/>
        </w:rPr>
        <w:t>On-grid energy storage is used on a large-scale platform within an electrical power grid in conjunction with variable renewable energy sources such as solar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Our Competitive Strengths</w:t>
      </w:r>
    </w:p>
    <w:p>
      <w:pPr>
        <w:spacing w:after="0" w:line="191" w:lineRule="exact"/>
        <w:rPr>
          <w:sz w:val="20"/>
          <w:szCs w:val="20"/>
          <w:color w:val="auto"/>
        </w:rPr>
      </w:pPr>
    </w:p>
    <w:p>
      <w:pPr>
        <w:ind w:left="7"/>
        <w:spacing w:after="0" w:line="267" w:lineRule="auto"/>
        <w:rPr>
          <w:sz w:val="20"/>
          <w:szCs w:val="20"/>
          <w:color w:val="auto"/>
        </w:rPr>
      </w:pPr>
      <w:r>
        <w:rPr>
          <w:rFonts w:ascii="Times New Roman" w:cs="Times New Roman" w:eastAsia="Times New Roman" w:hAnsi="Times New Roman"/>
          <w:sz w:val="16"/>
          <w:szCs w:val="16"/>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49" w:lineRule="exact"/>
        <w:rPr>
          <w:sz w:val="20"/>
          <w:szCs w:val="20"/>
          <w:color w:val="auto"/>
        </w:rPr>
      </w:pPr>
    </w:p>
    <w:p>
      <w:pPr>
        <w:jc w:val="both"/>
        <w:ind w:left="287" w:hanging="287"/>
        <w:spacing w:after="0" w:line="248" w:lineRule="auto"/>
        <w:tabs>
          <w:tab w:leader="none" w:pos="28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Premier Lithium-Ion Battery Technology. </w:t>
      </w:r>
      <w:r>
        <w:rPr>
          <w:rFonts w:ascii="Times New Roman" w:cs="Times New Roman" w:eastAsia="Times New Roman" w:hAnsi="Times New Roman"/>
          <w:sz w:val="16"/>
          <w:szCs w:val="16"/>
          <w:color w:val="auto"/>
        </w:rPr>
        <w:t>Each of our innovative batteries features custom designed components to enhance power and performance in any application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p>
      <w:pPr>
        <w:spacing w:after="0" w:line="166" w:lineRule="exact"/>
        <w:rPr>
          <w:rFonts w:ascii="Times New Roman" w:cs="Times New Roman" w:eastAsia="Times New Roman" w:hAnsi="Times New Roman"/>
          <w:sz w:val="16"/>
          <w:szCs w:val="16"/>
          <w:color w:val="auto"/>
        </w:rPr>
      </w:pPr>
    </w:p>
    <w:p>
      <w:pPr>
        <w:jc w:val="both"/>
        <w:ind w:left="287" w:hanging="287"/>
        <w:spacing w:after="0" w:line="257" w:lineRule="auto"/>
        <w:tabs>
          <w:tab w:leader="none" w:pos="28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Extensive, Growing Patent Portfolio. </w:t>
      </w:r>
      <w:r>
        <w:rPr>
          <w:rFonts w:ascii="Times New Roman" w:cs="Times New Roman" w:eastAsia="Times New Roman" w:hAnsi="Times New Roman"/>
          <w:sz w:val="16"/>
          <w:szCs w:val="16"/>
          <w:color w:val="auto"/>
        </w:rPr>
        <w:t>We have developed and filed patent applications on commercially relevant aspects of our business including chemical compositions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systems and production processes. To date, we have owned 44 issued patents, with an additional 39 patent applications pending, in the United States, Canada, Australia, Korea, Japan, India, China, and Europe (with individual patents in Germany, France and the United Kingdom).</w:t>
      </w:r>
    </w:p>
    <w:p>
      <w:pPr>
        <w:spacing w:after="0" w:line="155" w:lineRule="exact"/>
        <w:rPr>
          <w:rFonts w:ascii="Times New Roman" w:cs="Times New Roman" w:eastAsia="Times New Roman" w:hAnsi="Times New Roman"/>
          <w:sz w:val="16"/>
          <w:szCs w:val="16"/>
          <w:color w:val="auto"/>
        </w:rPr>
      </w:pPr>
    </w:p>
    <w:p>
      <w:pPr>
        <w:jc w:val="both"/>
        <w:ind w:left="287" w:hanging="287"/>
        <w:spacing w:after="0" w:line="250" w:lineRule="auto"/>
        <w:tabs>
          <w:tab w:leader="none" w:pos="28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Proven Go-To-Market Strategy. </w:t>
      </w:r>
      <w:r>
        <w:rPr>
          <w:rFonts w:ascii="Times New Roman" w:cs="Times New Roman" w:eastAsia="Times New Roman" w:hAnsi="Times New Roman"/>
          <w:sz w:val="16"/>
          <w:szCs w:val="16"/>
          <w:color w:val="auto"/>
        </w:rPr>
        <w:t>We have successfully established a DTC platform and have developed strong working relationships with major OEMs and fleets in the RV,</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marine and heavy trucking markets. We custom design and engineer storage systems for new and existing applications. We see opportunities to continue to leverage our success in the aftermarket to expand our relationships to other leading OEMs, fleets, and distributors while further enhancing our DTC offerings. Extensive informational videos and exceptional customer service provide sales, technical and hands-on service support to facilitate consumer transition from traditional lead-acid or incumbent lithium-ion batteries to our products.</w:t>
      </w:r>
    </w:p>
    <w:p>
      <w:pPr>
        <w:spacing w:after="0" w:line="162" w:lineRule="exact"/>
        <w:rPr>
          <w:rFonts w:ascii="Times New Roman" w:cs="Times New Roman" w:eastAsia="Times New Roman" w:hAnsi="Times New Roman"/>
          <w:sz w:val="16"/>
          <w:szCs w:val="16"/>
          <w:color w:val="auto"/>
        </w:rPr>
      </w:pPr>
    </w:p>
    <w:p>
      <w:pPr>
        <w:jc w:val="both"/>
        <w:ind w:left="287" w:hanging="287"/>
        <w:spacing w:after="0" w:line="252" w:lineRule="auto"/>
        <w:tabs>
          <w:tab w:leader="none" w:pos="28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Established Customer Base with Brand Recognition. </w:t>
      </w:r>
      <w:r>
        <w:rPr>
          <w:rFonts w:ascii="Times New Roman" w:cs="Times New Roman" w:eastAsia="Times New Roman" w:hAnsi="Times New Roman"/>
          <w:sz w:val="16"/>
          <w:szCs w:val="16"/>
          <w:color w:val="auto"/>
        </w:rPr>
        <w:t>We have a growing customer base of more than 23,000 customers featuring OEMs, distributors, upfitters and end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consumers across diverse end markets and applications including RV, marine vessels and off-grid residences. Customer demand and brand recognition of Battle Born batteries from an aftermarket sales perspective have helped drive significant adoption from OEMs and fleets with visibility for future growth through further expansion of our existing relationships.</w:t>
      </w:r>
    </w:p>
    <w:p>
      <w:pPr>
        <w:spacing w:after="0" w:line="160" w:lineRule="exact"/>
        <w:rPr>
          <w:rFonts w:ascii="Times New Roman" w:cs="Times New Roman" w:eastAsia="Times New Roman" w:hAnsi="Times New Roman"/>
          <w:sz w:val="16"/>
          <w:szCs w:val="16"/>
          <w:color w:val="auto"/>
        </w:rPr>
      </w:pPr>
    </w:p>
    <w:p>
      <w:pPr>
        <w:ind w:left="287" w:right="20" w:hanging="287"/>
        <w:spacing w:after="0" w:line="343" w:lineRule="auto"/>
        <w:tabs>
          <w:tab w:leader="none" w:pos="28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High Quality Manufacturing Process. </w:t>
      </w:r>
      <w:r>
        <w:rPr>
          <w:rFonts w:ascii="Times New Roman" w:cs="Times New Roman" w:eastAsia="Times New Roman" w:hAnsi="Times New Roman"/>
          <w:sz w:val="14"/>
          <w:szCs w:val="14"/>
          <w:color w:val="auto"/>
        </w:rPr>
        <w:t>Unlike competitors that outsource their manufacturing processes, our batteries are designed, assembled and tested in the United States,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ensuring that our manufacturing process is thoroughly tested and our batteries are of the highest quality as a result of governmental regulations for performance and safety.</w:t>
      </w:r>
    </w:p>
    <w:p>
      <w:pPr>
        <w:spacing w:after="0" w:line="10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64" w:name="page65"/>
    <w:bookmarkEnd w:id="64"/>
    <w:p>
      <w:pPr>
        <w:jc w:val="both"/>
        <w:ind w:left="287" w:hanging="287"/>
        <w:spacing w:after="0" w:line="294" w:lineRule="auto"/>
        <w:tabs>
          <w:tab w:leader="none" w:pos="28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Drop-in Replacement. </w:t>
      </w:r>
      <w:r>
        <w:rPr>
          <w:rFonts w:ascii="Times New Roman" w:cs="Times New Roman" w:eastAsia="Times New Roman" w:hAnsi="Times New Roman"/>
          <w:sz w:val="14"/>
          <w:szCs w:val="14"/>
          <w:color w:val="auto"/>
        </w:rPr>
        <w:t>Our battery modules are largely designed to be “drop-in replacements” for traditional lead-acid batteries, which means that they are designed to fit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3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1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We intend to leverage our competitive strengths, technology leadership and market share position to pursue our growth strategy through the following:</w:t>
      </w:r>
    </w:p>
    <w:p>
      <w:pPr>
        <w:spacing w:after="0" w:line="187" w:lineRule="exact"/>
        <w:rPr>
          <w:sz w:val="20"/>
          <w:szCs w:val="20"/>
          <w:color w:val="auto"/>
        </w:rPr>
      </w:pPr>
    </w:p>
    <w:p>
      <w:pPr>
        <w:jc w:val="both"/>
        <w:ind w:left="287" w:hanging="287"/>
        <w:spacing w:after="0" w:line="250" w:lineRule="auto"/>
        <w:tabs>
          <w:tab w:leader="none" w:pos="28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Expand Product Offerings. </w:t>
      </w:r>
      <w:r>
        <w:rPr>
          <w:rFonts w:ascii="Times New Roman" w:cs="Times New Roman" w:eastAsia="Times New Roman" w:hAnsi="Times New Roman"/>
          <w:sz w:val="16"/>
          <w:szCs w:val="16"/>
          <w:color w:val="auto"/>
        </w:rPr>
        <w:t>In the short-term, our aim is to further diversify our product offerings to give consumers, as well as OEMs and distributors, more options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additional applications. We intend to launch and scale production of additional 12 voltage and 24 voltage batteries and we have recently introduced 48 voltage battery systems, which we believe will extend our market reach in each of our targeted end markets. Additionally, in 2024, we began selling to both OEM customers and retail consumers batteries having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p>
      <w:pPr>
        <w:spacing w:after="0" w:line="162" w:lineRule="exact"/>
        <w:rPr>
          <w:rFonts w:ascii="Times New Roman" w:cs="Times New Roman" w:eastAsia="Times New Roman" w:hAnsi="Times New Roman"/>
          <w:sz w:val="16"/>
          <w:szCs w:val="16"/>
          <w:color w:val="auto"/>
        </w:rPr>
      </w:pPr>
    </w:p>
    <w:p>
      <w:pPr>
        <w:jc w:val="both"/>
        <w:ind w:left="287" w:hanging="287"/>
        <w:spacing w:after="0" w:line="310" w:lineRule="auto"/>
        <w:tabs>
          <w:tab w:leader="none" w:pos="28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Expand End Markets. </w:t>
      </w:r>
      <w:r>
        <w:rPr>
          <w:rFonts w:ascii="Times New Roman" w:cs="Times New Roman" w:eastAsia="Times New Roman" w:hAnsi="Times New Roman"/>
          <w:sz w:val="14"/>
          <w:szCs w:val="14"/>
          <w:color w:val="auto"/>
        </w:rPr>
        <w:t>We have identified additional end markets that we believe in the medium- to longer-term will increasingly look to alternative energy solutions, such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LFP batteries. Markets, such as long-haul trucking,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23" w:lineRule="exact"/>
        <w:rPr>
          <w:rFonts w:ascii="Times New Roman" w:cs="Times New Roman" w:eastAsia="Times New Roman" w:hAnsi="Times New Roman"/>
          <w:sz w:val="14"/>
          <w:szCs w:val="14"/>
          <w:color w:val="auto"/>
        </w:rPr>
      </w:pPr>
    </w:p>
    <w:p>
      <w:pPr>
        <w:jc w:val="both"/>
        <w:ind w:left="287" w:hanging="287"/>
        <w:spacing w:after="0" w:line="248" w:lineRule="auto"/>
        <w:tabs>
          <w:tab w:leader="none" w:pos="28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Commercialize our Dry Electrode Cell Manufacturing Technology. </w:t>
      </w:r>
      <w:r>
        <w:rPr>
          <w:rFonts w:ascii="Times New Roman" w:cs="Times New Roman" w:eastAsia="Times New Roman" w:hAnsi="Times New Roman"/>
          <w:sz w:val="16"/>
          <w:szCs w:val="16"/>
          <w:color w:val="auto"/>
        </w:rPr>
        <w:t>In July 2023, we completed the construction of our proprietary and patented cell manufacturing pilot line.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patented dry deposition process is chemistry agnostic – meaning it can produce battery cells across a variety of chemistries – and is less capital intensive, uses less energy, and can produce cells in a smaller manufacturing footprint, leading to a lower total cost of manufacturing. In August 2023, we successfully demonstrated the ability to produce anode material at scale using this manufacturing process and did the same with cathode material in October 2023. We have since produced sample cells using PFAS-free binders and automotive-grade electrode loadings and C-rates, and are now working on the design and deployment of scaled-up coating equipment that can be applied to a GWh-scale factory, reflecting the shift in industry priorities from cell performance to cost-effective scalability.</w:t>
      </w:r>
    </w:p>
    <w:p>
      <w:pPr>
        <w:spacing w:after="0" w:line="166" w:lineRule="exact"/>
        <w:rPr>
          <w:rFonts w:ascii="Times New Roman" w:cs="Times New Roman" w:eastAsia="Times New Roman" w:hAnsi="Times New Roman"/>
          <w:sz w:val="16"/>
          <w:szCs w:val="16"/>
          <w:color w:val="auto"/>
        </w:rPr>
      </w:pPr>
    </w:p>
    <w:p>
      <w:pPr>
        <w:jc w:val="both"/>
        <w:ind w:left="287" w:hanging="287"/>
        <w:spacing w:after="0" w:line="257" w:lineRule="auto"/>
        <w:tabs>
          <w:tab w:leader="none" w:pos="28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Develop and Commercialize Solid-State Technology. </w:t>
      </w:r>
      <w:r>
        <w:rPr>
          <w:rFonts w:ascii="Times New Roman" w:cs="Times New Roman" w:eastAsia="Times New Roman" w:hAnsi="Times New Roman"/>
          <w:sz w:val="16"/>
          <w:szCs w:val="16"/>
          <w:color w:val="auto"/>
        </w:rPr>
        <w:t>We believe solid-state technology presents a significant advantage to all products currently on the market, with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potential 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5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Our Products and Technology</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Chemistry Comparison</w:t>
      </w:r>
    </w:p>
    <w:p>
      <w:pPr>
        <w:spacing w:after="0" w:line="191"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spacing w:after="0" w:line="1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65" w:name="page66"/>
    <w:bookmarkEnd w:id="65"/>
    <w:p>
      <w:pPr>
        <w:jc w:val="both"/>
        <w:spacing w:after="0" w:line="249" w:lineRule="auto"/>
        <w:rPr>
          <w:sz w:val="20"/>
          <w:szCs w:val="20"/>
          <w:color w:val="auto"/>
        </w:rPr>
      </w:pPr>
      <w:r>
        <w:rPr>
          <w:rFonts w:ascii="Times New Roman" w:cs="Times New Roman" w:eastAsia="Times New Roman" w:hAnsi="Times New Roman"/>
          <w:sz w:val="16"/>
          <w:szCs w:val="16"/>
          <w:color w:val="auto"/>
        </w:rPr>
        <w:t>There are several dominant battery chemistries in the lithium-ion market that can be used for different purposes. Two widely adopted chemistries found in the market today are nickel manganese cobalt (“NMC”), and nickel cobalt aluminum (“NCA”). The higher energy density and shorter cycle life found in NMC and NCA batteries are suitable for markets where fast charging and high energy density are required, such as electric vehicle (“EV”)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115570</wp:posOffset>
            </wp:positionV>
            <wp:extent cx="6817360" cy="20897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17360" cy="2089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Times New Roman" w:cs="Times New Roman" w:eastAsia="Times New Roman" w:hAnsi="Times New Roman"/>
          <w:sz w:val="16"/>
          <w:szCs w:val="16"/>
          <w:i w:val="1"/>
          <w:iCs w:val="1"/>
          <w:color w:val="auto"/>
        </w:rPr>
        <w:t>Lithium and Cobalt: A tale of two commodities</w:t>
      </w:r>
      <w:r>
        <w:rPr>
          <w:rFonts w:ascii="Times New Roman" w:cs="Times New Roman" w:eastAsia="Times New Roman" w:hAnsi="Times New Roman"/>
          <w:sz w:val="16"/>
          <w:szCs w:val="16"/>
          <w:color w:val="auto"/>
        </w:rPr>
        <w:t>”,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as compared to NMC and NCA batteries, making LFP batteries less flammable and safer.</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 loaded cost of energy (production and storage) approaches cost parity with inexpensive fossil fuel energy provided through the electric grid. Compared to NMC and NCA batteries, LFP batteries are at or much closer to grid parity.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Dry Electrode Cell Manufacturing Technology</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Since our inception, we have been developing proprietary dry-electrode manufacturing processes for which we have issued patents and pending patent applications, where appropriate. Dry-electrode manufacturing eliminates the use of toxic and expensive solvents and energy-intensive drying ovens in the cell manufacturing process. This in turn reduces the energy usage, space requirements, carbon footprint, and overall cost as compared to conventional slurry-based methods. Furthermore, the manufacturing technology is chemistry agnostic – meaning it can produce battery cells across a variety of different chemistries and application use cases. In 2023, we completed the construction of our dry-electrode manufacturing pilot line, demonstrated the ability to produce Anode and Cathode electrode tapes at scale using this manufacturing process. We have developed sample cells for prospective customers across a variety of chemistries and end-markets and are designing equipment for scaled production of full cells.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66" w:name="page67"/>
    <w:bookmarkEnd w:id="66"/>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Solid-State Cells</w:t>
      </w:r>
    </w:p>
    <w:p>
      <w:pPr>
        <w:spacing w:after="0" w:line="191"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color w:val="auto"/>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66" w:lineRule="exact"/>
        <w:rPr>
          <w:sz w:val="20"/>
          <w:szCs w:val="20"/>
          <w:color w:val="auto"/>
        </w:rPr>
      </w:pPr>
    </w:p>
    <w:p>
      <w:pPr>
        <w:jc w:val="both"/>
        <w:ind w:left="7"/>
        <w:spacing w:after="0" w:line="293" w:lineRule="auto"/>
        <w:rPr>
          <w:sz w:val="20"/>
          <w:szCs w:val="20"/>
          <w:color w:val="auto"/>
        </w:rPr>
      </w:pPr>
      <w:r>
        <w:rPr>
          <w:rFonts w:ascii="Times New Roman" w:cs="Times New Roman" w:eastAsia="Times New Roman" w:hAnsi="Times New Roman"/>
          <w:sz w:val="14"/>
          <w:szCs w:val="14"/>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 w:cs="Times New Roman" w:eastAsia="Times New Roman" w:hAnsi="Times New Roman"/>
          <w:sz w:val="14"/>
          <w:szCs w:val="14"/>
          <w:i w:val="1"/>
          <w:iCs w:val="1"/>
          <w:color w:val="auto"/>
        </w:rPr>
        <w:t>Research and Development</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Our Products</w:t>
      </w:r>
    </w:p>
    <w:p>
      <w:pPr>
        <w:spacing w:after="0" w:line="191"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We provide various industries with clean, reliable, and efficient power solutions through our comprehensive product portfolio. These products and solutions are sold to both OEMs and retail customers.</w:t>
      </w:r>
    </w:p>
    <w:p>
      <w:pPr>
        <w:spacing w:after="0" w:line="151"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Our lead product line is Battle Born Batteries product line, respected for its exceptional performance and durability. When compared to traditional lead-acid options, Battle Born Batteries deliver two to three times the power in the same physical space, one-fifth the weight for equal usable power, and up to five times faster charging. Additionally, these batteries have extended lifespans of 3,000-5,000 cycles, translating to ten to fifteen years of reliable use under typical conditions. This longevity is backed by our 10-year warranty, showcasing our commitment to quality. The Battle Born Batteries product line currently features various sizes and configurations including models with proprietary built-in heating for cold weather charging and Dragonfly IntelLigence™, a communication technology that unlocks real-time monitoring, instant notifications, various protocol integration and superior battery protection. A focus on safety is central to our products, and all Battle Born Battery products utilize LiFePO4 chemistry, the safest lithium-ion chemistry available on the market. Additionally, our battery products undergo rigorous testing under stringent industry standards like UL Standard 2054, IEC 62133, UN 38.3 and IP65 to ensure safety and reliability.</w:t>
      </w:r>
    </w:p>
    <w:p>
      <w:pPr>
        <w:spacing w:after="0" w:line="1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Looking beyond batteries, we also offer a diverse range of power products.</w:t>
      </w:r>
    </w:p>
    <w:p>
      <w:pPr>
        <w:spacing w:after="0" w:line="189" w:lineRule="exact"/>
        <w:rPr>
          <w:sz w:val="20"/>
          <w:szCs w:val="20"/>
          <w:color w:val="auto"/>
        </w:rPr>
      </w:pPr>
    </w:p>
    <w:p>
      <w:pPr>
        <w:jc w:val="both"/>
        <w:ind w:left="287" w:hanging="287"/>
        <w:spacing w:after="0" w:line="251" w:lineRule="auto"/>
        <w:tabs>
          <w:tab w:leader="none" w:pos="287"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Wakespeed Advanced Alternator Regulator, WS500, utilizes current, voltage, and temperature to deliver precise and effective charging of battery banks via an alternator. Its intelligent control leverages advanced multi-PID engine technology to ensure the most accurate charging available, simplifying installation, configuration, and operation. The WS500 offers superior protection for both lead-acid and lithium battery chemistries, making it a valuable investment for optimizing power management and extending battery life.</w:t>
      </w:r>
    </w:p>
    <w:p>
      <w:pPr>
        <w:spacing w:after="0" w:line="163" w:lineRule="exact"/>
        <w:rPr>
          <w:rFonts w:ascii="Times New Roman" w:cs="Times New Roman" w:eastAsia="Times New Roman" w:hAnsi="Times New Roman"/>
          <w:sz w:val="16"/>
          <w:szCs w:val="16"/>
          <w:color w:val="auto"/>
        </w:rPr>
      </w:pPr>
    </w:p>
    <w:p>
      <w:pPr>
        <w:jc w:val="both"/>
        <w:ind w:left="287" w:hanging="287"/>
        <w:spacing w:after="0" w:line="251" w:lineRule="auto"/>
        <w:tabs>
          <w:tab w:leader="none" w:pos="287"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Battle Born Batteries Lithium Power Pack Series features all-in-one power solutions for RVs, vans, and other mobile, off-grid, and industrial applications. These pre-wired, ready-to-go systems make the upgrade to lithium simple with easy installation into RVs or other applications. Designed with the dimensions and mounting points of traditional generators in mind, Lithium Power Packs are made to be quiet, sustainable, and simple drop-in replacements, allowing customers to eliminate generator fuel and noise. Custom configurations of Lithium Power Pack products are available for dealers and OEMs to size these all-in-one solutions to their specific needs.</w:t>
      </w:r>
    </w:p>
    <w:p>
      <w:pPr>
        <w:spacing w:after="0" w:line="1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67" w:name="page68"/>
    <w:bookmarkEnd w:id="67"/>
    <w:p>
      <w:pPr>
        <w:jc w:val="both"/>
        <w:ind w:left="287" w:hanging="287"/>
        <w:spacing w:after="0" w:line="309" w:lineRule="auto"/>
        <w:tabs>
          <w:tab w:leader="none" w:pos="287"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for the demanding world of heavy-duty trucking, our Battle Born All-Electric APU leverages a lithium battery system to empower drivers with long lasting power for their hotel loads. This upgrade eliminates the need for idling and its associated fuel costs and emissions—this APU provides power to run a truck’s HVAC, appliances, and electronics during mandatory rest periods. The Battle Born All Electric APU is pre-assembled and pre-wired, seamlessly integrating into a truck’s frame rails.</w:t>
      </w:r>
    </w:p>
    <w:p>
      <w:pPr>
        <w:spacing w:after="0" w:line="125"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Additionally, as a distributor of leading brands like Victron, Schneider, and REDARC, we act as a one-stop shop for full system integration, catering to both OEMs and retail customers. Our complete offering allows customers to benefit from clean and sustainable power, extended lifespans, reduced costs, increased efficiency, and seamless integration - all backed by expert service and support.</w:t>
      </w:r>
    </w:p>
    <w:p>
      <w:pPr>
        <w:spacing w:after="0" w:line="1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Battery Management System</w:t>
      </w:r>
    </w:p>
    <w:p>
      <w:pPr>
        <w:spacing w:after="0" w:line="191"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51" w:lineRule="exact"/>
        <w:rPr>
          <w:sz w:val="20"/>
          <w:szCs w:val="20"/>
          <w:color w:val="auto"/>
        </w:rPr>
      </w:pPr>
    </w:p>
    <w:p>
      <w:pPr>
        <w:ind w:left="287" w:hanging="287"/>
        <w:spacing w:after="0"/>
        <w:tabs>
          <w:tab w:leader="none" w:pos="28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enables batteries to draw power under 135 degrees Fahrenheit, and is designed to cut off charging at 24 degrees Fahrenheit to protect cells;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actively monitors the rate of change of currents to detect and prevent short circuiting, and also protects against potential ground faults;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allows for up to an average of 300 amps continuously, 500 amp surges for 30 seconds, and momentary, half second maximum capacity surges;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enables batteries to recharge even if completely drained;</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utilizes larger resistors to ensure balanced loads to improve performance and extend useful life; and</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facilitates scalability by enabling batteries to be combined in parallel and in series.</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Battery Communication System</w:t>
      </w:r>
    </w:p>
    <w:p>
      <w:pPr>
        <w:spacing w:after="0" w:line="191"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began offering the Dragonfly IntelLigence product line to OEMs in the third quarter of 2024, and to retail consumers in the fourth quarter of 2024.</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Alternator Regulation</w:t>
      </w:r>
    </w:p>
    <w:p>
      <w:pPr>
        <w:spacing w:after="0" w:line="191"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has allowed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spacing w:after="0" w:line="1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68" w:name="page69"/>
    <w:bookmarkEnd w:id="68"/>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Product Pipeline</w:t>
      </w:r>
    </w:p>
    <w:p>
      <w:pPr>
        <w:spacing w:after="0" w:line="1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Beyond our current battery modules, we have several LFP products in development that will enable us to access additional end markets.</w:t>
      </w:r>
    </w:p>
    <w:p>
      <w:pPr>
        <w:spacing w:after="0" w:line="187" w:lineRule="exact"/>
        <w:rPr>
          <w:sz w:val="20"/>
          <w:szCs w:val="20"/>
          <w:color w:val="auto"/>
        </w:rPr>
      </w:pPr>
    </w:p>
    <w:p>
      <w:pPr>
        <w:ind w:left="287" w:right="20" w:hanging="287"/>
        <w:spacing w:after="0" w:line="343" w:lineRule="auto"/>
        <w:tabs>
          <w:tab w:leader="none" w:pos="287"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New Products. </w:t>
      </w:r>
      <w:r>
        <w:rPr>
          <w:rFonts w:ascii="Times New Roman" w:cs="Times New Roman" w:eastAsia="Times New Roman" w:hAnsi="Times New Roman"/>
          <w:sz w:val="14"/>
          <w:szCs w:val="14"/>
          <w:color w:val="auto"/>
        </w:rPr>
        <w:t>Our current offerings feature battery products that serve the RV, marine vessel and off-grid markets. Although manufacturing operations were previously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capacity constrained the expansion into our new manufacturing facility will allow us to add production capacity and increase product offerings and scale based on demand.</w:t>
      </w:r>
    </w:p>
    <w:p>
      <w:pPr>
        <w:spacing w:after="0" w:line="101" w:lineRule="exact"/>
        <w:rPr>
          <w:rFonts w:ascii="Times New Roman" w:cs="Times New Roman" w:eastAsia="Times New Roman" w:hAnsi="Times New Roman"/>
          <w:sz w:val="14"/>
          <w:szCs w:val="14"/>
          <w:color w:val="auto"/>
        </w:rPr>
      </w:pPr>
    </w:p>
    <w:p>
      <w:pPr>
        <w:jc w:val="both"/>
        <w:ind w:left="287" w:hanging="287"/>
        <w:spacing w:after="0" w:line="251" w:lineRule="auto"/>
        <w:tabs>
          <w:tab w:leader="none" w:pos="28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majority of our current batteries are 12 volt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63" w:lineRule="exact"/>
        <w:rPr>
          <w:rFonts w:ascii="Times New Roman" w:cs="Times New Roman" w:eastAsia="Times New Roman" w:hAnsi="Times New Roman"/>
          <w:sz w:val="16"/>
          <w:szCs w:val="16"/>
          <w:color w:val="auto"/>
        </w:rPr>
      </w:pPr>
    </w:p>
    <w:p>
      <w:pPr>
        <w:jc w:val="both"/>
        <w:ind w:left="287" w:right="20" w:hanging="287"/>
        <w:spacing w:after="0" w:line="299" w:lineRule="auto"/>
        <w:tabs>
          <w:tab w:leader="none" w:pos="287"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31" w:lineRule="exact"/>
        <w:rPr>
          <w:rFonts w:ascii="Times New Roman" w:cs="Times New Roman" w:eastAsia="Times New Roman" w:hAnsi="Times New Roman"/>
          <w:sz w:val="14"/>
          <w:szCs w:val="14"/>
          <w:color w:val="auto"/>
        </w:rPr>
      </w:pPr>
    </w:p>
    <w:p>
      <w:pPr>
        <w:jc w:val="both"/>
        <w:ind w:left="287" w:hanging="287"/>
        <w:spacing w:after="0" w:line="251" w:lineRule="auto"/>
        <w:tabs>
          <w:tab w:leader="none" w:pos="28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61" w:lineRule="exact"/>
        <w:rPr>
          <w:rFonts w:ascii="Times New Roman" w:cs="Times New Roman" w:eastAsia="Times New Roman" w:hAnsi="Times New Roman"/>
          <w:sz w:val="16"/>
          <w:szCs w:val="16"/>
          <w:color w:val="auto"/>
        </w:rPr>
      </w:pPr>
    </w:p>
    <w:p>
      <w:pPr>
        <w:jc w:val="both"/>
        <w:ind w:left="287" w:hanging="287"/>
        <w:spacing w:after="0" w:line="250" w:lineRule="auto"/>
        <w:tabs>
          <w:tab w:leader="none" w:pos="28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System Integrator. </w:t>
      </w:r>
      <w:r>
        <w:rPr>
          <w:rFonts w:ascii="Times New Roman" w:cs="Times New Roman" w:eastAsia="Times New Roman" w:hAnsi="Times New Roman"/>
          <w:sz w:val="16"/>
          <w:szCs w:val="16"/>
          <w:color w:val="auto"/>
        </w:rPr>
        <w:t>A natural evolution of our business is to offer customers a system integration solution providing more efficient power solutions at a cost-effective price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p>
      <w:pPr>
        <w:spacing w:after="0" w:line="1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91" w:lineRule="exact"/>
        <w:rPr>
          <w:sz w:val="20"/>
          <w:szCs w:val="20"/>
          <w:color w:val="auto"/>
        </w:rPr>
      </w:pPr>
    </w:p>
    <w:p>
      <w:pPr>
        <w:jc w:val="both"/>
        <w:ind w:left="7"/>
        <w:spacing w:after="0" w:line="228" w:lineRule="auto"/>
        <w:rPr>
          <w:sz w:val="20"/>
          <w:szCs w:val="20"/>
          <w:color w:val="auto"/>
        </w:rPr>
      </w:pPr>
      <w:r>
        <w:rPr>
          <w:rFonts w:ascii="Times New Roman" w:cs="Times New Roman" w:eastAsia="Times New Roman" w:hAnsi="Times New Roman"/>
          <w:sz w:val="16"/>
          <w:szCs w:val="16"/>
          <w:color w:val="auto"/>
        </w:rPr>
        <w:t>Our research and development team has built up its efforts to support two main initiatives – (1) scale up of our patented dry electrode process for cell manufacturing and (2) the advanced manufacturing of solid-state lithium-ion batteries. We believe the dry electrode process can be leveraged to help us vertically integrate from a pack supplier to a cell supplier – positioning ourselves for long-term competitiveness in the given geopolitical, economic, and technological landscapes. Our innovations in dry electrode processing result in reduced manufacturing costs,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6"/>
          <w:szCs w:val="16"/>
          <w:color w:val="auto"/>
        </w:rPr>
        <w:t xml:space="preserve"> equivalents, and factory footprint while eliminating the need for solvents like N-Methyl-2-pyrrolidone (“NMP”). A third-party assessment conducted by Sphere Energy confirming these benefits has been completed in the first quarter of 2024 relating to cost effectiveness and sustainability of our dry electrode battery manufacturing process (the “Sphere Energy Assessment”).</w:t>
      </w:r>
    </w:p>
    <w:p>
      <w:pPr>
        <w:spacing w:after="0" w:line="1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69" w:name="page70"/>
    <w:bookmarkEnd w:id="69"/>
    <w:p>
      <w:pPr>
        <w:jc w:val="both"/>
        <w:spacing w:after="0" w:line="293" w:lineRule="auto"/>
        <w:rPr>
          <w:sz w:val="20"/>
          <w:szCs w:val="20"/>
          <w:color w:val="auto"/>
        </w:rPr>
      </w:pPr>
      <w:r>
        <w:rPr>
          <w:rFonts w:ascii="Times New Roman" w:cs="Times New Roman" w:eastAsia="Times New Roman" w:hAnsi="Times New Roman"/>
          <w:sz w:val="14"/>
          <w:szCs w:val="14"/>
          <w:color w:val="auto"/>
        </w:rPr>
        <w:t>The Sphere Energy Assessment concluded that our dry electrode battery manufacturing process resulted in a 9% reduced carbon footprint of cell manufacturing with no toxic NMP solvent required, resulting in a significantly more sustainable process. This sustainability advantage is further augmented by a 71% reduction in energy usage during electrode manufacturing using our process (spray drying, coating, calendaring) compared to standard cell manufacturing operations (slurry casting, drying, calendaring). By removing the need for large and expensive drying ovens, our manufacturing process requires 22% less square footage. The culmination of these advantages results in a 25% reduction in emissions from energy use, making our manufacturing process more sustainable and much more environmentally friendly as compared to conventional manufacturing methods.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addition to the energy savings, the cost assessment found our process to be highly cost-effective with an estimated 5% savings (depending on cell chemistry) on process-related costs compared to conventional methods. Importantly, these savings were calculated without the additional cost benefits provided by domestically manufacturing battery cells such as Inflation Reduction Act tax credits (issued by the IRS), tariffs, and shipping.</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dry electrode battery manufacturing process we employ uses a patented spray coating technology to adhere the anode and cathode electrodes, eliminating the need for large, energy-intensive equipment such as slurry coaters, conveyor dryers, and NMP processing equipment. This process is chemistry agnostic, allowing for the various applications, such as electric vehicles, consumer electronics, and energy storage, which is expected to enable us to expand into new markets and to achieve our goal of domestically producing nonflammable all-solid-state battery cells.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have successfully produced anode and cathode electrode reels at scale using the dry electrode process and are now qualifying prototype cells for the core business and potential partners. When compared to slurry cast electrode tapes, which is the conventional manufacturing method, electrode tapes produced using the dry electrode process match or surpass mechanical integrity and electrochemical performance. We are considering joint development agreements, licensing agreements, and offtake agreements as instruments of partnership with interested parties.</w:t>
      </w:r>
    </w:p>
    <w:p>
      <w:pPr>
        <w:spacing w:after="0" w:line="16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In comparison with traditional manufacturing methods, our patented process leverages two off-the-shelf technologies to deliver the stated cell manufacturing benefits – spray drying and electrostatic powder coating. Technical risk is reduced by using off-the-shelf equipment and both unit operations continue to be optimized in 2025. A new set of spray dryers have arrived at our facility in the second quarter of 2024, enabling us to produce larger volumes of material for the electrode coating lines. However, we have delayed the deployment of these spray dryers until at least the third quarter of 2025 as we focus on designing larger-scale electrode coating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7205345" cy="3327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5345"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70" w:name="page71"/>
    <w:bookmarkEnd w:id="70"/>
    <w:p>
      <w:pPr>
        <w:jc w:val="both"/>
        <w:spacing w:after="0" w:line="245" w:lineRule="auto"/>
        <w:rPr>
          <w:sz w:val="20"/>
          <w:szCs w:val="20"/>
          <w:color w:val="auto"/>
        </w:rPr>
      </w:pPr>
      <w:r>
        <w:rPr>
          <w:rFonts w:ascii="Times New Roman" w:cs="Times New Roman" w:eastAsia="Times New Roman" w:hAnsi="Times New Roman"/>
          <w:sz w:val="16"/>
          <w:szCs w:val="16"/>
          <w:color w:val="auto"/>
        </w:rPr>
        <w:t>We have developed our patented to be chemistry agnostic and capable of producing current cell chemistries (graphite, LCO, LFP, LTO, NCA, NMC, LTO, silicon, etc.) and next generation cell chemistries (sodium-ion, solid-state, ionic liquid electrolytes, etc.). We believe this flexibility and our robust intellectual property protection internationally positions us well for potential partnerships with cell manufacturers, EV companies, and other pack suppliers in need of cell capacity. The next stage in technical development is to produce larger volumes of sample cells for qualification. These production runs will be completed with partners in the United States and at our own facilities. We have invested significant resources into developing an in-house comprehensive understanding of cell manufacturing – raw material qualification, quality control such as, cell failure diagnostics, aging, and formation processes. Our research and development Lab is equipped with over $20 million in research infrastructure to support the development of new cell chemistries, process quality control, failure diagnostics, and more. This equipment includes quality control instruments (ex. moisture analysis, particle size analysis, peel testing and titrations) and cutting-edge research instrumentation such as en operando nuclear magnetic resonance (“NMR”), electron microscopes with lithium-tracking capabilities, and en operando x-ray diffraction. This infrastructure has allowed us to optimize the dry-electrode process, allowing our team to match or surpass traditional electrode tape performance and mechanical integrity. Because our process is dry and the active material is coated directly onto the current collector, interfacial and composite resistivity of the electrode tapes often surpass the quality of slurry cast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121285</wp:posOffset>
            </wp:positionV>
            <wp:extent cx="4816475" cy="1918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16475" cy="191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solid-state technology continues to progress as we qualify new chemistries and refine the dry electrode process for solid-state applications. Currently, we are cycling solid-state coin cells, although we have delayed the production of prototype pouch cells until at least the beginning of 2026. These cell chemistries are nonflammable, solid-state, and an LFP/graphite cell chemistry. We believe these cells will be a pivotal technology in grid storage applications once fully deployed. We intend to integrate our conventional and solid-state cells produced using our dry-electrode process into the existing Dragonfly Energy and Battle Born Batteries product portfolios.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Headquarters, Manufacturing, and Production</w:t>
      </w:r>
    </w:p>
    <w:p>
      <w:pPr>
        <w:spacing w:after="0" w:line="1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On February 8, 2022, we entered into a 124-month lease for an additional 390,240 square foot warehouse. In November 2024, we relocated our headquarters from our 99,000 square foot facility in Reno, Nevada to our new 390,240 square foot facility also in Reno, Nevada, which has allowed us to increase our production capacity and gives us the ability to increase sales to existing customers and penetrate new markets. Our 390,240 square foot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do not own any real estate property. We currently have two production lines with another line currently in construction. We continue to have the capability to expand our production volumes and line quantities to support increased volumes of new products we intend to introduce soon.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On April 12, 2024, we entered into the Fernley Lease Agreement pursuant to which we agreed to lease an approximately 64,000 square foot facility (the “Premises”) in Fernley, Nevada, to be used for general, warehousing, assembly/light manufacturing, painting of products, storage fulfillment, distribution of our products, and other uses as permitted under in the Fernley Lease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5073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71" w:name="page72"/>
    <w:bookmarkEnd w:id="71"/>
    <w:p>
      <w:pPr>
        <w:jc w:val="both"/>
        <w:spacing w:after="0" w:line="286" w:lineRule="auto"/>
        <w:rPr>
          <w:sz w:val="20"/>
          <w:szCs w:val="20"/>
          <w:color w:val="auto"/>
        </w:rPr>
      </w:pPr>
      <w:r>
        <w:rPr>
          <w:rFonts w:ascii="Times New Roman" w:cs="Times New Roman" w:eastAsia="Times New Roman" w:hAnsi="Times New Roman"/>
          <w:sz w:val="14"/>
          <w:szCs w:val="14"/>
          <w:color w:val="auto"/>
        </w:rPr>
        <w:t>Our manufacturing process is divided into two aspects – (1) module assembly and (2)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fully discharged, recharged fully,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221615</wp:posOffset>
            </wp:positionV>
            <wp:extent cx="6024245" cy="13785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24245" cy="137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Supplier Relationships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spacing w:after="0" w:line="16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As we look toward the production of our traditional and solid-state cells, we have signed a Commercial Offtake Agreement with a lithium mining company and a lithium recycling company, both located in Nevada for the supply of lithium.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Customers; RV OEM Strategic Arrangements</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We currently serve more than 23,000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2024 and 2023, OEM sales represented 54.5% and 42.7% of our total revenues, respectively.</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have deep, long-standing relationships with many of our customers. We also have a diverse customer base, with our top 10 customers accounting for 47.4% of our revenue for the year ended December 31, 2024, in which only one customer accounted for more than 10% of our revenue. Our customers primarily utilize our products for RVs, marine vessels and off-grid residences. We work directly with OEMs to ensure compatibility with existing designs and also collaborate on custom designs for new applications.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72" w:name="page73"/>
    <w:bookmarkEnd w:id="72"/>
    <w:p>
      <w:pPr>
        <w:jc w:val="both"/>
        <w:spacing w:after="0" w:line="249" w:lineRule="auto"/>
        <w:rPr>
          <w:sz w:val="20"/>
          <w:szCs w:val="20"/>
          <w:color w:val="auto"/>
        </w:rPr>
      </w:pPr>
      <w:r>
        <w:rPr>
          <w:rFonts w:ascii="Times New Roman" w:cs="Times New Roman" w:eastAsia="Times New Roman" w:hAnsi="Times New Roman"/>
          <w:sz w:val="16"/>
          <w:szCs w:val="16"/>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“Supply Agreement”). Under the Supply Agreement, we will be the exclusive supplier to Keystone for certain of its future LFP battery requirements, solidifying our long standing relationship with Keystone.</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In July 2022, we strengthened our ties with the THOR group of RV OEMs when (i) THOR Industries made a $15,000,000 strategic investment in us and (ii) we agreed to enter into a future, mutually agreed distribution arrangement and joint IP development arrangement. This arrangement helps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7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We continue to seek to grow our customer base within our existing segments; however, we also believe that our products are well suited to address the needs in additional segments, including residential, commercial and/or industrial standby power, long-haul trucking,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Our proven sales and marketing strategy has allowed us to penetrate our current end markets efficiently. We have established a highly efficient sales and marketing strategy, to penetrate targeted end markets and ensuring prominent visibility for our Battle Born Batteries and Wakespeed brands. We prioritize educating our customer base about the benefits of LFP batteries as a superior investment compared to traditional lead-acid options. Informational videos published on our website and social media platforms highlight these advantages, complemented by written guides that assist customers in configuring, installing, and utilizing battery systems and accessories. This messaging is further reinforced through our active presence at tradeshows, live webinars, and other in-person training events with dealers and customers, fostering direct engagement and ensuring comprehensive product understanding. Participation in these events fosters strong relationships with both OEMs and retail customers, keeping us attuned to evolving preferences. By leveraging this customer feedback, we collaborate with major OEMs to design solutions tailored to new and existing applications.</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In addition to traditional print and digital advertising, we harness the significant influence of social media platforms like YouTube, Instagram, and Facebook, through affiliate marketing. We partner with established content creators and influencers to cultivate lasting relationships that showcase product performance organically, beyond mere one-off promotions. Organic integration of our products in television shows, podcasts and other similar sponsorships further amplifies brand awareness. Additionally, we foster relationships with key industry publications, securing valuable editorial coverage that showcases our innovative power solutions and how they are used. We believe these strategic collaborations position our brands as industry leaders within our markets and to the general public as a whole, further strengthening brand awareness and consumer confidence.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73" w:name="page74"/>
    <w:bookmarkEnd w:id="73"/>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We also leverage targeted pay-per-click advertising campaigns across various platforms, including search engines, social media, and connected TV. This data driven approach ensures efficient conversion of high-intent customers at the bottom of the purchase funnel, maximizing return on investment and driving targeted brand awareness among potential buyers.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Direct relationships with retail customers remain a core value. Our user-friendly website facilitates direct purchases of Battle Born Batteries and Wakespeed products, along with well-known third-party components, allowing customers to explore and acquire complete system solutions in one convenient location. Furthermore, a dedicated team of in-house experts provides comprehensive sales, technical, and service support to ensure our valued customers receive exceptional care and expertise.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energy storage market is highly competitive, with traditional lead-acid batteries still dominating. However, lithium-ion adoption continues to grow as customers seek better performance and longer lifespans. We compete with traditional lead-acid manufacturers and distributers, such as East Penn, Trojan, and Interstate and companies importing and white-labeling low-cost lithium products. This influx of inexpensive overseas batteries has intensified price competition. We believe our products stand out through American design and assembly, premium components, superior customer service, and full system design capabilities. Our batteries are lighter and longer-lasting compared to traditional lead-acid batteries, and easy to install as direct replacements for lead-acid batteries. Proprietary technologies, including advanced battery management systems, integrated heat capabilities, and intelligent battery communication, ensure reliable, high-performance energy storage as compared to traditional lead-acid batteries and other lithium-ion products.</w:t>
      </w:r>
    </w:p>
    <w:p>
      <w:pPr>
        <w:spacing w:after="0" w:line="14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As of December 31, 2024, we owned 44 issued patents and 39 filed and pending patent applications. The pending patent applications are down from prior year since we abandoned 9 that were no longer useful. The patents and patent applications cover the United States, Canada, Australia, Korea, Japan, India, China, and Europe (with individual patents in Germany, France and the United Kingdom).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2033 and 2043, absent any patent term adjustments or extensions.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74" w:name="page75"/>
    <w:bookmarkEnd w:id="74"/>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2024, we owned 38 trademarks globally. Dragonfly owns 16 trademark registrations to cover our house marks in the United States and we have 7 registered trademark relating to our design logos and slogans in the United States and we have 22 registered trademarks internationally with 10 other international trademark applications pending.</w:t>
      </w:r>
    </w:p>
    <w:p>
      <w:pPr>
        <w:spacing w:after="0" w:line="1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Government Regulation and Compliance</w:t>
      </w:r>
    </w:p>
    <w:p>
      <w:pPr>
        <w:spacing w:after="0" w:line="191"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We currently operate from a dedicated leased manufacturing facility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spacing w:after="0" w:line="168"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Employees and Human Capital Resources</w:t>
      </w:r>
    </w:p>
    <w:p>
      <w:pPr>
        <w:spacing w:after="0" w:line="191"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As of December 31, 2024, we had 144 employees: 139 full-time, 2 part-time and 3 interns.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58" w:lineRule="exact"/>
        <w:rPr>
          <w:sz w:val="20"/>
          <w:szCs w:val="20"/>
          <w:color w:val="auto"/>
        </w:rPr>
      </w:pPr>
    </w:p>
    <w:p>
      <w:pPr>
        <w:ind w:left="287" w:hanging="287"/>
        <w:spacing w:after="0" w:line="270" w:lineRule="auto"/>
        <w:tabs>
          <w:tab w:leader="none" w:pos="28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Safety</w:t>
      </w:r>
      <w:r>
        <w:rPr>
          <w:rFonts w:ascii="Times New Roman" w:cs="Times New Roman" w:eastAsia="Times New Roman" w:hAnsi="Times New Roman"/>
          <w:sz w:val="16"/>
          <w:szCs w:val="16"/>
          <w:color w:val="auto"/>
        </w:rPr>
        <w:t> — Employees are regularly educated in safety around their workspaces, and employees participate in volunteer roles on a safety committee, and in emergency readiness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roles. We have a dedicated safety coordinator who tracks and measures our performance, and helps us benchmark our safety programs against our peers.</w:t>
      </w:r>
    </w:p>
    <w:p>
      <w:pPr>
        <w:spacing w:after="0" w:line="146" w:lineRule="exact"/>
        <w:rPr>
          <w:rFonts w:ascii="Times New Roman" w:cs="Times New Roman" w:eastAsia="Times New Roman" w:hAnsi="Times New Roman"/>
          <w:sz w:val="16"/>
          <w:szCs w:val="16"/>
          <w:color w:val="auto"/>
        </w:rPr>
      </w:pPr>
    </w:p>
    <w:p>
      <w:pPr>
        <w:jc w:val="both"/>
        <w:ind w:left="287" w:hanging="287"/>
        <w:spacing w:after="0" w:line="257" w:lineRule="auto"/>
        <w:tabs>
          <w:tab w:leader="none" w:pos="28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Diversity, Equity &amp; Inclusion</w:t>
      </w:r>
      <w:r>
        <w:rPr>
          <w:rFonts w:ascii="Times New Roman" w:cs="Times New Roman" w:eastAsia="Times New Roman" w:hAnsi="Times New Roman"/>
          <w:sz w:val="16"/>
          <w:szCs w:val="16"/>
          <w:color w:val="auto"/>
        </w:rPr>
        <w:t> — Our culture has benefitted from the diversity of our workforce from the very beginning. Inclusion and equity are “baked into the bricks”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55" w:lineRule="exact"/>
        <w:rPr>
          <w:rFonts w:ascii="Times New Roman" w:cs="Times New Roman" w:eastAsia="Times New Roman" w:hAnsi="Times New Roman"/>
          <w:sz w:val="16"/>
          <w:szCs w:val="16"/>
          <w:color w:val="auto"/>
        </w:rPr>
      </w:pPr>
    </w:p>
    <w:p>
      <w:pPr>
        <w:ind w:left="287" w:hanging="287"/>
        <w:spacing w:after="0" w:line="270" w:lineRule="auto"/>
        <w:tabs>
          <w:tab w:leader="none" w:pos="28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Collaboration</w:t>
      </w:r>
      <w:r>
        <w:rPr>
          <w:rFonts w:ascii="Times New Roman" w:cs="Times New Roman" w:eastAsia="Times New Roman" w:hAnsi="Times New Roman"/>
          <w:sz w:val="16"/>
          <w:szCs w:val="16"/>
          <w:color w:val="auto"/>
        </w:rPr>
        <w:t> — As we grow, opportunities for cross-functional collaboration are not as organic as they used to be. We have responded to that change by staying mindful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acting intentionally to gather cross-functional input on new initiatives and continuous improvement efforts.</w:t>
      </w:r>
    </w:p>
    <w:p>
      <w:pPr>
        <w:spacing w:after="0" w:line="146" w:lineRule="exact"/>
        <w:rPr>
          <w:rFonts w:ascii="Times New Roman" w:cs="Times New Roman" w:eastAsia="Times New Roman" w:hAnsi="Times New Roman"/>
          <w:sz w:val="16"/>
          <w:szCs w:val="16"/>
          <w:color w:val="auto"/>
        </w:rPr>
      </w:pPr>
    </w:p>
    <w:p>
      <w:pPr>
        <w:ind w:left="287" w:right="20" w:hanging="287"/>
        <w:spacing w:after="0" w:line="270" w:lineRule="auto"/>
        <w:tabs>
          <w:tab w:leader="none" w:pos="28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Continuous Improvement</w:t>
      </w:r>
      <w:r>
        <w:rPr>
          <w:rFonts w:ascii="Times New Roman" w:cs="Times New Roman" w:eastAsia="Times New Roman" w:hAnsi="Times New Roman"/>
          <w:sz w:val="16"/>
          <w:szCs w:val="16"/>
          <w:color w:val="auto"/>
        </w:rPr>
        <w:t> — We apply continuous improvement measures to processes as well as people. We encourage professional development of our employees, through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ongoing learning, credentialing, and collaboration with their industry peers.</w:t>
      </w:r>
    </w:p>
    <w:p>
      <w:pPr>
        <w:spacing w:after="0" w:line="148" w:lineRule="exact"/>
        <w:rPr>
          <w:sz w:val="20"/>
          <w:szCs w:val="20"/>
          <w:color w:val="auto"/>
        </w:rPr>
      </w:pPr>
    </w:p>
    <w:p>
      <w:pPr>
        <w:jc w:val="both"/>
        <w:ind w:left="7" w:right="20"/>
        <w:spacing w:after="0" w:line="255" w:lineRule="auto"/>
        <w:rPr>
          <w:sz w:val="20"/>
          <w:szCs w:val="20"/>
          <w:color w:val="auto"/>
        </w:rPr>
      </w:pPr>
      <w:r>
        <w:rPr>
          <w:rFonts w:ascii="Times New Roman" w:cs="Times New Roman" w:eastAsia="Times New Roman" w:hAnsi="Times New Roman"/>
          <w:sz w:val="16"/>
          <w:szCs w:val="16"/>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spacing w:after="0" w:line="16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75" w:name="page76"/>
    <w:bookmarkEnd w:id="75"/>
    <w:p>
      <w:pPr>
        <w:ind w:left="20"/>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191" w:lineRule="exact"/>
        <w:rPr>
          <w:sz w:val="20"/>
          <w:szCs w:val="20"/>
          <w:color w:val="auto"/>
        </w:rPr>
      </w:pPr>
    </w:p>
    <w:p>
      <w:pPr>
        <w:jc w:val="both"/>
        <w:ind w:left="20" w:right="20"/>
        <w:spacing w:after="0" w:line="267" w:lineRule="auto"/>
        <w:rPr>
          <w:sz w:val="20"/>
          <w:szCs w:val="20"/>
          <w:color w:val="auto"/>
        </w:rPr>
      </w:pPr>
      <w:r>
        <w:rPr>
          <w:rFonts w:ascii="Times New Roman" w:cs="Times New Roman" w:eastAsia="Times New Roman" w:hAnsi="Times New Roman"/>
          <w:sz w:val="16"/>
          <w:szCs w:val="16"/>
          <w:color w:val="auto"/>
        </w:rPr>
        <w:t>On February 8, 2022, we entered into a 124-month lease for an additional 390,240 square foot warehouse. In November, 2024, we relocated our headquarters to our new 390,240 square foot warehouse at 12915 Old Virginia Road in Reno, Nevada 89521. The current rent, which became payable on March 25, 2024 is $230,000 payable monthly.</w:t>
      </w:r>
    </w:p>
    <w:p>
      <w:pPr>
        <w:spacing w:after="0" w:line="151" w:lineRule="exact"/>
        <w:rPr>
          <w:sz w:val="20"/>
          <w:szCs w:val="20"/>
          <w:color w:val="auto"/>
        </w:rPr>
      </w:pPr>
    </w:p>
    <w:p>
      <w:pPr>
        <w:jc w:val="both"/>
        <w:ind w:left="20" w:right="20"/>
        <w:spacing w:after="0" w:line="267" w:lineRule="auto"/>
        <w:rPr>
          <w:sz w:val="20"/>
          <w:szCs w:val="20"/>
          <w:color w:val="auto"/>
        </w:rPr>
      </w:pPr>
      <w:r>
        <w:rPr>
          <w:rFonts w:ascii="Times New Roman" w:cs="Times New Roman" w:eastAsia="Times New Roman" w:hAnsi="Times New Roman"/>
          <w:sz w:val="16"/>
          <w:szCs w:val="16"/>
          <w:color w:val="auto"/>
        </w:rPr>
        <w:t>We are currently leasing a 99,000 square foot facility at 1190 Trademark Drive #108, Reno, Nevada, which was the prior location of our headquarters until November 2024. The lease for this building was entered into on March 1, 2021 and expires on April 30, 2026. The current monthly rent is $59,750.</w:t>
      </w:r>
    </w:p>
    <w:p>
      <w:pPr>
        <w:spacing w:after="0" w:line="151" w:lineRule="exact"/>
        <w:rPr>
          <w:sz w:val="20"/>
          <w:szCs w:val="20"/>
          <w:color w:val="auto"/>
        </w:rPr>
      </w:pPr>
    </w:p>
    <w:p>
      <w:pPr>
        <w:jc w:val="both"/>
        <w:ind w:left="20" w:right="20"/>
        <w:spacing w:after="0" w:line="267" w:lineRule="auto"/>
        <w:rPr>
          <w:sz w:val="20"/>
          <w:szCs w:val="20"/>
          <w:color w:val="auto"/>
        </w:rPr>
      </w:pPr>
      <w:r>
        <w:rPr>
          <w:rFonts w:ascii="Times New Roman" w:cs="Times New Roman" w:eastAsia="Times New Roman" w:hAnsi="Times New Roman"/>
          <w:sz w:val="16"/>
          <w:szCs w:val="16"/>
          <w:color w:val="auto"/>
        </w:rPr>
        <w:t>We are also currently leasing a 59,500 square foot warehouse facility at 12815 Old Virginia Road in Reno, Nevada. The lease for this space was entered into on December 1, 2021, and expires December 31, 2026; the current monthly rent is $49,732.</w:t>
      </w:r>
    </w:p>
    <w:p>
      <w:pPr>
        <w:spacing w:after="0" w:line="15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6"/>
          <w:szCs w:val="16"/>
          <w:color w:val="auto"/>
        </w:rPr>
        <w:t>On April 12, 2024, we entered into the Fernley Lease Agreement, effective April 1, 2024, for the approximately 64,000 square foot Premises located at 2275 East Newlands Road, Fernley, Nevada, to be used for general, warehousing, assembly/light manufacturing, painting of products, storage fulfillment, distribution of our products. The Fernley Lease Agreement expires April 1, 2029. The current monthly rent is $44,800.</w:t>
      </w:r>
    </w:p>
    <w:p>
      <w:pPr>
        <w:spacing w:after="0" w:line="160"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6"/>
          <w:szCs w:val="16"/>
          <w:color w:val="auto"/>
        </w:rPr>
        <w:t>Our Research &amp; Development lab is a 9,600 square foot facility located in Sparks, Nevada. The lease for these premises was entered into on July 27, 2020 and expires on July 31, 2025. The current monthly rent is $9,336.</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Our podcast studio was a 1,772 square foot facility located in Sparks, Nevada. The lease for this space expired on September 20,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9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6"/>
          <w:szCs w:val="16"/>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19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6"/>
          <w:szCs w:val="16"/>
          <w:color w:val="auto"/>
        </w:rPr>
        <w:t>In October 2022, we completed the merger in connection with our business combination. On March 31, 2023, we changed our state of incorporation from the State of Delaware to the State of Nevada (the “Reincorporation”) pursuant to a plan of conversion dated March 30, 2023.The mailing address of our principal executive office is 12915 Old Virginia Road, Reno, Nevada 89521, and our telephone number is (775) 622-3448.</w:t>
      </w:r>
    </w:p>
    <w:p>
      <w:pPr>
        <w:spacing w:after="0" w:line="160" w:lineRule="exact"/>
        <w:rPr>
          <w:sz w:val="20"/>
          <w:szCs w:val="20"/>
          <w:color w:val="auto"/>
        </w:rPr>
      </w:pPr>
    </w:p>
    <w:p>
      <w:pPr>
        <w:jc w:val="both"/>
        <w:ind w:left="20"/>
        <w:spacing w:after="0" w:line="248" w:lineRule="auto"/>
        <w:rPr>
          <w:sz w:val="20"/>
          <w:szCs w:val="20"/>
          <w:color w:val="auto"/>
        </w:rPr>
      </w:pPr>
      <w:r>
        <w:rPr>
          <w:rFonts w:ascii="Times New Roman" w:cs="Times New Roman" w:eastAsia="Times New Roman" w:hAnsi="Times New Roman"/>
          <w:sz w:val="16"/>
          <w:szCs w:val="16"/>
          <w:color w:val="auto"/>
        </w:rPr>
        <w:t>On November 22, 2024, we effected a reverse stock split of our issued and outstanding common stock at a ratio of 1-for-9 (the “Reverse Stock Split”). Shares of common stock underlying outstanding stock options and other equity instruments convertible into common stock were proportionately reduced and the respective exercise prices, if applicable, were proportionately increased in accordance with the terms of the agreements governing such securities in connection with the Reverse Stock Split. No fractional shares were issued in connection with the Reverse Stock Split. Any fractional shares of common stock resulting from the Reverse Stock Split were rounded up to the nearest whole number. All of our historical share and per share information related to issued and outstanding common stock and outstanding options and warrants exercisable for common stock included in this prospectus have been adjusted, on a retroactive basis, to reflect the Reverse Stock Split.</w:t>
      </w:r>
    </w:p>
    <w:p>
      <w:pPr>
        <w:spacing w:after="0" w:line="166" w:lineRule="exact"/>
        <w:rPr>
          <w:sz w:val="20"/>
          <w:szCs w:val="20"/>
          <w:color w:val="auto"/>
        </w:rPr>
      </w:pPr>
    </w:p>
    <w:p>
      <w:pPr>
        <w:jc w:val="both"/>
        <w:ind w:left="20"/>
        <w:spacing w:after="0" w:line="290" w:lineRule="auto"/>
        <w:rPr>
          <w:sz w:val="20"/>
          <w:szCs w:val="20"/>
          <w:color w:val="auto"/>
        </w:rPr>
      </w:pPr>
      <w:r>
        <w:rPr>
          <w:rFonts w:ascii="Times New Roman" w:cs="Times New Roman" w:eastAsia="Times New Roman" w:hAnsi="Times New Roman"/>
          <w:sz w:val="14"/>
          <w:szCs w:val="14"/>
          <w:color w:val="auto"/>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715073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80"/>
          </w:cols>
          <w:pgMar w:left="300" w:top="611" w:right="319" w:bottom="1440" w:gutter="0" w:footer="0" w:header="0"/>
        </w:sectPr>
      </w:pPr>
    </w:p>
    <w:bookmarkStart w:id="76" w:name="page77"/>
    <w:bookmarkEnd w:id="76"/>
    <w:p>
      <w:pPr>
        <w:ind w:left="2960"/>
        <w:spacing w:after="0"/>
        <w:rPr>
          <w:sz w:val="20"/>
          <w:szCs w:val="20"/>
          <w:color w:val="auto"/>
        </w:rPr>
      </w:pPr>
      <w:r>
        <w:rPr>
          <w:rFonts w:ascii="Times New Roman" w:cs="Times New Roman" w:eastAsia="Times New Roman" w:hAnsi="Times New Roman"/>
          <w:sz w:val="16"/>
          <w:szCs w:val="16"/>
          <w:b w:val="1"/>
          <w:bCs w:val="1"/>
          <w:color w:val="auto"/>
        </w:rPr>
        <w:t>DIRECTORS, EXECUTIVE OFFICERS AND CORPORATE GOVERNANCE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certain information regarding our executive officers and directors as of the date of this prospectus.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Age</w:t>
            </w:r>
          </w:p>
        </w:tc>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Position(s) Held With Dragonfly</w:t>
            </w:r>
          </w:p>
        </w:tc>
      </w:tr>
      <w:tr>
        <w:trPr>
          <w:trHeight w:val="162"/>
        </w:trPr>
        <w:tc>
          <w:tcPr>
            <w:tcW w:w="338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6"/>
                <w:szCs w:val="16"/>
                <w:color w:val="auto"/>
              </w:rPr>
              <w:t>Denis Phares</w:t>
            </w:r>
          </w:p>
        </w:tc>
        <w:tc>
          <w:tcPr>
            <w:tcW w:w="240" w:type="dxa"/>
            <w:vAlign w:val="bottom"/>
          </w:tcPr>
          <w:p>
            <w:pPr>
              <w:spacing w:after="0"/>
              <w:rPr>
                <w:sz w:val="14"/>
                <w:szCs w:val="14"/>
                <w:color w:val="auto"/>
              </w:rPr>
            </w:pPr>
          </w:p>
        </w:tc>
        <w:tc>
          <w:tcPr>
            <w:tcW w:w="56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spacing w:after="0"/>
              <w:rPr>
                <w:sz w:val="14"/>
                <w:szCs w:val="14"/>
                <w:color w:val="auto"/>
              </w:rPr>
            </w:pPr>
          </w:p>
        </w:tc>
        <w:tc>
          <w:tcPr>
            <w:tcW w:w="686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6"/>
                <w:szCs w:val="16"/>
                <w:color w:val="auto"/>
              </w:rPr>
              <w:t>President, Chief Executive Officer, Interim Chief Financial Officer and Chairman of the Board</w:t>
            </w:r>
          </w:p>
        </w:tc>
      </w:tr>
      <w:tr>
        <w:trPr>
          <w:trHeight w:val="187"/>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Wade Seaburg</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16"/>
                <w:szCs w:val="16"/>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Chief Commercial Officer</w:t>
            </w:r>
          </w:p>
        </w:tc>
      </w:tr>
      <w:tr>
        <w:trPr>
          <w:trHeight w:val="187"/>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Tyler Bourns</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Pr>
          <w:p>
            <w:pPr>
              <w:spacing w:after="0"/>
              <w:rPr>
                <w:sz w:val="16"/>
                <w:szCs w:val="16"/>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Chief Marketing Officer</w:t>
            </w:r>
          </w:p>
        </w:tc>
      </w:tr>
      <w:tr>
        <w:trPr>
          <w:trHeight w:val="187"/>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Vickram Singh</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6"/>
                <w:szCs w:val="16"/>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Chief Operating Officer</w:t>
            </w:r>
          </w:p>
        </w:tc>
      </w:tr>
      <w:tr>
        <w:trPr>
          <w:trHeight w:val="187"/>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Luisa Ingargiola</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Pr>
          <w:p>
            <w:pPr>
              <w:spacing w:after="0"/>
              <w:rPr>
                <w:sz w:val="16"/>
                <w:szCs w:val="16"/>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Lead Independent Director</w:t>
            </w:r>
          </w:p>
        </w:tc>
      </w:tr>
      <w:tr>
        <w:trPr>
          <w:trHeight w:val="187"/>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Rick Parod</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6"/>
                <w:szCs w:val="16"/>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87"/>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Karina Montilla Edmonds</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tcPr>
          <w:p>
            <w:pPr>
              <w:spacing w:after="0"/>
              <w:rPr>
                <w:sz w:val="16"/>
                <w:szCs w:val="16"/>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87"/>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 Nelson</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tcPr>
          <w:p>
            <w:pPr>
              <w:spacing w:after="0"/>
              <w:rPr>
                <w:sz w:val="16"/>
                <w:szCs w:val="16"/>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87"/>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Jonathan Bellows</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6"/>
                <w:szCs w:val="16"/>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Perry Boyle</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89" w:lineRule="exact"/>
        <w:rPr>
          <w:sz w:val="20"/>
          <w:szCs w:val="20"/>
          <w:color w:val="auto"/>
        </w:rPr>
      </w:pPr>
    </w:p>
    <w:p>
      <w:pPr>
        <w:jc w:val="both"/>
        <w:ind w:hanging="7"/>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Dr. Denis Phares </w:t>
      </w:r>
      <w:r>
        <w:rPr>
          <w:rFonts w:ascii="Times New Roman" w:cs="Times New Roman" w:eastAsia="Times New Roman" w:hAnsi="Times New Roman"/>
          <w:sz w:val="16"/>
          <w:szCs w:val="16"/>
          <w:color w:val="auto"/>
        </w:rPr>
        <w:t>has served as our Chief Executive Officer and Chairman of our board of directors since October 2022. Since April 2024, Dr. Phares has served as our Interim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Chief Financial Officer. Dr. Phares is the co-founder of Dragonfly Energy Corp., a Nevada corporation (“Legacy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an M.S. and a Ph.D. in Environmental Engineering Science from the California Institute of Technology and a B.S. in Physics from Villanova University. Dr. Phares is qualified to serve on our board of directors based on his substantial business, leadership, and management experience as the Chief Executive Officer and Chairman of our board of directors.</w:t>
      </w:r>
    </w:p>
    <w:p>
      <w:pPr>
        <w:spacing w:after="0" w:line="163" w:lineRule="exact"/>
        <w:rPr>
          <w:sz w:val="20"/>
          <w:szCs w:val="20"/>
          <w:color w:val="auto"/>
        </w:rPr>
      </w:pPr>
    </w:p>
    <w:p>
      <w:pPr>
        <w:jc w:val="both"/>
        <w:ind w:hanging="7"/>
        <w:spacing w:after="0" w:line="288" w:lineRule="auto"/>
        <w:rPr>
          <w:sz w:val="20"/>
          <w:szCs w:val="20"/>
          <w:color w:val="auto"/>
        </w:rPr>
      </w:pPr>
      <w:r>
        <w:rPr>
          <w:rFonts w:ascii="Times New Roman" w:cs="Times New Roman" w:eastAsia="Times New Roman" w:hAnsi="Times New Roman"/>
          <w:sz w:val="14"/>
          <w:szCs w:val="14"/>
          <w:b w:val="1"/>
          <w:bCs w:val="1"/>
          <w:color w:val="auto"/>
        </w:rPr>
        <w:t xml:space="preserve">Wade Seaburg </w:t>
      </w:r>
      <w:r>
        <w:rPr>
          <w:rFonts w:ascii="Times New Roman" w:cs="Times New Roman" w:eastAsia="Times New Roman" w:hAnsi="Times New Roman"/>
          <w:sz w:val="14"/>
          <w:szCs w:val="14"/>
          <w:color w:val="auto"/>
        </w:rPr>
        <w:t>has served as our Chief Commercial Officer since February 2025. Prio to that, Mr. Seaburg served as our Chief Revenue Officer from November 2022. Prior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merger and the other transactions contemplated by that certain Agreement and Plan of Merger, dated May 15, 2022, as amended on July 12, 2022, by and among Chardan NexTech Acquisition 2 Corporation (“CNTQ”) Merger Sub and Dragonfly (the “Business Combination”), Mr. Seaburg served as an outside contractor for Legacy Dragonfly from December 2018 through May 2021 and as the Director of Outside Sales and Business Development of Legacy Dragonfly from June 2021 through October 2022. Previously, Mr. Seaburg served as a senior account representative within the Distribution Manufactured Structures Division at WESCO International, Inc. (“WESCO”) (NYSE: WCC) from February 2004 to April 2016. After Mr. Seaburg’s time with WESCO, he served as the founder and president of Structure Sales, a company focused on representing industry-leading suppliers to OEMs in the RV and Marine markets, from May 2016 to May 2021. Mr. Seaburg graduated from Purdue University in May 2002 with a B.A. in Industrial Engineering. After graduating from Purdue, Mr. Seaburg completed the Eaton Corporation’s (NYSE: ETN) distinguished Technical Sales Training Program.</w:t>
      </w:r>
    </w:p>
    <w:p>
      <w:pPr>
        <w:spacing w:after="0" w:line="328" w:lineRule="exact"/>
        <w:rPr>
          <w:sz w:val="20"/>
          <w:szCs w:val="20"/>
          <w:color w:val="auto"/>
        </w:rPr>
      </w:pPr>
    </w:p>
    <w:p>
      <w:pPr>
        <w:jc w:val="both"/>
        <w:ind w:hanging="7"/>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Tyler Bourns </w:t>
      </w:r>
      <w:r>
        <w:rPr>
          <w:rFonts w:ascii="Times New Roman" w:cs="Times New Roman" w:eastAsia="Times New Roman" w:hAnsi="Times New Roman"/>
          <w:sz w:val="16"/>
          <w:szCs w:val="16"/>
          <w:color w:val="auto"/>
        </w:rPr>
        <w:t>has served as our Chief Marketing Officer since November 2022. Prior to the Business Combination, Mr. Bourns served as the Senior Vice President of Marketing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Legacy Dragonfly from December 2021 through October 2022. Previously, Mr. Bourns is the owner and serves as the present of Bourns Productions Inc., a video production and marketing company focused on content creation, messaging and strategy for various brands across multiple industries, for twelve years. At Bourns Productions Inc., he oversaw the day-to-day business of the company, worked closely with clients and provided hands-on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77" w:name="page78"/>
    <w:bookmarkEnd w:id="77"/>
    <w:p>
      <w:pPr>
        <w:jc w:val="both"/>
        <w:ind w:hanging="7"/>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Dr. Vickram Singh </w:t>
      </w:r>
      <w:r>
        <w:rPr>
          <w:rFonts w:ascii="Times New Roman" w:cs="Times New Roman" w:eastAsia="Times New Roman" w:hAnsi="Times New Roman"/>
          <w:sz w:val="16"/>
          <w:szCs w:val="16"/>
          <w:color w:val="auto"/>
        </w:rPr>
        <w:t>has served as our Chief Operating Officer since February 2025. Prior to the Business Combination, Dr. Singh served as Director of Research and Development.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that capacity, he has been instrumental in overseeing the development of next-generation lithium-ion batteries and manufacturing processes and optimizing all-solid-state battery chemistries for deep-cycle applications. After the Business Combination, Dr. Singh transitioned to overseeing all technical efforts at Dragonfly Energy Corporation – R&amp;D, automation engineering, and pack development. Before joining Dragonfly Energy Corporation, Dr. Vick Singh was a Postdoctoral Research Fellow at the Lawrence Livermore National Laboratory’s Center for Global Security Research. His research focused on international energy development and its impact on foreign policy. Dr. Singh also served as a Nuclear Regulatory Commission Fellow during his Ph.D. studies at the University of Nevada, Reno, and holds a BS in Chemical Engineering from the University of Tennessee, Knoxville.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Non-Employee Directors</w:t>
      </w:r>
    </w:p>
    <w:p>
      <w:pPr>
        <w:spacing w:after="0" w:line="189" w:lineRule="exact"/>
        <w:rPr>
          <w:sz w:val="20"/>
          <w:szCs w:val="20"/>
          <w:color w:val="auto"/>
        </w:rPr>
      </w:pPr>
    </w:p>
    <w:p>
      <w:pPr>
        <w:jc w:val="both"/>
        <w:ind w:hanging="7"/>
        <w:spacing w:after="0" w:line="247" w:lineRule="auto"/>
        <w:rPr>
          <w:sz w:val="20"/>
          <w:szCs w:val="20"/>
          <w:color w:val="auto"/>
        </w:rPr>
      </w:pPr>
      <w:r>
        <w:rPr>
          <w:rFonts w:ascii="Times New Roman" w:cs="Times New Roman" w:eastAsia="Times New Roman" w:hAnsi="Times New Roman"/>
          <w:sz w:val="16"/>
          <w:szCs w:val="16"/>
          <w:b w:val="1"/>
          <w:bCs w:val="1"/>
          <w:color w:val="auto"/>
        </w:rPr>
        <w:t xml:space="preserve">Rick Parod </w:t>
      </w:r>
      <w:r>
        <w:rPr>
          <w:rFonts w:ascii="Times New Roman" w:cs="Times New Roman" w:eastAsia="Times New Roman" w:hAnsi="Times New Roman"/>
          <w:sz w:val="16"/>
          <w:szCs w:val="16"/>
          <w:color w:val="auto"/>
        </w:rPr>
        <w:t>has served as a member of our board of directors since October 2022. Mr. Parod was the President and CEO and a director of the Lindsay Corporation, a leading global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received a B.S. in accounting from Northern Illinois University and an M.B.A from Pepperdine University. Mr. Parod is qualified to serve on our board of directors based on his experience in manufacturing operations, product development and sales and marketing.</w:t>
      </w:r>
    </w:p>
    <w:p>
      <w:pPr>
        <w:spacing w:after="0" w:line="166" w:lineRule="exact"/>
        <w:rPr>
          <w:sz w:val="20"/>
          <w:szCs w:val="20"/>
          <w:color w:val="auto"/>
        </w:rPr>
      </w:pPr>
    </w:p>
    <w:p>
      <w:pPr>
        <w:jc w:val="both"/>
        <w:ind w:hanging="7"/>
        <w:spacing w:after="0" w:line="284" w:lineRule="auto"/>
        <w:rPr>
          <w:sz w:val="20"/>
          <w:szCs w:val="20"/>
          <w:color w:val="auto"/>
        </w:rPr>
      </w:pPr>
      <w:r>
        <w:rPr>
          <w:rFonts w:ascii="Times New Roman" w:cs="Times New Roman" w:eastAsia="Times New Roman" w:hAnsi="Times New Roman"/>
          <w:sz w:val="14"/>
          <w:szCs w:val="14"/>
          <w:b w:val="1"/>
          <w:bCs w:val="1"/>
          <w:color w:val="auto"/>
        </w:rPr>
        <w:t xml:space="preserve">Karina Montilla Edmonds, Ph.D. </w:t>
      </w:r>
      <w:r>
        <w:rPr>
          <w:rFonts w:ascii="Times New Roman" w:cs="Times New Roman" w:eastAsia="Times New Roman" w:hAnsi="Times New Roman"/>
          <w:sz w:val="14"/>
          <w:szCs w:val="14"/>
          <w:color w:val="auto"/>
        </w:rPr>
        <w:t>has served as a member of our board of directors since October 2022. Dr. Edmonds currently serves as the Senior Vice President and Global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of directors based on her industry leadership and expertise in technology transfer and commercialization.</w:t>
      </w:r>
    </w:p>
    <w:p>
      <w:pPr>
        <w:spacing w:after="0" w:line="332" w:lineRule="exact"/>
        <w:rPr>
          <w:sz w:val="20"/>
          <w:szCs w:val="20"/>
          <w:color w:val="auto"/>
        </w:rPr>
      </w:pPr>
    </w:p>
    <w:p>
      <w:pPr>
        <w:jc w:val="both"/>
        <w:ind w:hanging="7"/>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Brian Nelson </w:t>
      </w:r>
      <w:r>
        <w:rPr>
          <w:rFonts w:ascii="Times New Roman" w:cs="Times New Roman" w:eastAsia="Times New Roman" w:hAnsi="Times New Roman"/>
          <w:sz w:val="16"/>
          <w:szCs w:val="16"/>
          <w:color w:val="auto"/>
        </w:rPr>
        <w:t>has served as a member of our board of directors since October 2022. Prior to the Business Combination, Mr. Nelson served on the board of directors of Legacy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of directors based on his years of business experience as President and Chief Executive Officer of Precision Surfacing Solutions Group and Lapmaster.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78" w:name="page79"/>
    <w:bookmarkEnd w:id="78"/>
    <w:p>
      <w:pPr>
        <w:jc w:val="both"/>
        <w:ind w:hanging="7"/>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Jonathan Bellows </w:t>
      </w:r>
      <w:r>
        <w:rPr>
          <w:rFonts w:ascii="Times New Roman" w:cs="Times New Roman" w:eastAsia="Times New Roman" w:hAnsi="Times New Roman"/>
          <w:sz w:val="16"/>
          <w:szCs w:val="16"/>
          <w:color w:val="auto"/>
        </w:rPr>
        <w:t>has served as a member of our board of directors since October 2022. Mr. Bellows currently serves as President of KORE Power, which acquired Northern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 - Johnson in 1998, where he earned his B.A. in History. Mr. Bellows is qualified to serve on our board of directors based on his energy storage industry expertise and operating and leadership experience.</w:t>
      </w:r>
    </w:p>
    <w:p>
      <w:pPr>
        <w:spacing w:after="0" w:line="163" w:lineRule="exact"/>
        <w:rPr>
          <w:sz w:val="20"/>
          <w:szCs w:val="20"/>
          <w:color w:val="auto"/>
        </w:rPr>
      </w:pPr>
    </w:p>
    <w:p>
      <w:pPr>
        <w:jc w:val="both"/>
        <w:ind w:hanging="7"/>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Luisa Ingargiola </w:t>
      </w:r>
      <w:r>
        <w:rPr>
          <w:rFonts w:ascii="Times New Roman" w:cs="Times New Roman" w:eastAsia="Times New Roman" w:hAnsi="Times New Roman"/>
          <w:sz w:val="14"/>
          <w:szCs w:val="14"/>
          <w:color w:val="auto"/>
        </w:rPr>
        <w:t>has served as a member of our board of directors since October 2022. Prior to the Business Combination, Ms. Ingargiola served on the board of directors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Legacy Dragonfly from August 2021 to October 2022. Since February 2017, Ms. Ingargiola has served as Chief Financial Officer of Avalon GloboCare Corp. (NASDAQ: ALBT), a publicly listed bio-tech health care company. Prior to joining Avalon GloboCare Corp., Ms. Ingargiola served as the Chief Financial Officer and Co-Founder of MagneGas Corporation from 2007 to 2018. Ms. Ingargiola has also served as a director and Audit Committee Chair for various over-the-counter and Nasdaq companies. Ms. Ingargiola has served as a member of the board of directors and as Audit Committee Chair for Progress Acquisition Corporation from November 2020 to February 2023, as a member of the board of directors and as Audit Committee Chair for AgEagle Aerial Systems Inc. (NYSE American: UAVS) from May 2018 to November 2022, as the audit committee chair of Siyata Mobile (NASDAQ: SYTA) from December 2020 to December 2021, as a member of the board of directors, the Compensation Committee Chair and as audit committee chair for Electrameccanica Vehicles Corp. (Nasdaq: SOLO) since March 2018, as a member of the board and Audit Committee Chair for BioCorRx Inc. (OTC: BICX) since April 2018, and as a member of the board and Audit Committee Chair of Vision Marine Technologies, Inc. (NASDAQ: VMAR) since December 2020. Ms. Ingargiola holds a M.B.A. in Health from the University of South Florida and a B.S. in Finance from Boston University. Ms. Ingargiola is qualified to serve on our board of directors based on her previous roles serving as Chief Financial Officer for multiple companies and extensive experience serving on multiple boards of directors for Nasdaq companies.</w:t>
      </w:r>
    </w:p>
    <w:p>
      <w:pPr>
        <w:spacing w:after="0" w:line="329" w:lineRule="exact"/>
        <w:rPr>
          <w:sz w:val="20"/>
          <w:szCs w:val="20"/>
          <w:color w:val="auto"/>
        </w:rPr>
      </w:pPr>
    </w:p>
    <w:p>
      <w:pPr>
        <w:jc w:val="both"/>
        <w:ind w:hanging="7"/>
        <w:spacing w:after="0" w:line="245" w:lineRule="auto"/>
        <w:rPr>
          <w:sz w:val="20"/>
          <w:szCs w:val="20"/>
          <w:color w:val="auto"/>
        </w:rPr>
      </w:pPr>
      <w:r>
        <w:rPr>
          <w:rFonts w:ascii="Times New Roman" w:cs="Times New Roman" w:eastAsia="Times New Roman" w:hAnsi="Times New Roman"/>
          <w:sz w:val="16"/>
          <w:szCs w:val="16"/>
          <w:b w:val="1"/>
          <w:bCs w:val="1"/>
          <w:color w:val="auto"/>
        </w:rPr>
        <w:t xml:space="preserve">Perry Boyle </w:t>
      </w:r>
      <w:r>
        <w:rPr>
          <w:rFonts w:ascii="Times New Roman" w:cs="Times New Roman" w:eastAsia="Times New Roman" w:hAnsi="Times New Roman"/>
          <w:sz w:val="16"/>
          <w:szCs w:val="16"/>
          <w:color w:val="auto"/>
        </w:rPr>
        <w:t>has served as a member of our board of directors since October 2022. Prior to the Business Combination, he served on the board of directors of CNTQ from August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and a director of The US Friends of the International Institute for Strategic Studies (“IISS”).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of directors based on his industry leadership and capital markets experience from research to fundraising.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color w:val="auto"/>
        </w:rPr>
        <w:t>Board Composition</w:t>
      </w:r>
    </w:p>
    <w:p>
      <w:pPr>
        <w:spacing w:after="0" w:line="191" w:lineRule="exact"/>
        <w:rPr>
          <w:sz w:val="20"/>
          <w:szCs w:val="20"/>
          <w:color w:val="auto"/>
        </w:rPr>
      </w:pPr>
    </w:p>
    <w:p>
      <w:pPr>
        <w:ind w:right="20" w:hanging="7"/>
        <w:spacing w:after="0" w:line="267" w:lineRule="auto"/>
        <w:rPr>
          <w:sz w:val="20"/>
          <w:szCs w:val="20"/>
          <w:color w:val="auto"/>
        </w:rPr>
      </w:pPr>
      <w:r>
        <w:rPr>
          <w:rFonts w:ascii="Times New Roman" w:cs="Times New Roman" w:eastAsia="Times New Roman" w:hAnsi="Times New Roman"/>
          <w:sz w:val="16"/>
          <w:szCs w:val="16"/>
          <w:color w:val="auto"/>
        </w:rPr>
        <w:t>Our Board currently consists of three classes of a total of seven directors. Our directors each serve staggered three-year terms with one class being elected at each year’s annual meeting of stockholders, as follows:</w:t>
      </w:r>
    </w:p>
    <w:p>
      <w:pPr>
        <w:spacing w:after="0" w:line="151" w:lineRule="exact"/>
        <w:rPr>
          <w:sz w:val="20"/>
          <w:szCs w:val="20"/>
          <w:color w:val="auto"/>
        </w:rPr>
      </w:pPr>
    </w:p>
    <w:p>
      <w:pPr>
        <w:ind w:left="560" w:hanging="287"/>
        <w:spacing w:after="0"/>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which consists of Rick Parod and Karina Edmonds, whose terms will expire at the 2026 annual meeting of stockholders;</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which consists of Brian Nelson and Jonathan Bellows, whose terms will expire at the 2027 annual meeting of stockholders; and</w:t>
      </w:r>
    </w:p>
    <w:p>
      <w:pPr>
        <w:spacing w:after="0" w:line="189"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C, which consists of Denis Phares, Luisa Ingargiola and Perry Boyle, whose terms will expire at the 2025 annual meeting of stockholders.</w:t>
      </w:r>
    </w:p>
    <w:p>
      <w:pPr>
        <w:spacing w:after="0" w:line="189"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We have no formal policy regarding board diversity. Our priority in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spacing w:after="0" w:line="160"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The Board oversees our business and monitors the performance of our management. In accordance with our corporate governance procedures, the Board does not involve itself in our day-to-day operations.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Committees</w:t>
      </w:r>
    </w:p>
    <w:p>
      <w:pPr>
        <w:spacing w:after="0" w:line="191" w:lineRule="exact"/>
        <w:rPr>
          <w:sz w:val="20"/>
          <w:szCs w:val="20"/>
          <w:color w:val="auto"/>
        </w:rPr>
      </w:pPr>
    </w:p>
    <w:p>
      <w:pPr>
        <w:jc w:val="both"/>
        <w:ind w:hanging="7"/>
        <w:spacing w:after="0" w:line="267" w:lineRule="auto"/>
        <w:rPr>
          <w:sz w:val="20"/>
          <w:szCs w:val="20"/>
          <w:color w:val="auto"/>
        </w:rPr>
      </w:pPr>
      <w:r>
        <w:rPr>
          <w:rFonts w:ascii="Times New Roman" w:cs="Times New Roman" w:eastAsia="Times New Roman" w:hAnsi="Times New Roman"/>
          <w:sz w:val="16"/>
          <w:szCs w:val="16"/>
          <w:color w:val="auto"/>
        </w:rPr>
        <w:t xml:space="preserve">Our Board has three standing committees — an audit committee, a compensation committee, and a nominating and corporate governance committee. Copies of the charters for each committee are posted under the “Investors” tab on our website, which is located at </w:t>
      </w:r>
      <w:r>
        <w:rPr>
          <w:rFonts w:ascii="Times New Roman" w:cs="Times New Roman" w:eastAsia="Times New Roman" w:hAnsi="Times New Roman"/>
          <w:sz w:val="16"/>
          <w:szCs w:val="16"/>
          <w:i w:val="1"/>
          <w:iCs w:val="1"/>
          <w:u w:val="single" w:color="auto"/>
          <w:color w:val="auto"/>
        </w:rPr>
        <w:t>https://dragonflyenergy.com</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191"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The Board has formed an Audit Committee, which currently consists of Luisa Ingargiola, Rick Parod, and Perry Boyle.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of directors has determined that Ms. Ingargiola qualifies as an audit committee financial expert within the meaning of SEC regulations and the Nasdaq Marketplace Rules.</w:t>
      </w:r>
    </w:p>
    <w:p>
      <w:pPr>
        <w:spacing w:after="0" w:line="164"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Luisa Ingargiola serves as the chair of the Audit Committee. The Audit Committee oversees and monitors our financial reporting process and internal control system, reviews and evaluates the audit performed by our registered independent public accountants and reports to our board of directors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191" w:lineRule="exact"/>
        <w:rPr>
          <w:sz w:val="20"/>
          <w:szCs w:val="20"/>
          <w:color w:val="auto"/>
        </w:rPr>
      </w:pPr>
    </w:p>
    <w:p>
      <w:pPr>
        <w:jc w:val="both"/>
        <w:ind w:hanging="7"/>
        <w:spacing w:after="0" w:line="249" w:lineRule="auto"/>
        <w:rPr>
          <w:sz w:val="20"/>
          <w:szCs w:val="20"/>
          <w:color w:val="auto"/>
        </w:rPr>
      </w:pPr>
      <w:r>
        <w:rPr>
          <w:rFonts w:ascii="Times New Roman" w:cs="Times New Roman" w:eastAsia="Times New Roman" w:hAnsi="Times New Roman"/>
          <w:sz w:val="16"/>
          <w:szCs w:val="16"/>
          <w:color w:val="auto"/>
        </w:rPr>
        <w:t>The Board has formed a Compensation Committee which consists of Luisa Ingargiola, Brian Nelson, and Rick Parod, all of whom are independent (as that term is defined under the Nasdaq Marketplace Rules). Brian Nelson serves as the chair of the Compensation Committee. The Compensation Committee assists the Board in fulfilling its oversight responsibilities relating to (i) corporate governance practices and policies and (ii) compensation matters, including our directors and senior management’s compensation and the administration of our compensation plans. Our Board determined that each of the members of the compensation committee are a non-employee director, as defined in Rule 16b-3 promulgated under the Exchange Act and satisfies the independence requirements of Nasdaq.</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i w:val="1"/>
          <w:iCs w:val="1"/>
          <w:color w:val="auto"/>
        </w:rPr>
        <w:t>Nominating and Corporate Governance Committee</w:t>
      </w:r>
    </w:p>
    <w:p>
      <w:pPr>
        <w:spacing w:after="0" w:line="191"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The Board has formed a Nominating and Corporate Governance Committee, which currently consists of Karina Montilla Edmonds, Brian Nelson and Jonathan Bellows, all of whom are independent (as that term is defined under the Nasdaq Marketplace Rules). Karina Montilla Edmonds serves as the chair of the Nominating and Corporate Governance Committee. The Nominating and Corporate Governance Committee assesses potential candidates to fill perceived needs on the Board for required, skills, expertise, independence and other factors.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Nomination of Directors</w:t>
      </w:r>
    </w:p>
    <w:p>
      <w:pPr>
        <w:spacing w:after="0" w:line="191" w:lineRule="exact"/>
        <w:rPr>
          <w:sz w:val="20"/>
          <w:szCs w:val="20"/>
          <w:color w:val="auto"/>
        </w:rPr>
      </w:pPr>
    </w:p>
    <w:p>
      <w:pPr>
        <w:jc w:val="both"/>
        <w:ind w:hanging="7"/>
        <w:spacing w:after="0" w:line="299" w:lineRule="auto"/>
        <w:rPr>
          <w:sz w:val="20"/>
          <w:szCs w:val="20"/>
          <w:color w:val="auto"/>
        </w:rPr>
      </w:pPr>
      <w:r>
        <w:rPr>
          <w:rFonts w:ascii="Times New Roman" w:cs="Times New Roman" w:eastAsia="Times New Roman" w:hAnsi="Times New Roman"/>
          <w:sz w:val="14"/>
          <w:szCs w:val="14"/>
          <w:color w:val="auto"/>
        </w:rPr>
        <w:t>The Nominating and Corporate Governance Committee of the Board assesses potential candidates to fill perceived needs on the Board of Directors for required skills, expertise, independence and other factors. A director candidate recommended by our stockholders will be considered in the same manner as a nominee recommended by a Board member, management or other sources. Stockholders wishing to recommend a candidate for nomination should contact our Secretary in writing at the Secretary of Dragonfly at 12915 Old Virginia Road, Reno, Nevada 89521. Our Nominating and Corporate Governance Committee has discretion to decide which individuals to recommend for nomination as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Leadership Structure and Role in Risk Oversight</w:t>
      </w:r>
    </w:p>
    <w:p>
      <w:pPr>
        <w:spacing w:after="0" w:line="191" w:lineRule="exact"/>
        <w:rPr>
          <w:sz w:val="20"/>
          <w:szCs w:val="20"/>
          <w:color w:val="auto"/>
        </w:rPr>
      </w:pPr>
    </w:p>
    <w:p>
      <w:pPr>
        <w:jc w:val="both"/>
        <w:ind w:hanging="7"/>
        <w:spacing w:after="0" w:line="249" w:lineRule="auto"/>
        <w:rPr>
          <w:sz w:val="20"/>
          <w:szCs w:val="20"/>
          <w:color w:val="auto"/>
        </w:rPr>
      </w:pPr>
      <w:r>
        <w:rPr>
          <w:rFonts w:ascii="Times New Roman" w:cs="Times New Roman" w:eastAsia="Times New Roman" w:hAnsi="Times New Roman"/>
          <w:sz w:val="16"/>
          <w:szCs w:val="16"/>
          <w:color w:val="auto"/>
        </w:rPr>
        <w:t>Periodically, our board of directors will assess the roles of Chairman and Chief Executive Officer, and the Board leadership structure to ensure the interests of Dragonfly and our stockholders are best served. Our Board believes the current combination of the two roles is satisfactory at present. Dr. Phares, as our President, Chief Executive Officer and Chairman, has extensive knowledge of all aspects of Dragonfly and our business. Our Board has appointed Ms. Ingargiola as Lead Independent Director. We have no policy requiring the combination or separation of leadership roles and our governing documents do not mandate a particular structure. This has allowed, and will continue to allow, our board of directors the flexibility to establish the most appropriate structure for us at any given time.</w:t>
      </w:r>
    </w:p>
    <w:p>
      <w:pPr>
        <w:spacing w:after="0" w:line="166" w:lineRule="exact"/>
        <w:rPr>
          <w:sz w:val="20"/>
          <w:szCs w:val="20"/>
          <w:color w:val="auto"/>
        </w:rPr>
      </w:pPr>
    </w:p>
    <w:p>
      <w:pPr>
        <w:jc w:val="both"/>
        <w:ind w:hanging="7"/>
        <w:spacing w:after="0" w:line="249" w:lineRule="auto"/>
        <w:rPr>
          <w:sz w:val="20"/>
          <w:szCs w:val="20"/>
          <w:color w:val="auto"/>
        </w:rPr>
      </w:pPr>
      <w:r>
        <w:rPr>
          <w:rFonts w:ascii="Times New Roman" w:cs="Times New Roman" w:eastAsia="Times New Roman" w:hAnsi="Times New Roman"/>
          <w:sz w:val="16"/>
          <w:szCs w:val="16"/>
          <w:color w:val="auto"/>
        </w:rPr>
        <w:t>Our Board is primarily responsible for overseeing our risk management processes. The Board receives and reviews periodic reports from management, auditors, legal counsel, and others, as considered appropriate regarding our assessment of risks. The Board focuses on the most significant risks we face and our general risk management strategy, and also ensures that risks undertaken by us are consistent with the Board’s risk strategy. While the Board oversees our risk management, management is responsible for day-to-day risk management processes. We believe this division of responsibilities is the most effective approach for addressing the risks we face and that our board of directors leadership structure supports this approach.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family relationships among any of our directors or executive officers.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Ethics</w:t>
      </w:r>
    </w:p>
    <w:p>
      <w:pPr>
        <w:spacing w:after="0" w:line="191" w:lineRule="exact"/>
        <w:rPr>
          <w:sz w:val="20"/>
          <w:szCs w:val="20"/>
          <w:color w:val="auto"/>
        </w:rPr>
      </w:pPr>
    </w:p>
    <w:p>
      <w:pPr>
        <w:jc w:val="both"/>
        <w:ind w:hanging="7"/>
        <w:spacing w:after="0" w:line="309" w:lineRule="auto"/>
        <w:rPr>
          <w:sz w:val="20"/>
          <w:szCs w:val="20"/>
          <w:color w:val="auto"/>
        </w:rPr>
      </w:pPr>
      <w:r>
        <w:rPr>
          <w:rFonts w:ascii="Times New Roman" w:cs="Times New Roman" w:eastAsia="Times New Roman" w:hAnsi="Times New Roman"/>
          <w:sz w:val="14"/>
          <w:szCs w:val="14"/>
          <w:color w:val="auto"/>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 w:cs="Times New Roman" w:eastAsia="Times New Roman" w:hAnsi="Times New Roman"/>
          <w:sz w:val="14"/>
          <w:szCs w:val="14"/>
          <w:i w:val="1"/>
          <w:iCs w:val="1"/>
          <w:u w:val="single" w:color="auto"/>
          <w:color w:val="auto"/>
        </w:rPr>
        <w:t>https://dragonflyenergy.com/.</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This section describes the material components of the executive compensation program for certain of our executive officers listed in the Summary Compensation Table below (the “NEOs”) and directors. This discussion may contain forward-looking statements that are based on our current plans, considerations, expectations and determinations regarding future compensation programs.</w:t>
      </w:r>
    </w:p>
    <w:p>
      <w:pPr>
        <w:spacing w:after="0" w:line="160"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Our Board has formed a Compensation Committee. The Compensation Committee is responsible for reviewing and approving management compensation, including salaries, bonuses, and equity compensation. We seek to provide competitive compensation arrangements that attract and retain key talent necessary to achieve our business objectives.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91" w:lineRule="exact"/>
        <w:rPr>
          <w:sz w:val="20"/>
          <w:szCs w:val="20"/>
          <w:color w:val="auto"/>
        </w:rPr>
      </w:pPr>
    </w:p>
    <w:p>
      <w:pPr>
        <w:jc w:val="both"/>
        <w:ind w:hanging="7"/>
        <w:spacing w:after="0" w:line="249" w:lineRule="auto"/>
        <w:rPr>
          <w:sz w:val="20"/>
          <w:szCs w:val="20"/>
          <w:color w:val="auto"/>
        </w:rPr>
      </w:pPr>
      <w:r>
        <w:rPr>
          <w:rFonts w:ascii="Times New Roman" w:cs="Times New Roman" w:eastAsia="Times New Roman" w:hAnsi="Times New Roman"/>
          <w:sz w:val="16"/>
          <w:szCs w:val="16"/>
          <w:color w:val="auto"/>
        </w:rPr>
        <w:t>The following table presents information regarding the total compensation awarded to, earned by, or paid to each person serving as our Chief Executive Officer during the fiscal year ended December 31, 2024, the two most highly-compensated executive officers (other than the Chief Executive Officer) who were serving as executive officers during the fiscal years ended December 31, 2024 and December 31, 2023, and up to two additional individuals for whom disclosure would have been provided but for the fact that such individuals were not serving as an executive officer as of December 31, 2024 for services rendered in all capacities to us for the fiscal year ended December 31, 2024. These individuals are our named executive officers (“NEOs”) for fiscal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Non-Equity</w:t>
            </w:r>
          </w:p>
        </w:tc>
        <w:tc>
          <w:tcPr>
            <w:tcW w:w="10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4"/>
              </w:rPr>
              <w:t>Non-Qualified</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1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Deferred</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Plan</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8"/>
        </w:trPr>
        <w:tc>
          <w:tcPr>
            <w:tcW w:w="184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Name and</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18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Principal Position</w:t>
            </w:r>
          </w:p>
        </w:tc>
        <w:tc>
          <w:tcPr>
            <w:tcW w:w="20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6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($)(1)</w:t>
            </w:r>
          </w:p>
        </w:tc>
        <w:tc>
          <w:tcPr>
            <w:tcW w:w="2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2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80" w:type="dxa"/>
            <w:vAlign w:val="bottom"/>
          </w:tcPr>
          <w:p>
            <w:pPr>
              <w:spacing w:after="0"/>
              <w:rPr>
                <w:sz w:val="17"/>
                <w:szCs w:val="17"/>
                <w:color w:val="auto"/>
              </w:rPr>
            </w:pPr>
          </w:p>
        </w:tc>
        <w:tc>
          <w:tcPr>
            <w:tcW w:w="106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300" w:type="dxa"/>
            <w:vAlign w:val="bottom"/>
          </w:tcPr>
          <w:p>
            <w:pPr>
              <w:spacing w:after="0"/>
              <w:rPr>
                <w:sz w:val="17"/>
                <w:szCs w:val="17"/>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r>
      <w:tr>
        <w:trPr>
          <w:trHeight w:val="179"/>
        </w:trPr>
        <w:tc>
          <w:tcPr>
            <w:tcW w:w="1840" w:type="dxa"/>
            <w:vAlign w:val="bottom"/>
            <w:tcBorders>
              <w:top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Dr. Denis Phares</w:t>
            </w:r>
          </w:p>
        </w:tc>
        <w:tc>
          <w:tcPr>
            <w:tcW w:w="2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622,000</w:t>
            </w: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50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480"/>
              <w:spacing w:after="0" w:line="179" w:lineRule="exact"/>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ind w:left="800"/>
              <w:spacing w:after="0" w:line="179" w:lineRule="exact"/>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160"/>
              <w:spacing w:after="0" w:line="179" w:lineRule="exact"/>
              <w:rPr>
                <w:sz w:val="20"/>
                <w:szCs w:val="20"/>
                <w:color w:val="auto"/>
              </w:rPr>
            </w:pPr>
            <w:r>
              <w:rPr>
                <w:rFonts w:ascii="Times New Roman" w:cs="Times New Roman" w:eastAsia="Times New Roman" w:hAnsi="Times New Roman"/>
                <w:sz w:val="16"/>
                <w:szCs w:val="16"/>
                <w:color w:val="auto"/>
                <w:w w:val="92"/>
              </w:rPr>
              <w:t>622,000</w:t>
            </w:r>
          </w:p>
        </w:tc>
        <w:tc>
          <w:tcPr>
            <w:tcW w:w="120" w:type="dxa"/>
            <w:vAlign w:val="bottom"/>
            <w:tcBorders>
              <w:top w:val="single" w:sz="8" w:color="CCEEFF"/>
            </w:tcBorders>
            <w:shd w:val="clear" w:color="auto" w:fill="CCEEFF"/>
          </w:tcPr>
          <w:p>
            <w:pPr>
              <w:spacing w:after="0"/>
              <w:rPr>
                <w:sz w:val="15"/>
                <w:szCs w:val="15"/>
                <w:color w:val="auto"/>
              </w:rPr>
            </w:pPr>
          </w:p>
        </w:tc>
      </w:tr>
      <w:tr>
        <w:trPr>
          <w:trHeight w:val="168"/>
        </w:trPr>
        <w:tc>
          <w:tcPr>
            <w:tcW w:w="184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7"/>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Interim Chief Financial</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5"/>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Officer, President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622,000</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255,333</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2"/>
              </w:rPr>
              <w:t>877,333</w:t>
            </w:r>
          </w:p>
        </w:tc>
        <w:tc>
          <w:tcPr>
            <w:tcW w:w="120" w:type="dxa"/>
            <w:vAlign w:val="bottom"/>
            <w:shd w:val="clear" w:color="auto" w:fill="CCEEFF"/>
          </w:tcPr>
          <w:p>
            <w:pPr>
              <w:spacing w:after="0"/>
              <w:rPr>
                <w:sz w:val="17"/>
                <w:szCs w:val="17"/>
                <w:color w:val="auto"/>
              </w:rPr>
            </w:pPr>
          </w:p>
        </w:tc>
      </w:tr>
      <w:tr>
        <w:trPr>
          <w:trHeight w:val="168"/>
        </w:trPr>
        <w:tc>
          <w:tcPr>
            <w:tcW w:w="184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Wade Seaburg</w:t>
            </w:r>
          </w:p>
        </w:tc>
        <w:tc>
          <w:tcPr>
            <w:tcW w:w="1080" w:type="dxa"/>
            <w:vAlign w:val="bottom"/>
            <w:gridSpan w:val="3"/>
          </w:tcPr>
          <w:p>
            <w:pPr>
              <w:jc w:val="right"/>
              <w:ind w:right="280"/>
              <w:spacing w:after="0" w:line="168" w:lineRule="exact"/>
              <w:rPr>
                <w:sz w:val="20"/>
                <w:szCs w:val="20"/>
                <w:color w:val="auto"/>
              </w:rPr>
            </w:pPr>
            <w:r>
              <w:rPr>
                <w:rFonts w:ascii="Times New Roman" w:cs="Times New Roman" w:eastAsia="Times New Roman" w:hAnsi="Times New Roman"/>
                <w:sz w:val="16"/>
                <w:szCs w:val="16"/>
                <w:color w:val="auto"/>
              </w:rPr>
              <w:t>2024</w:t>
            </w:r>
          </w:p>
        </w:tc>
        <w:tc>
          <w:tcPr>
            <w:tcW w:w="940" w:type="dxa"/>
            <w:vAlign w:val="bottom"/>
            <w:gridSpan w:val="2"/>
          </w:tcPr>
          <w:p>
            <w:pPr>
              <w:jc w:val="right"/>
              <w:ind w:right="280"/>
              <w:spacing w:after="0" w:line="168" w:lineRule="exact"/>
              <w:rPr>
                <w:sz w:val="20"/>
                <w:szCs w:val="20"/>
                <w:color w:val="auto"/>
              </w:rPr>
            </w:pPr>
            <w:r>
              <w:rPr>
                <w:rFonts w:ascii="Times New Roman" w:cs="Times New Roman" w:eastAsia="Times New Roman" w:hAnsi="Times New Roman"/>
                <w:sz w:val="16"/>
                <w:szCs w:val="16"/>
                <w:color w:val="auto"/>
              </w:rPr>
              <w:t>340,000</w:t>
            </w:r>
          </w:p>
        </w:tc>
        <w:tc>
          <w:tcPr>
            <w:tcW w:w="920" w:type="dxa"/>
            <w:vAlign w:val="bottom"/>
            <w:gridSpan w:val="2"/>
          </w:tcPr>
          <w:p>
            <w:pPr>
              <w:jc w:val="right"/>
              <w:ind w:right="280"/>
              <w:spacing w:after="0" w:line="168"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line="168"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48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80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28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300"/>
              <w:spacing w:after="0" w:line="168"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160"/>
              <w:spacing w:after="0" w:line="168" w:lineRule="exact"/>
              <w:rPr>
                <w:sz w:val="20"/>
                <w:szCs w:val="20"/>
                <w:color w:val="auto"/>
              </w:rPr>
            </w:pPr>
            <w:r>
              <w:rPr>
                <w:rFonts w:ascii="Times New Roman" w:cs="Times New Roman" w:eastAsia="Times New Roman" w:hAnsi="Times New Roman"/>
                <w:sz w:val="16"/>
                <w:szCs w:val="16"/>
                <w:color w:val="auto"/>
                <w:w w:val="92"/>
              </w:rPr>
              <w:t>340,000</w:t>
            </w:r>
          </w:p>
        </w:tc>
        <w:tc>
          <w:tcPr>
            <w:tcW w:w="120" w:type="dxa"/>
            <w:vAlign w:val="bottom"/>
          </w:tcPr>
          <w:p>
            <w:pPr>
              <w:spacing w:after="0"/>
              <w:rPr>
                <w:sz w:val="14"/>
                <w:szCs w:val="14"/>
                <w:color w:val="auto"/>
              </w:rPr>
            </w:pPr>
          </w:p>
        </w:tc>
      </w:tr>
      <w:tr>
        <w:trPr>
          <w:trHeight w:val="205"/>
        </w:trPr>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Chief Commercial Officer</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340,000</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81,666</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2"/>
              </w:rPr>
              <w:t>421,666</w:t>
            </w:r>
          </w:p>
        </w:tc>
        <w:tc>
          <w:tcPr>
            <w:tcW w:w="120" w:type="dxa"/>
            <w:vAlign w:val="bottom"/>
          </w:tcPr>
          <w:p>
            <w:pPr>
              <w:spacing w:after="0"/>
              <w:rPr>
                <w:sz w:val="17"/>
                <w:szCs w:val="17"/>
                <w:color w:val="auto"/>
              </w:rPr>
            </w:pPr>
          </w:p>
        </w:tc>
      </w:tr>
      <w:tr>
        <w:trPr>
          <w:trHeight w:val="187"/>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Tyler Bourns</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280,000</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2"/>
              </w:rPr>
              <w:t>280,000</w:t>
            </w:r>
          </w:p>
        </w:tc>
        <w:tc>
          <w:tcPr>
            <w:tcW w:w="120" w:type="dxa"/>
            <w:vAlign w:val="bottom"/>
            <w:shd w:val="clear" w:color="auto" w:fill="CCEEFF"/>
          </w:tcPr>
          <w:p>
            <w:pPr>
              <w:spacing w:after="0"/>
              <w:rPr>
                <w:sz w:val="16"/>
                <w:szCs w:val="16"/>
                <w:color w:val="auto"/>
              </w:rPr>
            </w:pPr>
          </w:p>
        </w:tc>
      </w:tr>
      <w:tr>
        <w:trPr>
          <w:trHeight w:val="187"/>
        </w:trPr>
        <w:tc>
          <w:tcPr>
            <w:tcW w:w="1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i w:val="1"/>
                <w:iCs w:val="1"/>
                <w:color w:val="auto"/>
                <w:w w:val="98"/>
              </w:rPr>
              <w:t>Chief Marketing Officer</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280,000</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39,333</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2"/>
              </w:rPr>
              <w:t>319,333</w:t>
            </w:r>
          </w:p>
        </w:tc>
        <w:tc>
          <w:tcPr>
            <w:tcW w:w="120" w:type="dxa"/>
            <w:vAlign w:val="bottom"/>
            <w:shd w:val="clear" w:color="auto" w:fill="CCEEFF"/>
          </w:tcPr>
          <w:p>
            <w:pPr>
              <w:spacing w:after="0"/>
              <w:rPr>
                <w:sz w:val="16"/>
                <w:szCs w:val="16"/>
                <w:color w:val="auto"/>
              </w:rPr>
            </w:pPr>
          </w:p>
        </w:tc>
      </w:tr>
      <w:tr>
        <w:trPr>
          <w:trHeight w:val="168"/>
        </w:trPr>
        <w:tc>
          <w:tcPr>
            <w:tcW w:w="184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John Marchetti (6)</w:t>
            </w:r>
          </w:p>
        </w:tc>
        <w:tc>
          <w:tcPr>
            <w:tcW w:w="1080" w:type="dxa"/>
            <w:vAlign w:val="bottom"/>
            <w:gridSpan w:val="3"/>
          </w:tcPr>
          <w:p>
            <w:pPr>
              <w:jc w:val="right"/>
              <w:ind w:right="280"/>
              <w:spacing w:after="0" w:line="168" w:lineRule="exact"/>
              <w:rPr>
                <w:sz w:val="20"/>
                <w:szCs w:val="20"/>
                <w:color w:val="auto"/>
              </w:rPr>
            </w:pPr>
            <w:r>
              <w:rPr>
                <w:rFonts w:ascii="Times New Roman" w:cs="Times New Roman" w:eastAsia="Times New Roman" w:hAnsi="Times New Roman"/>
                <w:sz w:val="16"/>
                <w:szCs w:val="16"/>
                <w:color w:val="auto"/>
              </w:rPr>
              <w:t>2024</w:t>
            </w:r>
          </w:p>
        </w:tc>
        <w:tc>
          <w:tcPr>
            <w:tcW w:w="940" w:type="dxa"/>
            <w:vAlign w:val="bottom"/>
            <w:gridSpan w:val="2"/>
          </w:tcPr>
          <w:p>
            <w:pPr>
              <w:jc w:val="right"/>
              <w:ind w:right="280"/>
              <w:spacing w:after="0" w:line="168" w:lineRule="exact"/>
              <w:rPr>
                <w:sz w:val="20"/>
                <w:szCs w:val="20"/>
                <w:color w:val="auto"/>
              </w:rPr>
            </w:pPr>
            <w:r>
              <w:rPr>
                <w:rFonts w:ascii="Times New Roman" w:cs="Times New Roman" w:eastAsia="Times New Roman" w:hAnsi="Times New Roman"/>
                <w:sz w:val="16"/>
                <w:szCs w:val="16"/>
                <w:color w:val="auto"/>
              </w:rPr>
              <w:t>127,202</w:t>
            </w:r>
          </w:p>
        </w:tc>
        <w:tc>
          <w:tcPr>
            <w:tcW w:w="920" w:type="dxa"/>
            <w:vAlign w:val="bottom"/>
            <w:gridSpan w:val="2"/>
          </w:tcPr>
          <w:p>
            <w:pPr>
              <w:jc w:val="right"/>
              <w:ind w:right="280"/>
              <w:spacing w:after="0" w:line="168"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line="168"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48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80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280"/>
              <w:spacing w:after="0" w:line="168"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6,727</w:t>
            </w:r>
          </w:p>
        </w:tc>
        <w:tc>
          <w:tcPr>
            <w:tcW w:w="300" w:type="dxa"/>
            <w:vAlign w:val="bottom"/>
          </w:tcPr>
          <w:p>
            <w:pPr>
              <w:spacing w:after="0"/>
              <w:rPr>
                <w:sz w:val="14"/>
                <w:szCs w:val="14"/>
                <w:color w:val="auto"/>
              </w:rPr>
            </w:pPr>
          </w:p>
        </w:tc>
        <w:tc>
          <w:tcPr>
            <w:tcW w:w="660" w:type="dxa"/>
            <w:vAlign w:val="bottom"/>
          </w:tcPr>
          <w:p>
            <w:pPr>
              <w:ind w:left="160"/>
              <w:spacing w:after="0" w:line="168" w:lineRule="exact"/>
              <w:rPr>
                <w:sz w:val="20"/>
                <w:szCs w:val="20"/>
                <w:color w:val="auto"/>
              </w:rPr>
            </w:pPr>
            <w:r>
              <w:rPr>
                <w:rFonts w:ascii="Times New Roman" w:cs="Times New Roman" w:eastAsia="Times New Roman" w:hAnsi="Times New Roman"/>
                <w:sz w:val="16"/>
                <w:szCs w:val="16"/>
                <w:color w:val="auto"/>
                <w:w w:val="92"/>
              </w:rPr>
              <w:t>133,929</w:t>
            </w:r>
          </w:p>
        </w:tc>
        <w:tc>
          <w:tcPr>
            <w:tcW w:w="120" w:type="dxa"/>
            <w:vAlign w:val="bottom"/>
          </w:tcPr>
          <w:p>
            <w:pPr>
              <w:spacing w:after="0"/>
              <w:rPr>
                <w:sz w:val="14"/>
                <w:szCs w:val="14"/>
                <w:color w:val="auto"/>
              </w:rPr>
            </w:pPr>
          </w:p>
        </w:tc>
      </w:tr>
      <w:tr>
        <w:trPr>
          <w:trHeight w:val="187"/>
        </w:trPr>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Former Senior Vice</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President, Operations,</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Former Chief Financial</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227,692</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175,000</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107,667</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2"/>
              </w:rPr>
              <w:t>510,359</w:t>
            </w:r>
          </w:p>
        </w:tc>
        <w:tc>
          <w:tcPr>
            <w:tcW w:w="120" w:type="dxa"/>
            <w:vAlign w:val="bottom"/>
          </w:tcPr>
          <w:p>
            <w:pPr>
              <w:spacing w:after="0"/>
              <w:rPr>
                <w:sz w:val="17"/>
                <w:szCs w:val="17"/>
                <w:color w:val="auto"/>
              </w:rPr>
            </w:pPr>
          </w:p>
        </w:tc>
      </w:tr>
    </w:tbl>
    <w:p>
      <w:pPr>
        <w:spacing w:after="0" w:line="171" w:lineRule="exact"/>
        <w:rPr>
          <w:sz w:val="20"/>
          <w:szCs w:val="20"/>
          <w:color w:val="auto"/>
        </w:rPr>
      </w:pPr>
    </w:p>
    <w:p>
      <w:pPr>
        <w:ind w:left="560" w:hanging="287"/>
        <w:spacing w:after="0"/>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discretionary bonuses awarded to each executive for performance during the fiscal year ended December 31, 2023.</w:t>
      </w:r>
    </w:p>
    <w:p>
      <w:pPr>
        <w:spacing w:after="0" w:line="189"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82" w:name="page83"/>
    <w:bookmarkEnd w:id="82"/>
    <w:p>
      <w:pPr>
        <w:jc w:val="both"/>
        <w:ind w:left="560" w:hanging="287"/>
        <w:spacing w:after="0" w:line="251" w:lineRule="auto"/>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reflect the grant date fair value of restricted stock awards granted to the NEOs for performance during the fiscal years ended December 31, 2024 and December 31, 2023 under the 2022 Plan (as defined below) and are accounted for in accordance with FASB ASC Topic 718. Please see the section titled “</w:t>
      </w: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16"/>
          <w:szCs w:val="16"/>
          <w:color w:val="auto"/>
        </w:rPr>
        <w:t>” beginning on page F-14 of our Notes to Consolidated Financial Statements included elsewhere in this prospectus for a discussion of the relevant assumptions used in calculating these amounts.</w:t>
      </w:r>
    </w:p>
    <w:p>
      <w:pPr>
        <w:spacing w:after="0" w:line="163" w:lineRule="exact"/>
        <w:rPr>
          <w:rFonts w:ascii="Times New Roman" w:cs="Times New Roman" w:eastAsia="Times New Roman" w:hAnsi="Times New Roman"/>
          <w:sz w:val="16"/>
          <w:szCs w:val="16"/>
          <w:color w:val="auto"/>
        </w:rPr>
      </w:pPr>
    </w:p>
    <w:p>
      <w:pPr>
        <w:ind w:left="560" w:hanging="287"/>
        <w:spacing w:after="0" w:line="267" w:lineRule="auto"/>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12, 2024, Dr. Phares received a contingent cash award in the amount of $510,666.67 for services performed for the year ended December 31, 2023, which will not be paid out to Dr. Phares until we have achieved a minimum cash balance of $30,000,000, subject to his continued employment on the date of payment.</w:t>
      </w:r>
    </w:p>
    <w:p>
      <w:pPr>
        <w:spacing w:after="0" w:line="150" w:lineRule="exact"/>
        <w:rPr>
          <w:rFonts w:ascii="Times New Roman" w:cs="Times New Roman" w:eastAsia="Times New Roman" w:hAnsi="Times New Roman"/>
          <w:sz w:val="16"/>
          <w:szCs w:val="16"/>
          <w:color w:val="auto"/>
        </w:rPr>
      </w:pPr>
    </w:p>
    <w:p>
      <w:pPr>
        <w:ind w:left="560" w:hanging="287"/>
        <w:spacing w:after="0" w:line="267" w:lineRule="auto"/>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12, 2024, Mr. Seaburg received a contingent cash award in the amount of $163,333.33 for services performed in December 31, 2023, which will not be paid out to Mr. Seaburg until we have achieved a minimum cash balance of $30,000,000, subject to his continued employment on the date of payment.</w:t>
      </w:r>
    </w:p>
    <w:p>
      <w:pPr>
        <w:spacing w:after="0" w:line="150" w:lineRule="exact"/>
        <w:rPr>
          <w:rFonts w:ascii="Times New Roman" w:cs="Times New Roman" w:eastAsia="Times New Roman" w:hAnsi="Times New Roman"/>
          <w:sz w:val="16"/>
          <w:szCs w:val="16"/>
          <w:color w:val="auto"/>
        </w:rPr>
      </w:pPr>
    </w:p>
    <w:p>
      <w:pPr>
        <w:ind w:left="560" w:right="20" w:hanging="287"/>
        <w:spacing w:after="0" w:line="267" w:lineRule="auto"/>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12, 2024, Mr. Bourns received a contingent cash award in the amount of $78,667.67 for services performed in December 31, 2023, which will not be paid out to Mr. Bourns until we have achieved a minimum cash balance of $30,000,000, subject to his continued employment on the date of payment.</w:t>
      </w:r>
    </w:p>
    <w:p>
      <w:pPr>
        <w:spacing w:after="0" w:line="150" w:lineRule="exact"/>
        <w:rPr>
          <w:rFonts w:ascii="Times New Roman" w:cs="Times New Roman" w:eastAsia="Times New Roman" w:hAnsi="Times New Roman"/>
          <w:sz w:val="16"/>
          <w:szCs w:val="16"/>
          <w:color w:val="auto"/>
        </w:rPr>
      </w:pPr>
    </w:p>
    <w:p>
      <w:pPr>
        <w:jc w:val="both"/>
        <w:ind w:left="560" w:hanging="287"/>
        <w:spacing w:after="0" w:line="250" w:lineRule="auto"/>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Marchetti commenced employment as Legacy Dragonfly’s Chief Financial Officer on September 6, 2021. On August 20, 2023, upon mutual agreement between us and Mr. Marchetti, Mr. Marchetti resigned from his position as our Chief Financial Officer. Mr. Marchetti continued in the role of Senior Vice President, Operations until his employment was terminated on April 19, 2024. As a result, Mr. Marchetti’s 26,585 RSUs were forfeited.</w:t>
      </w:r>
    </w:p>
    <w:p>
      <w:pPr>
        <w:spacing w:after="0" w:line="1" w:lineRule="exact"/>
        <w:rPr>
          <w:rFonts w:ascii="Times New Roman" w:cs="Times New Roman" w:eastAsia="Times New Roman" w:hAnsi="Times New Roman"/>
          <w:sz w:val="16"/>
          <w:szCs w:val="16"/>
          <w:color w:val="auto"/>
        </w:rPr>
      </w:pPr>
    </w:p>
    <w:p>
      <w:pPr>
        <w:jc w:val="both"/>
        <w:ind w:left="560" w:hanging="287"/>
        <w:spacing w:after="0" w:line="245" w:lineRule="auto"/>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12, 2024, Mr. Marchetti received a contingent cash award in the amount of $215,333.33 for services performed in December 31, 2023, which will not be paid out to Mr. Marchetti until we have achieved a minimum cash balance of $30,000,000, subject to his continued employment on the date of payment. As a result of the termination of Mr. Marchetti’s employment, his contingent cash award was forfeited.</w:t>
      </w:r>
    </w:p>
    <w:p>
      <w:pPr>
        <w:spacing w:after="0" w:line="16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In 2022, the Compensation Committee engaged Compensia, Inc. as our independent compensation consultant. Compensia, Inc. viewed both executive and director compensation and did not provide us any other services. Compensia, Inc. reported directly to the Compensation Committee and provided guidance on trends in executive and non-employee director compensation, the development of specific executive compensation programs, the composition of our compensation peer group and other matters as directed by the Compensation Committee. Dragonfly Energy Holdings Corp. did not engage an independent compensation consultant for years ended December 31, 2023 or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Named Executive Officer Employment Agreements</w:t>
      </w:r>
    </w:p>
    <w:p>
      <w:pPr>
        <w:spacing w:after="0" w:line="191"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We have entered into employment agreements, dated as of October 11, 2022 with each of Dr. Phares and Mr. Marchetti. On November 7, 2022, we entered into an employment agreement with each of Mr. Seaburg and Mr. Bourns.</w:t>
      </w:r>
    </w:p>
    <w:p>
      <w:pPr>
        <w:spacing w:after="0" w:line="151" w:lineRule="exact"/>
        <w:rPr>
          <w:sz w:val="20"/>
          <w:szCs w:val="20"/>
          <w:color w:val="auto"/>
        </w:rPr>
      </w:pPr>
    </w:p>
    <w:p>
      <w:pPr>
        <w:jc w:val="both"/>
        <w:ind w:hanging="7"/>
        <w:spacing w:after="0" w:line="247" w:lineRule="auto"/>
        <w:rPr>
          <w:sz w:val="20"/>
          <w:szCs w:val="20"/>
          <w:color w:val="auto"/>
        </w:rPr>
      </w:pPr>
      <w:r>
        <w:rPr>
          <w:rFonts w:ascii="Times New Roman" w:cs="Times New Roman" w:eastAsia="Times New Roman" w:hAnsi="Times New Roman"/>
          <w:sz w:val="16"/>
          <w:szCs w:val="16"/>
          <w:color w:val="auto"/>
        </w:rPr>
        <w:t>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Mr. Seaburg — $340,000; Mr. Bourns —  $280,000) and to be eligible for an annual bonus of up to a specified percentage of the executive’s base salary (Dr. Phares — 100%; Mr. Marchetti — 63%; Mr. Seaburg – 92%; Mr. Bourns – 30%). The executive is generally eligible for an annual bonus only if he remains employed with us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Mr. Seaburg — $490,000; Mr. Bourns — $236,000),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83" w:name="page84"/>
    <w:bookmarkEnd w:id="83"/>
    <w:p>
      <w:pPr>
        <w:jc w:val="both"/>
        <w:ind w:hanging="7"/>
        <w:spacing w:after="0" w:line="247" w:lineRule="auto"/>
        <w:rPr>
          <w:sz w:val="20"/>
          <w:szCs w:val="20"/>
          <w:color w:val="auto"/>
        </w:rPr>
      </w:pPr>
      <w:r>
        <w:rPr>
          <w:rFonts w:ascii="Times New Roman" w:cs="Times New Roman" w:eastAsia="Times New Roman" w:hAnsi="Times New Roman"/>
          <w:sz w:val="16"/>
          <w:szCs w:val="16"/>
          <w:color w:val="auto"/>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Mr. Seaburg, and Mr. Bourns), payable in installments over two years following the termination date, (ii) reimbursement of monthly COBRA premiums for the executive and his dependents for up to 18 months (in the case of Dr. Phares) or 12 months (in the case of Mr. Marchetti, Mr. Seaburg, and Mr. Bourns),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66" w:lineRule="exact"/>
        <w:rPr>
          <w:sz w:val="20"/>
          <w:szCs w:val="20"/>
          <w:color w:val="auto"/>
        </w:rPr>
      </w:pPr>
    </w:p>
    <w:p>
      <w:pPr>
        <w:jc w:val="both"/>
        <w:ind w:right="20" w:hanging="7"/>
        <w:spacing w:after="0" w:line="247" w:lineRule="auto"/>
        <w:rPr>
          <w:sz w:val="20"/>
          <w:szCs w:val="20"/>
          <w:color w:val="auto"/>
        </w:rPr>
      </w:pPr>
      <w:r>
        <w:rPr>
          <w:rFonts w:ascii="Times New Roman" w:cs="Times New Roman" w:eastAsia="Times New Roman" w:hAnsi="Times New Roman"/>
          <w:sz w:val="16"/>
          <w:szCs w:val="16"/>
          <w:color w:val="auto"/>
        </w:rPr>
        <w:t>If, during the period commencing three months before a change in control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Mr. Seaburg and Mr. Bourns,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168" w:lineRule="exact"/>
        <w:rPr>
          <w:sz w:val="20"/>
          <w:szCs w:val="20"/>
          <w:color w:val="auto"/>
        </w:rPr>
      </w:pPr>
    </w:p>
    <w:p>
      <w:pPr>
        <w:jc w:val="both"/>
        <w:ind w:hanging="7"/>
        <w:spacing w:after="0" w:line="267" w:lineRule="auto"/>
        <w:rPr>
          <w:sz w:val="20"/>
          <w:szCs w:val="20"/>
          <w:color w:val="auto"/>
        </w:rPr>
      </w:pPr>
      <w:r>
        <w:rPr>
          <w:rFonts w:ascii="Times New Roman" w:cs="Times New Roman" w:eastAsia="Times New Roman" w:hAnsi="Times New Roman"/>
          <w:sz w:val="16"/>
          <w:szCs w:val="16"/>
          <w:color w:val="auto"/>
        </w:rPr>
        <w:t>In each case, the executive’s right to receive the severance benefits described above is subject to him providing a release of claims to us and his continued compliance with the restrictive covenants in favor of us in the agreement.</w:t>
      </w:r>
    </w:p>
    <w:p>
      <w:pPr>
        <w:spacing w:after="0" w:line="151"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On February 24, 2023, we entered into an amended and restated employment agreement with Mr. Marchetti to provide that Mr. Marchetti will receive a minimum annual bonus of $175,000 for the fiscal year ended December 31, 2023. All other terms of the amended and restated Agreement remain the same as the original agreement.</w:t>
      </w:r>
    </w:p>
    <w:p>
      <w:pPr>
        <w:spacing w:after="0" w:line="151"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On August 20, 2023, upon mutual agreement between us and Mr. Marchetti, Mr. Marchetti resigned from his position as our Chief Financial Officer and continued in the role of Senior Vice President, Operations. In connection with Mr. Marchetti’s resignation, on August 20, 2023, the Board appointed Dr. Phares to succeed Mr. Marchetti as our Interim Chief Financial Officer.</w:t>
      </w:r>
    </w:p>
    <w:p>
      <w:pPr>
        <w:spacing w:after="0" w:line="160"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Effective April 12, 2024, we entered into amendments to the employment agreements with Dr. Phares, Mr. Marchetti, Mr. Seaburg and Mr. Bourns to amend the terms of their annual equity compensation (the “Amended Employee Agreements”). The Amended Employee Agreements allow us to issue a combination of cash and equity awards on an annual basis up to a specified amount ($1,532,000 for Dr. Phares, $646,000 for Mr. Marchetti, $490,000 for Mr. Seaburg, and $236,000 for Mr. Bourns), subject to approval and such other terms and conditions imposed by the compensation committee of the board of directors.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April 19, 2024, Mr. Marchetti’s employment with us as our Senior Vice President, Operations, was terminated.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84" w:name="page85"/>
    <w:bookmarkEnd w:id="84"/>
    <w:p>
      <w:pPr>
        <w:ind w:left="7"/>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Year-End</w:t>
      </w:r>
    </w:p>
    <w:p>
      <w:pPr>
        <w:spacing w:after="0" w:line="191" w:lineRule="exact"/>
        <w:rPr>
          <w:sz w:val="20"/>
          <w:szCs w:val="20"/>
          <w:color w:val="auto"/>
        </w:rPr>
      </w:pPr>
    </w:p>
    <w:p>
      <w:pPr>
        <w:ind w:left="7" w:hanging="7"/>
        <w:spacing w:after="0" w:line="267" w:lineRule="auto"/>
        <w:rPr>
          <w:sz w:val="20"/>
          <w:szCs w:val="20"/>
          <w:color w:val="auto"/>
        </w:rPr>
      </w:pPr>
      <w:r>
        <w:rPr>
          <w:rFonts w:ascii="Times New Roman" w:cs="Times New Roman" w:eastAsia="Times New Roman" w:hAnsi="Times New Roman"/>
          <w:sz w:val="16"/>
          <w:szCs w:val="16"/>
          <w:color w:val="auto"/>
        </w:rPr>
        <w:t>The following table provides information regarding outstanding options to acquire our common stock held by each of the NEOs as of December 31, 2024, including the vesting dates for the portions of these awards that had not vested as of that date. The NEO did not hold any other outstanding equity awards as of that date.</w:t>
      </w:r>
    </w:p>
    <w:p>
      <w:pPr>
        <w:spacing w:after="0" w:line="160" w:lineRule="exact"/>
        <w:rPr>
          <w:sz w:val="20"/>
          <w:szCs w:val="20"/>
          <w:color w:val="auto"/>
        </w:rPr>
      </w:pPr>
    </w:p>
    <w:tbl>
      <w:tblPr>
        <w:tblLayout w:type="fixed"/>
        <w:tblInd w:w="7" w:type="dxa"/>
        <w:tblCellMar>
          <w:top w:w="0" w:type="dxa"/>
          <w:left w:w="0" w:type="dxa"/>
          <w:bottom w:w="0" w:type="dxa"/>
          <w:right w:w="0" w:type="dxa"/>
        </w:tblCellMar>
      </w:tblPr>
      <w:tr>
        <w:trPr>
          <w:trHeight w:val="205"/>
        </w:trPr>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60"/>
        </w:trPr>
        <w:tc>
          <w:tcPr>
            <w:tcW w:w="2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7"/>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5"/>
              </w:rPr>
              <w:t>Plan Awards:</w:t>
            </w: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8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Underlying</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Underlying</w:t>
            </w: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5"/>
              </w:rPr>
              <w:t>Underlying</w:t>
            </w: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Option</w:t>
            </w:r>
          </w:p>
        </w:tc>
      </w:tr>
      <w:tr>
        <w:trPr>
          <w:trHeight w:val="198"/>
        </w:trPr>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Options (#)</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Options (#)</w:t>
            </w: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Unearned</w:t>
            </w: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Expiration</w:t>
            </w:r>
          </w:p>
        </w:tc>
      </w:tr>
      <w:tr>
        <w:trPr>
          <w:trHeight w:val="205"/>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Exercisable</w:t>
            </w:r>
          </w:p>
        </w:tc>
        <w:tc>
          <w:tcPr>
            <w:tcW w:w="3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Unexercisable</w:t>
            </w:r>
          </w:p>
        </w:tc>
        <w:tc>
          <w:tcPr>
            <w:tcW w:w="3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Options (#)</w:t>
            </w:r>
          </w:p>
        </w:tc>
        <w:tc>
          <w:tcPr>
            <w:tcW w:w="4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34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179"/>
        </w:trPr>
        <w:tc>
          <w:tcPr>
            <w:tcW w:w="248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Dr. Denis Phares</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1300"/>
              <w:spacing w:after="0" w:line="179" w:lineRule="exact"/>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220"/>
              <w:spacing w:after="0" w:line="179" w:lineRule="exact"/>
              <w:rPr>
                <w:sz w:val="20"/>
                <w:szCs w:val="20"/>
                <w:color w:val="auto"/>
              </w:rPr>
            </w:pPr>
            <w:r>
              <w:rPr>
                <w:rFonts w:ascii="Times New Roman" w:cs="Times New Roman" w:eastAsia="Times New Roman" w:hAnsi="Times New Roman"/>
                <w:sz w:val="16"/>
                <w:szCs w:val="16"/>
                <w:color w:val="auto"/>
              </w:rPr>
              <w:t>63,046(1)</w:t>
            </w:r>
          </w:p>
        </w:tc>
        <w:tc>
          <w:tcPr>
            <w:tcW w:w="14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4.05</w:t>
            </w: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6"/>
                <w:szCs w:val="16"/>
                <w:color w:val="auto"/>
                <w:w w:val="98"/>
              </w:rPr>
              <w:t>04/12/2034</w:t>
            </w:r>
          </w:p>
        </w:tc>
      </w:tr>
      <w:tr>
        <w:trPr>
          <w:trHeight w:val="187"/>
        </w:trPr>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Wade Seaburg</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20,165(1)</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4.05</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04/12/2034</w:t>
            </w:r>
          </w:p>
        </w:tc>
      </w:tr>
      <w:tr>
        <w:trPr>
          <w:trHeight w:val="187"/>
        </w:trPr>
        <w:tc>
          <w:tcPr>
            <w:tcW w:w="2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823</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5.31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06/09/2030</w:t>
            </w:r>
          </w:p>
        </w:tc>
      </w:tr>
      <w:tr>
        <w:trPr>
          <w:trHeight w:val="187"/>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712</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5.31</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10/19/2030</w:t>
            </w:r>
          </w:p>
        </w:tc>
      </w:tr>
      <w:tr>
        <w:trPr>
          <w:trHeight w:val="187"/>
        </w:trPr>
        <w:tc>
          <w:tcPr>
            <w:tcW w:w="2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8,209</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1,642(2)</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26.01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08/04/2031</w:t>
            </w:r>
          </w:p>
        </w:tc>
      </w:tr>
      <w:tr>
        <w:trPr>
          <w:trHeight w:val="187"/>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2,532</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903(3)</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26.00</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12/06/2031</w:t>
            </w:r>
          </w:p>
        </w:tc>
      </w:tr>
      <w:tr>
        <w:trPr>
          <w:trHeight w:val="187"/>
        </w:trPr>
        <w:tc>
          <w:tcPr>
            <w:tcW w:w="2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507</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25.96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12/06/2031</w:t>
            </w:r>
          </w:p>
        </w:tc>
      </w:tr>
      <w:tr>
        <w:trPr>
          <w:trHeight w:val="187"/>
        </w:trPr>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Tyler Bourns</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4,558</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1,353(2)</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26.01</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12/06/2031</w:t>
            </w:r>
          </w:p>
        </w:tc>
      </w:tr>
      <w:tr>
        <w:trPr>
          <w:trHeight w:val="187"/>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Tyler Bourns</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9,712(1)</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4.05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04/12/2034</w:t>
            </w:r>
          </w:p>
        </w:tc>
      </w:tr>
    </w:tbl>
    <w:p>
      <w:pPr>
        <w:spacing w:after="0" w:line="170" w:lineRule="exact"/>
        <w:rPr>
          <w:sz w:val="20"/>
          <w:szCs w:val="20"/>
          <w:color w:val="auto"/>
        </w:rPr>
      </w:pPr>
    </w:p>
    <w:p>
      <w:pPr>
        <w:ind w:left="287" w:hanging="287"/>
        <w:spacing w:after="0"/>
        <w:tabs>
          <w:tab w:leader="none" w:pos="28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 units vest annually as to 1/3rd on April 12, 2025, with the remaining shares vesting in equal annual installments over a period of 2 years.</w:t>
      </w:r>
    </w:p>
    <w:p>
      <w:pPr>
        <w:spacing w:after="0" w:line="18" w:lineRule="exact"/>
        <w:rPr>
          <w:rFonts w:ascii="Times New Roman" w:cs="Times New Roman" w:eastAsia="Times New Roman" w:hAnsi="Times New Roman"/>
          <w:sz w:val="16"/>
          <w:szCs w:val="16"/>
          <w:color w:val="auto"/>
        </w:rPr>
      </w:pPr>
    </w:p>
    <w:p>
      <w:pPr>
        <w:ind w:left="287" w:hanging="287"/>
        <w:spacing w:after="0" w:line="181" w:lineRule="auto"/>
        <w:tabs>
          <w:tab w:leader="none" w:pos="287" w:val="left"/>
        </w:tabs>
        <w:numPr>
          <w:ilvl w:val="0"/>
          <w:numId w:val="55"/>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Stock options vest as to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on August 4, 2022, with the remaining shares vesting in equal monthly installments over a period of 36 months commencing on September 4, 2022.</w:t>
      </w:r>
    </w:p>
    <w:p>
      <w:pPr>
        <w:ind w:left="287" w:hanging="287"/>
        <w:spacing w:after="0" w:line="181" w:lineRule="auto"/>
        <w:tabs>
          <w:tab w:leader="none" w:pos="331" w:val="left"/>
        </w:tabs>
        <w:numPr>
          <w:ilvl w:val="0"/>
          <w:numId w:val="55"/>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Stock options vest as to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on December 6, 2021, with the remaining shares vesting in equal monthly installments over a period of 36 months commencing on January 6, 2022.</w:t>
      </w:r>
    </w:p>
    <w:p>
      <w:pPr>
        <w:spacing w:after="0" w:line="1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Equity Grants</w:t>
      </w:r>
    </w:p>
    <w:p>
      <w:pPr>
        <w:spacing w:after="0" w:line="191" w:lineRule="exact"/>
        <w:rPr>
          <w:sz w:val="20"/>
          <w:szCs w:val="20"/>
          <w:color w:val="auto"/>
        </w:rPr>
      </w:pPr>
    </w:p>
    <w:p>
      <w:pPr>
        <w:jc w:val="both"/>
        <w:ind w:left="7" w:hanging="7"/>
        <w:spacing w:after="0" w:line="247" w:lineRule="auto"/>
        <w:rPr>
          <w:sz w:val="20"/>
          <w:szCs w:val="20"/>
          <w:color w:val="auto"/>
        </w:rPr>
      </w:pPr>
      <w:r>
        <w:rPr>
          <w:rFonts w:ascii="Times New Roman" w:cs="Times New Roman" w:eastAsia="Times New Roman" w:hAnsi="Times New Roman"/>
          <w:sz w:val="16"/>
          <w:szCs w:val="16"/>
          <w:color w:val="auto"/>
        </w:rPr>
        <w:t>For services performed during the year ended December 31, 2023, on April 12, 2024, Dr. Phares was granted 63,046 restricted stock units (“RSUs”), Mr. Marchetti was granted 26,585 RSUs, Mr. Seaburg was granted 20,165 RSUs, and Mr. Bourns was granted 9,712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our board of directors also approved the following cash awards to the above referenced employees: (i) $510,666.67 to Dr. Phares; (ii) $215,333.33 to Mr. Marchetti, (iii) $163,333.33 to Mr. Seaburg; and (iv) $78,667.67 to Mr. Bourns. Each of the approved cash awards will not be paid out to the employees until we have achieved a minimum cash balance of $30,000,000, and are subject to each employee’s continued employment on the date of payment.</w:t>
      </w:r>
    </w:p>
    <w:p>
      <w:pPr>
        <w:spacing w:after="0" w:line="1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As a result of the termination of Mr. Marchetti’s employment, his 26,585 RSUs and cash award of $215,333.33 were forfeited.</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Equity Grants</w:t>
      </w:r>
    </w:p>
    <w:p>
      <w:pPr>
        <w:spacing w:after="0" w:line="191" w:lineRule="exact"/>
        <w:rPr>
          <w:sz w:val="20"/>
          <w:szCs w:val="20"/>
          <w:color w:val="auto"/>
        </w:rPr>
      </w:pPr>
    </w:p>
    <w:p>
      <w:pPr>
        <w:jc w:val="both"/>
        <w:ind w:left="7" w:right="20" w:hanging="7"/>
        <w:spacing w:after="0" w:line="267" w:lineRule="auto"/>
        <w:rPr>
          <w:sz w:val="20"/>
          <w:szCs w:val="20"/>
          <w:color w:val="auto"/>
        </w:rPr>
      </w:pPr>
      <w:r>
        <w:rPr>
          <w:rFonts w:ascii="Times New Roman" w:cs="Times New Roman" w:eastAsia="Times New Roman" w:hAnsi="Times New Roman"/>
          <w:sz w:val="16"/>
          <w:szCs w:val="16"/>
          <w:color w:val="auto"/>
        </w:rPr>
        <w:t>For services performed during the year ended December 31, 2022, on February 10, 2023, Dr. Phares was granted 22,697 RSUs, Mr. Marchetti was granted 9,571 RSUs, Mr. Seaburg was granted 7,260 RSUs and Mr. Bourns was granted 3,497 RSUs. Each grant vested in full on the date of grant.</w:t>
      </w:r>
    </w:p>
    <w:p>
      <w:pPr>
        <w:spacing w:after="0" w:line="15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color w:val="auto"/>
        </w:rPr>
        <w:t>Policies and Practices Related to the Grant of Certain Equity Awards Close in Time to the Release of Material Nonpublic Information</w:t>
      </w:r>
    </w:p>
    <w:p>
      <w:pPr>
        <w:spacing w:after="0" w:line="191" w:lineRule="exact"/>
        <w:rPr>
          <w:sz w:val="20"/>
          <w:szCs w:val="20"/>
          <w:color w:val="auto"/>
        </w:rPr>
      </w:pPr>
    </w:p>
    <w:p>
      <w:pPr>
        <w:jc w:val="both"/>
        <w:ind w:right="20" w:hanging="7"/>
        <w:spacing w:after="0" w:line="249" w:lineRule="auto"/>
        <w:rPr>
          <w:sz w:val="20"/>
          <w:szCs w:val="20"/>
          <w:color w:val="auto"/>
        </w:rPr>
      </w:pPr>
      <w:r>
        <w:rPr>
          <w:rFonts w:ascii="Times New Roman" w:cs="Times New Roman" w:eastAsia="Times New Roman" w:hAnsi="Times New Roman"/>
          <w:sz w:val="16"/>
          <w:szCs w:val="16"/>
          <w:color w:val="auto"/>
        </w:rPr>
        <w:t>We do not have any formal policy that requires us to grant, or avoid granting, stock options at particular times. We have in the past typically granted RSUs to our officers and directors and do not typically grant stock options but may do so in the future. The timing of any stock option grants in connection with new hires, promotions, or other non-routine grants is tied to the event giving rise to the award (such as an employee’s commencement of employment or promotion effective date). As a result, in all cases, the timing of grants of stock options occurs independent of the release of any material nonpublic information, and we do not time the disclosure of material nonpublic information for the purpose of affecting the value of executive compensation.</w:t>
      </w:r>
    </w:p>
    <w:p>
      <w:pPr>
        <w:spacing w:after="0" w:line="166"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No stock options were issued to executive officers in 2024 during any period beginning four business days before the filing of a periodic report or current report disclosing material non-public information and ending one business day after the filing or furnishing of such report with the SEC.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91" w:lineRule="exact"/>
        <w:rPr>
          <w:sz w:val="20"/>
          <w:szCs w:val="20"/>
          <w:color w:val="auto"/>
        </w:rPr>
      </w:pPr>
    </w:p>
    <w:p>
      <w:pPr>
        <w:jc w:val="both"/>
        <w:ind w:right="20" w:hanging="7"/>
        <w:spacing w:after="0" w:line="340" w:lineRule="auto"/>
        <w:rPr>
          <w:sz w:val="20"/>
          <w:szCs w:val="20"/>
          <w:color w:val="auto"/>
        </w:rPr>
      </w:pPr>
      <w:r>
        <w:rPr>
          <w:rFonts w:ascii="Times New Roman" w:cs="Times New Roman" w:eastAsia="Times New Roman" w:hAnsi="Times New Roman"/>
          <w:sz w:val="14"/>
          <w:szCs w:val="14"/>
          <w:color w:val="auto"/>
        </w:rPr>
        <w:t>We have adopted a policy that provides for cash and equity compensation for members of our board of directors of directors who are not employed by us or any of our subsidiaries (our “Non-Employee Directors”). The policy provides that each Non-Employee Director is entitled to receive the following cash compensation for board service, as applicable:</w:t>
      </w:r>
    </w:p>
    <w:p>
      <w:pPr>
        <w:spacing w:after="0" w:line="104" w:lineRule="exact"/>
        <w:rPr>
          <w:sz w:val="20"/>
          <w:szCs w:val="20"/>
          <w:color w:val="auto"/>
        </w:rPr>
      </w:pPr>
    </w:p>
    <w:p>
      <w:pPr>
        <w:ind w:left="560" w:hanging="28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$58,800 annual retainer for service as a Board member;</w:t>
      </w:r>
    </w:p>
    <w:p>
      <w:pPr>
        <w:spacing w:after="0" w:line="18"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$20,000 additional annual retainer for service as Lead Independent Director; and</w:t>
      </w:r>
    </w:p>
    <w:p>
      <w:pPr>
        <w:spacing w:after="0" w:line="2" w:lineRule="exact"/>
        <w:rPr>
          <w:rFonts w:ascii="Times New Roman" w:cs="Times New Roman" w:eastAsia="Times New Roman" w:hAnsi="Times New Roman"/>
          <w:sz w:val="16"/>
          <w:szCs w:val="16"/>
          <w:color w:val="auto"/>
        </w:rPr>
      </w:pPr>
    </w:p>
    <w:p>
      <w:pPr>
        <w:ind w:left="560" w:right="20" w:hanging="287"/>
        <w:spacing w:after="0" w:line="247" w:lineRule="auto"/>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66"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60" w:lineRule="exact"/>
        <w:rPr>
          <w:sz w:val="20"/>
          <w:szCs w:val="20"/>
          <w:color w:val="auto"/>
        </w:rPr>
      </w:pPr>
    </w:p>
    <w:p>
      <w:pPr>
        <w:jc w:val="both"/>
        <w:ind w:hanging="7"/>
        <w:spacing w:after="0" w:line="248" w:lineRule="auto"/>
        <w:rPr>
          <w:sz w:val="20"/>
          <w:szCs w:val="20"/>
          <w:color w:val="auto"/>
        </w:rPr>
      </w:pPr>
      <w:r>
        <w:rPr>
          <w:rFonts w:ascii="Times New Roman" w:cs="Times New Roman" w:eastAsia="Times New Roman" w:hAnsi="Times New Roman"/>
          <w:sz w:val="16"/>
          <w:szCs w:val="16"/>
          <w:color w:val="auto"/>
        </w:rPr>
        <w:t>Our Compensation Committee also has discretion under the director compensation policy to grant Non-Employee Directors equity-based awards under our Dragonfly Energy Holdings 2022 Equity Incentive Plan (“2022 Plan”) (or any successor equity compensation plan approved by our stockholders). It is currently expected that Non-Employee Directors will receive an award of options, RSUs and/or cash with a value of $300,000 upon their initial appointment to the Board and an award of options, RSUs and/or cash with a value of $100,000 on an annual basis thereafter. For each award, the Compensation Committee will determine at the time of grant the methodology for converting the foregoing dollar amounts to shares and the vesting schedule. The Compensation Committee may approve other grants of equity-based awards to Non-Employee Directors from time to time, on such terms as the Compensation Committee may determine and subject to the applicable provisions of our equity compensation plan then in effect.</w:t>
      </w:r>
    </w:p>
    <w:p>
      <w:pPr>
        <w:spacing w:after="0" w:line="166"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color w:val="auto"/>
        </w:rPr>
        <w:t>Our Board may change the terms of our director compensation policy from time to time.</w:t>
      </w:r>
    </w:p>
    <w:p>
      <w:pPr>
        <w:spacing w:after="0" w:line="189"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Effective on the October 7, 2022, we granted each of our Non-Employee Directors then serving of the Board (i.e. Jonathan Bellows, Perry Boyle, Karina Montilla Edmonds, Luisa Ingargiola, Brian Nelson, and Rick Parod) an award of 3,334 RSUs under the 2022 Plan that are eligible to vest on the first anniversary of the grant date, subject to the director’s continued service on the Board through the vesting date.</w:t>
      </w:r>
    </w:p>
    <w:p>
      <w:pPr>
        <w:spacing w:after="0" w:line="160" w:lineRule="exact"/>
        <w:rPr>
          <w:sz w:val="20"/>
          <w:szCs w:val="20"/>
          <w:color w:val="auto"/>
        </w:rPr>
      </w:pPr>
    </w:p>
    <w:p>
      <w:pPr>
        <w:jc w:val="both"/>
        <w:ind w:right="20" w:hanging="7"/>
        <w:spacing w:after="0" w:line="255" w:lineRule="auto"/>
        <w:rPr>
          <w:sz w:val="20"/>
          <w:szCs w:val="20"/>
          <w:color w:val="auto"/>
        </w:rPr>
      </w:pPr>
      <w:r>
        <w:rPr>
          <w:rFonts w:ascii="Times New Roman" w:cs="Times New Roman" w:eastAsia="Times New Roman" w:hAnsi="Times New Roman"/>
          <w:sz w:val="16"/>
          <w:szCs w:val="16"/>
          <w:color w:val="auto"/>
        </w:rPr>
        <w:t>On April 12, 2024, we granted each of our Non-Employee Directors then serving on the Board (i.e. Jonathan Bellows, Perry Boyle, Karina Montilla Edmonds, Luisa Ingargiola, Brian Nelson, and Rick Parod) an award of 24,692 RSUs units under the 2022 Plan that are eligible to vest in three equal annual installments, beginning on the first anniversary of the grant date, subject to the director’s continued service on the Board through each vesting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Compensation Table — Fiscal 2024</w:t>
      </w:r>
    </w:p>
    <w:p>
      <w:pPr>
        <w:spacing w:after="0" w:line="191" w:lineRule="exact"/>
        <w:rPr>
          <w:sz w:val="20"/>
          <w:szCs w:val="20"/>
          <w:color w:val="auto"/>
        </w:rPr>
      </w:pPr>
    </w:p>
    <w:p>
      <w:pPr>
        <w:jc w:val="both"/>
        <w:ind w:hanging="7"/>
        <w:spacing w:after="0" w:line="267" w:lineRule="auto"/>
        <w:rPr>
          <w:sz w:val="20"/>
          <w:szCs w:val="20"/>
          <w:color w:val="auto"/>
        </w:rPr>
      </w:pPr>
      <w:r>
        <w:rPr>
          <w:rFonts w:ascii="Times New Roman" w:cs="Times New Roman" w:eastAsia="Times New Roman" w:hAnsi="Times New Roman"/>
          <w:sz w:val="16"/>
          <w:szCs w:val="16"/>
          <w:color w:val="auto"/>
        </w:rPr>
        <w:t>The following table sets forth certain information concerning compensation awarded to, earned by, or paid to our Non-Employee Directors for services on our board during the year ended December 31, 2024. Dr. Phares did not receive any additional compensation for his service on the Board during the year ended 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9"/>
              </w:rPr>
              <w:t>Fees Earned or Paid</w:t>
            </w: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in Cash ($)</w:t>
            </w:r>
          </w:p>
        </w:tc>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99"/>
              </w:rPr>
              <w:t>Stock Awards ($)(1)</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Option Awards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Compensation ($)</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179"/>
        </w:trPr>
        <w:tc>
          <w:tcPr>
            <w:tcW w:w="2260" w:type="dxa"/>
            <w:vAlign w:val="bottom"/>
            <w:tcBorders>
              <w:top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Jonathan Bellows</w:t>
            </w:r>
          </w:p>
        </w:tc>
        <w:tc>
          <w:tcPr>
            <w:tcW w:w="24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44,100</w:t>
            </w:r>
          </w:p>
        </w:tc>
        <w:tc>
          <w:tcPr>
            <w:tcW w:w="3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100,000</w:t>
            </w:r>
          </w:p>
        </w:tc>
        <w:tc>
          <w:tcPr>
            <w:tcW w:w="3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ind w:left="1300"/>
              <w:spacing w:after="0" w:line="179" w:lineRule="exact"/>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ind w:left="1300"/>
              <w:spacing w:after="0" w:line="179" w:lineRule="exact"/>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144,100</w:t>
            </w: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Perry Boyle</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44,100</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100,000</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144,100</w:t>
            </w:r>
          </w:p>
        </w:tc>
        <w:tc>
          <w:tcPr>
            <w:tcW w:w="120" w:type="dxa"/>
            <w:vAlign w:val="bottom"/>
          </w:tcPr>
          <w:p>
            <w:pPr>
              <w:spacing w:after="0"/>
              <w:rPr>
                <w:sz w:val="16"/>
                <w:szCs w:val="16"/>
                <w:color w:val="auto"/>
              </w:rPr>
            </w:pPr>
          </w:p>
        </w:tc>
      </w:tr>
      <w:tr>
        <w:trPr>
          <w:trHeight w:val="187"/>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Karina Montilla Edmonds, Ph.D.</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51,600</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100,000</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151,600</w:t>
            </w:r>
          </w:p>
        </w:tc>
        <w:tc>
          <w:tcPr>
            <w:tcW w:w="120" w:type="dxa"/>
            <w:vAlign w:val="bottom"/>
            <w:shd w:val="clear" w:color="auto" w:fill="CCEEFF"/>
          </w:tcPr>
          <w:p>
            <w:pPr>
              <w:spacing w:after="0"/>
              <w:rPr>
                <w:sz w:val="16"/>
                <w:szCs w:val="16"/>
                <w:color w:val="auto"/>
              </w:rPr>
            </w:pPr>
          </w:p>
        </w:tc>
      </w:tr>
      <w:tr>
        <w:trPr>
          <w:trHeight w:val="187"/>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Luisa Ingargiola</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74,100</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100,000</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174,100</w:t>
            </w:r>
          </w:p>
        </w:tc>
        <w:tc>
          <w:tcPr>
            <w:tcW w:w="120" w:type="dxa"/>
            <w:vAlign w:val="bottom"/>
          </w:tcPr>
          <w:p>
            <w:pPr>
              <w:spacing w:after="0"/>
              <w:rPr>
                <w:sz w:val="16"/>
                <w:szCs w:val="16"/>
                <w:color w:val="auto"/>
              </w:rPr>
            </w:pPr>
          </w:p>
        </w:tc>
      </w:tr>
      <w:tr>
        <w:trPr>
          <w:trHeight w:val="187"/>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Brian Nelson</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55,350</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100,000</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155,350</w:t>
            </w:r>
          </w:p>
        </w:tc>
        <w:tc>
          <w:tcPr>
            <w:tcW w:w="120" w:type="dxa"/>
            <w:vAlign w:val="bottom"/>
            <w:shd w:val="clear" w:color="auto" w:fill="CCEEFF"/>
          </w:tcPr>
          <w:p>
            <w:pPr>
              <w:spacing w:after="0"/>
              <w:rPr>
                <w:sz w:val="16"/>
                <w:szCs w:val="16"/>
                <w:color w:val="auto"/>
              </w:rPr>
            </w:pPr>
          </w:p>
        </w:tc>
      </w:tr>
      <w:tr>
        <w:trPr>
          <w:trHeight w:val="203"/>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Rick Parod</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44,100</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100,000</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144,100</w:t>
            </w:r>
          </w:p>
        </w:tc>
        <w:tc>
          <w:tcPr>
            <w:tcW w:w="120" w:type="dxa"/>
            <w:vAlign w:val="bottom"/>
          </w:tcPr>
          <w:p>
            <w:pPr>
              <w:spacing w:after="0"/>
              <w:rPr>
                <w:sz w:val="17"/>
                <w:szCs w:val="17"/>
                <w:color w:val="auto"/>
              </w:rPr>
            </w:pPr>
          </w:p>
        </w:tc>
      </w:tr>
    </w:tbl>
    <w:p>
      <w:pPr>
        <w:spacing w:after="0" w:line="154" w:lineRule="exact"/>
        <w:rPr>
          <w:sz w:val="20"/>
          <w:szCs w:val="20"/>
          <w:color w:val="auto"/>
        </w:rPr>
      </w:pPr>
    </w:p>
    <w:p>
      <w:pPr>
        <w:jc w:val="both"/>
        <w:ind w:left="560" w:hanging="287"/>
        <w:spacing w:after="0" w:line="251" w:lineRule="auto"/>
        <w:tabs>
          <w:tab w:leader="none" w:pos="56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amount reported in this column reflects the grant date fair value of the stock option and/or RSUs granted to the Non-Employee Directors for services performed during the year ended December 31, 2023 under the 2022 Plan as described above and is accounted for in accordance with FASB ASC Topic 718. Please see the section titled “</w:t>
      </w: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16"/>
          <w:szCs w:val="16"/>
          <w:color w:val="auto"/>
        </w:rPr>
        <w:t>” in our Notes to Consolidated Financial Statements included in our prospectus. As of March 31, 2025, each Non-Employee Director held 24,692 unvested RSUs.</w:t>
      </w:r>
    </w:p>
    <w:p>
      <w:pPr>
        <w:spacing w:after="0" w:line="163" w:lineRule="exact"/>
        <w:rPr>
          <w:rFonts w:ascii="Times New Roman" w:cs="Times New Roman" w:eastAsia="Times New Roman" w:hAnsi="Times New Roman"/>
          <w:sz w:val="16"/>
          <w:szCs w:val="16"/>
          <w:b w:val="1"/>
          <w:bCs w:val="1"/>
          <w:color w:val="auto"/>
        </w:rPr>
      </w:pPr>
    </w:p>
    <w:p>
      <w:pPr>
        <w:ind w:left="560" w:right="20" w:hanging="287"/>
        <w:spacing w:after="0" w:line="267" w:lineRule="auto"/>
        <w:tabs>
          <w:tab w:leader="none" w:pos="56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the following options remained outstanding: (i) Luisa Ingargiola held options exercisable for 10,836 shares of common stock; and (ii) Brian Nelson held options exercisable for 7,227 shares of common stock.</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89" w:lineRule="exact"/>
        <w:rPr>
          <w:sz w:val="20"/>
          <w:szCs w:val="20"/>
          <w:color w:val="auto"/>
        </w:rPr>
      </w:pPr>
    </w:p>
    <w:p>
      <w:pPr>
        <w:ind w:hanging="7"/>
        <w:spacing w:after="0" w:line="270" w:lineRule="auto"/>
        <w:rPr>
          <w:sz w:val="20"/>
          <w:szCs w:val="20"/>
          <w:color w:val="auto"/>
        </w:rPr>
      </w:pPr>
      <w:r>
        <w:rPr>
          <w:rFonts w:ascii="Times New Roman" w:cs="Times New Roman" w:eastAsia="Times New Roman" w:hAnsi="Times New Roman"/>
          <w:sz w:val="16"/>
          <w:szCs w:val="16"/>
          <w:color w:val="auto"/>
        </w:rPr>
        <w:t>Other than compensation arrangements for our Named Executive Officers and directors, which are described in the section entitled “</w:t>
      </w:r>
      <w:r>
        <w:rPr>
          <w:rFonts w:ascii="Times New Roman" w:cs="Times New Roman" w:eastAsia="Times New Roman" w:hAnsi="Times New Roman"/>
          <w:sz w:val="16"/>
          <w:szCs w:val="16"/>
          <w:i w:val="1"/>
          <w:iCs w:val="1"/>
          <w:color w:val="auto"/>
        </w:rPr>
        <w:t>Executive Compensation</w:t>
      </w:r>
      <w:r>
        <w:rPr>
          <w:rFonts w:ascii="Times New Roman" w:cs="Times New Roman" w:eastAsia="Times New Roman" w:hAnsi="Times New Roman"/>
          <w:sz w:val="16"/>
          <w:szCs w:val="16"/>
          <w:color w:val="auto"/>
        </w:rPr>
        <w:t>,” we have had the following transactions or series of similar transactions, since January 1, 2022, to which we were a party or will be a party, in which:</w:t>
      </w:r>
    </w:p>
    <w:p>
      <w:pPr>
        <w:spacing w:after="0" w:line="148" w:lineRule="exact"/>
        <w:rPr>
          <w:sz w:val="20"/>
          <w:szCs w:val="20"/>
          <w:color w:val="auto"/>
        </w:rPr>
      </w:pPr>
    </w:p>
    <w:p>
      <w:pPr>
        <w:ind w:left="560" w:hanging="287"/>
        <w:spacing w:after="0"/>
        <w:tabs>
          <w:tab w:leader="none" w:pos="5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involved exceeded or will exceed $120,000; and</w:t>
      </w:r>
    </w:p>
    <w:p>
      <w:pPr>
        <w:spacing w:after="0" w:line="189" w:lineRule="exact"/>
        <w:rPr>
          <w:rFonts w:ascii="Times New Roman" w:cs="Times New Roman" w:eastAsia="Times New Roman" w:hAnsi="Times New Roman"/>
          <w:sz w:val="16"/>
          <w:szCs w:val="16"/>
          <w:color w:val="auto"/>
        </w:rPr>
      </w:pPr>
    </w:p>
    <w:p>
      <w:pPr>
        <w:ind w:left="560" w:right="20" w:hanging="287"/>
        <w:spacing w:after="0" w:line="267" w:lineRule="auto"/>
        <w:tabs>
          <w:tab w:leader="none" w:pos="5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our directors, executive officers or holders of more than 5% of our capital stock, or any member of the immediate family of the foregoing persons, had or will have a direct or indirect material interest.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Agreements with Directors and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Separation Agreements</w:t>
      </w:r>
    </w:p>
    <w:p>
      <w:pPr>
        <w:spacing w:after="0" w:line="191"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On April 26, 2023, we entered into a separation and release of claims agreement with Nicole Harvey, our former Chief Legal Officer. As consideration for Ms. Harvey’s execution of the agreement, we agreed to pay the employee payments equivalent to $720,000 for wages and benefits divided into 24 monthly payments commencing on June 1, 2023, and all outstanding equity-based compensation awards to become fully vested. Ms. Harvey had three (3) months from the termination date to exercise the outstanding options. The three (3) month period ended on July 26, 2023 in which the options were not exercised and the options were forfeited as a result.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Promissory Notes with Brian Nelson</w:t>
      </w:r>
    </w:p>
    <w:p>
      <w:pPr>
        <w:spacing w:after="0" w:line="191"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On March 5, 2023, we issued the unsecured promissory note (the “March 2023 Note”) in the principal amount of $1.0 million to Brian Nelson, one of our directors, in a private placement in exchange for cash in an equal amount. The March 2023 Note became due and payable in full on April 1, 2023. We were also obligated to pay a loan fee of $100,000 to Mr. Nelson on April 4, 2023. We paid the principal amount and the loan fee in full on April 1, 2023 and April 4, 2023, respectively.</w:t>
      </w:r>
    </w:p>
    <w:p>
      <w:pPr>
        <w:spacing w:after="0" w:line="160" w:lineRule="exact"/>
        <w:rPr>
          <w:sz w:val="20"/>
          <w:szCs w:val="20"/>
          <w:color w:val="auto"/>
        </w:rPr>
      </w:pPr>
    </w:p>
    <w:p>
      <w:pPr>
        <w:jc w:val="both"/>
        <w:ind w:hanging="7"/>
        <w:spacing w:after="0" w:line="309" w:lineRule="auto"/>
        <w:rPr>
          <w:sz w:val="20"/>
          <w:szCs w:val="20"/>
          <w:color w:val="auto"/>
        </w:rPr>
      </w:pPr>
      <w:r>
        <w:rPr>
          <w:rFonts w:ascii="Times New Roman" w:cs="Times New Roman" w:eastAsia="Times New Roman" w:hAnsi="Times New Roman"/>
          <w:sz w:val="14"/>
          <w:szCs w:val="14"/>
          <w:color w:val="auto"/>
        </w:rPr>
        <w:t>On January 30, 2024, we issued an unsecured convertible promissory note (the “January Note”) in the principal amount of $1.0 million (the “January Principal Amount”) to Brian Nelson, one of our directors, in a private placement in exchange for cash in an equal amount. The January Note became due and payable in full on February 2, 2024. We were also obligated to pay $50,000 (the “January Loan Fee”) to Mr. Nelson on February 2, 2024. We paid the January Principal Amount and the January Loan Fee in full on February 2, 2024.</w:t>
      </w:r>
    </w:p>
    <w:p>
      <w:pPr>
        <w:spacing w:after="0" w:line="125"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On February 27, 2024 we issued a convertible promissory (the “February Note”) in the amount of $1.7 million (the “February Principal Amount”) to Mr. Nelson, in a private placement in exchange for cash in an equal amount. The February Note became due and payable in full on March 1, 2024. We were also obligated to pay a $85,000 loan fee (the “February Loan Fee”) to Mr. Nelson on March 1, 2024. We paid the February Principal Amount and the February Loan Fee on March 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Person Transactions Policy</w:t>
      </w:r>
    </w:p>
    <w:p>
      <w:pPr>
        <w:spacing w:after="0" w:line="191"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Our Board adopted a written Related Person Transactions Policy on October 7, 2022 (the “Policy”)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164" w:lineRule="exact"/>
        <w:rPr>
          <w:sz w:val="20"/>
          <w:szCs w:val="20"/>
          <w:color w:val="auto"/>
        </w:rPr>
      </w:pPr>
    </w:p>
    <w:p>
      <w:pPr>
        <w:jc w:val="both"/>
        <w:ind w:hanging="7"/>
        <w:spacing w:after="0" w:line="248" w:lineRule="auto"/>
        <w:rPr>
          <w:sz w:val="20"/>
          <w:szCs w:val="20"/>
          <w:color w:val="auto"/>
        </w:rPr>
      </w:pPr>
      <w:r>
        <w:rPr>
          <w:rFonts w:ascii="Times New Roman" w:cs="Times New Roman" w:eastAsia="Times New Roman" w:hAnsi="Times New Roman"/>
          <w:sz w:val="16"/>
          <w:szCs w:val="16"/>
          <w:color w:val="auto"/>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88" w:name="page89"/>
    <w:bookmarkEnd w:id="88"/>
    <w:p>
      <w:pPr>
        <w:jc w:val="both"/>
        <w:ind w:right="20" w:hanging="7"/>
        <w:spacing w:after="0" w:line="251" w:lineRule="auto"/>
        <w:rPr>
          <w:sz w:val="20"/>
          <w:szCs w:val="20"/>
          <w:color w:val="auto"/>
        </w:rPr>
      </w:pPr>
      <w:r>
        <w:rPr>
          <w:rFonts w:ascii="Times New Roman" w:cs="Times New Roman" w:eastAsia="Times New Roman" w:hAnsi="Times New Roman"/>
          <w:sz w:val="16"/>
          <w:szCs w:val="16"/>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64" w:lineRule="exact"/>
        <w:rPr>
          <w:sz w:val="20"/>
          <w:szCs w:val="20"/>
          <w:color w:val="auto"/>
        </w:rPr>
      </w:pPr>
    </w:p>
    <w:p>
      <w:pPr>
        <w:ind w:left="560" w:hanging="287"/>
        <w:spacing w:after="0"/>
        <w:tabs>
          <w:tab w:leader="none" w:pos="5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nature of the related person’s interest in the transaction;</w:t>
      </w:r>
    </w:p>
    <w:p>
      <w:pPr>
        <w:spacing w:after="0" w:line="18"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a director’s independence in the event the related person is a director, immediate family member of a director or an entity with which a director is affiliated;</w:t>
      </w:r>
    </w:p>
    <w:p>
      <w:pPr>
        <w:spacing w:after="0" w:line="25" w:lineRule="exact"/>
        <w:rPr>
          <w:rFonts w:ascii="Times New Roman" w:cs="Times New Roman" w:eastAsia="Times New Roman" w:hAnsi="Times New Roman"/>
          <w:sz w:val="14"/>
          <w:szCs w:val="14"/>
          <w:color w:val="auto"/>
        </w:rPr>
      </w:pPr>
    </w:p>
    <w:p>
      <w:pPr>
        <w:ind w:left="560" w:hanging="287"/>
        <w:spacing w:after="0"/>
        <w:tabs>
          <w:tab w:leader="none" w:pos="5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the transaction;</w:t>
      </w:r>
    </w:p>
    <w:p>
      <w:pPr>
        <w:spacing w:after="0" w:line="2"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other sources for comparable services or products; and</w:t>
      </w:r>
    </w:p>
    <w:p>
      <w:pPr>
        <w:spacing w:after="0" w:line="2"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available to or from, as the case may be, unrelated third parties.</w:t>
      </w:r>
    </w:p>
    <w:p>
      <w:pPr>
        <w:spacing w:after="0" w:line="174" w:lineRule="exact"/>
        <w:rPr>
          <w:sz w:val="20"/>
          <w:szCs w:val="20"/>
          <w:color w:val="auto"/>
        </w:rPr>
      </w:pPr>
    </w:p>
    <w:p>
      <w:pPr>
        <w:jc w:val="both"/>
        <w:ind w:right="20" w:hanging="7"/>
        <w:spacing w:after="0" w:line="255" w:lineRule="auto"/>
        <w:rPr>
          <w:sz w:val="20"/>
          <w:szCs w:val="20"/>
          <w:color w:val="auto"/>
        </w:rPr>
      </w:pPr>
      <w:r>
        <w:rPr>
          <w:rFonts w:ascii="Times New Roman" w:cs="Times New Roman" w:eastAsia="Times New Roman" w:hAnsi="Times New Roman"/>
          <w:sz w:val="16"/>
          <w:szCs w:val="16"/>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of the transactions entered into since the adoption of the Policy have been approved or ratified by our Audit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91" w:lineRule="exact"/>
        <w:rPr>
          <w:sz w:val="20"/>
          <w:szCs w:val="20"/>
          <w:color w:val="auto"/>
        </w:rPr>
      </w:pPr>
    </w:p>
    <w:p>
      <w:pPr>
        <w:jc w:val="both"/>
        <w:ind w:hanging="7"/>
        <w:spacing w:after="0" w:line="249" w:lineRule="auto"/>
        <w:rPr>
          <w:sz w:val="20"/>
          <w:szCs w:val="20"/>
          <w:color w:val="auto"/>
        </w:rPr>
      </w:pPr>
      <w:r>
        <w:rPr>
          <w:rFonts w:ascii="Times New Roman" w:cs="Times New Roman" w:eastAsia="Times New Roman" w:hAnsi="Times New Roman"/>
          <w:sz w:val="16"/>
          <w:szCs w:val="16"/>
          <w:color w:val="auto"/>
        </w:rPr>
        <w:t>Our common stock is listed on Nasdaq.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166"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Our Board of Directors has determined that Rick Parod, Perry Boyle, Jonathan Bellows, Karina Montilla Edmonds, Brian Nelson, and Luisa Ingargiola are an “independent directors” as such term is defined under the applicable rules of Nasdaq.</w:t>
      </w:r>
    </w:p>
    <w:p>
      <w:pPr>
        <w:spacing w:after="0" w:line="151"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We have established an Audit Committee, a Compensation Committee and a Nominating and Corporate Governance Committee. Our Board of Directors has determined that Ms. Ingargiola is an “audit committee financial expert,” as defined under the applicable rules of the SEC, and that all members of the Audit Committee are “independent” within the meaning of the applicable Nasdaq rule and the independence standards of Rule 10A-3 of the Exchange Act. Each of the members of the Audit Committee meets the requirements for financial literacy under the applicable rules and regulations of the SEC and Nasdaq.</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89" w:name="page90"/>
    <w:bookmarkEnd w:id="89"/>
    <w:p>
      <w:pPr>
        <w:ind w:left="967"/>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The following table sets forth certain information as of March 27, 2025, with respect to the beneficial ownership of common stock by the following:</w:t>
      </w:r>
    </w:p>
    <w:p>
      <w:pPr>
        <w:spacing w:after="0" w:line="189" w:lineRule="exact"/>
        <w:rPr>
          <w:sz w:val="20"/>
          <w:szCs w:val="20"/>
          <w:color w:val="auto"/>
        </w:rPr>
      </w:pPr>
    </w:p>
    <w:p>
      <w:pPr>
        <w:ind w:left="847" w:hanging="286"/>
        <w:spacing w:after="0"/>
        <w:tabs>
          <w:tab w:leader="none" w:pos="84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other person, or group of affiliated persons, known by us to beneficially own more than 5% of any class of our outstanding shares of common stock;</w:t>
      </w:r>
    </w:p>
    <w:p>
      <w:pPr>
        <w:spacing w:after="0" w:line="18" w:lineRule="exact"/>
        <w:rPr>
          <w:rFonts w:ascii="Times New Roman" w:cs="Times New Roman" w:eastAsia="Times New Roman" w:hAnsi="Times New Roman"/>
          <w:sz w:val="16"/>
          <w:szCs w:val="16"/>
          <w:color w:val="auto"/>
        </w:rPr>
      </w:pPr>
    </w:p>
    <w:p>
      <w:pPr>
        <w:ind w:left="847" w:hanging="286"/>
        <w:spacing w:after="0"/>
        <w:tabs>
          <w:tab w:leader="none" w:pos="84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named executive officers;</w:t>
      </w:r>
    </w:p>
    <w:p>
      <w:pPr>
        <w:spacing w:after="0" w:line="2" w:lineRule="exact"/>
        <w:rPr>
          <w:rFonts w:ascii="Times New Roman" w:cs="Times New Roman" w:eastAsia="Times New Roman" w:hAnsi="Times New Roman"/>
          <w:sz w:val="16"/>
          <w:szCs w:val="16"/>
          <w:color w:val="auto"/>
        </w:rPr>
      </w:pPr>
    </w:p>
    <w:p>
      <w:pPr>
        <w:ind w:left="847" w:hanging="286"/>
        <w:spacing w:after="0"/>
        <w:tabs>
          <w:tab w:leader="none" w:pos="84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current directors; and</w:t>
      </w:r>
    </w:p>
    <w:p>
      <w:pPr>
        <w:spacing w:after="0" w:line="2" w:lineRule="exact"/>
        <w:rPr>
          <w:rFonts w:ascii="Times New Roman" w:cs="Times New Roman" w:eastAsia="Times New Roman" w:hAnsi="Times New Roman"/>
          <w:sz w:val="16"/>
          <w:szCs w:val="16"/>
          <w:color w:val="auto"/>
        </w:rPr>
      </w:pPr>
    </w:p>
    <w:p>
      <w:pPr>
        <w:ind w:left="847" w:hanging="286"/>
        <w:spacing w:after="0"/>
        <w:tabs>
          <w:tab w:leader="none" w:pos="84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executive officers and directors as a group.</w:t>
      </w:r>
    </w:p>
    <w:p>
      <w:pPr>
        <w:spacing w:after="0" w:line="174" w:lineRule="exact"/>
        <w:rPr>
          <w:sz w:val="20"/>
          <w:szCs w:val="20"/>
          <w:color w:val="auto"/>
        </w:rPr>
      </w:pPr>
    </w:p>
    <w:p>
      <w:pPr>
        <w:jc w:val="both"/>
        <w:ind w:left="7"/>
        <w:spacing w:after="0" w:line="293" w:lineRule="auto"/>
        <w:rPr>
          <w:sz w:val="20"/>
          <w:szCs w:val="20"/>
          <w:color w:val="auto"/>
        </w:rPr>
      </w:pPr>
      <w:r>
        <w:rPr>
          <w:rFonts w:ascii="Times New Roman" w:cs="Times New Roman" w:eastAsia="Times New Roman" w:hAnsi="Times New Roman"/>
          <w:sz w:val="14"/>
          <w:szCs w:val="14"/>
          <w:color w:val="auto"/>
        </w:rPr>
        <w:t>Information relating to beneficial ownership of the voting securities by our principal stockholders and management is based upon each person’s information using “beneficial ownership” concepts under the SEC rules. Under these rules, a person is deemed to be a beneficial owner of a security if that person has or shares voting power, which includes the power to vote or direct the voting of the security, or investment power, which includes the power to vote or direct the voting of the security. For purposes of computing the number and percentage of shares beneficially owned by a security holder, any shares which such person has the right to acquire within 60 days of March 31, 2025 (“Presently Exercisable Securities”), are deemed to be outstanding, but those shares are not deemed to be outstanding for the purpose of computing the percentage ownership of any other security holder.</w:t>
      </w:r>
    </w:p>
    <w:p>
      <w:pPr>
        <w:spacing w:after="0" w:line="138"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The table reflects 7,589,642 shares common stock outstanding as of March 27, 2025 plus any shares issuable upon exercise of Presently Exercisable Securities held by such person or entity.</w:t>
      </w:r>
    </w:p>
    <w:p>
      <w:pPr>
        <w:spacing w:after="0" w:line="151"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Under the SEC rules, more than one person may be deemed to be a beneficial owner of the same securities and a person may be deemed to be a beneficial owner of securities as to which he or she may not have any pecuniary beneficial interest. Except as noted below, ownership consists of sole ownership, voting and investment rights, and the address for each stockholder listed is c/o 12915 Old Virginia Rd, Reno, Nevada 89521.</w:t>
      </w:r>
    </w:p>
    <w:p>
      <w:pPr>
        <w:spacing w:after="0" w:line="158"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Amount and</w:t>
            </w: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Nature of</w:t>
            </w: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Beneficial</w:t>
            </w: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5"/>
        </w:trPr>
        <w:tc>
          <w:tcPr>
            <w:tcW w:w="7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Ownership</w:t>
            </w: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of Class</w:t>
            </w:r>
          </w:p>
        </w:tc>
      </w:tr>
      <w:tr>
        <w:trPr>
          <w:trHeight w:val="179"/>
        </w:trPr>
        <w:tc>
          <w:tcPr>
            <w:tcW w:w="7200" w:type="dxa"/>
            <w:vAlign w:val="bottom"/>
            <w:tcBorders>
              <w:top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b w:val="1"/>
                <w:bCs w:val="1"/>
                <w:i w:val="1"/>
                <w:iCs w:val="1"/>
                <w:color w:val="auto"/>
              </w:rPr>
              <w:t>5% Holders:</w:t>
            </w:r>
          </w:p>
        </w:tc>
        <w:tc>
          <w:tcPr>
            <w:tcW w:w="2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22"/>
        </w:trPr>
        <w:tc>
          <w:tcPr>
            <w:tcW w:w="7420" w:type="dxa"/>
            <w:vAlign w:val="bottom"/>
            <w:gridSpan w:val="2"/>
          </w:tcPr>
          <w:p>
            <w:pPr>
              <w:spacing w:after="0" w:line="222" w:lineRule="exact"/>
              <w:rPr>
                <w:sz w:val="20"/>
                <w:szCs w:val="20"/>
                <w:color w:val="auto"/>
              </w:rPr>
            </w:pPr>
            <w:r>
              <w:rPr>
                <w:rFonts w:ascii="Times New Roman" w:cs="Times New Roman" w:eastAsia="Times New Roman" w:hAnsi="Times New Roman"/>
                <w:sz w:val="16"/>
                <w:szCs w:val="16"/>
                <w:color w:val="auto"/>
              </w:rPr>
              <w:t>Dynavolt Technology (HK) Ltd.</w:t>
            </w:r>
            <w:r>
              <w:rPr>
                <w:rFonts w:ascii="Times New Roman" w:cs="Times New Roman" w:eastAsia="Times New Roman" w:hAnsi="Times New Roman"/>
                <w:sz w:val="25"/>
                <w:szCs w:val="25"/>
                <w:color w:val="auto"/>
                <w:vertAlign w:val="superscript"/>
              </w:rPr>
              <w:t>(1)</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1,313,434</w:t>
            </w:r>
          </w:p>
        </w:tc>
        <w:tc>
          <w:tcPr>
            <w:tcW w:w="34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17.31%</w:t>
            </w:r>
          </w:p>
        </w:tc>
      </w:tr>
      <w:tr>
        <w:trPr>
          <w:trHeight w:val="187"/>
        </w:trPr>
        <w:tc>
          <w:tcPr>
            <w:tcW w:w="7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7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Named Executive Officers and Directors:</w:t>
            </w: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2"/>
        </w:trPr>
        <w:tc>
          <w:tcPr>
            <w:tcW w:w="7420" w:type="dxa"/>
            <w:vAlign w:val="bottom"/>
            <w:gridSpan w:val="2"/>
            <w:shd w:val="clear" w:color="auto" w:fill="CCEEFF"/>
          </w:tcPr>
          <w:p>
            <w:pPr>
              <w:spacing w:after="0" w:line="222" w:lineRule="exact"/>
              <w:rPr>
                <w:sz w:val="20"/>
                <w:szCs w:val="20"/>
                <w:color w:val="auto"/>
              </w:rPr>
            </w:pPr>
            <w:r>
              <w:rPr>
                <w:rFonts w:ascii="Times New Roman" w:cs="Times New Roman" w:eastAsia="Times New Roman" w:hAnsi="Times New Roman"/>
                <w:sz w:val="16"/>
                <w:szCs w:val="16"/>
                <w:color w:val="auto"/>
              </w:rPr>
              <w:t>Dr. Denis Phares</w:t>
            </w:r>
            <w:r>
              <w:rPr>
                <w:rFonts w:ascii="Times New Roman" w:cs="Times New Roman" w:eastAsia="Times New Roman" w:hAnsi="Times New Roman"/>
                <w:sz w:val="25"/>
                <w:szCs w:val="25"/>
                <w:color w:val="auto"/>
                <w:vertAlign w:val="superscript"/>
              </w:rPr>
              <w:t>(2)(3)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1,802,303</w:t>
            </w:r>
          </w:p>
        </w:tc>
        <w:tc>
          <w:tcPr>
            <w:tcW w:w="3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23.75%</w:t>
            </w:r>
          </w:p>
        </w:tc>
      </w:tr>
      <w:tr>
        <w:trPr>
          <w:trHeight w:val="222"/>
        </w:trPr>
        <w:tc>
          <w:tcPr>
            <w:tcW w:w="7420" w:type="dxa"/>
            <w:vAlign w:val="bottom"/>
            <w:gridSpan w:val="2"/>
          </w:tcPr>
          <w:p>
            <w:pPr>
              <w:spacing w:after="0" w:line="222" w:lineRule="exact"/>
              <w:rPr>
                <w:sz w:val="20"/>
                <w:szCs w:val="20"/>
                <w:color w:val="auto"/>
              </w:rPr>
            </w:pPr>
            <w:r>
              <w:rPr>
                <w:rFonts w:ascii="Times New Roman" w:cs="Times New Roman" w:eastAsia="Times New Roman" w:hAnsi="Times New Roman"/>
                <w:sz w:val="16"/>
                <w:szCs w:val="16"/>
                <w:color w:val="auto"/>
              </w:rPr>
              <w:t>Dr. Vickram Singh</w:t>
            </w:r>
            <w:r>
              <w:rPr>
                <w:rFonts w:ascii="Times New Roman" w:cs="Times New Roman" w:eastAsia="Times New Roman" w:hAnsi="Times New Roman"/>
                <w:sz w:val="25"/>
                <w:szCs w:val="25"/>
                <w:color w:val="auto"/>
                <w:vertAlign w:val="superscript"/>
              </w:rPr>
              <w:t>(4)</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20,110</w:t>
            </w:r>
          </w:p>
        </w:tc>
        <w:tc>
          <w:tcPr>
            <w:tcW w:w="34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420" w:type="dxa"/>
            <w:vAlign w:val="bottom"/>
            <w:gridSpan w:val="2"/>
            <w:shd w:val="clear" w:color="auto" w:fill="CCEEFF"/>
          </w:tcPr>
          <w:p>
            <w:pPr>
              <w:spacing w:after="0" w:line="222" w:lineRule="exact"/>
              <w:rPr>
                <w:sz w:val="20"/>
                <w:szCs w:val="20"/>
                <w:color w:val="auto"/>
              </w:rPr>
            </w:pPr>
            <w:r>
              <w:rPr>
                <w:rFonts w:ascii="Times New Roman" w:cs="Times New Roman" w:eastAsia="Times New Roman" w:hAnsi="Times New Roman"/>
                <w:sz w:val="16"/>
                <w:szCs w:val="16"/>
                <w:color w:val="auto"/>
              </w:rPr>
              <w:t xml:space="preserve">John Marchetti </w:t>
            </w:r>
            <w:r>
              <w:rPr>
                <w:rFonts w:ascii="Times New Roman" w:cs="Times New Roman" w:eastAsia="Times New Roman" w:hAnsi="Times New Roman"/>
                <w:sz w:val="25"/>
                <w:szCs w:val="25"/>
                <w:color w:val="auto"/>
                <w:vertAlign w:val="superscript"/>
              </w:rPr>
              <w:t>(5)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420" w:type="dxa"/>
            <w:vAlign w:val="bottom"/>
            <w:gridSpan w:val="2"/>
          </w:tcPr>
          <w:p>
            <w:pPr>
              <w:spacing w:after="0" w:line="222" w:lineRule="exact"/>
              <w:rPr>
                <w:sz w:val="20"/>
                <w:szCs w:val="20"/>
                <w:color w:val="auto"/>
              </w:rPr>
            </w:pPr>
            <w:r>
              <w:rPr>
                <w:rFonts w:ascii="Times New Roman" w:cs="Times New Roman" w:eastAsia="Times New Roman" w:hAnsi="Times New Roman"/>
                <w:sz w:val="16"/>
                <w:szCs w:val="16"/>
                <w:color w:val="auto"/>
              </w:rPr>
              <w:t>Wade Seaburg</w:t>
            </w:r>
            <w:r>
              <w:rPr>
                <w:rFonts w:ascii="Times New Roman" w:cs="Times New Roman" w:eastAsia="Times New Roman" w:hAnsi="Times New Roman"/>
                <w:sz w:val="25"/>
                <w:szCs w:val="25"/>
                <w:color w:val="auto"/>
                <w:vertAlign w:val="superscript"/>
              </w:rPr>
              <w:t>(6)</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35,194</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420" w:type="dxa"/>
            <w:vAlign w:val="bottom"/>
            <w:gridSpan w:val="2"/>
            <w:shd w:val="clear" w:color="auto" w:fill="CCEEFF"/>
          </w:tcPr>
          <w:p>
            <w:pPr>
              <w:spacing w:after="0" w:line="222" w:lineRule="exact"/>
              <w:rPr>
                <w:sz w:val="20"/>
                <w:szCs w:val="20"/>
                <w:color w:val="auto"/>
              </w:rPr>
            </w:pPr>
            <w:r>
              <w:rPr>
                <w:rFonts w:ascii="Times New Roman" w:cs="Times New Roman" w:eastAsia="Times New Roman" w:hAnsi="Times New Roman"/>
                <w:sz w:val="16"/>
                <w:szCs w:val="16"/>
                <w:color w:val="auto"/>
              </w:rPr>
              <w:t>Tyler Bourns</w:t>
            </w:r>
            <w:r>
              <w:rPr>
                <w:rFonts w:ascii="Times New Roman" w:cs="Times New Roman" w:eastAsia="Times New Roman" w:hAnsi="Times New Roman"/>
                <w:sz w:val="25"/>
                <w:szCs w:val="25"/>
                <w:color w:val="auto"/>
                <w:vertAlign w:val="superscript"/>
              </w:rPr>
              <w:t>(7)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11,836</w:t>
            </w:r>
          </w:p>
        </w:tc>
        <w:tc>
          <w:tcPr>
            <w:tcW w:w="3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420" w:type="dxa"/>
            <w:vAlign w:val="bottom"/>
            <w:gridSpan w:val="2"/>
          </w:tcPr>
          <w:p>
            <w:pPr>
              <w:spacing w:after="0" w:line="222" w:lineRule="exact"/>
              <w:rPr>
                <w:sz w:val="20"/>
                <w:szCs w:val="20"/>
                <w:color w:val="auto"/>
              </w:rPr>
            </w:pPr>
            <w:r>
              <w:rPr>
                <w:rFonts w:ascii="Times New Roman" w:cs="Times New Roman" w:eastAsia="Times New Roman" w:hAnsi="Times New Roman"/>
                <w:sz w:val="16"/>
                <w:szCs w:val="16"/>
                <w:color w:val="auto"/>
              </w:rPr>
              <w:t>Luisa Ingargiola</w:t>
            </w:r>
            <w:r>
              <w:rPr>
                <w:rFonts w:ascii="Times New Roman" w:cs="Times New Roman" w:eastAsia="Times New Roman" w:hAnsi="Times New Roman"/>
                <w:sz w:val="25"/>
                <w:szCs w:val="25"/>
                <w:color w:val="auto"/>
                <w:vertAlign w:val="superscript"/>
              </w:rPr>
              <w:t>(8)</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22,401</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420" w:type="dxa"/>
            <w:vAlign w:val="bottom"/>
            <w:gridSpan w:val="2"/>
            <w:shd w:val="clear" w:color="auto" w:fill="CCEEFF"/>
          </w:tcPr>
          <w:p>
            <w:pPr>
              <w:spacing w:after="0" w:line="222" w:lineRule="exact"/>
              <w:rPr>
                <w:sz w:val="20"/>
                <w:szCs w:val="20"/>
                <w:color w:val="auto"/>
              </w:rPr>
            </w:pPr>
            <w:r>
              <w:rPr>
                <w:rFonts w:ascii="Times New Roman" w:cs="Times New Roman" w:eastAsia="Times New Roman" w:hAnsi="Times New Roman"/>
                <w:sz w:val="16"/>
                <w:szCs w:val="16"/>
                <w:color w:val="auto"/>
              </w:rPr>
              <w:t>Brian Nelson</w:t>
            </w:r>
            <w:r>
              <w:rPr>
                <w:rFonts w:ascii="Times New Roman" w:cs="Times New Roman" w:eastAsia="Times New Roman" w:hAnsi="Times New Roman"/>
                <w:sz w:val="25"/>
                <w:szCs w:val="25"/>
                <w:color w:val="auto"/>
                <w:vertAlign w:val="superscript"/>
              </w:rPr>
              <w:t>(9)</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19,446</w:t>
            </w: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420" w:type="dxa"/>
            <w:vAlign w:val="bottom"/>
            <w:gridSpan w:val="2"/>
          </w:tcPr>
          <w:p>
            <w:pPr>
              <w:spacing w:after="0" w:line="222" w:lineRule="exact"/>
              <w:rPr>
                <w:sz w:val="20"/>
                <w:szCs w:val="20"/>
                <w:color w:val="auto"/>
              </w:rPr>
            </w:pPr>
            <w:r>
              <w:rPr>
                <w:rFonts w:ascii="Times New Roman" w:cs="Times New Roman" w:eastAsia="Times New Roman" w:hAnsi="Times New Roman"/>
                <w:sz w:val="16"/>
                <w:szCs w:val="16"/>
                <w:color w:val="auto"/>
              </w:rPr>
              <w:t>Perry Boyle</w:t>
            </w:r>
            <w:r>
              <w:rPr>
                <w:rFonts w:ascii="Times New Roman" w:cs="Times New Roman" w:eastAsia="Times New Roman" w:hAnsi="Times New Roman"/>
                <w:sz w:val="25"/>
                <w:szCs w:val="25"/>
                <w:color w:val="auto"/>
                <w:vertAlign w:val="superscript"/>
              </w:rPr>
              <w:t>(10)</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13,722</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420" w:type="dxa"/>
            <w:vAlign w:val="bottom"/>
            <w:gridSpan w:val="2"/>
            <w:shd w:val="clear" w:color="auto" w:fill="CCEEFF"/>
          </w:tcPr>
          <w:p>
            <w:pPr>
              <w:spacing w:after="0" w:line="222" w:lineRule="exact"/>
              <w:rPr>
                <w:sz w:val="20"/>
                <w:szCs w:val="20"/>
                <w:color w:val="auto"/>
              </w:rPr>
            </w:pPr>
            <w:r>
              <w:rPr>
                <w:rFonts w:ascii="Times New Roman" w:cs="Times New Roman" w:eastAsia="Times New Roman" w:hAnsi="Times New Roman"/>
                <w:sz w:val="16"/>
                <w:szCs w:val="16"/>
                <w:color w:val="auto"/>
              </w:rPr>
              <w:t>Jonathan Bellows</w:t>
            </w:r>
            <w:r>
              <w:rPr>
                <w:rFonts w:ascii="Times New Roman" w:cs="Times New Roman" w:eastAsia="Times New Roman" w:hAnsi="Times New Roman"/>
                <w:sz w:val="25"/>
                <w:szCs w:val="25"/>
                <w:color w:val="auto"/>
                <w:vertAlign w:val="superscript"/>
              </w:rPr>
              <w:t>(11)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11,565</w:t>
            </w:r>
          </w:p>
        </w:tc>
        <w:tc>
          <w:tcPr>
            <w:tcW w:w="3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420" w:type="dxa"/>
            <w:vAlign w:val="bottom"/>
            <w:gridSpan w:val="2"/>
          </w:tcPr>
          <w:p>
            <w:pPr>
              <w:spacing w:after="0" w:line="222" w:lineRule="exact"/>
              <w:rPr>
                <w:sz w:val="20"/>
                <w:szCs w:val="20"/>
                <w:color w:val="auto"/>
              </w:rPr>
            </w:pPr>
            <w:r>
              <w:rPr>
                <w:rFonts w:ascii="Times New Roman" w:cs="Times New Roman" w:eastAsia="Times New Roman" w:hAnsi="Times New Roman"/>
                <w:sz w:val="16"/>
                <w:szCs w:val="16"/>
                <w:color w:val="auto"/>
              </w:rPr>
              <w:t>Rick Parod</w:t>
            </w:r>
            <w:r>
              <w:rPr>
                <w:rFonts w:ascii="Times New Roman" w:cs="Times New Roman" w:eastAsia="Times New Roman" w:hAnsi="Times New Roman"/>
                <w:sz w:val="25"/>
                <w:szCs w:val="25"/>
                <w:color w:val="auto"/>
                <w:vertAlign w:val="superscript"/>
              </w:rPr>
              <w:t>(12)</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11,565</w:t>
            </w:r>
          </w:p>
        </w:tc>
        <w:tc>
          <w:tcPr>
            <w:tcW w:w="34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420" w:type="dxa"/>
            <w:vAlign w:val="bottom"/>
            <w:gridSpan w:val="2"/>
            <w:shd w:val="clear" w:color="auto" w:fill="CCEEFF"/>
          </w:tcPr>
          <w:p>
            <w:pPr>
              <w:spacing w:after="0" w:line="222" w:lineRule="exact"/>
              <w:rPr>
                <w:sz w:val="20"/>
                <w:szCs w:val="20"/>
                <w:color w:val="auto"/>
              </w:rPr>
            </w:pPr>
            <w:r>
              <w:rPr>
                <w:rFonts w:ascii="Times New Roman" w:cs="Times New Roman" w:eastAsia="Times New Roman" w:hAnsi="Times New Roman"/>
                <w:sz w:val="16"/>
                <w:szCs w:val="16"/>
                <w:color w:val="auto"/>
              </w:rPr>
              <w:t>Karina Montilla Edmonds</w:t>
            </w:r>
            <w:r>
              <w:rPr>
                <w:rFonts w:ascii="Times New Roman" w:cs="Times New Roman" w:eastAsia="Times New Roman" w:hAnsi="Times New Roman"/>
                <w:sz w:val="25"/>
                <w:szCs w:val="25"/>
                <w:color w:val="auto"/>
                <w:vertAlign w:val="superscript"/>
              </w:rPr>
              <w:t>(13)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11,599</w:t>
            </w:r>
          </w:p>
        </w:tc>
        <w:tc>
          <w:tcPr>
            <w:tcW w:w="3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All Executive Officers and Directors as a group (10 persons):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1,959,741</w:t>
            </w:r>
          </w:p>
        </w:tc>
        <w:tc>
          <w:tcPr>
            <w:tcW w:w="340" w:type="dxa"/>
            <w:vAlign w:val="bottom"/>
          </w:tcPr>
          <w:p>
            <w:pPr>
              <w:spacing w:after="0"/>
              <w:rPr>
                <w:sz w:val="17"/>
                <w:szCs w:val="17"/>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25.82%</w:t>
            </w:r>
          </w:p>
        </w:tc>
      </w:tr>
    </w:tbl>
    <w:p>
      <w:pPr>
        <w:spacing w:after="0" w:line="1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 Less than one percent.</w:t>
      </w:r>
    </w:p>
    <w:p>
      <w:pPr>
        <w:spacing w:after="0" w:line="189" w:lineRule="exact"/>
        <w:rPr>
          <w:sz w:val="20"/>
          <w:szCs w:val="20"/>
          <w:color w:val="auto"/>
        </w:rPr>
      </w:pPr>
    </w:p>
    <w:p>
      <w:pPr>
        <w:ind w:left="287" w:hanging="287"/>
        <w:spacing w:after="0" w:line="267" w:lineRule="auto"/>
        <w:tabs>
          <w:tab w:leader="none" w:pos="287"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Schedule 13D filed by Dynavolt Technology (HK) Ltd. (“Dynavolt”) on October 12, 2022. The business address of Dynavolt is Flat/Room 02-03 26/F, Bea Tower Millennium City 5, 418 Kwun Tong Road, Kwun Tong, Hong Kong.</w:t>
      </w:r>
    </w:p>
    <w:p>
      <w:pPr>
        <w:spacing w:after="0" w:line="15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90" w:name="page91"/>
    <w:bookmarkEnd w:id="90"/>
    <w:p>
      <w:pPr>
        <w:ind w:left="287" w:hanging="287"/>
        <w:spacing w:after="0"/>
        <w:tabs>
          <w:tab w:leader="none" w:pos="28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25,000,000 shares of common stock not yet payable as the earnout contingencies have not yet been met and will not be met within 60 days of March 27, 2025.</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135,323 shares held on behalf of the Phares 2021 GRAT dated July 9, 2021, of which Dr. Phares is the trustee.</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6,493 shares of common stock issuable upon exercise of outstanding stock options and 11,112 of restricted stock units exercisable within 60 days of March 27, 2025.</w:t>
      </w:r>
    </w:p>
    <w:p>
      <w:pPr>
        <w:spacing w:after="0" w:line="212" w:lineRule="exact"/>
        <w:rPr>
          <w:rFonts w:ascii="Times New Roman" w:cs="Times New Roman" w:eastAsia="Times New Roman" w:hAnsi="Times New Roman"/>
          <w:sz w:val="14"/>
          <w:szCs w:val="14"/>
          <w:color w:val="auto"/>
        </w:rPr>
      </w:pPr>
    </w:p>
    <w:p>
      <w:pPr>
        <w:ind w:left="287" w:hanging="287"/>
        <w:spacing w:after="0"/>
        <w:tabs>
          <w:tab w:leader="none" w:pos="287"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19, 2024, Mr. Marchetti’s employment with us was terminated. As a result, his vested options were forfeited and his unvested options were terminated on such date.</w:t>
      </w:r>
    </w:p>
    <w:p>
      <w:pPr>
        <w:spacing w:after="0" w:line="212" w:lineRule="exact"/>
        <w:rPr>
          <w:rFonts w:ascii="Times New Roman" w:cs="Times New Roman" w:eastAsia="Times New Roman" w:hAnsi="Times New Roman"/>
          <w:sz w:val="14"/>
          <w:szCs w:val="14"/>
          <w:color w:val="auto"/>
        </w:rPr>
      </w:pPr>
    </w:p>
    <w:p>
      <w:pPr>
        <w:ind w:left="287" w:hanging="287"/>
        <w:spacing w:after="0"/>
        <w:tabs>
          <w:tab w:leader="none" w:pos="287"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14,220 shares of common stock issuable upon exercise of outstanding stock options and 6,722 of restricted stock units exercisable within 60 days of March 27, 2025.</w:t>
      </w:r>
    </w:p>
    <w:p>
      <w:pPr>
        <w:spacing w:after="0" w:line="212" w:lineRule="exact"/>
        <w:rPr>
          <w:rFonts w:ascii="Times New Roman" w:cs="Times New Roman" w:eastAsia="Times New Roman" w:hAnsi="Times New Roman"/>
          <w:sz w:val="14"/>
          <w:szCs w:val="14"/>
          <w:color w:val="auto"/>
        </w:rPr>
      </w:pPr>
    </w:p>
    <w:p>
      <w:pPr>
        <w:ind w:left="287" w:hanging="287"/>
        <w:spacing w:after="0"/>
        <w:tabs>
          <w:tab w:leader="none" w:pos="287"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5,175 shares of common stock issuable upon exercise of outstanding stock options and 3,237 of restricted stock units exercisable within 60 days of March 27, 2025.</w:t>
      </w:r>
    </w:p>
    <w:p>
      <w:pPr>
        <w:spacing w:after="0" w:line="212" w:lineRule="exact"/>
        <w:rPr>
          <w:rFonts w:ascii="Times New Roman" w:cs="Times New Roman" w:eastAsia="Times New Roman" w:hAnsi="Times New Roman"/>
          <w:sz w:val="14"/>
          <w:szCs w:val="14"/>
          <w:color w:val="auto"/>
        </w:rPr>
      </w:pPr>
    </w:p>
    <w:p>
      <w:pPr>
        <w:ind w:left="287" w:hanging="287"/>
        <w:spacing w:after="0"/>
        <w:tabs>
          <w:tab w:leader="none" w:pos="287"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10,836 shares of common stock issuable upon exercise of outstanding stock options and 8,231 of restricted stock units exercisable within 60 days of March 27, 2025.</w:t>
      </w:r>
    </w:p>
    <w:p>
      <w:pPr>
        <w:spacing w:after="0" w:line="212" w:lineRule="exact"/>
        <w:rPr>
          <w:rFonts w:ascii="Times New Roman" w:cs="Times New Roman" w:eastAsia="Times New Roman" w:hAnsi="Times New Roman"/>
          <w:sz w:val="14"/>
          <w:szCs w:val="14"/>
          <w:color w:val="auto"/>
        </w:rPr>
      </w:pPr>
    </w:p>
    <w:p>
      <w:pPr>
        <w:ind w:left="287" w:hanging="287"/>
        <w:spacing w:after="0"/>
        <w:tabs>
          <w:tab w:leader="none" w:pos="287"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7,881 shares of common stock issuable upon exercise of outstanding stock options and 8,231 of restricted stock units exercisable within 60 days of March 27, 2025.</w:t>
      </w:r>
    </w:p>
    <w:p>
      <w:pPr>
        <w:spacing w:after="0" w:line="212" w:lineRule="exact"/>
        <w:rPr>
          <w:rFonts w:ascii="Times New Roman" w:cs="Times New Roman" w:eastAsia="Times New Roman" w:hAnsi="Times New Roman"/>
          <w:sz w:val="14"/>
          <w:szCs w:val="14"/>
          <w:color w:val="auto"/>
        </w:rPr>
      </w:pPr>
    </w:p>
    <w:p>
      <w:pPr>
        <w:ind w:left="287" w:hanging="287"/>
        <w:spacing w:after="0"/>
        <w:tabs>
          <w:tab w:leader="none" w:pos="28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8,231 shares of common stock issuable upon exercise of restricted stock units exercisable within 60 days of March 27, 2025.</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8,231 shares of common stock issuable upon exercise of restricted stock units exercisable within 60 days of March 27, 2025.</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8,231 shares of common stock issuable upon exercise of restricted stock units exercisable within 60 days of March 27, 2025.</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8,231 shares of common stock issuable upon exercise of restricted stock units exercisable within 60 days of March 27, 2025.</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191" w:lineRule="exact"/>
        <w:rPr>
          <w:sz w:val="20"/>
          <w:szCs w:val="20"/>
          <w:color w:val="auto"/>
        </w:rPr>
      </w:pPr>
    </w:p>
    <w:p>
      <w:pPr>
        <w:jc w:val="both"/>
        <w:ind w:left="7" w:right="20" w:hanging="7"/>
        <w:spacing w:after="0" w:line="255" w:lineRule="auto"/>
        <w:rPr>
          <w:sz w:val="20"/>
          <w:szCs w:val="20"/>
          <w:color w:val="auto"/>
        </w:rPr>
      </w:pPr>
      <w:r>
        <w:rPr>
          <w:rFonts w:ascii="Times New Roman" w:cs="Times New Roman" w:eastAsia="Times New Roman" w:hAnsi="Times New Roman"/>
          <w:sz w:val="16"/>
          <w:szCs w:val="16"/>
          <w:color w:val="auto"/>
        </w:rPr>
        <w:t>In connection with our Business Combination, our board of directors and stockholders adopted the 2022 Plan, which provides for the grant of incentive stock options and non-qualified stock options to purchase shares of our common stock and other types of awards, as well as the Dragonfly Energy Holdings Corp. Employee Stock Purchase Plan (the “ESPP”).</w:t>
      </w:r>
    </w:p>
    <w:p>
      <w:pPr>
        <w:spacing w:after="0" w:line="160" w:lineRule="exact"/>
        <w:rPr>
          <w:sz w:val="20"/>
          <w:szCs w:val="20"/>
          <w:color w:val="auto"/>
        </w:rPr>
      </w:pPr>
    </w:p>
    <w:p>
      <w:pPr>
        <w:jc w:val="both"/>
        <w:ind w:left="7" w:hanging="7"/>
        <w:spacing w:after="0" w:line="251" w:lineRule="auto"/>
        <w:rPr>
          <w:sz w:val="20"/>
          <w:szCs w:val="20"/>
          <w:color w:val="auto"/>
        </w:rPr>
      </w:pPr>
      <w:r>
        <w:rPr>
          <w:rFonts w:ascii="Times New Roman" w:cs="Times New Roman" w:eastAsia="Times New Roman" w:hAnsi="Times New Roman"/>
          <w:sz w:val="16"/>
          <w:szCs w:val="16"/>
          <w:color w:val="auto"/>
        </w:rPr>
        <w:t>The general purpose of the 2022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 By means of the 2021 Plan, we seek to retain the services of such eligible persons and to provide incentives for such persons to exert maximum efforts for our success and the success of our subsidiaries.</w:t>
      </w:r>
    </w:p>
    <w:p>
      <w:pPr>
        <w:spacing w:after="0" w:line="1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91" w:name="page92"/>
    <w:bookmarkEnd w:id="91"/>
    <w:p>
      <w:pPr>
        <w:jc w:val="both"/>
        <w:ind w:left="7" w:hanging="7"/>
        <w:spacing w:after="0" w:line="255" w:lineRule="auto"/>
        <w:rPr>
          <w:sz w:val="20"/>
          <w:szCs w:val="20"/>
          <w:color w:val="auto"/>
        </w:rPr>
      </w:pPr>
      <w:r>
        <w:rPr>
          <w:rFonts w:ascii="Times New Roman" w:cs="Times New Roman" w:eastAsia="Times New Roman" w:hAnsi="Times New Roman"/>
          <w:sz w:val="16"/>
          <w:szCs w:val="16"/>
          <w:color w:val="auto"/>
        </w:rPr>
        <w:t>The general purpose of the ESPP is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60" w:lineRule="exact"/>
        <w:rPr>
          <w:sz w:val="20"/>
          <w:szCs w:val="20"/>
          <w:color w:val="auto"/>
        </w:rPr>
      </w:pPr>
    </w:p>
    <w:p>
      <w:pPr>
        <w:jc w:val="both"/>
        <w:ind w:left="7" w:right="20" w:hanging="7"/>
        <w:spacing w:after="0" w:line="267" w:lineRule="auto"/>
        <w:rPr>
          <w:sz w:val="20"/>
          <w:szCs w:val="20"/>
          <w:color w:val="auto"/>
        </w:rPr>
      </w:pPr>
      <w:r>
        <w:rPr>
          <w:rFonts w:ascii="Times New Roman" w:cs="Times New Roman" w:eastAsia="Times New Roman" w:hAnsi="Times New Roman"/>
          <w:sz w:val="16"/>
          <w:szCs w:val="16"/>
          <w:color w:val="auto"/>
        </w:rPr>
        <w:t>Also, in connection with the Business Combination, our board of directors and stockholders approved the adoption of the Dragonfly Energy Corp. 2019 Stock Incentive Plan (the “2019 Plan”) and the Dragonfly Energy Corp. 2021 Stock Incentive Plan (the “2021 Plan”) in connection with the consummation of the Business Combination.</w:t>
      </w:r>
    </w:p>
    <w:p>
      <w:pPr>
        <w:spacing w:after="0" w:line="1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The following table summarizes the number of shares of our common stock authorized for issuance under our equity compensation plans as of December 31, 2024.</w:t>
      </w:r>
    </w:p>
    <w:p>
      <w:pPr>
        <w:spacing w:after="0" w:line="187"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Number of securities</w:t>
            </w:r>
          </w:p>
        </w:tc>
      </w:tr>
      <w:tr>
        <w:trPr>
          <w:trHeight w:val="187"/>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remaining available for</w:t>
            </w:r>
          </w:p>
        </w:tc>
      </w:tr>
      <w:tr>
        <w:trPr>
          <w:trHeight w:val="187"/>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future issuances under</w:t>
            </w:r>
          </w:p>
        </w:tc>
      </w:tr>
      <w:tr>
        <w:trPr>
          <w:trHeight w:val="187"/>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equity compensation</w:t>
            </w:r>
          </w:p>
        </w:tc>
      </w:tr>
      <w:tr>
        <w:trPr>
          <w:trHeight w:val="187"/>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Number of securities to</w:t>
            </w:r>
          </w:p>
        </w:tc>
        <w:tc>
          <w:tcPr>
            <w:tcW w:w="120" w:type="dxa"/>
            <w:vAlign w:val="bottom"/>
          </w:tcPr>
          <w:p>
            <w:pPr>
              <w:spacing w:after="0"/>
              <w:rPr>
                <w:sz w:val="16"/>
                <w:szCs w:val="16"/>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plans under equity</w:t>
            </w:r>
          </w:p>
        </w:tc>
      </w:tr>
      <w:tr>
        <w:trPr>
          <w:trHeight w:val="187"/>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be issued upon exercise</w:t>
            </w:r>
          </w:p>
        </w:tc>
        <w:tc>
          <w:tcPr>
            <w:tcW w:w="120" w:type="dxa"/>
            <w:vAlign w:val="bottom"/>
          </w:tcPr>
          <w:p>
            <w:pPr>
              <w:spacing w:after="0"/>
              <w:rPr>
                <w:sz w:val="16"/>
                <w:szCs w:val="16"/>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7"/>
              </w:rPr>
              <w:t>exercise price of</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compensation</w:t>
            </w:r>
          </w:p>
        </w:tc>
      </w:tr>
      <w:tr>
        <w:trPr>
          <w:trHeight w:val="187"/>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of outstanding options,</w:t>
            </w:r>
          </w:p>
        </w:tc>
        <w:tc>
          <w:tcPr>
            <w:tcW w:w="120" w:type="dxa"/>
            <w:vAlign w:val="bottom"/>
          </w:tcPr>
          <w:p>
            <w:pPr>
              <w:spacing w:after="0"/>
              <w:rPr>
                <w:sz w:val="16"/>
                <w:szCs w:val="16"/>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outstanding options,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(excluding) securities</w:t>
            </w:r>
          </w:p>
        </w:tc>
      </w:tr>
      <w:tr>
        <w:trPr>
          <w:trHeight w:val="198"/>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warrants and rights</w:t>
            </w:r>
          </w:p>
        </w:tc>
        <w:tc>
          <w:tcPr>
            <w:tcW w:w="120" w:type="dxa"/>
            <w:vAlign w:val="bottom"/>
          </w:tcPr>
          <w:p>
            <w:pPr>
              <w:spacing w:after="0"/>
              <w:rPr>
                <w:sz w:val="17"/>
                <w:szCs w:val="17"/>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7"/>
              </w:rPr>
              <w:t>warrants and rights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reflected in column (a)</w:t>
            </w:r>
          </w:p>
        </w:tc>
      </w:tr>
      <w:tr>
        <w:trPr>
          <w:trHeight w:val="205"/>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Plan Category</w:t>
            </w:r>
          </w:p>
        </w:tc>
        <w:tc>
          <w:tcPr>
            <w:tcW w:w="2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(b)</w:t>
            </w:r>
          </w:p>
        </w:tc>
        <w:tc>
          <w:tcPr>
            <w:tcW w:w="3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(c)(2)</w:t>
            </w:r>
          </w:p>
        </w:tc>
        <w:tc>
          <w:tcPr>
            <w:tcW w:w="120" w:type="dxa"/>
            <w:vAlign w:val="bottom"/>
            <w:tcBorders>
              <w:bottom w:val="single" w:sz="8" w:color="CCEEFF"/>
            </w:tcBorders>
          </w:tcPr>
          <w:p>
            <w:pPr>
              <w:spacing w:after="0"/>
              <w:rPr>
                <w:sz w:val="17"/>
                <w:szCs w:val="17"/>
                <w:color w:val="auto"/>
              </w:rPr>
            </w:pPr>
          </w:p>
        </w:tc>
      </w:tr>
      <w:tr>
        <w:trPr>
          <w:trHeight w:val="214"/>
        </w:trPr>
        <w:tc>
          <w:tcPr>
            <w:tcW w:w="51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i w:val="1"/>
                <w:iCs w:val="1"/>
                <w:color w:val="auto"/>
              </w:rPr>
              <w:t xml:space="preserve">Equity compensation plans approved by security holders </w:t>
            </w:r>
            <w:r>
              <w:rPr>
                <w:rFonts w:ascii="Times New Roman" w:cs="Times New Roman" w:eastAsia="Times New Roman" w:hAnsi="Times New Roman"/>
                <w:sz w:val="24"/>
                <w:szCs w:val="24"/>
                <w:i w:val="1"/>
                <w:iCs w:val="1"/>
                <w:color w:val="auto"/>
                <w:vertAlign w:val="superscript"/>
              </w:rPr>
              <w:t>(1)</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514,672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8.52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850,738</w:t>
            </w:r>
          </w:p>
        </w:tc>
        <w:tc>
          <w:tcPr>
            <w:tcW w:w="120" w:type="dxa"/>
            <w:vAlign w:val="bottom"/>
            <w:shd w:val="clear" w:color="auto" w:fill="CCEEFF"/>
          </w:tcPr>
          <w:p>
            <w:pPr>
              <w:spacing w:after="0"/>
              <w:rPr>
                <w:sz w:val="18"/>
                <w:szCs w:val="18"/>
                <w:color w:val="auto"/>
              </w:rPr>
            </w:pPr>
          </w:p>
        </w:tc>
      </w:tr>
      <w:tr>
        <w:trPr>
          <w:trHeight w:val="187"/>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Equity compensation plans not approved by security holders</w:t>
            </w:r>
          </w:p>
        </w:tc>
        <w:tc>
          <w:tcPr>
            <w:tcW w:w="2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51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r>
      <w:tr>
        <w:trPr>
          <w:trHeight w:val="190"/>
        </w:trPr>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Total</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514,672</w:t>
            </w: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3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850,738</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ind w:left="227" w:hanging="227"/>
        <w:spacing w:after="0"/>
        <w:tabs>
          <w:tab w:leader="none" w:pos="22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row include securities under the 2022 Plan, 2021 Plan and 2019 Plan.</w:t>
      </w:r>
    </w:p>
    <w:p>
      <w:pPr>
        <w:spacing w:after="0" w:line="189" w:lineRule="exact"/>
        <w:rPr>
          <w:rFonts w:ascii="Times New Roman" w:cs="Times New Roman" w:eastAsia="Times New Roman" w:hAnsi="Times New Roman"/>
          <w:sz w:val="16"/>
          <w:szCs w:val="16"/>
          <w:color w:val="auto"/>
        </w:rPr>
      </w:pPr>
    </w:p>
    <w:p>
      <w:pPr>
        <w:jc w:val="both"/>
        <w:ind w:left="7" w:hanging="7"/>
        <w:spacing w:after="0" w:line="251" w:lineRule="auto"/>
        <w:tabs>
          <w:tab w:leader="none" w:pos="23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“evergreen” provision in the 2022 Plan, an additional 289,306 shares were automatically made available for issuance on the first trading day of 2025, which represents an amount equal 4% of the number of shares outstanding on December 31, 2024. In accordance with the “evergreen” provision in the ESPP, an additional 72,327 shares were automatically made available for issuance on the first trading day of 2025, which represents an amount equal to 1% of the number of shares of common stock issued and outstanding on December 31, 2024. The shares made available pursuant to the “evergreen” provisions are excluded from this calculation.</w:t>
      </w:r>
    </w:p>
    <w:p>
      <w:pPr>
        <w:spacing w:after="0" w:line="1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SECURITIES</w:t>
      </w:r>
    </w:p>
    <w:p>
      <w:pPr>
        <w:spacing w:after="0" w:line="18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i w:val="1"/>
          <w:iCs w:val="1"/>
          <w:color w:val="auto"/>
        </w:rPr>
        <w:t>The following description summarizes the most important terms of our capital stock. It is subject to and qualified in its entirety by reference to our Articles of Incorporation, the Certificate of Designation and Bylaws, which are included as exhibits to the registration statement of which this prospectus forms a part. We encourage you to read our Articles of Incorporation, our Certificate of Designation, our Bylaws and the applicable provisions of the Nevada Revised Statutes (the “NRS”),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Capitalization</w:t>
      </w:r>
    </w:p>
    <w:p>
      <w:pPr>
        <w:spacing w:after="0" w:line="1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We have 255,000,000 shares of capital stock authorized under our Articles of Incorporation, which consists of 250,000,000 shares of common stock with a par value of $0.0001 per share and 5,000,000 shares of preferred stock with par value $0.0001 per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6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board of directors has the authority, without further action by our stockholders, to issue up to 5,000,000 shares of preferred stock in one or more series and to fix the designations, rights, preferences, privileges and restrictions thereof, without further vote or action by the stockholders. These rights, preferences and privileges could include dividend rights, conversion rights, voting rights, redemption, liquidation preferences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Series A Preferred Stock</w:t>
      </w:r>
    </w:p>
    <w:p>
      <w:pPr>
        <w:spacing w:after="0" w:line="191" w:lineRule="exact"/>
        <w:rPr>
          <w:sz w:val="20"/>
          <w:szCs w:val="20"/>
          <w:color w:val="auto"/>
        </w:rPr>
      </w:pPr>
    </w:p>
    <w:p>
      <w:pPr>
        <w:jc w:val="both"/>
        <w:ind w:right="20"/>
        <w:spacing w:after="0" w:line="340" w:lineRule="auto"/>
        <w:rPr>
          <w:sz w:val="20"/>
          <w:szCs w:val="20"/>
          <w:color w:val="auto"/>
        </w:rPr>
      </w:pPr>
      <w:r>
        <w:rPr>
          <w:rFonts w:ascii="Times New Roman" w:cs="Times New Roman" w:eastAsia="Times New Roman" w:hAnsi="Times New Roman"/>
          <w:sz w:val="14"/>
          <w:szCs w:val="14"/>
          <w:color w:val="auto"/>
        </w:rPr>
        <w:t>Of the 5,000,000 authorized shares of preferred stock under the Articles of Incorporation, our board of directors has designated 5,000 shares as Series A Preferred Stock pursuant to the Certificate of Designation. The Certificate of Designation provides the following with respect to the rights, powers, preferences and privileges of our Series A Preferred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Each share of Series A Preferred Stock has a stated value of $10,000 per share (the “Series A Stated Value”) and, when issued, the Series A Preferred Stock will be fully paid and non-assessable.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i w:val="1"/>
          <w:iCs w:val="1"/>
          <w:color w:val="auto"/>
        </w:rPr>
        <w:t>Ranking</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Series A Preferred Stock, with respect to the payment of dividends, distributions and payments upon the liquidation, dissolution and winding up of our Company, ranks senior to all of our capital stock, unless the Required Holder (as defined in the Certificate of Designation) consents to our creation of other capital stock that is senior or equal in rank to the Series A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holders of Series A Preferred Stock will be entitled to receive dividends, commencing from the date of issuance of the Series A Preferred Stock, payable in cash and/or shares of Series A Preferred Stock at our election. Unless we notify the holders otherwise, such dividends will be paid in kind by increasing the amount of the Series A Stated Value for the applicable shares of Series A Preferred Stock on each dividend date by the applicable dividend amount. Such dividends are payable quarterly in arrears on the first trading day of each fiscal quarter commencing on the first trading day of the initial fiscal quarter after the date of issuance, at the dividend rate of 8% per year (the “Dividend Rate”). Upon the occurrence and continuation of a Triggering Event (as defined in the Certificate of Designation), the Dividend Rate will increase to the lesser of 18% per year or the maximum rate permitted under applicable law until such Triggering Event has been cured or has ceased.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Conversion at Option of Holder</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At any time from and after the first date of issuance of any shares of Series A Preferred Stock, subject to the Beneficial Ownership Limitation (as defined below) and the Issuable Maximum, each holder of Series A Preferred Stock may convert all, or any part, of the outstanding Series A Preferred Stock, at such holder’s option, into common stock at a conversion rate equal to the quotient of (i) the Conversion Amount (as defined below), divided by (ii) the Conversion Price (as defined below), subject to the Floor Price (as defined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Voluntary Adjustment Right</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Subject to the rules and regulations of Nasdaq, we have the right, at any time, with the written consent of the Required Holder, to lower the fixed conversion price to any amount and for any period of time deemed appropriate by our board of directors.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Alternate Conversion at the Holder’s Election</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At the holder’s option, at any time, the holder may convert (an “Alternate Conversion”) some or all of such holder’s Series A Preferred Stock, at a conversion price equal to the lower of (i) the applicable Conversion Price as in effect on the date of such Alternate Conversion, and (ii) the greater of (x) the Floor Price and (y) 90% of the lowest VWAP (as defined in the Certificate of Designation) of the common stock during the ten (10) consecutive trading day period ending and including the trading day immediately preceding the delivery or deemed delivery of the applicable conversion notice as set forth in the Certificate of Designation (the “Alternate Conversion Price”).</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With respect to each share of Series A Preferred Stock, as of the applicable date of determination, the “Conversion Amount” is equal to the sum of (1) 120% of (i) the Series A Stated Value plus (ii) all declared and unpaid dividends on such shares as of such date of determination plus (2) any other amounts thereon owed to such holder, pursuant to this Certificate of Designations or any other Transaction Document (as defined in the Certificate of Designation) that have not otherwise been paid or satisfied.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94" w:name="page95"/>
    <w:bookmarkEnd w:id="94"/>
    <w:p>
      <w:pPr>
        <w:jc w:val="both"/>
        <w:spacing w:after="0" w:line="245" w:lineRule="auto"/>
        <w:rPr>
          <w:sz w:val="20"/>
          <w:szCs w:val="20"/>
          <w:color w:val="auto"/>
        </w:rPr>
      </w:pPr>
      <w:r>
        <w:rPr>
          <w:rFonts w:ascii="Times New Roman" w:cs="Times New Roman" w:eastAsia="Times New Roman" w:hAnsi="Times New Roman"/>
          <w:sz w:val="16"/>
          <w:szCs w:val="16"/>
          <w:color w:val="auto"/>
        </w:rPr>
        <w:t>The “Conversion Price” is equal to: (i) with respect to the shares of Series A Preferred Stock issued in the registered director offering (the “Registered Direct Offering”) and at the initial closing of the concurrent private placement (the “Private Placement”) pursuant to the securities purchase agreement (the “Purchase Agreement”) between us and a single institutional investor entered into on February 26, 2025, $2.332 per share (the “Initial Conversion Price”); (ii) with respect to each share of Series A Preferred Stock funded on the second closing of the Private Placement (the “Second Closing”) pursuant to the Purchase Agreement or issued upon exercise of a private placement warrant (“Private Placement Warrant”) issued pursuant to the Purchase Agreement, other than pursuant to the holders right to exercise when certain equity conditions have been waived which is set forth under clauses (iii) and (iv) below, as of any date of conversion (“Conversion Date”) or other date of determination, the lower of (x) the Initial Conversion Price and (y) 110% of the last closing trade price (the “Closing Sale Price”) on the trading day immediately preceding the Second Closing, any applicable Funding Date (as defined in each Private Placement Warrant) or any applicable Exercise Date (as defined in each Private Placement Warrant), as the case may be; (iii) with respect to each share of Series A Preferred Stock issued upon exercise of a Private Placement Warrant, the lower of (A) $3.50 and (B) 110% of the last closing trade price (“Closing Sale Price”) on the trading day immediately preceding the delivery or deemed delivery of the applicable Exercise Notice or Call Notice (each as defined in each Private Placement Warrant), as the case may be; and (iv) with respect to each share of Series A Preferred Stock issued upon exercise of a Private Placement Warrant at any time following the date the shares of common stock issued or issuable upon the conversion of the Series A Preferred Stock issued in the Private Placement are registered for resale (the “Registration Effectiveness Date”) when the Closing Sale Price exceeds $10.00 for twenty (20) consecutive trading days, as of any date of conversion or other date of determination, 110% of the Closing Sale Price on the trading day immediately preceding the delivery or deemed delivery of the applicable Exercise Notice or Call Notice (as the case may be), in each case, subject to adjustment; provided, that subsections (iii) and (iv) shall only apply in the event that certain equity conditions specified in the Private Placement Warrant are not met on the applicable Funding Date. The Conversion Price is subject to proportional adjustment upon the occurrence of any stock split, stock dividend, stock combination and/or similar transactions and as set forth below under “</w:t>
      </w:r>
      <w:r>
        <w:rPr>
          <w:rFonts w:ascii="Times New Roman" w:cs="Times New Roman" w:eastAsia="Times New Roman" w:hAnsi="Times New Roman"/>
          <w:sz w:val="16"/>
          <w:szCs w:val="16"/>
          <w:i w:val="1"/>
          <w:iCs w:val="1"/>
          <w:color w:val="auto"/>
        </w:rPr>
        <w:t>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Adjustments</w:t>
      </w:r>
      <w:r>
        <w:rPr>
          <w:rFonts w:ascii="Times New Roman" w:cs="Times New Roman" w:eastAsia="Times New Roman" w:hAnsi="Times New Roman"/>
          <w:sz w:val="16"/>
          <w:szCs w:val="16"/>
          <w:color w:val="auto"/>
        </w:rPr>
        <w:t>” below.</w:t>
      </w:r>
    </w:p>
    <w:p>
      <w:pPr>
        <w:spacing w:after="0" w:line="1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“Floor Price” is equal to (i) for any Series A Preferred Stock offered by the Registered Direct Offering $1.00, (ii) for any Series A Preferred Stock sold in the initial closing of the Private Placement $0.424 (20% of the Nasdaq Minimum Price of the Common Stock (as defined by Nasdaq) as of the trading day prior to the execution of the Purchase Agreement), and (iii) for any Series A Preferred Stock issued after the initial closing of the Private Placement, including the Second Closing, 20% of the Nasdaq Minimum Price of the Common Stock as of the trading day ended immediately prior to the date the shares of Series A Preferred Stock are issued; provided, that if the Floor Price then in effect is higher than the Adjusted Floor Price (as defined in the Certificate of Designation) on any date following the six (6) month anniversary of the initial date of issuance of the Series A Preferred Stock, then the Required Holder may elect to reduce the Floor Price to the Adjusted Floor Price, subject to approval of Nasdaq. The Floor Price and the Adjusted Floor Price are each subject to proportional adjustment upon the occurrence of any stock split, stock dividend, stock combination and/or similar transactions.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Adjustments</w:t>
      </w:r>
    </w:p>
    <w:p>
      <w:pPr>
        <w:spacing w:after="0" w:line="1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Until we have obtained approval as may be required from our stockholders (the “Stockholder Approval”), we may not issue, upon conversion of the Series A Preferred Stock and certain related transactions, a number of shares of common stock which would exceed 1,450,489 shares of common stock in the aggregate, which amount is equal to 19.99% of the shares of common stock issued and outstanding on February 26, 2025, subject to adjustment for forward and reverse stock splits, recapitalizations and the like (the “Issuable Maximum”). The Issuable Maximum shall be applied collectively, when any conversions of Series A Preferred Stock are aggregated together with all shares of common stock issuable upon conversion or exchange of any securities issued in certain related transactions to the Registered Direct Offering and Private Placement. If, at any time on or after the date of the Purchase Agreement, we issue any shares of common stock for a consideration per share (the “New Issuance Price”) less than a price equal to the Conversion Price in effect immediately prior to such issuance, the Conversion Price shall be reduced to the New Issuance Price.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Purchase Rights</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If at any time we grant, issue or sell any options, convertible securities, or rights to purchase stock, warrants, securities or other property pro rata to all or substantially all of the record holders of any class of common stock (the “Purchase Rights”), then each holder of Series A Preferred Stock will be entitled to acquire, upon the terms applicable to such Purchase Rights, the aggregate Purchase Rights which such holder could have acquired if such holder had held the number of shares of common stock acquirable upon complete conversion of all the Series A Preferred Stock held by such holder immediately prior to the date as of which the record holders of shares of common stock are to be determined for the grant, issue or sale of such Purchase Rights at the Alternate Conversion Price, subject to the Beneficial Ownership Limitation.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i w:val="1"/>
          <w:iCs w:val="1"/>
          <w:color w:val="auto"/>
        </w:rPr>
        <w:t>Liquidation Preference</w:t>
      </w:r>
    </w:p>
    <w:p>
      <w:pPr>
        <w:spacing w:after="0" w:line="191" w:lineRule="exact"/>
        <w:rPr>
          <w:sz w:val="20"/>
          <w:szCs w:val="20"/>
          <w:color w:val="auto"/>
        </w:rPr>
      </w:pPr>
    </w:p>
    <w:p>
      <w:pPr>
        <w:spacing w:after="0" w:line="340" w:lineRule="auto"/>
        <w:rPr>
          <w:sz w:val="20"/>
          <w:szCs w:val="20"/>
          <w:color w:val="auto"/>
        </w:rPr>
      </w:pPr>
      <w:r>
        <w:rPr>
          <w:rFonts w:ascii="Times New Roman" w:cs="Times New Roman" w:eastAsia="Times New Roman" w:hAnsi="Times New Roman"/>
          <w:sz w:val="14"/>
          <w:szCs w:val="14"/>
          <w:color w:val="auto"/>
        </w:rPr>
        <w:t>Each share of Series A Preferred Stock carries a liquidation preference equal to the greater of (A) the conversion of such Series A Preferred Stock on the date of such payment and (B) the amount per share such holder would receive if such holder converted such Series A Preferred Stock into common stock immediately prior to the date of such payment.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Mandatory Redemption Triggering Event</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Upon any Mandatory Triggering Event (as defined in the Certificate of Designation), we shall immediately redeem in cash all amounts due under the Series A Preferred Stock at a redemption price equal to the Conversion Amount to be redeemed.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19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 xml:space="preserve">The holders of the Series A Preferred Stock shall have no voting power and no right to vote on any matter at any time, either as a separate series or class or together with any other series or class of shares of capital stock, and shall not be entitled to call a meeting of such holders for any purpose nor shall they be entitled to participate in any meeting of the holders of common stock, except as provided in the Certificate of Designation (or as otherwise required by applicable law). We may not take the following actions without the prior consent of the Required Holder: (a) alter or change adversely the powers, preferences or rights given to the Series A Preferred Stock or alter or amend the Series A Certificate of Designation, (b) authorize or create any class of stock ranking as to dividends, redemption or distribution of assets upon a Liquidation (as defined in the Series A Certificate of Designations) senior to, or otherwise </w:t>
      </w:r>
      <w:r>
        <w:rPr>
          <w:rFonts w:ascii="Times New Roman" w:cs="Times New Roman" w:eastAsia="Times New Roman" w:hAnsi="Times New Roman"/>
          <w:sz w:val="14"/>
          <w:szCs w:val="14"/>
          <w:u w:val="single" w:color="auto"/>
          <w:color w:val="auto"/>
        </w:rPr>
        <w:t>pari passu</w:t>
      </w:r>
      <w:r>
        <w:rPr>
          <w:rFonts w:ascii="Times New Roman" w:cs="Times New Roman" w:eastAsia="Times New Roman" w:hAnsi="Times New Roman"/>
          <w:sz w:val="14"/>
          <w:szCs w:val="14"/>
          <w:color w:val="auto"/>
        </w:rPr>
        <w:t xml:space="preserve"> with, the Series A Preferred Stock, or any junior stock that has a maturity date or other date requiring redemption or repayment of such shares of junior stock that is prior to the 91st calendar day after the date no shares of Series A Preferred Stock remain outstanding, (c) amend our articles of incorporation or other Articles of Incorporation documents in any manner that adversely affects any rights of the holders of the Series A Preferred Stock, (d) increase or decrease the number of authorized shares of Series A Preferred Stock, (e) pay dividends or make any other distribution on any shares of common stock, (f) purchase or redeem any capital stock junior to the Series A Preferred Stock, (g) issue any shares of Series A Preferred Stock other than as contemplated by the Certificate of Designation, Purchase Agreement or Private Placement Warrants or (g) otherwise circumvent a right of the Series A Preferred Stock set forth under the Certificate of Designation.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 of Control Exchange</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Upon a change of control of our Company, each holder may require us to exchange such holder’s shares of Series A Preferred Stock for consideration equal to the Conversion Amount (or (1) the Series A Stated Value thereof plus (2) all declared and unpaid dividends on such shares as of such date of determination plus (3) any other amounts thereon owed to such holder, pursuant to the Certificate of Designation or any other Transaction Document that have not otherwise been paid or satisfied, in the case of any shares of Series A Preferred Stock funded following the Announcement Time (as defined in the Certificate of Designation) but prior to the date of the change of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Optional Redemption</w:t>
      </w:r>
    </w:p>
    <w:p>
      <w:pPr>
        <w:spacing w:after="0" w:line="1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Under the Certificate of Designation, we have the right, at any time, to redeem all or part of the then outstanding shares of Series A Preferred Stock (a “Company Optional Redemption”) by delivering a written notice to each holder of Series A Preferred Stock (such delivery date, the “Company Optional Redemption Notice Date”). The shares of Series A Preferred Stock subject to redemption will be redeemed by us in cash at a price equal to the Conversion Amount, subject in certain instances at a price equal to the Stated Value, being redeemed as of the Company Optional Redemption Notice Date. If a Triggering Event has occurred and is continuing on the date the Company Optional Redemption takes effect, such price will equal the greater of (i) the Conversion Amount being redeemed as of the Company Optional Redemption Notice Date and (ii) the product of (1) the Conversion Rate (as defined in the Certificate of Designation) with respect to the Conversion Amount being redeemed as of such date multiplied by (2) the average of the five (5) highest daily VWAPs of the common stock during the period beginning on the date preceding such Company Optional Redemption Notice Date and ending on the trading day immediately prior to the date we make the entire payment required.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i w:val="1"/>
          <w:iCs w:val="1"/>
          <w:color w:val="auto"/>
        </w:rPr>
        <w:t>Fundamental Transactions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Certificate of Designation prohibits us from entering specified fundamental transactions (including, without limitation, mergers, business combinations and similar transactions) unless we (or our successor) assumes in writing all of our obligations under the Certificate of Designation and the other Transaction Documents or otherwise redeem the then outstanding Series A Preferred Stock in full.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Covenants</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Certificate of Designation contains a variety of obligations on our part not to engage in specified activities. In particular, we will not, and will cause its subsidiaries to not, redeem, repurchase or declare any dividend or distribution on any of its capital stock (other than as required under the Certificate of Designation) and will not incur any indebtedness (other than Permitted Indebtedness, as defined in the Purchase Agreement), enter into any transactions with affiliates, or incur any liens, in each case without the prior written consent of the Required Holder and subject to certain exceptions, as applicable. In addition, we will not issue any shares of Series A Preferred Stock or issue any other securities that would cause a breach or default under the Certificate of Designation or any securities at a price less than the Floor Price then in effect.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Reservation Requirements</w:t>
      </w:r>
    </w:p>
    <w:p>
      <w:pPr>
        <w:spacing w:after="0" w:line="1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So long as any Series A Preferred Stock remains outstanding, we have agreed to at all times reserve at least 100% of the number of shares of common stock as shall from time to time be necessary to effect the conversion of all Series A Preferred Stock then outstanding.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Beneficial Ownership Limitation</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Each holder of Series A Preferred Stock is restricted from acquiring shares of common stock upon conversion thereof that would result in the number of shares beneficially owned by such holder and its affiliates exceeding 4.99% of the total number of shares of common stock outstanding immediately after giving effect to the conversion (the “Beneficial Ownership Limitation”).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Fractional Shares</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No fractional shares of common stock will be issued upon conversion of the Series A Preferred Stock. Rather, the number of shares of common stock to be issued will be rounded up to the nearest whole number.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Public Warrants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i w:val="1"/>
          <w:iCs w:val="1"/>
          <w:color w:val="auto"/>
        </w:rPr>
        <w:t>The following summary of certain terms and provisions of our Public Warrants is not complete and is subject to, and qualified in its entirety by the provisions of the respective Warrant Agreement and form of Public Warrant which are filed as exhibits to registration statement of which this prospectus forms a part. We encourage you to review the terms and provisions set forth in the Warrant Agreement and form of Public Warrant. The Public Warrants are administered by American Stock Transfer &amp; Trust Company, LLC, as the warrant agent.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Exercisability</w:t>
      </w:r>
    </w:p>
    <w:p>
      <w:pPr>
        <w:spacing w:after="0" w:line="19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If a registration statement registering under the Securities Act of 1933, as amended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97" w:name="page98"/>
    <w:bookmarkEnd w:id="97"/>
    <w:p>
      <w:pPr>
        <w:jc w:val="both"/>
        <w:ind w:left="7" w:right="20"/>
        <w:spacing w:after="0" w:line="255" w:lineRule="auto"/>
        <w:rPr>
          <w:sz w:val="20"/>
          <w:szCs w:val="20"/>
          <w:color w:val="auto"/>
        </w:rPr>
      </w:pPr>
      <w:r>
        <w:rPr>
          <w:rFonts w:ascii="Times New Roman" w:cs="Times New Roman" w:eastAsia="Times New Roman" w:hAnsi="Times New Roman"/>
          <w:sz w:val="16"/>
          <w:szCs w:val="16"/>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Exercise Price</w:t>
      </w:r>
    </w:p>
    <w:p>
      <w:pPr>
        <w:spacing w:after="0" w:line="191" w:lineRule="exact"/>
        <w:rPr>
          <w:sz w:val="20"/>
          <w:szCs w:val="20"/>
          <w:color w:val="auto"/>
        </w:rPr>
      </w:pPr>
    </w:p>
    <w:p>
      <w:pPr>
        <w:jc w:val="both"/>
        <w:ind w:left="7"/>
        <w:spacing w:after="0" w:line="299" w:lineRule="auto"/>
        <w:rPr>
          <w:sz w:val="20"/>
          <w:szCs w:val="20"/>
          <w:color w:val="auto"/>
        </w:rPr>
      </w:pPr>
      <w:r>
        <w:rPr>
          <w:rFonts w:ascii="Times New Roman" w:cs="Times New Roman" w:eastAsia="Times New Roman" w:hAnsi="Times New Roman"/>
          <w:sz w:val="14"/>
          <w:szCs w:val="14"/>
          <w:color w:val="auto"/>
        </w:rPr>
        <w:t>Each whole redeemable Public Warrant entitles the registered holder to purchase one share of common stock at a price of $11.50 per share, subject to adjustment for stock splits or combinations, stock dividends and distributions, reclassifications, subdivisions, and other similar transactions. Pursuant to the Amended And Restated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2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Adjustments; Fundamental Transaction</w:t>
      </w:r>
    </w:p>
    <w:p>
      <w:pPr>
        <w:spacing w:after="0" w:line="191"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The exercise price and the number of shares underlying the Public Warrants are subject to appropriate adjustment in the event of stock splits, stock dividends on our common shares, stock combinations or similar events affecting our common shares. If, at any time while the Public Warrants are outstanding, (1) we consolidate or merge with or into another corporation whether or not the Company is the surviving corporation, (2) we sell, lease, license, assign, transfer, convey or otherwise dispose of all or substantially all of our assets, or any of its significant subsidiaries (as defined in Rule 1-02 of Regulation S-X) or (3) we effect any reclassification or recapitalization of the ordinary shares or any compulsory exchange pursuant to which the ordinary shares are converted into or exchanged for other securities, cash or property, or each, a “Fundamental Transaction,” then upon any subsequent exercise of the Warrants, the holders thereof will have the right to receive the same amount and kind of securities, cash or property as it would have been entitled to receive upon the occurrence of such Fundamental Transaction if it had been, immediately prior to such Fundamental Transaction, the holder of the number of ordinary shares then issuable upon exercise of those Warrants, and any additional consideration payable as part of the Fundamental Transaction.</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Redemption</w:t>
      </w:r>
    </w:p>
    <w:p>
      <w:pPr>
        <w:spacing w:after="0" w:line="1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We may call the Public Warrants for redemption in accordance with the terms summarized below:</w:t>
      </w:r>
    </w:p>
    <w:p>
      <w:pPr>
        <w:spacing w:after="0" w:line="189" w:lineRule="exact"/>
        <w:rPr>
          <w:sz w:val="20"/>
          <w:szCs w:val="20"/>
          <w:color w:val="auto"/>
        </w:rPr>
      </w:pPr>
    </w:p>
    <w:p>
      <w:pPr>
        <w:ind w:left="287" w:hanging="287"/>
        <w:spacing w:after="0"/>
        <w:tabs>
          <w:tab w:leader="none" w:pos="28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price of $0.01 per warrant;</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 minimum of 30 days’ prior written notice of redemption (the “30-day redemption period”) to each warrant holder;</w:t>
      </w:r>
    </w:p>
    <w:p>
      <w:pPr>
        <w:spacing w:after="0" w:line="189" w:lineRule="exact"/>
        <w:rPr>
          <w:rFonts w:ascii="Times New Roman" w:cs="Times New Roman" w:eastAsia="Times New Roman" w:hAnsi="Times New Roman"/>
          <w:sz w:val="16"/>
          <w:szCs w:val="16"/>
          <w:color w:val="auto"/>
        </w:rPr>
      </w:pPr>
    </w:p>
    <w:p>
      <w:pPr>
        <w:ind w:left="287" w:right="20" w:hanging="287"/>
        <w:spacing w:after="0" w:line="267" w:lineRule="auto"/>
        <w:tabs>
          <w:tab w:leader="none" w:pos="28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last sales price of our common stock equals or exceeds $16.00 per share for any ten (10) trading days within a 30-trading day period ending three business days before we send the notice of redemption; and</w:t>
      </w:r>
    </w:p>
    <w:p>
      <w:pPr>
        <w:spacing w:after="0" w:line="150" w:lineRule="exact"/>
        <w:rPr>
          <w:rFonts w:ascii="Times New Roman" w:cs="Times New Roman" w:eastAsia="Times New Roman" w:hAnsi="Times New Roman"/>
          <w:sz w:val="16"/>
          <w:szCs w:val="16"/>
          <w:color w:val="auto"/>
        </w:rPr>
      </w:pPr>
    </w:p>
    <w:p>
      <w:pPr>
        <w:ind w:left="287" w:right="20" w:hanging="287"/>
        <w:spacing w:after="0" w:line="267" w:lineRule="auto"/>
        <w:tabs>
          <w:tab w:leader="none" w:pos="28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there is a current registration statement in effect with respect to the offer and sale of the shares of common stock underlying such warrants at the time of redemption and for the entire 30-trading day period referred to above and continuing each day thereafter until the date of redemption.</w:t>
      </w:r>
    </w:p>
    <w:p>
      <w:pPr>
        <w:spacing w:after="0" w:line="151"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Transferability</w:t>
      </w:r>
    </w:p>
    <w:p>
      <w:pPr>
        <w:spacing w:after="0" w:line="1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Subject to applicable laws and the limitations provided within the Amended and Restated Warrant Agreement, the Public Warrants may be transferred at the option of the holders upon surrender of the to the warrant agent, together with the appropriate instruments of transfer.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Rights as a Stockholders</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Except as otherwise provided in the Warrant Agreement or by virtue of such holder’s ownership of common stock, holders of the Public Warrants do not have rights or privileges of holders of common stock, including any voting rights, until a holder exercises such Public Warrant.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Governing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Public Warrants and Warrant Agreement are governed by New York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Effects of the Articles of Incorporation, the Bylaws and Nevada Law</w:t>
      </w:r>
    </w:p>
    <w:p>
      <w:pPr>
        <w:spacing w:after="0" w:line="1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Combinations with Interested Stockholders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6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Following the expiration of the two-year period, the corporation is prohibited from engaging in a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99" w:name="page100"/>
    <w:bookmarkEnd w:id="99"/>
    <w:p>
      <w:pPr>
        <w:jc w:val="both"/>
        <w:spacing w:after="0" w:line="255" w:lineRule="auto"/>
        <w:rPr>
          <w:sz w:val="20"/>
          <w:szCs w:val="20"/>
          <w:color w:val="auto"/>
        </w:rPr>
      </w:pPr>
      <w:r>
        <w:rPr>
          <w:rFonts w:ascii="Times New Roman" w:cs="Times New Roman" w:eastAsia="Times New Roman" w:hAnsi="Times New Roman"/>
          <w:sz w:val="16"/>
          <w:szCs w:val="16"/>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Companies are entitled to opt out of the business combination provisions of the NRS. In our Articles of Incorporation, we have not opted out of the business combination provisions of NRS 78.411 to 78.444, inclusive.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Controlling Interests</w:t>
      </w:r>
    </w:p>
    <w:p>
      <w:pPr>
        <w:spacing w:after="0" w:line="1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Nevada law also protects the corporation and its stockholders from persons acquiring a “controlling interest” in a corporation. The provisions can be found in NRS 78.378 to 78.3793, inclusive. Delaware law does not have similar provisions.</w:t>
      </w:r>
    </w:p>
    <w:p>
      <w:pPr>
        <w:spacing w:after="0" w:line="15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Articles of Incorporation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3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100" w:name="page101"/>
    <w:bookmarkEnd w:id="100"/>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Articles of Incorporation and Bylaws</w:t>
      </w:r>
    </w:p>
    <w:p>
      <w:pPr>
        <w:spacing w:after="0" w:line="1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Our Articles of Incorporation and Bylaws provide for:</w:t>
      </w:r>
    </w:p>
    <w:p>
      <w:pPr>
        <w:spacing w:after="0" w:line="189" w:lineRule="exact"/>
        <w:rPr>
          <w:sz w:val="20"/>
          <w:szCs w:val="20"/>
          <w:color w:val="auto"/>
        </w:rPr>
      </w:pPr>
    </w:p>
    <w:p>
      <w:pPr>
        <w:ind w:left="287" w:hanging="287"/>
        <w:spacing w:after="0"/>
        <w:tabs>
          <w:tab w:leader="none" w:pos="28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classifying our board of directors into three classes;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authorizing the issuance of “blank check” preferred stock, the terms of which may be established and shares of which may be issued without stockholder approval;</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the removal of directors by the stockholders;</w:t>
      </w:r>
    </w:p>
    <w:p>
      <w:pPr>
        <w:spacing w:after="0" w:line="189" w:lineRule="exact"/>
        <w:rPr>
          <w:rFonts w:ascii="Times New Roman" w:cs="Times New Roman" w:eastAsia="Times New Roman" w:hAnsi="Times New Roman"/>
          <w:sz w:val="16"/>
          <w:szCs w:val="16"/>
          <w:color w:val="auto"/>
        </w:rPr>
      </w:pPr>
    </w:p>
    <w:p>
      <w:pPr>
        <w:jc w:val="both"/>
        <w:ind w:left="287" w:hanging="287"/>
        <w:spacing w:after="0" w:line="255" w:lineRule="auto"/>
        <w:tabs>
          <w:tab w:leader="none" w:pos="28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the affirmative vote of holders of at least 66 2/3% of the voting power of all of the then outstanding shares of stock entitled to vote in the election of directors, voting as a single class, to adopt, amend alter or repeal our Bylaws and amend certain provisions of our Chart, including provisions relating to the size of the board, removal of directors, special meetings, and actions by written consent;</w:t>
      </w:r>
    </w:p>
    <w:p>
      <w:pPr>
        <w:spacing w:after="0" w:line="16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prohibiting stockholder action by written consent, thereby requiring all stockholder actions to be taken at a meeting of our stockholders;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eliminating the ability of stockholders to call a special meeting of stockholders;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advance notice requirements for nominations for election to the board of directors or for proposing matters that can be acted upon at stockholder meetings; and</w:t>
      </w:r>
    </w:p>
    <w:p>
      <w:pPr>
        <w:spacing w:after="0" w:line="212" w:lineRule="exact"/>
        <w:rPr>
          <w:rFonts w:ascii="Times New Roman" w:cs="Times New Roman" w:eastAsia="Times New Roman" w:hAnsi="Times New Roman"/>
          <w:sz w:val="14"/>
          <w:szCs w:val="14"/>
          <w:color w:val="auto"/>
        </w:rPr>
      </w:pPr>
    </w:p>
    <w:p>
      <w:pPr>
        <w:ind w:left="287" w:hanging="287"/>
        <w:spacing w:after="0"/>
        <w:tabs>
          <w:tab w:leader="none" w:pos="28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Nevada as the exclusive jurisdiction for certain stockholder litigation against us.</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i w:val="1"/>
          <w:iCs w:val="1"/>
          <w:color w:val="auto"/>
        </w:rPr>
        <w:t>Authorized Shares</w:t>
      </w:r>
    </w:p>
    <w:p>
      <w:pPr>
        <w:spacing w:after="0" w:line="191"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Series A common stock and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class or series, delay, defer, or prevent a change of control of our Company.</w:t>
      </w:r>
    </w:p>
    <w:p>
      <w:pPr>
        <w:spacing w:after="0" w:line="1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Limitation on Liability and Indemnification of Directors and Officers</w:t>
      </w:r>
    </w:p>
    <w:p>
      <w:pPr>
        <w:spacing w:after="0" w:line="191"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Section 78.138 of the NRS provides that, unless the corporation’s Articles of Incorporation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spacing w:after="0" w:line="160" w:lineRule="exact"/>
        <w:rPr>
          <w:sz w:val="20"/>
          <w:szCs w:val="20"/>
          <w:color w:val="auto"/>
        </w:rPr>
      </w:pPr>
    </w:p>
    <w:p>
      <w:pPr>
        <w:jc w:val="both"/>
        <w:ind w:left="7"/>
        <w:spacing w:after="0" w:line="246" w:lineRule="auto"/>
        <w:rPr>
          <w:sz w:val="20"/>
          <w:szCs w:val="20"/>
          <w:color w:val="auto"/>
        </w:rPr>
      </w:pPr>
      <w:r>
        <w:rPr>
          <w:rFonts w:ascii="Times New Roman" w:cs="Times New Roman" w:eastAsia="Times New Roman" w:hAnsi="Times New Roman"/>
          <w:sz w:val="16"/>
          <w:szCs w:val="16"/>
          <w:color w:val="auto"/>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spacing w:after="0" w:line="17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101" w:name="page102"/>
    <w:bookmarkEnd w:id="101"/>
    <w:p>
      <w:pPr>
        <w:jc w:val="both"/>
        <w:ind w:left="7"/>
        <w:spacing w:after="0" w:line="284" w:lineRule="auto"/>
        <w:rPr>
          <w:sz w:val="20"/>
          <w:szCs w:val="20"/>
          <w:color w:val="auto"/>
        </w:rPr>
      </w:pPr>
      <w:r>
        <w:rPr>
          <w:rFonts w:ascii="Times New Roman" w:cs="Times New Roman" w:eastAsia="Times New Roman" w:hAnsi="Times New Roman"/>
          <w:sz w:val="14"/>
          <w:szCs w:val="14"/>
          <w:color w:val="auto"/>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w:t>
      </w:r>
    </w:p>
    <w:p>
      <w:pPr>
        <w:spacing w:after="0" w:line="1" w:lineRule="exact"/>
        <w:rPr>
          <w:sz w:val="20"/>
          <w:szCs w:val="20"/>
          <w:color w:val="auto"/>
        </w:rPr>
      </w:pPr>
    </w:p>
    <w:p>
      <w:pPr>
        <w:jc w:val="both"/>
        <w:ind w:left="7" w:hanging="7"/>
        <w:spacing w:after="0" w:line="244" w:lineRule="auto"/>
        <w:tabs>
          <w:tab w:leader="none" w:pos="22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69"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spacing w:after="0" w:line="160" w:lineRule="exact"/>
        <w:rPr>
          <w:sz w:val="20"/>
          <w:szCs w:val="20"/>
          <w:color w:val="auto"/>
        </w:rPr>
      </w:pPr>
    </w:p>
    <w:p>
      <w:pPr>
        <w:jc w:val="both"/>
        <w:ind w:left="7"/>
        <w:spacing w:after="0" w:line="288" w:lineRule="auto"/>
        <w:rPr>
          <w:sz w:val="20"/>
          <w:szCs w:val="20"/>
          <w:color w:val="auto"/>
        </w:rPr>
      </w:pPr>
      <w:r>
        <w:rPr>
          <w:rFonts w:ascii="Times New Roman" w:cs="Times New Roman" w:eastAsia="Times New Roman" w:hAnsi="Times New Roman"/>
          <w:sz w:val="14"/>
          <w:szCs w:val="14"/>
          <w:color w:val="auto"/>
        </w:rPr>
        <w:t>Unless otherwise restricted by the Articles of Incorporation,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Articles of Incorporation,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spacing w:after="0" w:line="141" w:lineRule="exact"/>
        <w:rPr>
          <w:sz w:val="20"/>
          <w:szCs w:val="20"/>
          <w:color w:val="auto"/>
        </w:rPr>
      </w:pPr>
    </w:p>
    <w:p>
      <w:pPr>
        <w:jc w:val="both"/>
        <w:ind w:left="7" w:right="20"/>
        <w:spacing w:after="0" w:line="248" w:lineRule="auto"/>
        <w:rPr>
          <w:sz w:val="20"/>
          <w:szCs w:val="20"/>
          <w:color w:val="auto"/>
        </w:rPr>
      </w:pPr>
      <w:r>
        <w:rPr>
          <w:rFonts w:ascii="Times New Roman" w:cs="Times New Roman" w:eastAsia="Times New Roman" w:hAnsi="Times New Roman"/>
          <w:sz w:val="16"/>
          <w:szCs w:val="16"/>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2" w:lineRule="exact"/>
        <w:rPr>
          <w:sz w:val="20"/>
          <w:szCs w:val="20"/>
          <w:color w:val="auto"/>
        </w:rPr>
      </w:pPr>
    </w:p>
    <w:p>
      <w:pPr>
        <w:jc w:val="both"/>
        <w:ind w:left="7"/>
        <w:spacing w:after="0" w:line="244" w:lineRule="auto"/>
        <w:rPr>
          <w:sz w:val="20"/>
          <w:szCs w:val="20"/>
          <w:color w:val="auto"/>
        </w:rPr>
      </w:pPr>
      <w:r>
        <w:rPr>
          <w:rFonts w:ascii="Times New Roman" w:cs="Times New Roman" w:eastAsia="Times New Roman" w:hAnsi="Times New Roman"/>
          <w:sz w:val="16"/>
          <w:szCs w:val="16"/>
          <w:color w:val="auto"/>
        </w:rPr>
        <w:t>Our Articles of Incorporation provides that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spacing w:after="0" w:line="169"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6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102" w:name="page103"/>
    <w:bookmarkEnd w:id="102"/>
    <w:p>
      <w:pPr>
        <w:jc w:val="both"/>
        <w:spacing w:after="0" w:line="255" w:lineRule="auto"/>
        <w:rPr>
          <w:sz w:val="20"/>
          <w:szCs w:val="20"/>
          <w:color w:val="auto"/>
        </w:rPr>
      </w:pPr>
      <w:r>
        <w:rPr>
          <w:rFonts w:ascii="Times New Roman" w:cs="Times New Roman" w:eastAsia="Times New Roman" w:hAnsi="Times New Roman"/>
          <w:sz w:val="16"/>
          <w:szCs w:val="16"/>
          <w:color w:val="auto"/>
        </w:rPr>
        <w:t>We maintain a directors’ and officers’ insurance policy pursuant to which our directors and officers are insured against liability for actions taken in their capacities as directors and officers. We believe these provisions in the Articles of Incorporation and the Bylaws and these indemnification agreements are necessary to attract and retain qualified persons as directors and officers.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Choice of Forum Provisions</w:t>
      </w:r>
    </w:p>
    <w:p>
      <w:pPr>
        <w:spacing w:after="0" w:line="19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Transfer Agent and Warrant Agent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transfer agent for our shares of common stock and warrant agent for all of our warrants is American Stock Transfer &amp; Trust Company, LLC.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Exchange Listing</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Our common stock is currently listed on the Nasdaq Global Market under the symbol “DFLI” and our Public Warrants are currently listed on the Nasdaq Capital Market under the symbol “DFLIW”.</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103" w:name="page104"/>
    <w:bookmarkEnd w:id="103"/>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SELLING STOCKHOLDER</w:t>
      </w:r>
    </w:p>
    <w:p>
      <w:pPr>
        <w:spacing w:after="0" w:line="191"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color w:val="auto"/>
        </w:rPr>
        <w:t>The shares of common stock being offered by the Selling Stockholder are those issuable to the Selling Stockholder upon conversion of the shares of Series A Preferred Stock sold in the First Closing and to be sold in the Second Closing. For additional information regarding the issuance of the shares of Series A Preferred Stock, see “</w:t>
      </w:r>
      <w:r>
        <w:rPr>
          <w:rFonts w:ascii="Times New Roman" w:cs="Times New Roman" w:eastAsia="Times New Roman" w:hAnsi="Times New Roman"/>
          <w:sz w:val="16"/>
          <w:szCs w:val="16"/>
          <w:i w:val="1"/>
          <w:iCs w:val="1"/>
          <w:color w:val="auto"/>
        </w:rPr>
        <w:t>Private Placement</w:t>
      </w:r>
      <w:r>
        <w:rPr>
          <w:rFonts w:ascii="Times New Roman" w:cs="Times New Roman" w:eastAsia="Times New Roman" w:hAnsi="Times New Roman"/>
          <w:sz w:val="16"/>
          <w:szCs w:val="16"/>
          <w:color w:val="auto"/>
        </w:rPr>
        <w:t>” above. We are registering the shares of common stock in order to permit the Selling Stockholder to offer such shares for resale from time to time. Except for the ownership of the Series A Preferred Stock and Private Placement Warrants issued pursuant to the Securities Purchase Agreement, neither the Selling Stockholder, nor any persons (entities or natural persons) who have control over the Selling Stockholder, have held any position or office, or have otherwise had any material relationship with us or any of our subsidiaries within the past three years.</w:t>
      </w:r>
    </w:p>
    <w:p>
      <w:pPr>
        <w:spacing w:after="0" w:line="166"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The table below lists the Selling Stockholder and other information regarding the beneficial ownership (as determined under the Exchange Act, and the rules and regulations thereunder) of the shares of common stock held by the Selling Stockholder. The second column lists the number of shares of common stock owned by the Selling Stockholder, based on its ownership of shares of common stock and Series A Preferred Stock, as of March 27, 2025, assuming the consummation of the Second Closing and conversion of the Series A Preferred Stock to be held by the Selling Stockholder on that date but not taking account of any limitations on conversion and exercise set forth therein and excluding shares of common stock underlying the Series A Preferred Stock issuable upon exercise of the Private Placement Warrants.</w:t>
      </w:r>
    </w:p>
    <w:p>
      <w:pPr>
        <w:spacing w:after="0" w:line="166"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The third column lists the shares of common stock being offered by this prospectus by the Selling Stockholder and does not take in account any limitations on conversion of the Series A Preferred Stock set forth therein.</w:t>
      </w:r>
    </w:p>
    <w:p>
      <w:pPr>
        <w:spacing w:after="0" w:line="151" w:lineRule="exact"/>
        <w:rPr>
          <w:sz w:val="20"/>
          <w:szCs w:val="20"/>
          <w:color w:val="auto"/>
        </w:rPr>
      </w:pPr>
    </w:p>
    <w:p>
      <w:pPr>
        <w:jc w:val="both"/>
        <w:ind w:left="7"/>
        <w:spacing w:after="0" w:line="293" w:lineRule="auto"/>
        <w:rPr>
          <w:sz w:val="20"/>
          <w:szCs w:val="20"/>
          <w:color w:val="auto"/>
        </w:rPr>
      </w:pPr>
      <w:r>
        <w:rPr>
          <w:rFonts w:ascii="Times New Roman" w:cs="Times New Roman" w:eastAsia="Times New Roman" w:hAnsi="Times New Roman"/>
          <w:sz w:val="14"/>
          <w:szCs w:val="14"/>
          <w:color w:val="auto"/>
        </w:rPr>
        <w:t>In accordance with the terms of the Registration Rights Agreement, this prospectus generally covers the resale of 100% of the sum of the maximum number of shares of common stock issued or issuable pursuant to Certificate of Designation, including payment of PIK Dividends for two years determined as if the Series A Preferred Stock was converted, exercised or cancelled (as the case may be) in full (without regard to any limitations on conversion contained therein solely for the purpose of such calculation) at the floor price then in effect. Because the floor price applicable to the shares of Series A Preferred Stock may be adjusted, the number of shares that will actually be issued may be more or less than the number of shares being offered by this prospectus. The fourth column assumes the sale of all of the shares offered by the Selling Stockholder pursuant to this prospectus.</w:t>
      </w:r>
    </w:p>
    <w:p>
      <w:pPr>
        <w:spacing w:after="0" w:line="138"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Under the terms of the Series A Preferred Stock, the Selling Stockholder may not convert the Series A Preferred Stock to the extent (but only to the extent) the Selling Stockholder or any of its affiliates would beneficially own a number of shares of our common stock which would exceed 4.99% of the outstanding shares of the Company. The number of shares in the second column reflects these limitations. The Selling Stockholder may sell all, some or none of its shares in this offering. See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w:t>
      </w:r>
    </w:p>
    <w:p>
      <w:pPr>
        <w:spacing w:after="0" w:line="158"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Percentage</w:t>
            </w:r>
          </w:p>
        </w:tc>
      </w:tr>
      <w:tr>
        <w:trPr>
          <w:trHeight w:val="187"/>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w:t>
            </w:r>
          </w:p>
        </w:tc>
      </w:tr>
      <w:tr>
        <w:trPr>
          <w:trHeight w:val="187"/>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r>
      <w:tr>
        <w:trPr>
          <w:trHeight w:val="187"/>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Beneficially</w:t>
            </w:r>
          </w:p>
        </w:tc>
      </w:tr>
      <w:tr>
        <w:trPr>
          <w:trHeight w:val="187"/>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Owned</w:t>
            </w:r>
          </w:p>
        </w:tc>
      </w:tr>
      <w:tr>
        <w:trPr>
          <w:trHeight w:val="187"/>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3"/>
              </w:rPr>
              <w:t>Owned</w:t>
            </w: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after</w:t>
            </w:r>
          </w:p>
        </w:tc>
      </w:tr>
      <w:tr>
        <w:trPr>
          <w:trHeight w:val="187"/>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4"/>
              </w:rPr>
              <w:t>prior to</w:t>
            </w: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by this</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Owned after</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Offering</w:t>
            </w:r>
          </w:p>
        </w:tc>
      </w:tr>
      <w:tr>
        <w:trPr>
          <w:trHeight w:val="205"/>
        </w:trPr>
        <w:tc>
          <w:tcPr>
            <w:tcW w:w="40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b w:val="1"/>
                <w:bCs w:val="1"/>
                <w:color w:val="auto"/>
              </w:rPr>
              <w:t>Name of Selling Stockholder</w:t>
            </w:r>
          </w:p>
        </w:tc>
        <w:tc>
          <w:tcPr>
            <w:tcW w:w="2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4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Prospectus</w:t>
            </w:r>
          </w:p>
        </w:tc>
        <w:tc>
          <w:tcPr>
            <w:tcW w:w="3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3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40" w:type="dxa"/>
            <w:vAlign w:val="bottom"/>
            <w:tcBorders>
              <w:bottom w:val="single" w:sz="8" w:color="CCEEFF"/>
            </w:tcBorders>
          </w:tcPr>
          <w:p>
            <w:pPr>
              <w:spacing w:after="0"/>
              <w:rPr>
                <w:sz w:val="17"/>
                <w:szCs w:val="17"/>
                <w:color w:val="auto"/>
              </w:rPr>
            </w:pPr>
          </w:p>
        </w:tc>
      </w:tr>
      <w:tr>
        <w:trPr>
          <w:trHeight w:val="179"/>
        </w:trPr>
        <w:tc>
          <w:tcPr>
            <w:tcW w:w="4040" w:type="dxa"/>
            <w:vAlign w:val="bottom"/>
            <w:shd w:val="clear" w:color="auto" w:fill="CCEEFF"/>
          </w:tcPr>
          <w:p>
            <w:pPr>
              <w:ind w:left="40"/>
              <w:spacing w:after="0" w:line="179" w:lineRule="exact"/>
              <w:rPr>
                <w:sz w:val="20"/>
                <w:szCs w:val="20"/>
                <w:color w:val="auto"/>
              </w:rPr>
            </w:pPr>
            <w:r>
              <w:rPr>
                <w:rFonts w:ascii="Times New Roman" w:cs="Times New Roman" w:eastAsia="Times New Roman" w:hAnsi="Times New Roman"/>
                <w:sz w:val="16"/>
                <w:szCs w:val="16"/>
                <w:color w:val="auto"/>
              </w:rPr>
              <w:t>JAK Opportunities XVII (2)</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38,389,112(2)</w:t>
            </w: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36,901,132</w:t>
            </w: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1,487,980</w:t>
            </w:r>
          </w:p>
        </w:tc>
        <w:tc>
          <w:tcPr>
            <w:tcW w:w="3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4.99%</w:t>
            </w:r>
          </w:p>
        </w:tc>
      </w:tr>
    </w:tbl>
    <w:p>
      <w:pPr>
        <w:spacing w:after="0" w:line="170" w:lineRule="exact"/>
        <w:rPr>
          <w:sz w:val="20"/>
          <w:szCs w:val="20"/>
          <w:color w:val="auto"/>
        </w:rPr>
      </w:pPr>
    </w:p>
    <w:p>
      <w:pPr>
        <w:ind w:left="287" w:hanging="287"/>
        <w:spacing w:after="0"/>
        <w:tabs>
          <w:tab w:leader="none" w:pos="28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is based on 7,589,642 shares of common stock outstanding as of March 27, 2025.</w:t>
      </w:r>
    </w:p>
    <w:p>
      <w:pPr>
        <w:spacing w:after="0" w:line="18" w:lineRule="exact"/>
        <w:rPr>
          <w:rFonts w:ascii="Times New Roman" w:cs="Times New Roman" w:eastAsia="Times New Roman" w:hAnsi="Times New Roman"/>
          <w:sz w:val="16"/>
          <w:szCs w:val="16"/>
          <w:color w:val="auto"/>
        </w:rPr>
      </w:pPr>
    </w:p>
    <w:p>
      <w:pPr>
        <w:jc w:val="both"/>
        <w:ind w:left="287" w:right="20" w:hanging="287"/>
        <w:spacing w:after="0" w:line="244" w:lineRule="auto"/>
        <w:tabs>
          <w:tab w:leader="none" w:pos="28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Kerry Propper and Antonio Ruiz-Gimenez, each a managing partner of ATW Partners Opportunities Management LLC, as the investment manager of JAK Opportunities XVII, LLC, have voting and investment power over the securities held by the Selling Stockholder, and each disclaim any beneficial ownership of the Company’s securities reported herein. The address of the Selling Stockholder is 1 Penn Plaza, Suite 4810, New York, NY 10119. Mr. Propper is also the executive Chairman and substantial owner of Chardan Capital Markets, LLC, a broker-dealer. The Selling Stockholder purchased the securities included in the Registered Direct Offering and the Private Placement in the ordinary course of business, and at the time of the purchase of such securities, the Selling Stockholder had no agreements or understandings, directly or indirectly, with any person to distribute such securities.</w:t>
      </w:r>
    </w:p>
    <w:p>
      <w:pPr>
        <w:spacing w:after="0" w:line="16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104" w:name="page105"/>
    <w:bookmarkEnd w:id="104"/>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191"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We are registering the shares of common stock issuable upon conversion of the shares of Series A Preferred Stock to permit the resale of these shares of common stock by the holders of the shares of Series A Preferred Stock from time to time after the date of this prospectus. We will not receive any of the proceeds from the sale by the Selling Stockholder of the shares of common stock. We will bear all fees and expenses incident to our obligation to register the shares of common stock.</w:t>
      </w:r>
    </w:p>
    <w:p>
      <w:pPr>
        <w:spacing w:after="0" w:line="160"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The Selling Stockholder may sell all or a portion of the shares of common stock held by it and offered hereby from time to time directly or through one or more underwriters, broker-dealers or agents. If the shares of common stock are sold through underwriters or broker-dealers, the Selling Stockholder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66" w:lineRule="exact"/>
        <w:rPr>
          <w:sz w:val="20"/>
          <w:szCs w:val="20"/>
          <w:color w:val="auto"/>
        </w:rPr>
      </w:pPr>
    </w:p>
    <w:p>
      <w:pPr>
        <w:ind w:left="287" w:hanging="287"/>
        <w:spacing w:after="0"/>
        <w:tabs>
          <w:tab w:leader="none" w:pos="2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any national securities exchange or quotation service on which the securities may be listed or quoted at the time of sale;</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over-the-counter market;</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transactions otherwise than on these exchanges or systems or in the over-the-counter market;</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writing or settlement of options, whether such options are listed on an options exchange or otherwise;</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brokerage transactions and transactions in which the broker-dealer solicits purchasers;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trades in which the broker-dealer will attempt to sell the shares as agent but may position and resell a portion of the block as principal to facilitate the transaction;</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by a broker-dealer as principal and resale by the broker-dealer for its account;</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exchange distribution in accordance with the rules of the applicable exchange;</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privately negotiated transactions;</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 sales made after the date the registration statement is declared effective by the SEC;</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broker-dealers may agree with a selling security holder to sell a specified number of such shares at a stipulated price per share;</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combination of any such methods of sale; and</w:t>
      </w:r>
    </w:p>
    <w:p>
      <w:pPr>
        <w:spacing w:after="0" w:line="189"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permitted pursuant to applicable law.</w:t>
      </w:r>
    </w:p>
    <w:p>
      <w:pPr>
        <w:spacing w:after="0" w:line="189" w:lineRule="exact"/>
        <w:rPr>
          <w:sz w:val="20"/>
          <w:szCs w:val="20"/>
          <w:color w:val="auto"/>
        </w:rPr>
      </w:pPr>
    </w:p>
    <w:p>
      <w:pPr>
        <w:jc w:val="both"/>
        <w:ind w:left="7"/>
        <w:spacing w:after="0" w:line="246" w:lineRule="auto"/>
        <w:rPr>
          <w:sz w:val="20"/>
          <w:szCs w:val="20"/>
          <w:color w:val="auto"/>
        </w:rPr>
      </w:pPr>
      <w:r>
        <w:rPr>
          <w:rFonts w:ascii="Times New Roman" w:cs="Times New Roman" w:eastAsia="Times New Roman" w:hAnsi="Times New Roman"/>
          <w:sz w:val="16"/>
          <w:szCs w:val="16"/>
          <w:color w:val="auto"/>
        </w:rPr>
        <w:t>The Selling Stockholder may also sell shares of common stock under Rule 144 promulgated under the Securities Act, if available, rather than under this prospectus. In addition, the Selling Stockholder may transfer the shares of common stock by other means not described in this prospectus. If the Selling Stockholder effects such transactions by selling shares of common stock to or through underwriters, broker-dealers or agents, such underwriters, broker-dealers or agents may receive commissions in the form of discounts, concessions or commissions from the Selling Stockholder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 may enter into hedging transactions with broker-dealers, which may in turn engage in short sales of the shares of common stock in the course of hedging in positions they assume. The Selling Stockholder may also sell shares of common stock short and deliver shares of common stock covered by this prospectus to close out short positions and to return borrowed shares in connection with such short sales. The Selling Stockholder may also loan or pledge shares of common stock to broker-dealers that in turn may sell such shares.</w:t>
      </w:r>
    </w:p>
    <w:p>
      <w:pPr>
        <w:spacing w:after="0" w:line="17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105" w:name="page106"/>
    <w:bookmarkEnd w:id="105"/>
    <w:p>
      <w:pPr>
        <w:jc w:val="both"/>
        <w:spacing w:after="0" w:line="248" w:lineRule="auto"/>
        <w:rPr>
          <w:sz w:val="20"/>
          <w:szCs w:val="20"/>
          <w:color w:val="auto"/>
        </w:rPr>
      </w:pPr>
      <w:r>
        <w:rPr>
          <w:rFonts w:ascii="Times New Roman" w:cs="Times New Roman" w:eastAsia="Times New Roman" w:hAnsi="Times New Roman"/>
          <w:sz w:val="16"/>
          <w:szCs w:val="16"/>
          <w:color w:val="auto"/>
        </w:rPr>
        <w:t>The Selling Stockholder may pledge or grant a security interest in some or all of the shares of Series A Preferred Stock, incremental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 to include the pledgee, transferee or other successors in interest as Selling Stockholder under this prospectus. The Selling Stockholder also may transfer and donate the shares of common stock in other circumstances in which case the transferees, donees, pledgees or other successors in interest will be the selling beneficial owners for purposes of this prospectus.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To the extent required by the Securities Act and the rules and regulations thereunder, the Selling Stockholder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 and any discounts, commissions or concessions allowed or re-allowed or paid to broker-dealers.</w:t>
      </w:r>
    </w:p>
    <w:p>
      <w:pPr>
        <w:spacing w:after="0" w:line="16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There can be no assurance that any Selling Stockholder will sell any or all of the shares of common stock registered pursuant to the registration statement, of which this prospectus forms a part.</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6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We will pay all expenses of the registration of the shares of common stock pursuant to the registration rights agreement, estimated to be $75,000 in total, including, without limitation, SEC filing fees and expenses of compliance with state securities or “blue sky” laws; provided, however, a Selling Stockholder will pay all underwriting discounts and selling commissions, if any. We will indemnify the Selling Stockholder against liabilities, including some liabilities under the Securities Act in accordance with the registration rights agreements or the Selling Stockholder will be entitled to contribution. We may be indemnified by the Selling Stockholder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Once sold under the registration statement, of which this prospectus forms a part, the shares of common stock will be freely tradable in the hands of persons other than our affiliates.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 xml:space="preserve">We have filed with the SEC a registration statement on Form S-1 under the Securities Act for the securities being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SEC filings are also available to the public at the SEC’s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are subject to the reporting and information requirements of the Exchange Act and, as a result, we file periodic and current reports, proxy statements and other information with the SEC. We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are available for inspection and copying at the public reference room and website of the SEC referred to above.</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validity of the securities offered hereby will be passed upon for us by Parsons Behle &amp; Latimer, Reno, Nevada and Lowenstein Sandler LLP, New York, New York.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consolidated financial statements of Dragonfly Energy Holdings Corp. as of and for the years ended December 31, 2024 and 2023 have been so incorporated in reliance on the report of Marcum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5"/>
        </w:trPr>
        <w:tc>
          <w:tcPr>
            <w:tcW w:w="936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Financial Statements and Supplemental Data</w:t>
            </w: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20" w:type="dxa"/>
            <w:vAlign w:val="bottom"/>
            <w:gridSpan w:val="4"/>
          </w:tcPr>
          <w:p>
            <w:pPr>
              <w:jc w:val="center"/>
              <w:ind w:right="2120"/>
              <w:spacing w:after="0"/>
              <w:rPr>
                <w:sz w:val="20"/>
                <w:szCs w:val="20"/>
                <w:color w:val="auto"/>
              </w:rPr>
            </w:pPr>
            <w:r>
              <w:rPr>
                <w:rFonts w:ascii="Times New Roman" w:cs="Times New Roman" w:eastAsia="Times New Roman" w:hAnsi="Times New Roman"/>
                <w:sz w:val="16"/>
                <w:szCs w:val="16"/>
                <w:b w:val="1"/>
                <w:bCs w:val="1"/>
                <w:color w:val="auto"/>
                <w:w w:val="96"/>
              </w:rPr>
              <w:t>DRAGONFLY ENERGY HOLDINGS CORP.</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20" w:type="dxa"/>
            <w:vAlign w:val="bottom"/>
            <w:gridSpan w:val="6"/>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6"/>
              </w:rPr>
              <w:t>INDEX TO CONSOLIDATED FINANCIAL STATEMENTS</w:t>
            </w: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340" w:type="dxa"/>
            <w:vAlign w:val="bottom"/>
            <w:gridSpan w:val="7"/>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688)</w:t>
            </w:r>
          </w:p>
        </w:tc>
        <w:tc>
          <w:tcPr>
            <w:tcW w:w="1920" w:type="dxa"/>
            <w:vAlign w:val="bottom"/>
            <w:shd w:val="clear" w:color="auto" w:fill="CCEEFF"/>
          </w:tcPr>
          <w:p>
            <w:pPr>
              <w:ind w:left="1700"/>
              <w:spacing w:after="0" w:line="152" w:lineRule="exact"/>
              <w:rPr>
                <w:sz w:val="20"/>
                <w:szCs w:val="20"/>
                <w:color w:val="auto"/>
              </w:rPr>
            </w:pPr>
            <w:r>
              <w:rPr>
                <w:rFonts w:ascii="Times New Roman" w:cs="Times New Roman" w:eastAsia="Times New Roman" w:hAnsi="Times New Roman"/>
                <w:sz w:val="16"/>
                <w:szCs w:val="16"/>
                <w:color w:val="auto"/>
                <w:w w:val="89"/>
              </w:rPr>
              <w:t>F-2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720" w:type="dxa"/>
            <w:vAlign w:val="bottom"/>
            <w:shd w:val="clear" w:color="auto" w:fill="0000EE"/>
          </w:tcPr>
          <w:p>
            <w:pPr>
              <w:spacing w:after="0"/>
              <w:rPr>
                <w:sz w:val="3"/>
                <w:szCs w:val="3"/>
                <w:color w:val="auto"/>
              </w:rPr>
            </w:pPr>
          </w:p>
        </w:tc>
        <w:tc>
          <w:tcPr>
            <w:tcW w:w="920" w:type="dxa"/>
            <w:vAlign w:val="bottom"/>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44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20" w:type="dxa"/>
            <w:vAlign w:val="bottom"/>
            <w:tcBorders>
              <w:bottom w:val="single" w:sz="8" w:color="0000EE"/>
            </w:tcBorders>
            <w:gridSpan w:val="3"/>
          </w:tcPr>
          <w:p>
            <w:pPr>
              <w:spacing w:after="0" w:line="152" w:lineRule="exact"/>
              <w:rPr>
                <w:sz w:val="20"/>
                <w:szCs w:val="20"/>
                <w:color w:val="auto"/>
              </w:rPr>
            </w:pPr>
            <w:r>
              <w:rPr>
                <w:rFonts w:ascii="Times New Roman" w:cs="Times New Roman" w:eastAsia="Times New Roman" w:hAnsi="Times New Roman"/>
                <w:sz w:val="16"/>
                <w:szCs w:val="16"/>
                <w:color w:val="0000EE"/>
                <w:w w:val="96"/>
              </w:rPr>
              <w:t>Consolidated Balance Sheets as of December 31, 2024 and 2023</w:t>
            </w:r>
          </w:p>
        </w:tc>
        <w:tc>
          <w:tcPr>
            <w:tcW w:w="5320" w:type="dxa"/>
            <w:vAlign w:val="bottom"/>
            <w:gridSpan w:val="4"/>
          </w:tcPr>
          <w:p>
            <w:pPr>
              <w:spacing w:after="0"/>
              <w:rPr>
                <w:sz w:val="13"/>
                <w:szCs w:val="13"/>
                <w:color w:val="auto"/>
              </w:rPr>
            </w:pPr>
          </w:p>
        </w:tc>
        <w:tc>
          <w:tcPr>
            <w:tcW w:w="1920" w:type="dxa"/>
            <w:vAlign w:val="bottom"/>
          </w:tcPr>
          <w:p>
            <w:pPr>
              <w:ind w:left="1700"/>
              <w:spacing w:after="0" w:line="152" w:lineRule="exact"/>
              <w:rPr>
                <w:sz w:val="20"/>
                <w:szCs w:val="20"/>
                <w:color w:val="auto"/>
              </w:rPr>
            </w:pPr>
            <w:r>
              <w:rPr>
                <w:rFonts w:ascii="Times New Roman" w:cs="Times New Roman" w:eastAsia="Times New Roman" w:hAnsi="Times New Roman"/>
                <w:sz w:val="16"/>
                <w:szCs w:val="16"/>
                <w:color w:val="auto"/>
                <w:w w:val="89"/>
              </w:rPr>
              <w:t>F-3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340" w:type="dxa"/>
            <w:vAlign w:val="bottom"/>
            <w:gridSpan w:val="7"/>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rPr>
              <w:t>Consolidated Statements of Operations for the years ended December 31, 2024 and 2023</w:t>
            </w:r>
          </w:p>
        </w:tc>
        <w:tc>
          <w:tcPr>
            <w:tcW w:w="1920" w:type="dxa"/>
            <w:vAlign w:val="bottom"/>
            <w:shd w:val="clear" w:color="auto" w:fill="CCEEFF"/>
          </w:tcPr>
          <w:p>
            <w:pPr>
              <w:ind w:left="1700"/>
              <w:spacing w:after="0" w:line="167" w:lineRule="exact"/>
              <w:rPr>
                <w:sz w:val="20"/>
                <w:szCs w:val="20"/>
                <w:color w:val="auto"/>
              </w:rPr>
            </w:pPr>
            <w:r>
              <w:rPr>
                <w:rFonts w:ascii="Times New Roman" w:cs="Times New Roman" w:eastAsia="Times New Roman" w:hAnsi="Times New Roman"/>
                <w:sz w:val="16"/>
                <w:szCs w:val="16"/>
                <w:color w:val="auto"/>
                <w:w w:val="89"/>
              </w:rPr>
              <w:t>F-4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720" w:type="dxa"/>
            <w:vAlign w:val="bottom"/>
            <w:shd w:val="clear" w:color="auto" w:fill="0000EE"/>
          </w:tcPr>
          <w:p>
            <w:pPr>
              <w:spacing w:after="0"/>
              <w:rPr>
                <w:sz w:val="3"/>
                <w:szCs w:val="3"/>
                <w:color w:val="auto"/>
              </w:rPr>
            </w:pPr>
          </w:p>
        </w:tc>
        <w:tc>
          <w:tcPr>
            <w:tcW w:w="92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44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900" w:type="dxa"/>
            <w:vAlign w:val="bottom"/>
            <w:tcBorders>
              <w:bottom w:val="single" w:sz="8" w:color="0000EE"/>
            </w:tcBorders>
            <w:gridSpan w:val="6"/>
          </w:tcPr>
          <w:p>
            <w:pPr>
              <w:spacing w:after="0" w:line="152" w:lineRule="exact"/>
              <w:rPr>
                <w:sz w:val="20"/>
                <w:szCs w:val="20"/>
                <w:color w:val="auto"/>
              </w:rPr>
            </w:pPr>
            <w:r>
              <w:rPr>
                <w:rFonts w:ascii="Times New Roman" w:cs="Times New Roman" w:eastAsia="Times New Roman" w:hAnsi="Times New Roman"/>
                <w:sz w:val="16"/>
                <w:szCs w:val="16"/>
                <w:color w:val="0000EE"/>
                <w:w w:val="96"/>
              </w:rPr>
              <w:t>Consolidated Statements of Changes in Stockholders’ Equity for the years ended December 31, 2024 and 2023</w:t>
            </w:r>
          </w:p>
        </w:tc>
        <w:tc>
          <w:tcPr>
            <w:tcW w:w="2440" w:type="dxa"/>
            <w:vAlign w:val="bottom"/>
          </w:tcPr>
          <w:p>
            <w:pPr>
              <w:spacing w:after="0"/>
              <w:rPr>
                <w:sz w:val="13"/>
                <w:szCs w:val="13"/>
                <w:color w:val="auto"/>
              </w:rPr>
            </w:pPr>
          </w:p>
        </w:tc>
        <w:tc>
          <w:tcPr>
            <w:tcW w:w="1920" w:type="dxa"/>
            <w:vAlign w:val="bottom"/>
          </w:tcPr>
          <w:p>
            <w:pPr>
              <w:ind w:left="1700"/>
              <w:spacing w:after="0" w:line="152" w:lineRule="exact"/>
              <w:rPr>
                <w:sz w:val="20"/>
                <w:szCs w:val="20"/>
                <w:color w:val="auto"/>
              </w:rPr>
            </w:pPr>
            <w:r>
              <w:rPr>
                <w:rFonts w:ascii="Times New Roman" w:cs="Times New Roman" w:eastAsia="Times New Roman" w:hAnsi="Times New Roman"/>
                <w:sz w:val="16"/>
                <w:szCs w:val="16"/>
                <w:color w:val="auto"/>
                <w:w w:val="89"/>
              </w:rPr>
              <w:t>F-5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20" w:type="dxa"/>
            <w:vAlign w:val="bottom"/>
            <w:tcBorders>
              <w:bottom w:val="single" w:sz="8" w:color="0000EE"/>
            </w:tcBorders>
            <w:gridSpan w:val="4"/>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w w:val="96"/>
              </w:rPr>
              <w:t>Statements of Cash Flows for the years ended December 31, 2024 and 2023</w:t>
            </w:r>
          </w:p>
        </w:tc>
        <w:tc>
          <w:tcPr>
            <w:tcW w:w="4620" w:type="dxa"/>
            <w:vAlign w:val="bottom"/>
            <w:tcBorders>
              <w:bottom w:val="single" w:sz="8" w:color="CCEEFF"/>
            </w:tcBorders>
            <w:gridSpan w:val="3"/>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ind w:left="1700"/>
              <w:spacing w:after="0" w:line="167" w:lineRule="exact"/>
              <w:rPr>
                <w:sz w:val="20"/>
                <w:szCs w:val="20"/>
                <w:color w:val="auto"/>
              </w:rPr>
            </w:pPr>
            <w:r>
              <w:rPr>
                <w:rFonts w:ascii="Times New Roman" w:cs="Times New Roman" w:eastAsia="Times New Roman" w:hAnsi="Times New Roman"/>
                <w:sz w:val="16"/>
                <w:szCs w:val="16"/>
                <w:color w:val="auto"/>
                <w:w w:val="89"/>
              </w:rPr>
              <w:t>F-6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340" w:type="dxa"/>
            <w:vAlign w:val="bottom"/>
            <w:gridSpan w:val="7"/>
          </w:tcPr>
          <w:p>
            <w:pPr>
              <w:spacing w:after="0" w:line="152"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1920" w:type="dxa"/>
            <w:vAlign w:val="bottom"/>
          </w:tcPr>
          <w:p>
            <w:pPr>
              <w:ind w:left="1700"/>
              <w:spacing w:after="0" w:line="152" w:lineRule="exact"/>
              <w:rPr>
                <w:sz w:val="20"/>
                <w:szCs w:val="20"/>
                <w:color w:val="auto"/>
              </w:rPr>
            </w:pPr>
            <w:r>
              <w:rPr>
                <w:rFonts w:ascii="Times New Roman" w:cs="Times New Roman" w:eastAsia="Times New Roman" w:hAnsi="Times New Roman"/>
                <w:sz w:val="16"/>
                <w:szCs w:val="16"/>
                <w:color w:val="auto"/>
                <w:w w:val="89"/>
              </w:rPr>
              <w:t>F-8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2720" w:type="dxa"/>
            <w:vAlign w:val="bottom"/>
            <w:tcBorders>
              <w:top w:val="single" w:sz="8" w:color="0000EE"/>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3"/>
          </w:tcPr>
          <w:p>
            <w:pPr>
              <w:jc w:val="center"/>
              <w:ind w:right="2800"/>
              <w:spacing w:after="0"/>
              <w:rPr>
                <w:sz w:val="20"/>
                <w:szCs w:val="20"/>
                <w:color w:val="auto"/>
              </w:rPr>
            </w:pPr>
            <w:r>
              <w:rPr>
                <w:rFonts w:ascii="Times New Roman" w:cs="Times New Roman" w:eastAsia="Times New Roman" w:hAnsi="Times New Roman"/>
                <w:sz w:val="16"/>
                <w:szCs w:val="16"/>
                <w:color w:val="auto"/>
                <w:w w:val="98"/>
              </w:rPr>
              <w:t>F-1</w:t>
            </w:r>
          </w:p>
        </w:tc>
        <w:tc>
          <w:tcPr>
            <w:tcW w:w="1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11" w:right="319" w:bottom="1440" w:gutter="0" w:footer="0" w:header="0"/>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Dragonfly Energy Holdings Corp.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Dragonfly Energy Holdings Corp. (the “Company”) as of December 31, 2024 and 2023, the related consolidated statements of operations, stockholders’ equity and cash flows for each of the two years in the period ended December 31, 2024, and the related notes (collectively referred to as the “financial statements”). In our opinion, based on our audits,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Explanatory Paragraph – Going Concern</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 also included evaluating the accounting principles used and significant estimates made by management, as well as evaluating the overall presentation of the financial statements. We believe that our audit</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 provide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Marcum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Marcum </w:t>
      </w:r>
      <w:r>
        <w:rPr>
          <w:rFonts w:ascii="Times New Roman" w:cs="Times New Roman" w:eastAsia="Times New Roman" w:hAnsi="Times New Roman"/>
          <w:sz w:val="10"/>
          <w:szCs w:val="10"/>
          <w:color w:val="auto"/>
        </w:rPr>
        <w:t>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09" w:name="page110"/>
    <w:bookmarkEnd w:id="10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12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2024</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7"/>
                <w:szCs w:val="17"/>
                <w:color w:val="auto"/>
              </w:rPr>
            </w:pPr>
          </w:p>
        </w:tc>
      </w:tr>
      <w:tr>
        <w:trPr>
          <w:trHeight w:val="179"/>
        </w:trPr>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40" w:type="dxa"/>
            <w:vAlign w:val="bottom"/>
            <w:gridSpan w:val="2"/>
          </w:tcPr>
          <w:p>
            <w:pPr>
              <w:jc w:val="right"/>
              <w:ind w:right="9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w:t>
            </w:r>
          </w:p>
        </w:tc>
        <w:tc>
          <w:tcPr>
            <w:tcW w:w="320" w:type="dxa"/>
            <w:vAlign w:val="bottom"/>
          </w:tcPr>
          <w:p>
            <w:pPr>
              <w:spacing w:after="0"/>
              <w:rPr>
                <w:sz w:val="16"/>
                <w:szCs w:val="16"/>
                <w:color w:val="auto"/>
              </w:rPr>
            </w:pPr>
          </w:p>
        </w:tc>
        <w:tc>
          <w:tcPr>
            <w:tcW w:w="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12,713</w:t>
            </w: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 of allowance for credit losses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20" w:type="dxa"/>
            <w:vAlign w:val="bottom"/>
            <w:shd w:val="clear" w:color="auto" w:fill="CCEEFF"/>
          </w:tcPr>
          <w:p>
            <w:pPr>
              <w:spacing w:after="0"/>
              <w:rPr>
                <w:sz w:val="16"/>
                <w:szCs w:val="16"/>
                <w:color w:val="auto"/>
              </w:rPr>
            </w:pP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21,716</w:t>
            </w:r>
          </w:p>
        </w:tc>
        <w:tc>
          <w:tcPr>
            <w:tcW w:w="40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38,778</w:t>
            </w: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806</w:t>
            </w:r>
          </w:p>
        </w:tc>
        <w:tc>
          <w:tcPr>
            <w:tcW w:w="4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w:t>
            </w: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Prepaid inventory</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20" w:type="dxa"/>
            <w:vAlign w:val="bottom"/>
          </w:tcPr>
          <w:p>
            <w:pPr>
              <w:spacing w:after="0"/>
              <w:rPr>
                <w:sz w:val="16"/>
                <w:szCs w:val="16"/>
                <w:color w:val="auto"/>
              </w:rPr>
            </w:pP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income tax</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307</w:t>
            </w:r>
          </w:p>
        </w:tc>
        <w:tc>
          <w:tcPr>
            <w:tcW w:w="4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519</w:t>
            </w: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Assets held for sale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644</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825</w:t>
            </w:r>
          </w:p>
        </w:tc>
        <w:tc>
          <w:tcPr>
            <w:tcW w:w="4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w:t>
            </w:r>
          </w:p>
        </w:tc>
      </w:tr>
      <w:tr>
        <w:trPr>
          <w:trHeight w:val="178"/>
        </w:trPr>
        <w:tc>
          <w:tcPr>
            <w:tcW w:w="7320" w:type="dxa"/>
            <w:vAlign w:val="bottom"/>
            <w:tcBorders>
              <w:bottom w:val="single" w:sz="8" w:color="CCEEFF"/>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32,925</w:t>
            </w:r>
          </w:p>
        </w:tc>
        <w:tc>
          <w:tcPr>
            <w:tcW w:w="32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55,920</w:t>
            </w:r>
          </w:p>
        </w:tc>
        <w:tc>
          <w:tcPr>
            <w:tcW w:w="120" w:type="dxa"/>
            <w:vAlign w:val="bottom"/>
            <w:tcBorders>
              <w:bottom w:val="single" w:sz="8" w:color="CCEEFF"/>
            </w:tcBorders>
          </w:tcPr>
          <w:p>
            <w:pPr>
              <w:spacing w:after="0"/>
              <w:rPr>
                <w:sz w:val="15"/>
                <w:szCs w:val="15"/>
                <w:color w:val="auto"/>
              </w:rPr>
            </w:pPr>
          </w:p>
        </w:tc>
      </w:tr>
      <w:tr>
        <w:trPr>
          <w:trHeight w:val="178"/>
        </w:trPr>
        <w:tc>
          <w:tcPr>
            <w:tcW w:w="73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Property and Equipment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16,778</w:t>
            </w:r>
          </w:p>
        </w:tc>
        <w:tc>
          <w:tcPr>
            <w:tcW w:w="40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16,714</w:t>
            </w: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355</w:t>
            </w:r>
          </w:p>
        </w:tc>
        <w:tc>
          <w:tcPr>
            <w:tcW w:w="4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319</w:t>
            </w: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20" w:type="dxa"/>
            <w:vAlign w:val="bottom"/>
          </w:tcPr>
          <w:p>
            <w:pPr>
              <w:spacing w:after="0"/>
              <w:rPr>
                <w:sz w:val="16"/>
                <w:szCs w:val="16"/>
                <w:color w:val="auto"/>
              </w:rPr>
            </w:pPr>
          </w:p>
        </w:tc>
      </w:tr>
      <w:tr>
        <w:trPr>
          <w:trHeight w:val="19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w:t>
            </w: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3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7"/>
                <w:szCs w:val="17"/>
                <w:color w:val="auto"/>
              </w:rPr>
            </w:pPr>
          </w:p>
        </w:tc>
      </w:tr>
      <w:tr>
        <w:trPr>
          <w:trHeight w:val="178"/>
        </w:trPr>
        <w:tc>
          <w:tcPr>
            <w:tcW w:w="7320" w:type="dxa"/>
            <w:vAlign w:val="bottom"/>
          </w:tcPr>
          <w:p>
            <w:pPr>
              <w:ind w:left="140"/>
              <w:spacing w:after="0" w:line="178" w:lineRule="exact"/>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26,269</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18,793</w:t>
            </w:r>
          </w:p>
        </w:tc>
        <w:tc>
          <w:tcPr>
            <w:tcW w:w="120" w:type="dxa"/>
            <w:vAlign w:val="bottom"/>
          </w:tcPr>
          <w:p>
            <w:pPr>
              <w:spacing w:after="0"/>
              <w:rPr>
                <w:sz w:val="15"/>
                <w:szCs w:val="15"/>
                <w:color w:val="auto"/>
              </w:rPr>
            </w:pPr>
          </w:p>
        </w:tc>
      </w:tr>
      <w:tr>
        <w:trPr>
          <w:trHeight w:val="19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(4,162)</w:t>
            </w:r>
          </w:p>
        </w:tc>
        <w:tc>
          <w:tcPr>
            <w:tcW w:w="4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(2,824)</w:t>
            </w:r>
          </w:p>
        </w:tc>
      </w:tr>
      <w:tr>
        <w:trPr>
          <w:trHeight w:val="178"/>
        </w:trPr>
        <w:tc>
          <w:tcPr>
            <w:tcW w:w="7320" w:type="dxa"/>
            <w:vAlign w:val="bottom"/>
          </w:tcPr>
          <w:p>
            <w:pPr>
              <w:ind w:left="140"/>
              <w:spacing w:after="0" w:line="178" w:lineRule="exact"/>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22,107</w:t>
            </w:r>
          </w:p>
        </w:tc>
        <w:tc>
          <w:tcPr>
            <w:tcW w:w="3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15,969</w:t>
            </w:r>
          </w:p>
        </w:tc>
        <w:tc>
          <w:tcPr>
            <w:tcW w:w="120" w:type="dxa"/>
            <w:vAlign w:val="bottom"/>
          </w:tcPr>
          <w:p>
            <w:pPr>
              <w:spacing w:after="0"/>
              <w:rPr>
                <w:sz w:val="15"/>
                <w:szCs w:val="15"/>
                <w:color w:val="auto"/>
              </w:rPr>
            </w:pP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 of use asset, net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19,737</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120" w:type="dxa"/>
            <w:vAlign w:val="bottom"/>
            <w:shd w:val="clear" w:color="auto" w:fill="CCEEFF"/>
          </w:tcPr>
          <w:p>
            <w:pPr>
              <w:spacing w:after="0"/>
              <w:rPr>
                <w:sz w:val="16"/>
                <w:szCs w:val="16"/>
                <w:color w:val="auto"/>
              </w:rPr>
            </w:pPr>
          </w:p>
        </w:tc>
      </w:tr>
      <w:tr>
        <w:trPr>
          <w:trHeight w:val="19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445</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9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75,214</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240" w:type="dxa"/>
            <w:vAlign w:val="bottom"/>
            <w:gridSpan w:val="2"/>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10,716</w:t>
            </w:r>
          </w:p>
        </w:tc>
        <w:tc>
          <w:tcPr>
            <w:tcW w:w="4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10,258</w:t>
            </w: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Accrued payroll and other liabilities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7,107</w:t>
            </w:r>
          </w:p>
        </w:tc>
        <w:tc>
          <w:tcPr>
            <w:tcW w:w="120" w:type="dxa"/>
            <w:vAlign w:val="bottom"/>
          </w:tcPr>
          <w:p>
            <w:pPr>
              <w:spacing w:after="0"/>
              <w:rPr>
                <w:sz w:val="16"/>
                <w:szCs w:val="16"/>
                <w:color w:val="auto"/>
              </w:rPr>
            </w:pP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tariffs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20" w:type="dxa"/>
            <w:vAlign w:val="bottom"/>
            <w:shd w:val="clear" w:color="auto" w:fill="CCEEFF"/>
          </w:tcPr>
          <w:p>
            <w:pPr>
              <w:spacing w:after="0"/>
              <w:rPr>
                <w:sz w:val="16"/>
                <w:szCs w:val="16"/>
                <w:color w:val="auto"/>
              </w:rPr>
            </w:pP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Accrued settlement, current portion</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750</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deposits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317</w:t>
            </w:r>
          </w:p>
        </w:tc>
        <w:tc>
          <w:tcPr>
            <w:tcW w:w="4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201</w:t>
            </w: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Uncertain tax position liability</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6"/>
                <w:szCs w:val="16"/>
                <w:color w:val="auto"/>
              </w:rPr>
            </w:pP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Notes payable, current portion, net of debt issuance costs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19,683</w:t>
            </w: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w:t>
            </w: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20" w:type="dxa"/>
            <w:vAlign w:val="bottom"/>
            <w:shd w:val="clear" w:color="auto" w:fill="CCEEFF"/>
          </w:tcPr>
          <w:p>
            <w:pPr>
              <w:spacing w:after="0"/>
              <w:rPr>
                <w:sz w:val="16"/>
                <w:szCs w:val="16"/>
                <w:color w:val="auto"/>
              </w:rPr>
            </w:pPr>
          </w:p>
        </w:tc>
      </w:tr>
      <w:tr>
        <w:trPr>
          <w:trHeight w:val="198"/>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Financing lease liability, current portion</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tcPr>
          <w:p>
            <w:pPr>
              <w:spacing w:after="0"/>
              <w:rPr>
                <w:sz w:val="17"/>
                <w:szCs w:val="17"/>
                <w:color w:val="auto"/>
              </w:rPr>
            </w:pPr>
          </w:p>
        </w:tc>
      </w:tr>
      <w:tr>
        <w:trPr>
          <w:trHeight w:val="178"/>
        </w:trPr>
        <w:tc>
          <w:tcPr>
            <w:tcW w:w="732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21,855</w:t>
            </w:r>
          </w:p>
        </w:tc>
        <w:tc>
          <w:tcPr>
            <w:tcW w:w="3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40,377</w:t>
            </w:r>
          </w:p>
        </w:tc>
        <w:tc>
          <w:tcPr>
            <w:tcW w:w="120" w:type="dxa"/>
            <w:vAlign w:val="bottom"/>
            <w:shd w:val="clear" w:color="auto" w:fill="CCEEFF"/>
          </w:tcPr>
          <w:p>
            <w:pPr>
              <w:spacing w:after="0"/>
              <w:rPr>
                <w:sz w:val="15"/>
                <w:szCs w:val="15"/>
                <w:color w:val="auto"/>
              </w:rPr>
            </w:pPr>
          </w:p>
        </w:tc>
      </w:tr>
      <w:tr>
        <w:trPr>
          <w:trHeight w:val="178"/>
        </w:trPr>
        <w:tc>
          <w:tcPr>
            <w:tcW w:w="732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Long-Term Liabilities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120" w:type="dxa"/>
            <w:vAlign w:val="bottom"/>
          </w:tcPr>
          <w:p>
            <w:pPr>
              <w:spacing w:after="0"/>
              <w:rPr>
                <w:sz w:val="16"/>
                <w:szCs w:val="16"/>
                <w:color w:val="auto"/>
              </w:rPr>
            </w:pP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expenses-long term</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w:t>
            </w: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Accrued settlement, net of current portion</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payable, non current portion, net of debt issuance costs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29,646</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22,588</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120" w:type="dxa"/>
            <w:vAlign w:val="bottom"/>
          </w:tcPr>
          <w:p>
            <w:pPr>
              <w:spacing w:after="0"/>
              <w:rPr>
                <w:sz w:val="16"/>
                <w:szCs w:val="16"/>
                <w:color w:val="auto"/>
              </w:rPr>
            </w:pPr>
          </w:p>
        </w:tc>
      </w:tr>
      <w:tr>
        <w:trPr>
          <w:trHeight w:val="19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liability, net of current portion</w:t>
            </w: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3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7"/>
                <w:szCs w:val="17"/>
                <w:color w:val="auto"/>
              </w:rPr>
            </w:pPr>
          </w:p>
        </w:tc>
      </w:tr>
      <w:tr>
        <w:trPr>
          <w:trHeight w:val="178"/>
        </w:trPr>
        <w:tc>
          <w:tcPr>
            <w:tcW w:w="7320" w:type="dxa"/>
            <w:vAlign w:val="bottom"/>
            <w:tcBorders>
              <w:bottom w:val="single" w:sz="8" w:color="CCEEFF"/>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Total Long-Term Liabilities</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62,763</w:t>
            </w:r>
          </w:p>
        </w:tc>
        <w:tc>
          <w:tcPr>
            <w:tcW w:w="3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6,915</w:t>
            </w:r>
          </w:p>
        </w:tc>
        <w:tc>
          <w:tcPr>
            <w:tcW w:w="120" w:type="dxa"/>
            <w:vAlign w:val="bottom"/>
            <w:tcBorders>
              <w:bottom w:val="single" w:sz="8" w:color="CCEEFF"/>
            </w:tcBorders>
          </w:tcPr>
          <w:p>
            <w:pPr>
              <w:spacing w:after="0"/>
              <w:rPr>
                <w:sz w:val="15"/>
                <w:szCs w:val="15"/>
                <w:color w:val="auto"/>
              </w:rPr>
            </w:pPr>
          </w:p>
        </w:tc>
      </w:tr>
      <w:tr>
        <w:trPr>
          <w:trHeight w:val="178"/>
        </w:trPr>
        <w:tc>
          <w:tcPr>
            <w:tcW w:w="73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84,618</w:t>
            </w:r>
          </w:p>
        </w:tc>
        <w:tc>
          <w:tcPr>
            <w:tcW w:w="3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47,292</w:t>
            </w:r>
          </w:p>
        </w:tc>
        <w:tc>
          <w:tcPr>
            <w:tcW w:w="120" w:type="dxa"/>
            <w:vAlign w:val="bottom"/>
            <w:shd w:val="clear" w:color="auto" w:fill="CCEEFF"/>
          </w:tcPr>
          <w:p>
            <w:pPr>
              <w:spacing w:after="0"/>
              <w:rPr>
                <w:sz w:val="15"/>
                <w:szCs w:val="15"/>
                <w:color w:val="auto"/>
              </w:rPr>
            </w:pPr>
          </w:p>
        </w:tc>
      </w:tr>
      <w:tr>
        <w:trPr>
          <w:trHeight w:val="178"/>
        </w:trPr>
        <w:tc>
          <w:tcPr>
            <w:tcW w:w="732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Commitments and Contingencies (See Note 5)</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(Deficit) Equity</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0"/>
        </w:trPr>
        <w:tc>
          <w:tcPr>
            <w:tcW w:w="73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Preferred stock, 5,000,000 shares at $0.0001 par value, authorized, no shares issued and outstanding as of</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2024 and 2023, respectively</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70"/>
        </w:trPr>
        <w:tc>
          <w:tcPr>
            <w:tcW w:w="73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Common stock, 250,000,000 shares at $0.0001 par value, authorized, 7,232,650 and 6,695,587 shares issued and</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2024 and 2023, respectively</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72,749</w:t>
            </w:r>
          </w:p>
        </w:tc>
        <w:tc>
          <w:tcPr>
            <w:tcW w:w="40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69,450</w:t>
            </w:r>
          </w:p>
        </w:tc>
      </w:tr>
      <w:tr>
        <w:trPr>
          <w:trHeight w:val="19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(82,154)</w:t>
            </w:r>
          </w:p>
        </w:tc>
        <w:tc>
          <w:tcPr>
            <w:tcW w:w="4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(41,539)</w:t>
            </w:r>
          </w:p>
        </w:tc>
      </w:tr>
      <w:tr>
        <w:trPr>
          <w:trHeight w:val="178"/>
        </w:trPr>
        <w:tc>
          <w:tcPr>
            <w:tcW w:w="7320" w:type="dxa"/>
            <w:vAlign w:val="bottom"/>
            <w:tcBorders>
              <w:bottom w:val="single" w:sz="8" w:color="CCEEFF"/>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Stockholders’ (Deficit) Equity</w:t>
            </w:r>
          </w:p>
        </w:tc>
        <w:tc>
          <w:tcPr>
            <w:tcW w:w="1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(9,404</w:t>
            </w:r>
          </w:p>
        </w:tc>
        <w:tc>
          <w:tcPr>
            <w:tcW w:w="320" w:type="dxa"/>
            <w:vAlign w:val="bottom"/>
            <w:tcBorders>
              <w:bottom w:val="single" w:sz="8" w:color="CCEEFF"/>
            </w:tcBorders>
          </w:tcPr>
          <w:p>
            <w:pPr>
              <w:jc w:val="right"/>
              <w:ind w:right="18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27,912</w:t>
            </w:r>
          </w:p>
        </w:tc>
        <w:tc>
          <w:tcPr>
            <w:tcW w:w="120" w:type="dxa"/>
            <w:vAlign w:val="bottom"/>
            <w:tcBorders>
              <w:bottom w:val="single" w:sz="8" w:color="CCEEFF"/>
            </w:tcBorders>
          </w:tcPr>
          <w:p>
            <w:pPr>
              <w:spacing w:after="0"/>
              <w:rPr>
                <w:sz w:val="15"/>
                <w:szCs w:val="15"/>
                <w:color w:val="auto"/>
              </w:rPr>
            </w:pPr>
          </w:p>
        </w:tc>
      </w:tr>
      <w:tr>
        <w:trPr>
          <w:trHeight w:val="19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 Equity</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75,214</w:t>
            </w:r>
          </w:p>
        </w:tc>
        <w:tc>
          <w:tcPr>
            <w:tcW w:w="3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75,204</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Sales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Goods Sold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Gross Profit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and administrative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Selling and marketing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Loss From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(Expense) Income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(expense) income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 in fair market value of warrant liability</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3"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6"/>
          <w:szCs w:val="16"/>
          <w:b w:val="1"/>
          <w:bCs w:val="1"/>
          <w:color w:val="auto"/>
        </w:rPr>
        <w:t>YEARS ENDED DECEMBER 31, 2024 AND 2023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85" w:lineRule="exact"/>
        <w:rPr>
          <w:sz w:val="20"/>
          <w:szCs w:val="20"/>
          <w:color w:val="auto"/>
        </w:rPr>
      </w:pPr>
    </w:p>
    <w:tbl>
      <w:tblPr>
        <w:tblLayout w:type="fixed"/>
        <w:tblInd w:w="3980" w:type="dxa"/>
        <w:tblCellMar>
          <w:top w:w="0" w:type="dxa"/>
          <w:left w:w="0" w:type="dxa"/>
          <w:bottom w:w="0" w:type="dxa"/>
          <w:right w:w="0" w:type="dxa"/>
        </w:tblCellMar>
      </w:tblPr>
      <w:tr>
        <w:trPr>
          <w:trHeight w:val="203"/>
        </w:trPr>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7"/>
                <w:szCs w:val="17"/>
                <w:color w:val="auto"/>
              </w:rPr>
            </w:pPr>
          </w:p>
        </w:tc>
      </w:tr>
      <w:tr>
        <w:trPr>
          <w:trHeight w:val="377"/>
        </w:trPr>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50,645</w:t>
            </w:r>
          </w:p>
        </w:tc>
        <w:tc>
          <w:tcPr>
            <w:tcW w:w="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64,392</w:t>
            </w:r>
          </w:p>
        </w:tc>
        <w:tc>
          <w:tcPr>
            <w:tcW w:w="60" w:type="dxa"/>
            <w:vAlign w:val="bottom"/>
          </w:tcPr>
          <w:p>
            <w:pPr>
              <w:spacing w:after="0"/>
              <w:rPr>
                <w:sz w:val="24"/>
                <w:szCs w:val="24"/>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5"/>
        </w:trPr>
        <w:tc>
          <w:tcPr>
            <w:tcW w:w="380" w:type="dxa"/>
            <w:vAlign w:val="bottom"/>
          </w:tcPr>
          <w:p>
            <w:pPr>
              <w:spacing w:after="0"/>
              <w:rPr>
                <w:sz w:val="24"/>
                <w:szCs w:val="24"/>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39,019</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48,946</w:t>
            </w:r>
          </w:p>
        </w:tc>
        <w:tc>
          <w:tcPr>
            <w:tcW w:w="6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11,626</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15,446</w:t>
            </w:r>
          </w:p>
        </w:tc>
        <w:tc>
          <w:tcPr>
            <w:tcW w:w="60" w:type="dxa"/>
            <w:vAlign w:val="bottom"/>
          </w:tcPr>
          <w:p>
            <w:pPr>
              <w:spacing w:after="0"/>
              <w:rPr>
                <w:sz w:val="24"/>
                <w:szCs w:val="24"/>
                <w:color w:val="auto"/>
              </w:rPr>
            </w:pPr>
          </w:p>
        </w:tc>
      </w:tr>
      <w:tr>
        <w:trPr>
          <w:trHeight w:val="544"/>
        </w:trPr>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60" w:type="dxa"/>
            <w:vAlign w:val="bottom"/>
          </w:tcPr>
          <w:p>
            <w:pPr>
              <w:spacing w:after="0"/>
              <w:rPr>
                <w:sz w:val="24"/>
                <w:szCs w:val="24"/>
                <w:color w:val="auto"/>
              </w:rPr>
            </w:pPr>
          </w:p>
        </w:tc>
      </w:tr>
      <w:tr>
        <w:trPr>
          <w:trHeight w:val="198"/>
        </w:trPr>
        <w:tc>
          <w:tcPr>
            <w:tcW w:w="380" w:type="dxa"/>
            <w:vAlign w:val="bottom"/>
          </w:tcPr>
          <w:p>
            <w:pPr>
              <w:spacing w:after="0"/>
              <w:rPr>
                <w:sz w:val="17"/>
                <w:szCs w:val="17"/>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21,909</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26,389</w:t>
            </w:r>
          </w:p>
        </w:tc>
        <w:tc>
          <w:tcPr>
            <w:tcW w:w="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10,025</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12,623</w:t>
            </w:r>
          </w:p>
        </w:tc>
        <w:tc>
          <w:tcPr>
            <w:tcW w:w="60" w:type="dxa"/>
            <w:vAlign w:val="bottom"/>
          </w:tcPr>
          <w:p>
            <w:pPr>
              <w:spacing w:after="0"/>
              <w:rPr>
                <w:sz w:val="17"/>
                <w:szCs w:val="17"/>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7"/>
        </w:trPr>
        <w:tc>
          <w:tcPr>
            <w:tcW w:w="380" w:type="dxa"/>
            <w:vAlign w:val="bottom"/>
          </w:tcPr>
          <w:p>
            <w:pPr>
              <w:spacing w:after="0"/>
              <w:rPr>
                <w:sz w:val="24"/>
                <w:szCs w:val="24"/>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37,385</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42,875</w:t>
            </w:r>
          </w:p>
        </w:tc>
        <w:tc>
          <w:tcPr>
            <w:tcW w:w="60" w:type="dxa"/>
            <w:vAlign w:val="bottom"/>
          </w:tcPr>
          <w:p>
            <w:pPr>
              <w:spacing w:after="0"/>
              <w:rPr>
                <w:sz w:val="24"/>
                <w:szCs w:val="24"/>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5"/>
        </w:trPr>
        <w:tc>
          <w:tcPr>
            <w:tcW w:w="380" w:type="dxa"/>
            <w:vAlign w:val="bottom"/>
          </w:tcPr>
          <w:p>
            <w:pPr>
              <w:spacing w:after="0"/>
              <w:rPr>
                <w:sz w:val="24"/>
                <w:szCs w:val="24"/>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(25,759)</w:t>
            </w:r>
          </w:p>
        </w:tc>
        <w:tc>
          <w:tcPr>
            <w:tcW w:w="40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(27,429)</w:t>
            </w:r>
          </w:p>
        </w:tc>
      </w:tr>
      <w:tr>
        <w:trPr>
          <w:trHeight w:val="544"/>
        </w:trPr>
        <w:tc>
          <w:tcPr>
            <w:tcW w:w="380" w:type="dxa"/>
            <w:vAlign w:val="bottom"/>
          </w:tcPr>
          <w:p>
            <w:pPr>
              <w:spacing w:after="0"/>
              <w:rPr>
                <w:sz w:val="24"/>
                <w:szCs w:val="24"/>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(21,504)</w:t>
            </w:r>
          </w:p>
        </w:tc>
        <w:tc>
          <w:tcPr>
            <w:tcW w:w="40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(16,015)</w:t>
            </w:r>
          </w:p>
        </w:tc>
      </w:tr>
      <w:tr>
        <w:trPr>
          <w:trHeight w:val="198"/>
        </w:trPr>
        <w:tc>
          <w:tcPr>
            <w:tcW w:w="380" w:type="dxa"/>
            <w:vAlign w:val="bottom"/>
          </w:tcPr>
          <w:p>
            <w:pPr>
              <w:spacing w:after="0"/>
              <w:rPr>
                <w:sz w:val="17"/>
                <w:szCs w:val="17"/>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6,684</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29,582</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-2200910</wp:posOffset>
            </wp:positionH>
            <wp:positionV relativeFrom="paragraph">
              <wp:posOffset>-2303780</wp:posOffset>
            </wp:positionV>
            <wp:extent cx="7150735" cy="1257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125730"/>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-2051685</wp:posOffset>
            </wp:positionV>
            <wp:extent cx="7150735" cy="1187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-1814195</wp:posOffset>
            </wp:positionV>
            <wp:extent cx="7150735" cy="1187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-1577340</wp:posOffset>
            </wp:positionV>
            <wp:extent cx="7150735" cy="1187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-1340485</wp:posOffset>
            </wp:positionV>
            <wp:extent cx="7150735" cy="1187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-1095375</wp:posOffset>
            </wp:positionV>
            <wp:extent cx="7150735" cy="1257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125730"/>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-843915</wp:posOffset>
            </wp:positionV>
            <wp:extent cx="7150735" cy="1257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125730"/>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-599440</wp:posOffset>
            </wp:positionV>
            <wp:extent cx="7150735" cy="1187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-361950</wp:posOffset>
            </wp:positionV>
            <wp:extent cx="7150735" cy="1187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-125095</wp:posOffset>
            </wp:positionV>
            <wp:extent cx="7150735" cy="1257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1257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40" w:space="520"/>
            <w:col w:w="7800"/>
          </w:cols>
          <w:pgMar w:left="320" w:top="611" w:right="319" w:bottom="1440" w:gutter="0" w:footer="0" w:header="0"/>
        </w:sectPr>
      </w:pPr>
    </w:p>
    <w:tbl>
      <w:tblPr>
        <w:tblLayout w:type="fixed"/>
        <w:tblInd w:w="0" w:type="dxa"/>
        <w:tblCellMar>
          <w:top w:w="0" w:type="dxa"/>
          <w:left w:w="0" w:type="dxa"/>
          <w:bottom w:w="0" w:type="dxa"/>
          <w:right w:w="0" w:type="dxa"/>
        </w:tblCellMar>
      </w:tblPr>
      <w:tr>
        <w:trPr>
          <w:trHeight w:val="179"/>
        </w:trPr>
        <w:tc>
          <w:tcPr>
            <w:tcW w:w="5440" w:type="dxa"/>
            <w:vAlign w:val="bottom"/>
            <w:tcBorders>
              <w:bottom w:val="single" w:sz="8" w:color="CCEEFF"/>
            </w:tcBorders>
          </w:tcPr>
          <w:p>
            <w:pPr>
              <w:ind w:left="120"/>
              <w:spacing w:after="0" w:line="179" w:lineRule="exact"/>
              <w:rPr>
                <w:sz w:val="20"/>
                <w:szCs w:val="20"/>
                <w:color w:val="auto"/>
              </w:rPr>
            </w:pPr>
            <w:r>
              <w:rPr>
                <w:rFonts w:ascii="Times New Roman" w:cs="Times New Roman" w:eastAsia="Times New Roman" w:hAnsi="Times New Roman"/>
                <w:sz w:val="16"/>
                <w:szCs w:val="16"/>
                <w:b w:val="1"/>
                <w:bCs w:val="1"/>
                <w:color w:val="auto"/>
              </w:rPr>
              <w:t>Total Other (Expense) Income</w:t>
            </w:r>
          </w:p>
        </w:tc>
        <w:tc>
          <w:tcPr>
            <w:tcW w:w="200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(14,856</w:t>
            </w:r>
          </w:p>
        </w:tc>
        <w:tc>
          <w:tcPr>
            <w:tcW w:w="320" w:type="dxa"/>
            <w:vAlign w:val="bottom"/>
            <w:tcBorders>
              <w:bottom w:val="single" w:sz="8" w:color="CCEEFF"/>
            </w:tcBorders>
          </w:tcPr>
          <w:p>
            <w:pPr>
              <w:jc w:val="right"/>
              <w:ind w:right="18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13,586</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4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Before Taxes</w:t>
            </w: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(40,615)</w:t>
            </w:r>
          </w:p>
        </w:tc>
        <w:tc>
          <w:tcPr>
            <w:tcW w:w="5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(13,843)</w:t>
            </w:r>
          </w:p>
        </w:tc>
        <w:tc>
          <w:tcPr>
            <w:tcW w:w="0" w:type="dxa"/>
            <w:vAlign w:val="bottom"/>
          </w:tcPr>
          <w:p>
            <w:pPr>
              <w:spacing w:after="0"/>
              <w:rPr>
                <w:sz w:val="1"/>
                <w:szCs w:val="1"/>
                <w:color w:val="auto"/>
              </w:rPr>
            </w:pPr>
          </w:p>
        </w:tc>
      </w:tr>
      <w:tr>
        <w:trPr>
          <w:trHeight w:val="178"/>
        </w:trPr>
        <w:tc>
          <w:tcPr>
            <w:tcW w:w="544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Expense (Benefit)</w:t>
            </w: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78"/>
        </w:trPr>
        <w:tc>
          <w:tcPr>
            <w:tcW w:w="544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5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(40,615)</w:t>
            </w:r>
          </w:p>
        </w:tc>
        <w:tc>
          <w:tcPr>
            <w:tcW w:w="58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(13,817)</w:t>
            </w:r>
          </w:p>
        </w:tc>
        <w:tc>
          <w:tcPr>
            <w:tcW w:w="0" w:type="dxa"/>
            <w:vAlign w:val="bottom"/>
          </w:tcPr>
          <w:p>
            <w:pPr>
              <w:spacing w:after="0"/>
              <w:rPr>
                <w:sz w:val="1"/>
                <w:szCs w:val="1"/>
                <w:color w:val="auto"/>
              </w:rPr>
            </w:pPr>
          </w:p>
        </w:tc>
      </w:tr>
      <w:tr>
        <w:trPr>
          <w:trHeight w:val="162"/>
        </w:trPr>
        <w:tc>
          <w:tcPr>
            <w:tcW w:w="544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Loss Per Share- Basic &amp; Diluted</w:t>
            </w:r>
          </w:p>
        </w:tc>
        <w:tc>
          <w:tcPr>
            <w:tcW w:w="25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(5.91)</w:t>
            </w:r>
          </w:p>
        </w:tc>
        <w:tc>
          <w:tcPr>
            <w:tcW w:w="58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162"/>
        </w:trPr>
        <w:tc>
          <w:tcPr>
            <w:tcW w:w="544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Shares - Basic &amp; Diluted</w:t>
            </w:r>
          </w:p>
        </w:tc>
        <w:tc>
          <w:tcPr>
            <w:tcW w:w="20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6,866,826</w:t>
            </w:r>
          </w:p>
        </w:tc>
        <w:tc>
          <w:tcPr>
            <w:tcW w:w="3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5,865,165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w w:val="98"/>
              </w:rPr>
              <w:t>The accompanying notes are an integral part of the consolidated financial statements.</w:t>
            </w:r>
          </w:p>
        </w:tc>
        <w:tc>
          <w:tcPr>
            <w:tcW w:w="2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544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4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right"/>
              <w:ind w:right="2280"/>
              <w:spacing w:after="0"/>
              <w:rPr>
                <w:sz w:val="20"/>
                <w:szCs w:val="20"/>
                <w:color w:val="auto"/>
              </w:rPr>
            </w:pPr>
            <w:r>
              <w:rPr>
                <w:rFonts w:ascii="Times New Roman" w:cs="Times New Roman" w:eastAsia="Times New Roman" w:hAnsi="Times New Roman"/>
                <w:sz w:val="16"/>
                <w:szCs w:val="16"/>
                <w:color w:val="auto"/>
              </w:rPr>
              <w:t>F-4</w:t>
            </w: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11" w:right="319" w:bottom="1440" w:gutter="0" w:footer="0" w:header="0"/>
          <w:type w:val="continuous"/>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SHAREHOLDERS’ EQUITY (DEFICIT)</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YEARS ENDED DECEMBER 31, 2024 AND 2023</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20" w:type="dxa"/>
            <w:vAlign w:val="bottom"/>
          </w:tcPr>
          <w:p>
            <w:pPr>
              <w:spacing w:after="0"/>
              <w:rPr>
                <w:sz w:val="18"/>
                <w:szCs w:val="18"/>
                <w:color w:val="auto"/>
              </w:rPr>
            </w:pPr>
          </w:p>
        </w:tc>
        <w:tc>
          <w:tcPr>
            <w:tcW w:w="2620" w:type="dxa"/>
            <w:vAlign w:val="bottom"/>
            <w:tcBorders>
              <w:bottom w:val="single" w:sz="8" w:color="auto"/>
            </w:tcBorders>
            <w:gridSpan w:val="3"/>
          </w:tcPr>
          <w:p>
            <w:pPr>
              <w:jc w:val="right"/>
              <w:ind w:right="642"/>
              <w:spacing w:after="0"/>
              <w:rPr>
                <w:sz w:val="20"/>
                <w:szCs w:val="20"/>
                <w:color w:val="auto"/>
              </w:rPr>
            </w:pPr>
            <w:r>
              <w:rPr>
                <w:rFonts w:ascii="Times New Roman" w:cs="Times New Roman" w:eastAsia="Times New Roman" w:hAnsi="Times New Roman"/>
                <w:sz w:val="16"/>
                <w:szCs w:val="16"/>
                <w:color w:val="auto"/>
              </w:rPr>
              <w:t>Common Stock</w:t>
            </w:r>
          </w:p>
        </w:tc>
        <w:tc>
          <w:tcPr>
            <w:tcW w:w="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w w:val="98"/>
              </w:rPr>
              <w:t>Additional Paid-In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Accumulated</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3620" w:type="dxa"/>
            <w:vAlign w:val="bottom"/>
          </w:tcPr>
          <w:p>
            <w:pPr>
              <w:spacing w:after="0"/>
              <w:rPr>
                <w:sz w:val="16"/>
                <w:szCs w:val="16"/>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Shares</w:t>
            </w: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Amount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Capital</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(Deficit)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Total</w:t>
            </w:r>
          </w:p>
        </w:tc>
      </w:tr>
      <w:tr>
        <w:trPr>
          <w:trHeight w:val="178"/>
        </w:trPr>
        <w:tc>
          <w:tcPr>
            <w:tcW w:w="36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January 1, 2023</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4,811,078</w:t>
            </w:r>
          </w:p>
        </w:tc>
        <w:tc>
          <w:tcPr>
            <w:tcW w:w="104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38,465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(27,722)</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10,743</w:t>
            </w:r>
          </w:p>
        </w:tc>
      </w:tr>
      <w:tr>
        <w:trPr>
          <w:trHeight w:val="187"/>
        </w:trPr>
        <w:tc>
          <w:tcPr>
            <w:tcW w:w="3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(13,817)</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(13,817)</w:t>
            </w:r>
          </w:p>
        </w:tc>
      </w:tr>
      <w:tr>
        <w:trPr>
          <w:trHeight w:val="170"/>
        </w:trPr>
        <w:tc>
          <w:tcPr>
            <w:tcW w:w="36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Common stock issued in public offering (ATM), net</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of costs</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65,389</w:t>
            </w:r>
          </w:p>
        </w:tc>
        <w:tc>
          <w:tcPr>
            <w:tcW w:w="104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1,273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20" w:type="dxa"/>
            <w:vAlign w:val="bottom"/>
          </w:tcPr>
          <w:p>
            <w:pPr>
              <w:spacing w:after="0"/>
              <w:rPr>
                <w:sz w:val="17"/>
                <w:szCs w:val="17"/>
                <w:color w:val="auto"/>
              </w:rPr>
            </w:pPr>
          </w:p>
        </w:tc>
      </w:tr>
      <w:tr>
        <w:trPr>
          <w:trHeight w:val="18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issued in public offering, net of 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1,267,223</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7,877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7,878</w:t>
            </w:r>
          </w:p>
        </w:tc>
        <w:tc>
          <w:tcPr>
            <w:tcW w:w="120" w:type="dxa"/>
            <w:vAlign w:val="bottom"/>
            <w:shd w:val="clear" w:color="auto" w:fill="CCEEFF"/>
          </w:tcPr>
          <w:p>
            <w:pPr>
              <w:spacing w:after="0"/>
              <w:rPr>
                <w:sz w:val="16"/>
                <w:szCs w:val="16"/>
                <w:color w:val="auto"/>
              </w:rPr>
            </w:pPr>
          </w:p>
        </w:tc>
      </w:tr>
      <w:tr>
        <w:trPr>
          <w:trHeight w:val="18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101,963</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586</w:t>
            </w:r>
          </w:p>
        </w:tc>
      </w:tr>
      <w:tr>
        <w:trPr>
          <w:trHeight w:val="18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public warrants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747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747</w:t>
            </w:r>
          </w:p>
        </w:tc>
      </w:tr>
      <w:tr>
        <w:trPr>
          <w:trHeight w:val="18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investor warrants</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30,345</w:t>
            </w:r>
          </w:p>
        </w:tc>
        <w:tc>
          <w:tcPr>
            <w:tcW w:w="10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546</w:t>
            </w:r>
          </w:p>
        </w:tc>
      </w:tr>
      <w:tr>
        <w:trPr>
          <w:trHeight w:val="18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Cashless exercise of liability classified warrants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341,036</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13,246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13,246</w:t>
            </w:r>
          </w:p>
        </w:tc>
      </w:tr>
      <w:tr>
        <w:trPr>
          <w:trHeight w:val="18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for vested restricted stock units</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71,334</w:t>
            </w:r>
          </w:p>
        </w:tc>
        <w:tc>
          <w:tcPr>
            <w:tcW w:w="10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8"/>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6,710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6,710</w:t>
            </w:r>
          </w:p>
        </w:tc>
        <w:tc>
          <w:tcPr>
            <w:tcW w:w="120" w:type="dxa"/>
            <w:vAlign w:val="bottom"/>
            <w:shd w:val="clear" w:color="auto" w:fill="CCEEFF"/>
          </w:tcPr>
          <w:p>
            <w:pPr>
              <w:spacing w:after="0"/>
              <w:rPr>
                <w:sz w:val="17"/>
                <w:szCs w:val="17"/>
                <w:color w:val="auto"/>
              </w:rPr>
            </w:pPr>
          </w:p>
        </w:tc>
      </w:tr>
      <w:tr>
        <w:trPr>
          <w:trHeight w:val="178"/>
        </w:trPr>
        <w:tc>
          <w:tcPr>
            <w:tcW w:w="36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6,695,587</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69,450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(41,539)</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27,912</w:t>
            </w:r>
          </w:p>
        </w:tc>
      </w:tr>
      <w:tr>
        <w:trPr>
          <w:trHeight w:val="187"/>
        </w:trPr>
        <w:tc>
          <w:tcPr>
            <w:tcW w:w="3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(40,615)</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(40,615)</w:t>
            </w:r>
          </w:p>
        </w:tc>
      </w:tr>
      <w:tr>
        <w:trPr>
          <w:trHeight w:val="170"/>
        </w:trPr>
        <w:tc>
          <w:tcPr>
            <w:tcW w:w="36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Adjustment due to the rounding impact from the</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reverse stock split in lieu of issuing fractional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123,408</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70"/>
        </w:trPr>
        <w:tc>
          <w:tcPr>
            <w:tcW w:w="36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Common stock issued in public offering (ATM), net</w:t>
            </w: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350,423</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7"/>
                <w:szCs w:val="17"/>
                <w:color w:val="auto"/>
              </w:rPr>
            </w:pPr>
          </w:p>
        </w:tc>
      </w:tr>
      <w:tr>
        <w:trPr>
          <w:trHeight w:val="18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under ESPP</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61,178</w:t>
            </w:r>
          </w:p>
        </w:tc>
        <w:tc>
          <w:tcPr>
            <w:tcW w:w="10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w:t>
            </w:r>
          </w:p>
        </w:tc>
      </w:tr>
      <w:tr>
        <w:trPr>
          <w:trHeight w:val="18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cancellation</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(49)</w:t>
            </w:r>
          </w:p>
        </w:tc>
        <w:tc>
          <w:tcPr>
            <w:tcW w:w="10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8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r>
      <w:tr>
        <w:trPr>
          <w:trHeight w:val="18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for vested restricted stock units</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863</w:t>
            </w:r>
          </w:p>
        </w:tc>
        <w:tc>
          <w:tcPr>
            <w:tcW w:w="10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8"/>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20" w:type="dxa"/>
            <w:vAlign w:val="bottom"/>
          </w:tcPr>
          <w:p>
            <w:pPr>
              <w:spacing w:after="0"/>
              <w:rPr>
                <w:sz w:val="17"/>
                <w:szCs w:val="17"/>
                <w:color w:val="auto"/>
              </w:rPr>
            </w:pPr>
          </w:p>
        </w:tc>
      </w:tr>
      <w:tr>
        <w:trPr>
          <w:trHeight w:val="178"/>
        </w:trPr>
        <w:tc>
          <w:tcPr>
            <w:tcW w:w="36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 December 31,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7,232,650</w:t>
            </w:r>
          </w:p>
        </w:tc>
        <w:tc>
          <w:tcPr>
            <w:tcW w:w="340" w:type="dxa"/>
            <w:vAlign w:val="bottom"/>
          </w:tcPr>
          <w:p>
            <w:pPr>
              <w:spacing w:after="0"/>
              <w:rPr>
                <w:sz w:val="18"/>
                <w:szCs w:val="18"/>
                <w:color w:val="auto"/>
              </w:rPr>
            </w:pP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72,749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(82154)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(9,404)</w:t>
            </w:r>
          </w:p>
        </w:tc>
      </w:tr>
      <w:tr>
        <w:trPr>
          <w:trHeight w:val="20"/>
        </w:trPr>
        <w:tc>
          <w:tcPr>
            <w:tcW w:w="36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8"/>
        </w:trPr>
        <w:tc>
          <w:tcPr>
            <w:tcW w:w="624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4"/>
        </w:trPr>
        <w:tc>
          <w:tcPr>
            <w:tcW w:w="3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rPr>
              <w:t>F-5</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11" w:right="31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16"/>
          <w:szCs w:val="16"/>
          <w:color w:val="auto"/>
        </w:rPr>
        <w:t>Cash flows from Operating Activities Net (Loss)</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Stock based compensation</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Change in fair market value of warrant liability</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Non-cash interest expense (paid-in kind)</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Amortization of right of use of assets</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Loss on disposal of property and equipment</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Loss on impairment of assets</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Write-off of prepaid inventory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Assets and Liabilities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Prepaid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Prepaid inventory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assets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 payable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Accounts payable and accrued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tariffs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settlement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revenue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Uncertain tax position liability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Customer deposits</w:t>
      </w:r>
    </w:p>
    <w:p>
      <w:pPr>
        <w:spacing w:after="0" w:line="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Adjustments</w:t>
      </w:r>
    </w:p>
    <w:p>
      <w:pPr>
        <w:spacing w:after="0" w:line="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Net Cash Used in Operating Activities</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6"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6"/>
          <w:szCs w:val="16"/>
          <w:b w:val="1"/>
          <w:bCs w:val="1"/>
          <w:color w:val="auto"/>
        </w:rPr>
        <w:t>YEARS ENDED DECEMBER 31, 2024 AND 2023</w:t>
      </w:r>
    </w:p>
    <w:p>
      <w:pPr>
        <w:spacing w:after="0" w:line="3"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5" w:lineRule="exact"/>
        <w:rPr>
          <w:sz w:val="20"/>
          <w:szCs w:val="20"/>
          <w:color w:val="auto"/>
        </w:rPr>
      </w:pPr>
    </w:p>
    <w:tbl>
      <w:tblPr>
        <w:tblLayout w:type="fixed"/>
        <w:tblInd w:w="3640" w:type="dxa"/>
        <w:tblCellMar>
          <w:top w:w="0" w:type="dxa"/>
          <w:left w:w="0" w:type="dxa"/>
          <w:bottom w:w="0" w:type="dxa"/>
          <w:right w:w="0" w:type="dxa"/>
        </w:tblCellMar>
      </w:tblPr>
      <w:tr>
        <w:trPr>
          <w:trHeight w:val="203"/>
        </w:trPr>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color w:val="auto"/>
              </w:rPr>
              <w:t>2023</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77"/>
        </w:trPr>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(40,615)</w:t>
            </w:r>
          </w:p>
        </w:tc>
        <w:tc>
          <w:tcPr>
            <w:tcW w:w="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(13,817)</w:t>
            </w:r>
          </w:p>
        </w:tc>
      </w:tr>
      <w:tr>
        <w:trPr>
          <w:trHeight w:val="536"/>
        </w:trPr>
        <w:tc>
          <w:tcPr>
            <w:tcW w:w="3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3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6,710</w:t>
            </w: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7,241</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6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(6,684)</w:t>
            </w:r>
          </w:p>
        </w:tc>
        <w:tc>
          <w:tcPr>
            <w:tcW w:w="4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(29,582)</w:t>
            </w:r>
          </w:p>
        </w:tc>
      </w:tr>
      <w:tr>
        <w:trPr>
          <w:trHeight w:val="187"/>
        </w:trPr>
        <w:tc>
          <w:tcPr>
            <w:tcW w:w="380" w:type="dxa"/>
            <w:vAlign w:val="bottom"/>
          </w:tcPr>
          <w:p>
            <w:pPr>
              <w:spacing w:after="0"/>
              <w:rPr>
                <w:sz w:val="16"/>
                <w:szCs w:val="16"/>
                <w:color w:val="auto"/>
              </w:rPr>
            </w:pPr>
          </w:p>
        </w:tc>
        <w:tc>
          <w:tcPr>
            <w:tcW w:w="164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10,058</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64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64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873</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20" w:type="dxa"/>
            <w:vAlign w:val="bottom"/>
          </w:tcPr>
          <w:p>
            <w:pPr>
              <w:spacing w:after="0"/>
              <w:rPr>
                <w:sz w:val="17"/>
                <w:szCs w:val="17"/>
                <w:color w:val="auto"/>
              </w:rPr>
            </w:pPr>
          </w:p>
        </w:tc>
      </w:tr>
      <w:tr>
        <w:trPr>
          <w:trHeight w:val="358"/>
        </w:trPr>
        <w:tc>
          <w:tcPr>
            <w:tcW w:w="380" w:type="dxa"/>
            <w:vAlign w:val="bottom"/>
          </w:tcPr>
          <w:p>
            <w:pPr>
              <w:spacing w:after="0"/>
              <w:rPr>
                <w:sz w:val="24"/>
                <w:szCs w:val="24"/>
                <w:color w:val="auto"/>
              </w:rPr>
            </w:pPr>
          </w:p>
        </w:tc>
        <w:tc>
          <w:tcPr>
            <w:tcW w:w="16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(780)</w:t>
            </w:r>
          </w:p>
        </w:tc>
        <w:tc>
          <w:tcPr>
            <w:tcW w:w="40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187"/>
        </w:trPr>
        <w:tc>
          <w:tcPr>
            <w:tcW w:w="380" w:type="dxa"/>
            <w:vAlign w:val="bottom"/>
          </w:tcPr>
          <w:p>
            <w:pPr>
              <w:spacing w:after="0"/>
              <w:rPr>
                <w:sz w:val="16"/>
                <w:szCs w:val="16"/>
                <w:color w:val="auto"/>
              </w:rPr>
            </w:pPr>
          </w:p>
        </w:tc>
        <w:tc>
          <w:tcPr>
            <w:tcW w:w="164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17,062</w:t>
            </w:r>
          </w:p>
        </w:tc>
        <w:tc>
          <w:tcPr>
            <w:tcW w:w="4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11,411</w:t>
            </w: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6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(42)</w:t>
            </w:r>
          </w:p>
        </w:tc>
        <w:tc>
          <w:tcPr>
            <w:tcW w:w="4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6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(50)</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6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(707)</w:t>
            </w:r>
          </w:p>
        </w:tc>
        <w:tc>
          <w:tcPr>
            <w:tcW w:w="4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6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(445)</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64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212</w:t>
            </w:r>
          </w:p>
        </w:tc>
        <w:tc>
          <w:tcPr>
            <w:tcW w:w="4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6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(5,365)</w:t>
            </w:r>
          </w:p>
        </w:tc>
        <w:tc>
          <w:tcPr>
            <w:tcW w:w="4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(3,527)</w:t>
            </w:r>
          </w:p>
        </w:tc>
      </w:tr>
      <w:tr>
        <w:trPr>
          <w:trHeight w:val="187"/>
        </w:trPr>
        <w:tc>
          <w:tcPr>
            <w:tcW w:w="380" w:type="dxa"/>
            <w:vAlign w:val="bottom"/>
          </w:tcPr>
          <w:p>
            <w:pPr>
              <w:spacing w:after="0"/>
              <w:rPr>
                <w:sz w:val="16"/>
                <w:szCs w:val="16"/>
                <w:color w:val="auto"/>
              </w:rPr>
            </w:pPr>
          </w:p>
        </w:tc>
        <w:tc>
          <w:tcPr>
            <w:tcW w:w="164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202</w:t>
            </w:r>
          </w:p>
        </w:tc>
        <w:tc>
          <w:tcPr>
            <w:tcW w:w="4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80" w:type="dxa"/>
            <w:vAlign w:val="bottom"/>
          </w:tcPr>
          <w:p>
            <w:pPr>
              <w:spacing w:after="0"/>
              <w:rPr>
                <w:sz w:val="16"/>
                <w:szCs w:val="16"/>
                <w:color w:val="auto"/>
              </w:rPr>
            </w:pPr>
          </w:p>
        </w:tc>
        <w:tc>
          <w:tcPr>
            <w:tcW w:w="16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(36)</w:t>
            </w:r>
          </w:p>
        </w:tc>
        <w:tc>
          <w:tcPr>
            <w:tcW w:w="4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4"/>
        </w:trPr>
        <w:tc>
          <w:tcPr>
            <w:tcW w:w="380" w:type="dxa"/>
            <w:vAlign w:val="bottom"/>
          </w:tcPr>
          <w:p>
            <w:pPr>
              <w:spacing w:after="0"/>
              <w:rPr>
                <w:sz w:val="18"/>
                <w:szCs w:val="18"/>
                <w:color w:val="auto"/>
              </w:rPr>
            </w:pPr>
          </w:p>
        </w:tc>
        <w:tc>
          <w:tcPr>
            <w:tcW w:w="164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116</w:t>
            </w:r>
          </w:p>
        </w:tc>
        <w:tc>
          <w:tcPr>
            <w:tcW w:w="4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179"/>
        </w:trPr>
        <w:tc>
          <w:tcPr>
            <w:tcW w:w="3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33,433</w:t>
            </w:r>
          </w:p>
        </w:tc>
        <w:tc>
          <w:tcPr>
            <w:tcW w:w="32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(3,889</w:t>
            </w:r>
          </w:p>
        </w:tc>
        <w:tc>
          <w:tcPr>
            <w:tcW w:w="6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r>
      <w:tr>
        <w:trPr>
          <w:trHeight w:val="178"/>
        </w:trPr>
        <w:tc>
          <w:tcPr>
            <w:tcW w:w="38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(7,182</w:t>
            </w:r>
          </w:p>
        </w:tc>
        <w:tc>
          <w:tcPr>
            <w:tcW w:w="320" w:type="dxa"/>
            <w:vAlign w:val="bottom"/>
          </w:tcPr>
          <w:p>
            <w:pPr>
              <w:jc w:val="right"/>
              <w:ind w:right="18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15"/>
                <w:szCs w:val="15"/>
                <w:color w:val="auto"/>
              </w:rPr>
            </w:pPr>
          </w:p>
        </w:tc>
        <w:tc>
          <w:tcPr>
            <w:tcW w:w="12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(17,706</w:t>
            </w:r>
          </w:p>
        </w:tc>
        <w:tc>
          <w:tcPr>
            <w:tcW w:w="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-2416810</wp:posOffset>
            </wp:positionH>
            <wp:positionV relativeFrom="paragraph">
              <wp:posOffset>-3608070</wp:posOffset>
            </wp:positionV>
            <wp:extent cx="7150735" cy="1257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735" cy="125730"/>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-3355975</wp:posOffset>
            </wp:positionV>
            <wp:extent cx="7150735" cy="1257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125730"/>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-3111500</wp:posOffset>
            </wp:positionV>
            <wp:extent cx="7150735" cy="1187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-2874645</wp:posOffset>
            </wp:positionV>
            <wp:extent cx="7150735" cy="1187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-2637155</wp:posOffset>
            </wp:positionV>
            <wp:extent cx="7150735" cy="1187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-2400300</wp:posOffset>
            </wp:positionV>
            <wp:extent cx="7150735" cy="1187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-2163445</wp:posOffset>
            </wp:positionV>
            <wp:extent cx="7150735" cy="1187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-1925955</wp:posOffset>
            </wp:positionV>
            <wp:extent cx="7150735" cy="1187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-1689100</wp:posOffset>
            </wp:positionV>
            <wp:extent cx="7150735" cy="1187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-1451610</wp:posOffset>
            </wp:positionV>
            <wp:extent cx="7150735" cy="1187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-1214755</wp:posOffset>
            </wp:positionV>
            <wp:extent cx="7150735" cy="1187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-977265</wp:posOffset>
            </wp:positionV>
            <wp:extent cx="7150735" cy="1187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-740410</wp:posOffset>
            </wp:positionV>
            <wp:extent cx="7150735" cy="1187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-503555</wp:posOffset>
            </wp:positionV>
            <wp:extent cx="7150735" cy="1187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-258445</wp:posOffset>
            </wp:positionV>
            <wp:extent cx="7150735" cy="1257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125730"/>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-6985</wp:posOffset>
            </wp:positionV>
            <wp:extent cx="7150735" cy="1257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12573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3080" w:space="720"/>
            <w:col w:w="7400"/>
          </w:cols>
          <w:pgMar w:left="320" w:top="611" w:right="37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Cash Flows From Investing Activities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50735" cy="1257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1257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Purchase of property and equipment</w:t>
      </w:r>
    </w:p>
    <w:p>
      <w:pPr>
        <w:spacing w:after="0" w:line="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150735" cy="1257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1257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191"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8</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-100965</wp:posOffset>
            </wp:positionV>
            <wp:extent cx="108204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82040" cy="762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24130</wp:posOffset>
            </wp:positionV>
            <wp:extent cx="108204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820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-100965</wp:posOffset>
            </wp:positionV>
            <wp:extent cx="106680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66800" cy="762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24130</wp:posOffset>
            </wp:positionV>
            <wp:extent cx="106680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66800" cy="7620"/>
                    </a:xfrm>
                    <a:prstGeom prst="rect">
                      <a:avLst/>
                    </a:prstGeom>
                    <a:noFill/>
                  </pic:spPr>
                </pic:pic>
              </a:graphicData>
            </a:graphic>
          </wp:anchor>
        </w:drawing>
      </w:r>
    </w:p>
    <w:p>
      <w:pPr>
        <w:sectPr>
          <w:pgSz w:w="11900" w:h="16838" w:orient="portrait"/>
          <w:cols w:equalWidth="0" w:num="3">
            <w:col w:w="8020" w:space="720"/>
            <w:col w:w="1280" w:space="720"/>
            <w:col w:w="460"/>
          </w:cols>
          <w:pgMar w:left="320" w:top="611" w:right="379" w:bottom="1440" w:gutter="0" w:footer="0" w:header="0"/>
          <w:type w:val="continuous"/>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(continued from previous page)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Flows From Financing Activities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public offering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public offering (ATM), net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note payable, related party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Repayment of note payable, related party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Repayment of note payable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exercise of public warrants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exercise of options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exercise of investor warrants</w:t>
      </w:r>
    </w:p>
    <w:p>
      <w:pPr>
        <w:spacing w:after="0" w:line="3"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Net Cash Provided by Financing Activities</w:t>
      </w:r>
    </w:p>
    <w:p>
      <w:pPr>
        <w:spacing w:after="0" w:line="20" w:lineRule="exact"/>
        <w:rPr>
          <w:sz w:val="20"/>
          <w:szCs w:val="20"/>
          <w:color w:val="auto"/>
        </w:rPr>
      </w:pPr>
      <w:r>
        <w:rPr>
          <w:sz w:val="20"/>
          <w:szCs w:val="20"/>
          <w:color w:val="auto"/>
        </w:rPr>
        <w:br w:type="column"/>
      </w:r>
    </w:p>
    <w:p>
      <w:pPr>
        <w:jc w:val="center"/>
        <w:ind w:right="3260"/>
        <w:spacing w:after="0" w:line="254" w:lineRule="auto"/>
        <w:rPr>
          <w:sz w:val="20"/>
          <w:szCs w:val="20"/>
          <w:color w:val="auto"/>
        </w:rPr>
      </w:pPr>
      <w:r>
        <w:rPr>
          <w:rFonts w:ascii="Times New Roman" w:cs="Times New Roman" w:eastAsia="Times New Roman" w:hAnsi="Times New Roman"/>
          <w:sz w:val="16"/>
          <w:szCs w:val="16"/>
          <w:b w:val="1"/>
          <w:bCs w:val="1"/>
          <w:color w:val="auto"/>
        </w:rPr>
        <w:t>DRAGONFLY ENERGY HOLDINGS CORP. CONSOLIDATED STATEMENTS OF CASH FLOWS (CONTINUED) YEARS ENDED DECEMBER 31, 2024 AND 2023 (IN THOUSANDS)</w:t>
      </w:r>
    </w:p>
    <w:p>
      <w:pPr>
        <w:spacing w:after="0" w:line="363" w:lineRule="exact"/>
        <w:rPr>
          <w:sz w:val="20"/>
          <w:szCs w:val="20"/>
          <w:color w:val="auto"/>
        </w:rPr>
      </w:pPr>
    </w:p>
    <w:tbl>
      <w:tblPr>
        <w:tblLayout w:type="fixed"/>
        <w:tblInd w:w="4200" w:type="dxa"/>
        <w:tblCellMar>
          <w:top w:w="0" w:type="dxa"/>
          <w:left w:w="0" w:type="dxa"/>
          <w:bottom w:w="0" w:type="dxa"/>
          <w:right w:w="0" w:type="dxa"/>
        </w:tblCellMar>
      </w:tblPr>
      <w:tr>
        <w:trPr>
          <w:trHeight w:val="203"/>
        </w:trPr>
        <w:tc>
          <w:tcPr>
            <w:tcW w:w="17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Pr>
          <w:p>
            <w:pPr>
              <w:spacing w:after="0"/>
              <w:rPr>
                <w:sz w:val="17"/>
                <w:szCs w:val="17"/>
                <w:color w:val="auto"/>
              </w:rPr>
            </w:pPr>
          </w:p>
        </w:tc>
        <w:tc>
          <w:tcPr>
            <w:tcW w:w="16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7"/>
                <w:szCs w:val="17"/>
                <w:color w:val="auto"/>
              </w:rPr>
            </w:pPr>
          </w:p>
        </w:tc>
      </w:tr>
      <w:tr>
        <w:trPr>
          <w:trHeight w:val="349"/>
        </w:trPr>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21,646</w:t>
            </w:r>
          </w:p>
        </w:tc>
        <w:tc>
          <w:tcPr>
            <w:tcW w:w="60" w:type="dxa"/>
            <w:vAlign w:val="bottom"/>
          </w:tcPr>
          <w:p>
            <w:pPr>
              <w:spacing w:after="0"/>
              <w:rPr>
                <w:sz w:val="24"/>
                <w:szCs w:val="24"/>
                <w:color w:val="auto"/>
              </w:rPr>
            </w:pPr>
          </w:p>
        </w:tc>
      </w:tr>
      <w:tr>
        <w:trPr>
          <w:trHeight w:val="187"/>
        </w:trPr>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60" w:type="dxa"/>
            <w:vAlign w:val="bottom"/>
          </w:tcPr>
          <w:p>
            <w:pPr>
              <w:spacing w:after="0"/>
              <w:rPr>
                <w:sz w:val="16"/>
                <w:szCs w:val="16"/>
                <w:color w:val="auto"/>
              </w:rPr>
            </w:pPr>
          </w:p>
        </w:tc>
      </w:tr>
      <w:tr>
        <w:trPr>
          <w:trHeight w:val="187"/>
        </w:trPr>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16"/>
                <w:szCs w:val="16"/>
                <w:color w:val="auto"/>
              </w:rPr>
            </w:pPr>
          </w:p>
        </w:tc>
      </w:tr>
      <w:tr>
        <w:trPr>
          <w:trHeight w:val="187"/>
        </w:trPr>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(2,700)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187"/>
        </w:trPr>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(5,275)</w:t>
            </w:r>
          </w:p>
        </w:tc>
      </w:tr>
      <w:tr>
        <w:trPr>
          <w:trHeight w:val="187"/>
        </w:trPr>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60" w:type="dxa"/>
            <w:vAlign w:val="bottom"/>
          </w:tcPr>
          <w:p>
            <w:pPr>
              <w:spacing w:after="0"/>
              <w:rPr>
                <w:sz w:val="16"/>
                <w:szCs w:val="16"/>
                <w:color w:val="auto"/>
              </w:rPr>
            </w:pPr>
          </w:p>
        </w:tc>
      </w:tr>
      <w:tr>
        <w:trPr>
          <w:trHeight w:val="198"/>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60" w:type="dxa"/>
            <w:vAlign w:val="bottom"/>
          </w:tcPr>
          <w:p>
            <w:pPr>
              <w:spacing w:after="0"/>
              <w:rPr>
                <w:sz w:val="17"/>
                <w:szCs w:val="17"/>
                <w:color w:val="auto"/>
              </w:rPr>
            </w:pPr>
          </w:p>
        </w:tc>
      </w:tr>
      <w:tr>
        <w:trPr>
          <w:trHeight w:val="203"/>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60" w:type="dxa"/>
            <w:vAlign w:val="bottom"/>
          </w:tcPr>
          <w:p>
            <w:pPr>
              <w:spacing w:after="0"/>
              <w:rPr>
                <w:sz w:val="17"/>
                <w:szCs w:val="17"/>
                <w:color w:val="auto"/>
              </w:rPr>
            </w:pPr>
          </w:p>
        </w:tc>
      </w:tr>
      <w:tr>
        <w:trPr>
          <w:trHeight w:val="179"/>
        </w:trPr>
        <w:tc>
          <w:tcPr>
            <w:tcW w:w="170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2,047</w:t>
            </w:r>
          </w:p>
        </w:tc>
        <w:tc>
          <w:tcPr>
            <w:tcW w:w="320" w:type="dxa"/>
            <w:vAlign w:val="bottom"/>
          </w:tcPr>
          <w:p>
            <w:pPr>
              <w:spacing w:after="0"/>
              <w:rPr>
                <w:sz w:val="15"/>
                <w:szCs w:val="15"/>
                <w:color w:val="auto"/>
              </w:rPr>
            </w:pPr>
          </w:p>
        </w:tc>
        <w:tc>
          <w:tcPr>
            <w:tcW w:w="16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19,523</w:t>
            </w: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-1214755</wp:posOffset>
            </wp:positionV>
            <wp:extent cx="7150735" cy="1257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12573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-970280</wp:posOffset>
            </wp:positionV>
            <wp:extent cx="7150735" cy="1187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-732790</wp:posOffset>
            </wp:positionV>
            <wp:extent cx="7150735" cy="1187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-495935</wp:posOffset>
            </wp:positionV>
            <wp:extent cx="7150735" cy="1187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-258445</wp:posOffset>
            </wp:positionV>
            <wp:extent cx="7150735" cy="1257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1257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40" w:space="300"/>
            <w:col w:w="8020"/>
          </w:cols>
          <w:pgMar w:left="320" w:top="611" w:right="319" w:bottom="1440" w:gutter="0" w:footer="0" w:header="0"/>
        </w:sectPr>
      </w:pPr>
    </w:p>
    <w:tbl>
      <w:tblPr>
        <w:tblLayout w:type="fixed"/>
        <w:tblInd w:w="0" w:type="dxa"/>
        <w:tblCellMar>
          <w:top w:w="0" w:type="dxa"/>
          <w:left w:w="0" w:type="dxa"/>
          <w:bottom w:w="0" w:type="dxa"/>
          <w:right w:w="0" w:type="dxa"/>
        </w:tblCellMar>
      </w:tblPr>
      <w:tr>
        <w:trPr>
          <w:trHeight w:val="167"/>
        </w:trPr>
        <w:tc>
          <w:tcPr>
            <w:tcW w:w="6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(7,864)</w:t>
            </w:r>
          </w:p>
        </w:tc>
        <w:tc>
          <w:tcPr>
            <w:tcW w:w="680" w:type="dxa"/>
            <w:vAlign w:val="bottom"/>
          </w:tcPr>
          <w:p>
            <w:pPr>
              <w:spacing w:after="0"/>
              <w:rPr>
                <w:sz w:val="16"/>
                <w:szCs w:val="16"/>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(5,068)</w:t>
            </w: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Cash and cash equivalents - beginning of year</w:t>
            </w: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12,713</w:t>
            </w:r>
          </w:p>
        </w:tc>
        <w:tc>
          <w:tcPr>
            <w:tcW w:w="6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color w:val="auto"/>
              </w:rPr>
              <w:t>Ending Cash and cash equivalents - end of year</w:t>
            </w:r>
          </w:p>
        </w:tc>
        <w:tc>
          <w:tcPr>
            <w:tcW w:w="880" w:type="dxa"/>
            <w:vAlign w:val="bottom"/>
            <w:tcBorders>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4,849</w:t>
            </w:r>
          </w:p>
        </w:tc>
        <w:tc>
          <w:tcPr>
            <w:tcW w:w="320" w:type="dxa"/>
            <w:vAlign w:val="bottom"/>
            <w:tcBorders>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12,713</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560" w:type="dxa"/>
            <w:vAlign w:val="bottom"/>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880" w:type="dxa"/>
            <w:vAlign w:val="bottom"/>
            <w:tcBorders>
              <w:top w:val="single" w:sz="8" w:color="CCEEFF"/>
              <w:bottom w:val="single" w:sz="8" w:color="CCEEFF"/>
            </w:tcBorders>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6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CCEEFF"/>
            </w:tcBorders>
            <w:vMerge w:val="continue"/>
          </w:tcPr>
          <w:p>
            <w:pPr>
              <w:spacing w:after="0"/>
              <w:rPr>
                <w:sz w:val="17"/>
                <w:szCs w:val="17"/>
                <w:color w:val="auto"/>
              </w:rPr>
            </w:pPr>
          </w:p>
        </w:tc>
        <w:tc>
          <w:tcPr>
            <w:tcW w:w="680" w:type="dxa"/>
            <w:vAlign w:val="bottom"/>
            <w:tcBorders>
              <w:bottom w:val="single" w:sz="8" w:color="auto"/>
            </w:tcBorders>
          </w:tcPr>
          <w:p>
            <w:pPr>
              <w:jc w:val="right"/>
              <w:ind w:right="522"/>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6,288</w:t>
            </w:r>
          </w:p>
        </w:tc>
        <w:tc>
          <w:tcPr>
            <w:tcW w:w="3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522"/>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9,102</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Supplemental Non-Cash Items</w:t>
            </w:r>
          </w:p>
        </w:tc>
        <w:tc>
          <w:tcPr>
            <w:tcW w:w="8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 not yet paid</w:t>
            </w:r>
          </w:p>
        </w:tc>
        <w:tc>
          <w:tcPr>
            <w:tcW w:w="1560" w:type="dxa"/>
            <w:vAlign w:val="bottom"/>
            <w:gridSpan w:val="2"/>
          </w:tcPr>
          <w:p>
            <w:pPr>
              <w:jc w:val="right"/>
              <w:ind w:right="5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320" w:type="dxa"/>
            <w:vAlign w:val="bottom"/>
          </w:tcPr>
          <w:p>
            <w:pPr>
              <w:spacing w:after="0"/>
              <w:rPr>
                <w:sz w:val="21"/>
                <w:szCs w:val="21"/>
                <w:color w:val="auto"/>
              </w:rPr>
            </w:pPr>
          </w:p>
        </w:tc>
        <w:tc>
          <w:tcPr>
            <w:tcW w:w="68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560" w:type="dxa"/>
            <w:vAlign w:val="bottom"/>
            <w:tcBorders>
              <w:top w:val="single" w:sz="8" w:color="CCEEFF"/>
              <w:bottom w:val="single" w:sz="8" w:color="CCEEFF"/>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Recognition of right of use asset obtained in exchange for operating lease liability</w:t>
            </w: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522"/>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18,653</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522"/>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Recognition of leasehold improvements obtained in exchange for operating lease liability</w:t>
            </w:r>
          </w:p>
        </w:tc>
        <w:tc>
          <w:tcPr>
            <w:tcW w:w="8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6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CCEEFF"/>
            </w:tcBorders>
            <w:vMerge w:val="continue"/>
          </w:tcPr>
          <w:p>
            <w:pPr>
              <w:spacing w:after="0"/>
              <w:rPr>
                <w:sz w:val="17"/>
                <w:szCs w:val="17"/>
                <w:color w:val="auto"/>
              </w:rPr>
            </w:pPr>
          </w:p>
        </w:tc>
        <w:tc>
          <w:tcPr>
            <w:tcW w:w="680" w:type="dxa"/>
            <w:vAlign w:val="bottom"/>
            <w:tcBorders>
              <w:bottom w:val="single" w:sz="8" w:color="auto"/>
            </w:tcBorders>
          </w:tcPr>
          <w:p>
            <w:pPr>
              <w:jc w:val="right"/>
              <w:ind w:right="52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4,683</w:t>
            </w:r>
          </w:p>
        </w:tc>
        <w:tc>
          <w:tcPr>
            <w:tcW w:w="3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52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560" w:type="dxa"/>
            <w:vAlign w:val="bottom"/>
            <w:tcBorders>
              <w:bottom w:val="single" w:sz="8" w:color="CCEEFF"/>
            </w:tcBorders>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Recognition of warrant liability - Investor Warrants</w:t>
            </w:r>
          </w:p>
        </w:tc>
        <w:tc>
          <w:tcPr>
            <w:tcW w:w="8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2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2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13,762</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Recognition of warrant liability - Penny Warrants</w:t>
            </w:r>
          </w:p>
        </w:tc>
        <w:tc>
          <w:tcPr>
            <w:tcW w:w="8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6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CCEEFF"/>
            </w:tcBorders>
            <w:vMerge w:val="continue"/>
          </w:tcPr>
          <w:p>
            <w:pPr>
              <w:spacing w:after="0"/>
              <w:rPr>
                <w:sz w:val="17"/>
                <w:szCs w:val="17"/>
                <w:color w:val="auto"/>
              </w:rPr>
            </w:pPr>
          </w:p>
        </w:tc>
        <w:tc>
          <w:tcPr>
            <w:tcW w:w="680" w:type="dxa"/>
            <w:vAlign w:val="bottom"/>
            <w:tcBorders>
              <w:bottom w:val="single" w:sz="8" w:color="auto"/>
            </w:tcBorders>
          </w:tcPr>
          <w:p>
            <w:pPr>
              <w:jc w:val="right"/>
              <w:ind w:right="52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7,354</w:t>
            </w:r>
          </w:p>
        </w:tc>
        <w:tc>
          <w:tcPr>
            <w:tcW w:w="3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52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698</w:t>
            </w:r>
          </w:p>
        </w:tc>
        <w:tc>
          <w:tcPr>
            <w:tcW w:w="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560" w:type="dxa"/>
            <w:vAlign w:val="bottom"/>
            <w:tcBorders>
              <w:bottom w:val="single" w:sz="8" w:color="CCEEFF"/>
            </w:tcBorders>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Settlement of accrued liability for employee stock purchase plan</w:t>
            </w:r>
          </w:p>
        </w:tc>
        <w:tc>
          <w:tcPr>
            <w:tcW w:w="8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2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250</w:t>
            </w:r>
          </w:p>
        </w:tc>
        <w:tc>
          <w:tcPr>
            <w:tcW w:w="3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2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Reclassification of assets held for sale</w:t>
            </w:r>
          </w:p>
        </w:tc>
        <w:tc>
          <w:tcPr>
            <w:tcW w:w="8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6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CCEEFF"/>
            </w:tcBorders>
            <w:vMerge w:val="continue"/>
          </w:tcPr>
          <w:p>
            <w:pPr>
              <w:spacing w:after="0"/>
              <w:rPr>
                <w:sz w:val="17"/>
                <w:szCs w:val="17"/>
                <w:color w:val="auto"/>
              </w:rPr>
            </w:pPr>
          </w:p>
        </w:tc>
        <w:tc>
          <w:tcPr>
            <w:tcW w:w="680" w:type="dxa"/>
            <w:vAlign w:val="bottom"/>
            <w:tcBorders>
              <w:bottom w:val="single" w:sz="8" w:color="auto"/>
            </w:tcBorders>
          </w:tcPr>
          <w:p>
            <w:pPr>
              <w:jc w:val="right"/>
              <w:ind w:right="52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644</w:t>
            </w:r>
          </w:p>
        </w:tc>
        <w:tc>
          <w:tcPr>
            <w:tcW w:w="320" w:type="dxa"/>
            <w:vAlign w:val="bottom"/>
            <w:tcBorders>
              <w:bottom w:val="single" w:sz="8" w:color="CCEEFF"/>
            </w:tcBorders>
            <w:vMerge w:val="continue"/>
          </w:tcPr>
          <w:p>
            <w:pPr>
              <w:spacing w:after="0"/>
              <w:rPr>
                <w:sz w:val="17"/>
                <w:szCs w:val="17"/>
                <w:color w:val="auto"/>
              </w:rPr>
            </w:pPr>
          </w:p>
        </w:tc>
        <w:tc>
          <w:tcPr>
            <w:tcW w:w="680" w:type="dxa"/>
            <w:vAlign w:val="bottom"/>
            <w:tcBorders>
              <w:bottom w:val="single" w:sz="8" w:color="auto"/>
            </w:tcBorders>
          </w:tcPr>
          <w:p>
            <w:pPr>
              <w:jc w:val="right"/>
              <w:ind w:right="52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560" w:type="dxa"/>
            <w:vAlign w:val="bottom"/>
            <w:tcBorders>
              <w:bottom w:val="single" w:sz="8" w:color="CCEEFF"/>
            </w:tcBorders>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Non-cash impact of cash exercise of liability classified warrants</w:t>
            </w:r>
          </w:p>
        </w:tc>
        <w:tc>
          <w:tcPr>
            <w:tcW w:w="8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2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2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617</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Cashless exercise of liability classified warrants</w:t>
            </w:r>
          </w:p>
        </w:tc>
        <w:tc>
          <w:tcPr>
            <w:tcW w:w="8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80" w:type="dxa"/>
            <w:vAlign w:val="bottom"/>
            <w:tcBorders>
              <w:bottom w:val="single" w:sz="8" w:color="auto"/>
            </w:tcBorders>
          </w:tcPr>
          <w:p>
            <w:pPr>
              <w:jc w:val="right"/>
              <w:ind w:right="52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680" w:type="dxa"/>
            <w:vAlign w:val="bottom"/>
            <w:tcBorders>
              <w:bottom w:val="single" w:sz="8" w:color="auto"/>
            </w:tcBorders>
          </w:tcPr>
          <w:p>
            <w:pPr>
              <w:jc w:val="right"/>
              <w:ind w:right="522"/>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12,629</w:t>
            </w: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type w:val="continuous"/>
        </w:sectPr>
      </w:pPr>
    </w:p>
    <w:bookmarkStart w:id="114" w:name="page115"/>
    <w:bookmarkEnd w:id="11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NATURE OF BUSINESS</w:t>
      </w:r>
    </w:p>
    <w:p>
      <w:pPr>
        <w:spacing w:after="0" w:line="191"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Dragonfly Energy Holdings Corp.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spacing w:after="0" w:line="160"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On March 31, 2023, the Company changed its state of incorporation from the State of Delaware to the State of Nevada (the “Reincorporation”) pursuant to a plan of conversion dated March 30, 2023 (the “Plan of Conversion”). Pursuant to the Plan of Conversion, the issued and outstanding shares of common stock of the Company were automatically converted into common stock of the reincorporated company at the effective time of the Reincorporation.</w:t>
      </w:r>
    </w:p>
    <w:p>
      <w:pPr>
        <w:spacing w:after="0" w:line="160" w:lineRule="exact"/>
        <w:rPr>
          <w:sz w:val="20"/>
          <w:szCs w:val="20"/>
          <w:color w:val="auto"/>
        </w:rPr>
      </w:pPr>
    </w:p>
    <w:p>
      <w:pPr>
        <w:jc w:val="both"/>
        <w:ind w:hanging="7"/>
        <w:spacing w:after="0" w:line="267" w:lineRule="auto"/>
        <w:rPr>
          <w:sz w:val="20"/>
          <w:szCs w:val="20"/>
          <w:color w:val="auto"/>
        </w:rPr>
      </w:pPr>
      <w:r>
        <w:rPr>
          <w:rFonts w:ascii="Times New Roman" w:cs="Times New Roman" w:eastAsia="Times New Roman" w:hAnsi="Times New Roman"/>
          <w:sz w:val="16"/>
          <w:szCs w:val="16"/>
          <w:color w:val="auto"/>
        </w:rPr>
        <w:t>On November 29, 2023, the Company filed an amendment to the articles of incorporation with the State of Nevada, to increase the number of authorized shares of it common stock to 250,000,000 shares. The par value remained at $0.0001 per share.</w:t>
      </w:r>
    </w:p>
    <w:p>
      <w:pPr>
        <w:spacing w:after="0" w:line="151" w:lineRule="exact"/>
        <w:rPr>
          <w:sz w:val="20"/>
          <w:szCs w:val="20"/>
          <w:color w:val="auto"/>
        </w:rPr>
      </w:pPr>
    </w:p>
    <w:p>
      <w:pPr>
        <w:jc w:val="both"/>
        <w:ind w:right="20" w:hanging="7"/>
        <w:spacing w:after="0" w:line="309" w:lineRule="auto"/>
        <w:rPr>
          <w:sz w:val="20"/>
          <w:szCs w:val="20"/>
          <w:color w:val="auto"/>
        </w:rPr>
      </w:pPr>
      <w:r>
        <w:rPr>
          <w:rFonts w:ascii="Times New Roman" w:cs="Times New Roman" w:eastAsia="Times New Roman" w:hAnsi="Times New Roman"/>
          <w:sz w:val="14"/>
          <w:szCs w:val="14"/>
          <w:color w:val="auto"/>
        </w:rPr>
        <w:t>On November 12, 2024, the Company’s Board of Directors approved the implementation of a 1-for-9 reverse stock split of the Company’s common stock, par value $0.0001 per share (“Common Stock”) and a corresponding proportional reduction in the number of common stock shares issued and outstanding. The reverse stock split was effected upon market open on November 22, 2024, (the “Effective Date”), and shares of Common Stock began trading on a split-adjusted basis as of market open on November 22, 2024.</w:t>
      </w:r>
    </w:p>
    <w:p>
      <w:pPr>
        <w:spacing w:after="0" w:line="125"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All shares of Common Stock, stock option awards and per share amounts contained in the Consolidated Financial Statements and Notes have been retroactively adjusted to reflect the 1-for-9 reverse stock split.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Basis of presentation</w:t>
      </w:r>
    </w:p>
    <w:p>
      <w:pPr>
        <w:spacing w:after="0" w:line="191"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The accompanying consolidated financial statements and related notes have been prepared pursuant to the rules and regulations of the Securities and Exchange Commission (“SEC”) and in accordance with generally accepted accounting principles generally accepted in the United States of America (“U.S. GAAP”) and present the consolidated financial statements of the Company and its wholly owned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Principles of consolidation</w:t>
      </w:r>
    </w:p>
    <w:p>
      <w:pPr>
        <w:spacing w:after="0" w:line="191"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The accompanying consolidated financial statements and related notes have been prepared in accordance with “U.S. GAAP” and present the consolidated financial statements of the Company and its wholly owned subsidiary. All significant intercompany transactions and balances are eliminated in consolidation.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Going Concern</w:t>
      </w:r>
    </w:p>
    <w:p>
      <w:pPr>
        <w:spacing w:after="0" w:line="191"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(CONTINUED)</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u w:val="single" w:color="auto"/>
          <w:color w:val="auto"/>
        </w:rPr>
        <w:t>Going Concern (Continued)</w:t>
      </w:r>
    </w:p>
    <w:p>
      <w:pPr>
        <w:spacing w:after="0" w:line="191" w:lineRule="exact"/>
        <w:rPr>
          <w:sz w:val="20"/>
          <w:szCs w:val="20"/>
          <w:color w:val="auto"/>
        </w:rPr>
      </w:pPr>
    </w:p>
    <w:p>
      <w:pPr>
        <w:jc w:val="both"/>
        <w:ind w:left="20" w:hanging="7"/>
        <w:spacing w:after="0" w:line="255" w:lineRule="auto"/>
        <w:rPr>
          <w:sz w:val="20"/>
          <w:szCs w:val="20"/>
          <w:color w:val="auto"/>
        </w:rPr>
      </w:pPr>
      <w:r>
        <w:rPr>
          <w:rFonts w:ascii="Times New Roman" w:cs="Times New Roman" w:eastAsia="Times New Roman" w:hAnsi="Times New Roman"/>
          <w:sz w:val="16"/>
          <w:szCs w:val="16"/>
          <w:color w:val="auto"/>
        </w:rPr>
        <w:t>For the years ended December 31, 2024 and 2023, the Company incurred losses from operations and had negative cash flow from operations. As of December 31, 2024, the Company had $4,849 in cash and cash equivalents and a working capital of $11,070. The Company’s ability to achieve profitability and positive cash flow depends on its ability to increase revenue, contain its expenses and maintain compliance with the financial covenants in its outstanding indebtedness agreements.</w:t>
      </w:r>
    </w:p>
    <w:p>
      <w:pPr>
        <w:spacing w:after="0" w:line="160" w:lineRule="exact"/>
        <w:rPr>
          <w:sz w:val="20"/>
          <w:szCs w:val="20"/>
          <w:color w:val="auto"/>
        </w:rPr>
      </w:pPr>
    </w:p>
    <w:p>
      <w:pPr>
        <w:jc w:val="both"/>
        <w:ind w:left="20" w:hanging="7"/>
        <w:spacing w:after="0" w:line="248" w:lineRule="auto"/>
        <w:rPr>
          <w:sz w:val="20"/>
          <w:szCs w:val="20"/>
          <w:color w:val="auto"/>
        </w:rPr>
      </w:pPr>
      <w:r>
        <w:rPr>
          <w:rFonts w:ascii="Times New Roman" w:cs="Times New Roman" w:eastAsia="Times New Roman" w:hAnsi="Times New Roman"/>
          <w:sz w:val="16"/>
          <w:szCs w:val="16"/>
          <w:color w:val="auto"/>
        </w:rPr>
        <w:t xml:space="preserve">In connection with the Company’s senior secured term loan facility in an aggregate principal amount of $75,000 (as amended, the “Term Loan”), the Company is obligated to comply with certain financial covenants, which include maintaining a maximum senior leverage ratio, minimum liquidity, a springing fixed charge coverage ratio, and maximum capital expenditures </w:t>
      </w:r>
      <w:r>
        <w:rPr>
          <w:rFonts w:ascii="Times New Roman" w:cs="Times New Roman" w:eastAsia="Times New Roman" w:hAnsi="Times New Roman"/>
          <w:sz w:val="16"/>
          <w:szCs w:val="16"/>
          <w:b w:val="1"/>
          <w:bCs w:val="1"/>
          <w:color w:val="auto"/>
        </w:rPr>
        <w:t>(See Note 6).</w:t>
      </w:r>
      <w:r>
        <w:rPr>
          <w:rFonts w:ascii="Times New Roman" w:cs="Times New Roman" w:eastAsia="Times New Roman" w:hAnsi="Times New Roman"/>
          <w:sz w:val="16"/>
          <w:szCs w:val="16"/>
          <w:color w:val="auto"/>
        </w:rPr>
        <w:t xml:space="preserve"> On March 31, 2024, April 29, 2024, May 30, 2024, June 28, 2024, July 31, 2024, August 31, 2024, September 30, 2024, October 31, 2024, November 30, 2024 and December 31, 2024 the Company obtained waivers from the Term Loan administrative agent and lenders of its failures to satisfy the liquidity requirement under the Term Loan for the quarters ended March 31, 2024, June 30, 2024, September 30, 2024, and December 31, 2024 and the fiscal months ended April 30, 2024, May 31, 2024, July 31, 2024, August 31, 2024, October 31, 2024 and November 30, 2024, as applicable.</w:t>
      </w:r>
    </w:p>
    <w:p>
      <w:pPr>
        <w:spacing w:after="0" w:line="166" w:lineRule="exact"/>
        <w:rPr>
          <w:sz w:val="20"/>
          <w:szCs w:val="20"/>
          <w:color w:val="auto"/>
        </w:rPr>
      </w:pPr>
    </w:p>
    <w:p>
      <w:pPr>
        <w:jc w:val="both"/>
        <w:ind w:left="20" w:hanging="7"/>
        <w:spacing w:after="0" w:line="251" w:lineRule="auto"/>
        <w:rPr>
          <w:sz w:val="20"/>
          <w:szCs w:val="20"/>
          <w:color w:val="auto"/>
        </w:rPr>
      </w:pPr>
      <w:r>
        <w:rPr>
          <w:rFonts w:ascii="Times New Roman" w:cs="Times New Roman" w:eastAsia="Times New Roman" w:hAnsi="Times New Roman"/>
          <w:sz w:val="16"/>
          <w:szCs w:val="16"/>
          <w:color w:val="auto"/>
        </w:rPr>
        <w:t>On February 2025, subsequent to the current year ended December 31, 2024, the Company entered into a Securities Purchase agreement (“Purchase Agreement”). The Purchase Agreement calls for the Company to authorize a new series of convertible preferred stock of the Company designated as the Series A Convertible Preferred Stock, which shall be convertible into shares of the Company’s common stock, and sell to each Buyer an aggregate number of shares of Series A Preferred Stock and 20 warrants, to each buyer, that are convertible to common stock.</w:t>
      </w:r>
    </w:p>
    <w:p>
      <w:pPr>
        <w:spacing w:after="0" w:line="164" w:lineRule="exact"/>
        <w:rPr>
          <w:sz w:val="20"/>
          <w:szCs w:val="20"/>
          <w:color w:val="auto"/>
        </w:rPr>
      </w:pPr>
    </w:p>
    <w:p>
      <w:pPr>
        <w:jc w:val="both"/>
        <w:ind w:left="20" w:hanging="7"/>
        <w:spacing w:after="0" w:line="255" w:lineRule="auto"/>
        <w:rPr>
          <w:sz w:val="20"/>
          <w:szCs w:val="20"/>
          <w:color w:val="auto"/>
        </w:rPr>
      </w:pPr>
      <w:r>
        <w:rPr>
          <w:rFonts w:ascii="Times New Roman" w:cs="Times New Roman" w:eastAsia="Times New Roman" w:hAnsi="Times New Roman"/>
          <w:sz w:val="16"/>
          <w:szCs w:val="16"/>
          <w:color w:val="auto"/>
        </w:rPr>
        <w:t>Total expected proceeds amount to $8,000 which the Company will use for working capital, general corporate purposes and mandatory payments on the Term Loan if more than $8,000 is raised. In addition, investors received warrants to purchase up to 4,000 shares of Series A preferred stock at $10,000 per share, potentially providing up to $40 million in future capital. We received $3,500 less $300 in costs on February 27, 2025 and expect to receive the remaining $4,500, minus costs, in early May 2025.</w:t>
      </w:r>
    </w:p>
    <w:p>
      <w:pPr>
        <w:spacing w:after="0" w:line="160" w:lineRule="exact"/>
        <w:rPr>
          <w:sz w:val="20"/>
          <w:szCs w:val="20"/>
          <w:color w:val="auto"/>
        </w:rPr>
      </w:pPr>
    </w:p>
    <w:p>
      <w:pPr>
        <w:jc w:val="both"/>
        <w:ind w:left="20" w:right="20" w:hanging="7"/>
        <w:spacing w:after="0" w:line="255" w:lineRule="auto"/>
        <w:rPr>
          <w:sz w:val="20"/>
          <w:szCs w:val="20"/>
          <w:color w:val="auto"/>
        </w:rPr>
      </w:pPr>
      <w:r>
        <w:rPr>
          <w:rFonts w:ascii="Times New Roman" w:cs="Times New Roman" w:eastAsia="Times New Roman" w:hAnsi="Times New Roman"/>
          <w:sz w:val="16"/>
          <w:szCs w:val="16"/>
          <w:color w:val="auto"/>
        </w:rPr>
        <w:t>In addition to the Purchase Agreement, the Term Loan was amended to (i) extend the maturity date by one (1) year to October 2027, (ii) defer all principal and interest payments to April 2026 and (iii) remove any applicable financial covenants (except for a financial covenant requiring the Company to maintain cash and cash equivalents equal to or greater than $2,500) for the next one and a half years.</w:t>
      </w:r>
    </w:p>
    <w:p>
      <w:pPr>
        <w:spacing w:after="0" w:line="160" w:lineRule="exact"/>
        <w:rPr>
          <w:sz w:val="20"/>
          <w:szCs w:val="20"/>
          <w:color w:val="auto"/>
        </w:rPr>
      </w:pPr>
    </w:p>
    <w:p>
      <w:pPr>
        <w:jc w:val="both"/>
        <w:ind w:left="20" w:hanging="7"/>
        <w:spacing w:after="0" w:line="290" w:lineRule="auto"/>
        <w:rPr>
          <w:sz w:val="20"/>
          <w:szCs w:val="20"/>
          <w:color w:val="auto"/>
        </w:rPr>
      </w:pPr>
      <w:r>
        <w:rPr>
          <w:rFonts w:ascii="Times New Roman" w:cs="Times New Roman" w:eastAsia="Times New Roman" w:hAnsi="Times New Roman"/>
          <w:sz w:val="14"/>
          <w:szCs w:val="14"/>
          <w:color w:val="auto"/>
        </w:rPr>
        <w:t>As presented above, strategic initiatives were executed in order to alleviate the substantial doubt, such as the Company’s ability to raise funds through the Purchase Agreement, the maturity extension of the Term Loan (which reclassifies the loan as long-term on the financial statements for the year ending December 31, 2024), and the absence of any covenants, other than a $2,500 minimum cash requirement, for at least one year from the financial statement issuance date. While these initiatives were enough support to move our debt to a long term classification, the initiatives were not enough support to completely alleviate the Company’s going concern. Due to no other concessions being made by the lenders in terms of future debt and interest due, except for extending payments into 2026 and the maturity date by one year, and due to the inherent uncertainty surrounding the realization of projected revenues from new markets, management concluded that there is significant doubt about the Company’s ability to continue as a going concern.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715073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80"/>
          </w:cols>
          <w:pgMar w:left="300" w:top="611" w:right="319" w:bottom="1440" w:gutter="0" w:footer="0" w:header="0"/>
        </w:sectPr>
      </w:pPr>
    </w:p>
    <w:bookmarkStart w:id="116" w:name="page117"/>
    <w:bookmarkEnd w:id="11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Cash and Cash Equivalents</w:t>
      </w:r>
    </w:p>
    <w:p>
      <w:pPr>
        <w:spacing w:after="0" w:line="191"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The Company considers all short-term debt securities purchased with a maturity of three months or less to be cash equivalents. As of December 31, 2024 and 2023, the Company held no Cash Equivalents.</w:t>
      </w:r>
    </w:p>
    <w:p>
      <w:pPr>
        <w:spacing w:after="0" w:line="151"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From time to time the Company has amounts on deposit with financial institutions that exceed federally insured limits. The Company has not experienced any significant losses in such accounts.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Accounts Receivable</w:t>
      </w:r>
    </w:p>
    <w:p>
      <w:pPr>
        <w:spacing w:after="0" w:line="191"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The Company’s trade receivables are recorded when billed and represent claims against third parties that will be settled in cash. Generally, payment is due from customers within 30- 90 days of the invoice date and the contracts do not have significant financing components. Trade accounts receivables are recorded gross and are net of any applicable allowance. The allowance for credit losses as of December 31, 2024 and 2023 were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Inventory</w:t>
      </w:r>
    </w:p>
    <w:p>
      <w:pPr>
        <w:spacing w:after="0" w:line="189" w:lineRule="exact"/>
        <w:rPr>
          <w:sz w:val="20"/>
          <w:szCs w:val="20"/>
          <w:color w:val="auto"/>
        </w:rPr>
      </w:pPr>
    </w:p>
    <w:p>
      <w:pPr>
        <w:jc w:val="both"/>
        <w:ind w:right="20" w:hanging="7"/>
        <w:spacing w:after="0" w:line="252" w:lineRule="auto"/>
        <w:rPr>
          <w:sz w:val="20"/>
          <w:szCs w:val="20"/>
          <w:color w:val="auto"/>
        </w:rPr>
      </w:pPr>
      <w:r>
        <w:rPr>
          <w:rFonts w:ascii="Times New Roman" w:cs="Times New Roman" w:eastAsia="Times New Roman" w:hAnsi="Times New Roman"/>
          <w:sz w:val="16"/>
          <w:szCs w:val="16"/>
          <w:color w:val="auto"/>
        </w:rPr>
        <w:t xml:space="preserve">Inventories </w:t>
      </w:r>
      <w:r>
        <w:rPr>
          <w:rFonts w:ascii="Times New Roman" w:cs="Times New Roman" w:eastAsia="Times New Roman" w:hAnsi="Times New Roman"/>
          <w:sz w:val="16"/>
          <w:szCs w:val="16"/>
          <w:b w:val="1"/>
          <w:bCs w:val="1"/>
          <w:color w:val="auto"/>
        </w:rPr>
        <w:t>(Note 4),</w:t>
      </w:r>
      <w:r>
        <w:rPr>
          <w:rFonts w:ascii="Times New Roman" w:cs="Times New Roman" w:eastAsia="Times New Roman" w:hAnsi="Times New Roman"/>
          <w:sz w:val="16"/>
          <w:szCs w:val="16"/>
          <w:color w:val="auto"/>
        </w:rPr>
        <w:t xml:space="preserve"> which consist of raw materials and finished goods, are stated at the lower of cost (first in, first out) or net realizable value, net of reserves for obsolete inventory. The Company continually analyzes its slow moving and excess inventories. Based on historical and projected sales volumes and anticipated selling prices, the Company established reserves. Inventory that is in excess of current and projected use is reduced by an allowance to a level that approximates its estimate of future demand. Products that are determined to be obsolete are written down to net realizable value.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Assets Held for Sale</w:t>
      </w:r>
    </w:p>
    <w:p>
      <w:pPr>
        <w:spacing w:after="0" w:line="191" w:lineRule="exact"/>
        <w:rPr>
          <w:sz w:val="20"/>
          <w:szCs w:val="20"/>
          <w:color w:val="auto"/>
        </w:rPr>
      </w:pPr>
    </w:p>
    <w:p>
      <w:pPr>
        <w:jc w:val="both"/>
        <w:ind w:hanging="7"/>
        <w:spacing w:after="0" w:line="293" w:lineRule="auto"/>
        <w:rPr>
          <w:sz w:val="20"/>
          <w:szCs w:val="20"/>
          <w:color w:val="auto"/>
        </w:rPr>
      </w:pPr>
      <w:r>
        <w:rPr>
          <w:rFonts w:ascii="Times New Roman" w:cs="Times New Roman" w:eastAsia="Times New Roman" w:hAnsi="Times New Roman"/>
          <w:sz w:val="14"/>
          <w:szCs w:val="14"/>
          <w:color w:val="auto"/>
        </w:rPr>
        <w:t>Assets held for sale are valued at the lower of the carrying amount or the net realizable value estimated at December 31, 2024. Impairment to carrying amounts are recognized to non-operating expenses. The Assets held for sale, or the disposal group, consists of two research and development pieces of equipment that were not in use yet. Due to the nature of the disposal group being long-lived assets, the disposal group qualifies for the held for sale classification, as defined in ASC 360. Due to the Company shifting its focus from research and development efforts to product development, these assets would be put into service at an undeterminable time in the future and therefore, a search for a potential buyer was conducted. We have already invoiced the prospective buyer within the first three months of 2025 and plan to ship the equipment after payment is received.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Property and Equipment</w:t>
      </w:r>
    </w:p>
    <w:p>
      <w:pPr>
        <w:spacing w:after="0" w:line="191"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years ended December 31, 2024 and 2023 was $1,372 and $1,237,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various classes of property and equipment and estimated useful lives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710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6"/>
              </w:rPr>
              <w:t>3 to 7 years</w:t>
            </w:r>
          </w:p>
        </w:tc>
      </w:tr>
      <w:tr>
        <w:trPr>
          <w:trHeight w:val="187"/>
        </w:trPr>
        <w:tc>
          <w:tcPr>
            <w:tcW w:w="41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Vehicles</w:t>
            </w:r>
          </w:p>
        </w:tc>
        <w:tc>
          <w:tcPr>
            <w:tcW w:w="710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6"/>
              </w:rPr>
              <w:t>5 years</w:t>
            </w:r>
          </w:p>
        </w:tc>
      </w:tr>
      <w:tr>
        <w:trPr>
          <w:trHeight w:val="187"/>
        </w:trPr>
        <w:tc>
          <w:tcPr>
            <w:tcW w:w="41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Machinery and equipment</w:t>
            </w:r>
          </w:p>
        </w:tc>
        <w:tc>
          <w:tcPr>
            <w:tcW w:w="710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6"/>
              </w:rPr>
              <w:t>3 to 7 years</w:t>
            </w:r>
          </w:p>
        </w:tc>
      </w:tr>
      <w:tr>
        <w:trPr>
          <w:trHeight w:val="203"/>
        </w:trPr>
        <w:tc>
          <w:tcPr>
            <w:tcW w:w="41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Leasehold improvements</w:t>
            </w:r>
          </w:p>
        </w:tc>
        <w:tc>
          <w:tcPr>
            <w:tcW w:w="710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6"/>
              </w:rPr>
              <w:t>Shorter of Useful Life of Remaining Term of Lease</w:t>
            </w:r>
          </w:p>
        </w:tc>
      </w:tr>
      <w:tr>
        <w:trPr>
          <w:trHeight w:val="397"/>
        </w:trPr>
        <w:tc>
          <w:tcPr>
            <w:tcW w:w="41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6"/>
                <w:szCs w:val="16"/>
                <w:color w:val="auto"/>
              </w:rPr>
              <w:t>F-10</w:t>
            </w:r>
          </w:p>
        </w:tc>
      </w:tr>
    </w:tbl>
    <w:p>
      <w:pPr>
        <w:sectPr>
          <w:pgSz w:w="11900" w:h="16838" w:orient="portrait"/>
          <w:cols w:equalWidth="0" w:num="1">
            <w:col w:w="11260"/>
          </w:cols>
          <w:pgMar w:left="320" w:top="611" w:right="319"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Use of Estimates</w:t>
      </w:r>
    </w:p>
    <w:p>
      <w:pPr>
        <w:spacing w:after="0" w:line="191"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going concern, right of use asset, warrant liability, equity based compensation, income taxes, leases and license arrangement.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Impairment of Long-Lived Assets</w:t>
      </w:r>
    </w:p>
    <w:p>
      <w:pPr>
        <w:spacing w:after="0" w:line="191" w:lineRule="exact"/>
        <w:rPr>
          <w:sz w:val="20"/>
          <w:szCs w:val="20"/>
          <w:color w:val="auto"/>
        </w:rPr>
      </w:pPr>
    </w:p>
    <w:p>
      <w:pPr>
        <w:jc w:val="both"/>
        <w:ind w:hanging="7"/>
        <w:spacing w:after="0" w:line="249" w:lineRule="auto"/>
        <w:rPr>
          <w:sz w:val="20"/>
          <w:szCs w:val="20"/>
          <w:color w:val="auto"/>
        </w:rPr>
      </w:pPr>
      <w:r>
        <w:rPr>
          <w:rFonts w:ascii="Times New Roman" w:cs="Times New Roman" w:eastAsia="Times New Roman" w:hAnsi="Times New Roman"/>
          <w:sz w:val="16"/>
          <w:szCs w:val="16"/>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For the year ended December 31, 2024, the Company recorded an $873 impairment, in connection to the Assets Held for Sale, on the Consolidated Statement of Operations. There were no impairments for the year ended December 31,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Warrants</w:t>
      </w:r>
    </w:p>
    <w:p>
      <w:pPr>
        <w:spacing w:after="0" w:line="191" w:lineRule="exact"/>
        <w:rPr>
          <w:sz w:val="20"/>
          <w:szCs w:val="20"/>
          <w:color w:val="auto"/>
        </w:rPr>
      </w:pPr>
    </w:p>
    <w:p>
      <w:pPr>
        <w:jc w:val="both"/>
        <w:ind w:hanging="7"/>
        <w:spacing w:after="0" w:line="248" w:lineRule="auto"/>
        <w:rPr>
          <w:sz w:val="20"/>
          <w:szCs w:val="20"/>
          <w:color w:val="auto"/>
        </w:rPr>
      </w:pPr>
      <w:r>
        <w:rPr>
          <w:rFonts w:ascii="Times New Roman" w:cs="Times New Roman" w:eastAsia="Times New Roman" w:hAnsi="Times New Roman"/>
          <w:sz w:val="16"/>
          <w:szCs w:val="16"/>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qualify for equity classification are measured at fair value upon issuance and are not subsequently remeasured unless they are required to be reclassified.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Commitments and Contingencies</w:t>
      </w:r>
    </w:p>
    <w:p>
      <w:pPr>
        <w:spacing w:after="0" w:line="191"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Revenue Recognition</w:t>
      </w:r>
    </w:p>
    <w:p>
      <w:pPr>
        <w:spacing w:after="0" w:line="191" w:lineRule="exact"/>
        <w:rPr>
          <w:sz w:val="20"/>
          <w:szCs w:val="20"/>
          <w:color w:val="auto"/>
        </w:rPr>
      </w:pPr>
    </w:p>
    <w:p>
      <w:pPr>
        <w:jc w:val="both"/>
        <w:ind w:hanging="7"/>
        <w:spacing w:after="0" w:line="293" w:lineRule="auto"/>
        <w:rPr>
          <w:sz w:val="20"/>
          <w:szCs w:val="20"/>
          <w:color w:val="auto"/>
        </w:rPr>
      </w:pPr>
      <w:r>
        <w:rPr>
          <w:rFonts w:ascii="Times New Roman" w:cs="Times New Roman" w:eastAsia="Times New Roman" w:hAnsi="Times New Roman"/>
          <w:sz w:val="14"/>
          <w:szCs w:val="14"/>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(CONTINUED)</w:t>
      </w:r>
    </w:p>
    <w:p>
      <w:pPr>
        <w:spacing w:after="0" w:line="191" w:lineRule="exact"/>
        <w:rPr>
          <w:sz w:val="20"/>
          <w:szCs w:val="20"/>
          <w:color w:val="auto"/>
        </w:rPr>
      </w:pPr>
    </w:p>
    <w:p>
      <w:pPr>
        <w:jc w:val="both"/>
        <w:ind w:hanging="7"/>
        <w:spacing w:after="0" w:line="249" w:lineRule="auto"/>
        <w:rPr>
          <w:sz w:val="20"/>
          <w:szCs w:val="20"/>
          <w:color w:val="auto"/>
        </w:rPr>
      </w:pPr>
      <w:r>
        <w:rPr>
          <w:rFonts w:ascii="Times New Roman" w:cs="Times New Roman" w:eastAsia="Times New Roman" w:hAnsi="Times New Roman"/>
          <w:sz w:val="16"/>
          <w:szCs w:val="16"/>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66" w:lineRule="exact"/>
        <w:rPr>
          <w:sz w:val="20"/>
          <w:szCs w:val="20"/>
          <w:color w:val="auto"/>
        </w:rPr>
      </w:pPr>
    </w:p>
    <w:p>
      <w:pPr>
        <w:jc w:val="both"/>
        <w:ind w:right="20" w:hanging="7"/>
        <w:spacing w:after="0" w:line="255" w:lineRule="auto"/>
        <w:rPr>
          <w:sz w:val="20"/>
          <w:szCs w:val="20"/>
          <w:color w:val="auto"/>
        </w:rPr>
      </w:pPr>
      <w:r>
        <w:rPr>
          <w:rFonts w:ascii="Times New Roman" w:cs="Times New Roman" w:eastAsia="Times New Roman" w:hAnsi="Times New Roman"/>
          <w:sz w:val="16"/>
          <w:szCs w:val="16"/>
          <w:color w:val="auto"/>
        </w:rPr>
        <w:t>The Company recognizes revenue from right-to-access license agreements upon the transfer of control to the customer. Upfront fees are deferred and recognized over the estimated period of benefit. Royalties are recognized as revenue when the customer’s underlying sales occur. The transaction price and timing of revenue recognition are adjusted as necessary to reflect changes in expectations.</w:t>
      </w:r>
    </w:p>
    <w:p>
      <w:pPr>
        <w:spacing w:after="0" w:line="160" w:lineRule="exact"/>
        <w:rPr>
          <w:sz w:val="20"/>
          <w:szCs w:val="20"/>
          <w:color w:val="auto"/>
        </w:rPr>
      </w:pPr>
    </w:p>
    <w:p>
      <w:pPr>
        <w:jc w:val="both"/>
        <w:ind w:hanging="7"/>
        <w:spacing w:after="0" w:line="309" w:lineRule="auto"/>
        <w:rPr>
          <w:sz w:val="20"/>
          <w:szCs w:val="20"/>
          <w:color w:val="auto"/>
        </w:rPr>
      </w:pPr>
      <w:r>
        <w:rPr>
          <w:rFonts w:ascii="Times New Roman" w:cs="Times New Roman" w:eastAsia="Times New Roman" w:hAnsi="Times New Roman"/>
          <w:sz w:val="14"/>
          <w:szCs w:val="14"/>
          <w:color w:val="auto"/>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December 31, 2024 and 2023, the contract liability related to the Company’s customer deposits were approximately $317 and $201, respectively.</w:t>
      </w:r>
    </w:p>
    <w:p>
      <w:pPr>
        <w:spacing w:after="0" w:line="125"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The Company recognized $201 of the contract liability as of December 31, 2023 during the year ended December 31, 2024. During the year ended December 31, 2023, the Company recognized $230 of the contract liability that was recorded as a January 1, 2023 beginning balance.</w:t>
      </w:r>
    </w:p>
    <w:p>
      <w:pPr>
        <w:spacing w:after="0" w:line="15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6"/>
          <w:szCs w:val="16"/>
          <w:color w:val="auto"/>
        </w:rPr>
        <w:t>On July 29, 2024, Dragonfly Energy Corp. (“Legacy Dragonfly”), a wholly-owned subsidiary of the Company, and Battle Born Battery Products, LLC (“Battle Born LLC”), a wholly-owned subsidiary of Legacy Dragonfly, entered into a License Agreement (the “License Agreement”) with Stryten Energy LLC (“Stryten”) (</w:t>
      </w:r>
      <w:r>
        <w:rPr>
          <w:rFonts w:ascii="Times New Roman" w:cs="Times New Roman" w:eastAsia="Times New Roman" w:hAnsi="Times New Roman"/>
          <w:sz w:val="16"/>
          <w:szCs w:val="16"/>
          <w:b w:val="1"/>
          <w:bCs w:val="1"/>
          <w:color w:val="auto"/>
        </w:rPr>
        <w:t>Note 8</w:t>
      </w:r>
      <w:r>
        <w:rPr>
          <w:rFonts w:ascii="Times New Roman" w:cs="Times New Roman" w:eastAsia="Times New Roman" w:hAnsi="Times New Roman"/>
          <w:sz w:val="16"/>
          <w:szCs w:val="16"/>
          <w:color w:val="auto"/>
        </w:rPr>
        <w:t>). The $5,000 initial licensing fee is being recognized as revenue on a straight-line basis over five years. The Company has recorded $417 in revenue related to the license agreement for the year ended December 31, 2024. As of December 31, 2024 and 2023, the contract liability related to the Company’s deferred revenue were approximately $4,583 and $0, respectively. As of December 31, 2024, the Company had $1,000 in short term deferred revenue and $3,583 in long-term deferred revenue related to the license agreement.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Disaggregation of Revenue</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gridSpan w:val="2"/>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5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following table present our disaggregated revenues by distribution channel:</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Sales</w:t>
            </w: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660" w:type="dxa"/>
            <w:vAlign w:val="bottom"/>
            <w:tcBorders>
              <w:bottom w:val="single" w:sz="8" w:color="CCEEFF"/>
            </w:tcBorders>
            <w:gridSpan w:val="2"/>
            <w:vMerge w:val="continue"/>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bottom w:val="single" w:sz="8" w:color="CCEEFF"/>
            </w:tcBorders>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4660" w:type="dxa"/>
            <w:vAlign w:val="bottom"/>
            <w:gridSpan w:val="2"/>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Direct to customer</w:t>
            </w: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22,616</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36,875</w:t>
            </w:r>
          </w:p>
        </w:tc>
        <w:tc>
          <w:tcPr>
            <w:tcW w:w="80" w:type="dxa"/>
            <w:vAlign w:val="bottom"/>
            <w:shd w:val="clear" w:color="auto" w:fill="CCEEFF"/>
          </w:tcPr>
          <w:p>
            <w:pPr>
              <w:spacing w:after="0"/>
              <w:rPr>
                <w:sz w:val="15"/>
                <w:szCs w:val="15"/>
                <w:color w:val="auto"/>
              </w:rPr>
            </w:pP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Original equipment manufacture</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27,612</w:t>
            </w:r>
          </w:p>
        </w:tc>
        <w:tc>
          <w:tcPr>
            <w:tcW w:w="3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27,517</w:t>
            </w: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License fee revenue</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417</w:t>
            </w: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660" w:type="dxa"/>
            <w:vAlign w:val="bottom"/>
            <w:gridSpan w:val="2"/>
          </w:tcPr>
          <w:p>
            <w:pPr>
              <w:ind w:left="280"/>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54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50,645</w:t>
            </w:r>
          </w:p>
        </w:tc>
        <w:tc>
          <w:tcPr>
            <w:tcW w:w="2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64,392</w:t>
            </w:r>
          </w:p>
        </w:tc>
        <w:tc>
          <w:tcPr>
            <w:tcW w:w="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F-12</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11" w:right="319" w:bottom="1440" w:gutter="0" w:footer="0" w:header="0"/>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Shipping and Handling</w:t>
      </w:r>
    </w:p>
    <w:p>
      <w:pPr>
        <w:spacing w:after="0" w:line="191" w:lineRule="exact"/>
        <w:rPr>
          <w:sz w:val="20"/>
          <w:szCs w:val="20"/>
          <w:color w:val="auto"/>
        </w:rPr>
      </w:pPr>
    </w:p>
    <w:p>
      <w:pPr>
        <w:jc w:val="both"/>
        <w:ind w:right="20" w:hanging="7"/>
        <w:spacing w:after="0" w:line="255" w:lineRule="auto"/>
        <w:rPr>
          <w:sz w:val="20"/>
          <w:szCs w:val="20"/>
          <w:color w:val="auto"/>
        </w:rPr>
      </w:pPr>
      <w:r>
        <w:rPr>
          <w:rFonts w:ascii="Times New Roman" w:cs="Times New Roman" w:eastAsia="Times New Roman" w:hAnsi="Times New Roman"/>
          <w:sz w:val="16"/>
          <w:szCs w:val="16"/>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$2,530 and $3,466 for the years ended December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Product Warranty</w:t>
      </w:r>
    </w:p>
    <w:p>
      <w:pPr>
        <w:spacing w:after="0" w:line="191" w:lineRule="exact"/>
        <w:rPr>
          <w:sz w:val="20"/>
          <w:szCs w:val="20"/>
          <w:color w:val="auto"/>
        </w:rPr>
      </w:pPr>
    </w:p>
    <w:p>
      <w:pPr>
        <w:jc w:val="both"/>
        <w:ind w:hanging="7"/>
        <w:spacing w:after="0" w:line="247" w:lineRule="auto"/>
        <w:rPr>
          <w:sz w:val="20"/>
          <w:szCs w:val="20"/>
          <w:color w:val="auto"/>
        </w:rPr>
      </w:pPr>
      <w:r>
        <w:rPr>
          <w:rFonts w:ascii="Times New Roman" w:cs="Times New Roman" w:eastAsia="Times New Roman" w:hAnsi="Times New Roman"/>
          <w:sz w:val="16"/>
          <w:szCs w:val="16"/>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our warranty liability include the number of units sold, historical and anticipated rates of warranty claims, and cost per claim. The Company periodically assesses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at December 31, 2024 and 2023 to be $514 and $307, respectively.</w:t>
      </w:r>
    </w:p>
    <w:tbl>
      <w:tblPr>
        <w:tblLayout w:type="fixed"/>
        <w:tblInd w:w="560" w:type="dxa"/>
        <w:tblCellMar>
          <w:top w:w="0" w:type="dxa"/>
          <w:left w:w="0" w:type="dxa"/>
          <w:bottom w:w="0" w:type="dxa"/>
          <w:right w:w="0" w:type="dxa"/>
        </w:tblCellMar>
      </w:tblPr>
      <w:tr>
        <w:trPr>
          <w:trHeight w:val="199"/>
        </w:trPr>
        <w:tc>
          <w:tcPr>
            <w:tcW w:w="3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356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r>
      <w:tr>
        <w:trPr>
          <w:trHeight w:val="178"/>
        </w:trPr>
        <w:tc>
          <w:tcPr>
            <w:tcW w:w="35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Beginning warranty obligation</w:t>
            </w:r>
          </w:p>
        </w:tc>
        <w:tc>
          <w:tcPr>
            <w:tcW w:w="16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307</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328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7"/>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Provision of warranty expense</w:t>
            </w:r>
          </w:p>
        </w:tc>
        <w:tc>
          <w:tcPr>
            <w:tcW w:w="1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541</w:t>
            </w:r>
          </w:p>
        </w:tc>
        <w:tc>
          <w:tcPr>
            <w:tcW w:w="3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397</w:t>
            </w:r>
          </w:p>
        </w:tc>
        <w:tc>
          <w:tcPr>
            <w:tcW w:w="60" w:type="dxa"/>
            <w:vAlign w:val="bottom"/>
          </w:tcPr>
          <w:p>
            <w:pPr>
              <w:spacing w:after="0"/>
              <w:rPr>
                <w:sz w:val="16"/>
                <w:szCs w:val="16"/>
                <w:color w:val="auto"/>
              </w:rPr>
            </w:pPr>
          </w:p>
        </w:tc>
      </w:tr>
      <w:tr>
        <w:trPr>
          <w:trHeight w:val="19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of warranty claims</w:t>
            </w:r>
          </w:p>
        </w:tc>
        <w:tc>
          <w:tcPr>
            <w:tcW w:w="1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(334)</w:t>
            </w:r>
          </w:p>
        </w:tc>
        <w:tc>
          <w:tcPr>
            <w:tcW w:w="3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(418)</w:t>
            </w:r>
          </w:p>
        </w:tc>
      </w:tr>
      <w:tr>
        <w:trPr>
          <w:trHeight w:val="190"/>
        </w:trPr>
        <w:tc>
          <w:tcPr>
            <w:tcW w:w="3560" w:type="dxa"/>
            <w:vAlign w:val="bottom"/>
          </w:tcPr>
          <w:p>
            <w:pPr>
              <w:ind w:left="140"/>
              <w:spacing w:after="0" w:line="183" w:lineRule="exact"/>
              <w:rPr>
                <w:sz w:val="20"/>
                <w:szCs w:val="20"/>
                <w:color w:val="auto"/>
              </w:rPr>
            </w:pPr>
            <w:r>
              <w:rPr>
                <w:rFonts w:ascii="Times New Roman" w:cs="Times New Roman" w:eastAsia="Times New Roman" w:hAnsi="Times New Roman"/>
                <w:sz w:val="16"/>
                <w:szCs w:val="16"/>
                <w:color w:val="auto"/>
              </w:rPr>
              <w:t>Ending warranty obligation</w:t>
            </w:r>
          </w:p>
        </w:tc>
        <w:tc>
          <w:tcPr>
            <w:tcW w:w="164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Concentrations</w:t>
      </w:r>
    </w:p>
    <w:p>
      <w:pPr>
        <w:spacing w:after="0" w:line="191" w:lineRule="exact"/>
        <w:rPr>
          <w:sz w:val="20"/>
          <w:szCs w:val="20"/>
          <w:color w:val="auto"/>
        </w:rPr>
      </w:pPr>
    </w:p>
    <w:p>
      <w:pPr>
        <w:ind w:hanging="7"/>
        <w:spacing w:after="0" w:line="340" w:lineRule="auto"/>
        <w:rPr>
          <w:sz w:val="20"/>
          <w:szCs w:val="20"/>
          <w:color w:val="auto"/>
        </w:rPr>
      </w:pPr>
      <w:r>
        <w:rPr>
          <w:rFonts w:ascii="Times New Roman" w:cs="Times New Roman" w:eastAsia="Times New Roman" w:hAnsi="Times New Roman"/>
          <w:sz w:val="14"/>
          <w:szCs w:val="14"/>
          <w:color w:val="auto"/>
        </w:rPr>
        <w:t>As of December 31, 2024, receivables from Customer A and Customer B comprised approximately 21% and 15%, respectively, of accounts receivable. As of December 31, 2023, receivables from Customer C and D comprised approximately 28% and 10%, respectively, of accounts receivable. There are no other significant accounts receivable concentration.</w:t>
      </w:r>
    </w:p>
    <w:p>
      <w:pPr>
        <w:spacing w:after="0" w:line="104" w:lineRule="exact"/>
        <w:rPr>
          <w:sz w:val="20"/>
          <w:szCs w:val="20"/>
          <w:color w:val="auto"/>
        </w:rPr>
      </w:pPr>
    </w:p>
    <w:p>
      <w:pPr>
        <w:ind w:hanging="7"/>
        <w:spacing w:after="0" w:line="267" w:lineRule="auto"/>
        <w:rPr>
          <w:sz w:val="20"/>
          <w:szCs w:val="20"/>
          <w:color w:val="auto"/>
        </w:rPr>
      </w:pPr>
      <w:r>
        <w:rPr>
          <w:rFonts w:ascii="Times New Roman" w:cs="Times New Roman" w:eastAsia="Times New Roman" w:hAnsi="Times New Roman"/>
          <w:sz w:val="16"/>
          <w:szCs w:val="16"/>
          <w:color w:val="auto"/>
        </w:rPr>
        <w:t>Sales from Customer A comprised approximately 14% of the Company’s total revenue for the year ended December 31, 2024. Sales from Customer B comprised approximately 16% of the Company’s total revenue for the year ended December 31, 2023.</w:t>
      </w:r>
    </w:p>
    <w:p>
      <w:pPr>
        <w:spacing w:after="0" w:line="151" w:lineRule="exact"/>
        <w:rPr>
          <w:sz w:val="20"/>
          <w:szCs w:val="20"/>
          <w:color w:val="auto"/>
        </w:rPr>
      </w:pPr>
    </w:p>
    <w:p>
      <w:pPr>
        <w:ind w:right="20" w:hanging="7"/>
        <w:spacing w:after="0" w:line="267" w:lineRule="auto"/>
        <w:rPr>
          <w:sz w:val="20"/>
          <w:szCs w:val="20"/>
          <w:color w:val="auto"/>
        </w:rPr>
      </w:pPr>
      <w:r>
        <w:rPr>
          <w:rFonts w:ascii="Times New Roman" w:cs="Times New Roman" w:eastAsia="Times New Roman" w:hAnsi="Times New Roman"/>
          <w:sz w:val="16"/>
          <w:szCs w:val="16"/>
          <w:color w:val="auto"/>
        </w:rPr>
        <w:t>As of December 31, 2024, payables to Vendor A, Vendor B, and Vendor C comprised approximately 33%, 12%, and 11%, respectively, of accounts payables. As of December 31, 2023, payables to Vendor A comprised approximately 65% of accounts payables.</w:t>
      </w:r>
    </w:p>
    <w:p>
      <w:pPr>
        <w:spacing w:after="0" w:line="151" w:lineRule="exact"/>
        <w:rPr>
          <w:sz w:val="20"/>
          <w:szCs w:val="20"/>
          <w:color w:val="auto"/>
        </w:rPr>
      </w:pPr>
    </w:p>
    <w:p>
      <w:pPr>
        <w:ind w:right="20" w:hanging="7"/>
        <w:spacing w:after="0" w:line="267" w:lineRule="auto"/>
        <w:rPr>
          <w:sz w:val="20"/>
          <w:szCs w:val="20"/>
          <w:color w:val="auto"/>
        </w:rPr>
      </w:pPr>
      <w:r>
        <w:rPr>
          <w:rFonts w:ascii="Times New Roman" w:cs="Times New Roman" w:eastAsia="Times New Roman" w:hAnsi="Times New Roman"/>
          <w:sz w:val="16"/>
          <w:szCs w:val="16"/>
          <w:color w:val="auto"/>
        </w:rPr>
        <w:t>For the year ended December 31, 2024, Vendor A accounted for approximately 11% of the Company’s total purchases. For the year ended December 31, 2023, Vendor B accounted for approximately 14% of the Company’s total purchases.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20" w:name="page121"/>
    <w:bookmarkEnd w:id="12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Deferred Financing Costs</w:t>
      </w:r>
    </w:p>
    <w:p>
      <w:pPr>
        <w:spacing w:after="0" w:line="191"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Research and Development</w:t>
      </w:r>
    </w:p>
    <w:p>
      <w:pPr>
        <w:spacing w:after="0" w:line="191"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Advertising</w:t>
      </w:r>
    </w:p>
    <w:p>
      <w:pPr>
        <w:spacing w:after="0" w:line="191" w:lineRule="exact"/>
        <w:rPr>
          <w:sz w:val="20"/>
          <w:szCs w:val="20"/>
          <w:color w:val="auto"/>
        </w:rPr>
      </w:pPr>
    </w:p>
    <w:p>
      <w:pPr>
        <w:jc w:val="both"/>
        <w:ind w:hanging="7"/>
        <w:spacing w:after="0" w:line="267" w:lineRule="auto"/>
        <w:rPr>
          <w:sz w:val="20"/>
          <w:szCs w:val="20"/>
          <w:color w:val="auto"/>
        </w:rPr>
      </w:pPr>
      <w:r>
        <w:rPr>
          <w:rFonts w:ascii="Times New Roman" w:cs="Times New Roman" w:eastAsia="Times New Roman" w:hAnsi="Times New Roman"/>
          <w:sz w:val="16"/>
          <w:szCs w:val="16"/>
          <w:color w:val="auto"/>
        </w:rPr>
        <w:t>The Company expenses advertising costs as they are incurred and are included in selling and marketing expenses. Advertising expenses amounted to $2,257 and $2,167 for the years ended December 31, 2024 and 2023,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Stock-Based Compensation</w:t>
      </w:r>
    </w:p>
    <w:p>
      <w:pPr>
        <w:spacing w:after="0" w:line="191" w:lineRule="exact"/>
        <w:rPr>
          <w:sz w:val="20"/>
          <w:szCs w:val="20"/>
          <w:color w:val="auto"/>
        </w:rPr>
      </w:pPr>
    </w:p>
    <w:p>
      <w:pPr>
        <w:jc w:val="both"/>
        <w:ind w:hanging="7"/>
        <w:spacing w:after="0" w:line="247" w:lineRule="auto"/>
        <w:rPr>
          <w:sz w:val="20"/>
          <w:szCs w:val="20"/>
          <w:color w:val="auto"/>
        </w:rPr>
      </w:pPr>
      <w:r>
        <w:rPr>
          <w:rFonts w:ascii="Times New Roman" w:cs="Times New Roman" w:eastAsia="Times New Roman" w:hAnsi="Times New Roman"/>
          <w:sz w:val="16"/>
          <w:szCs w:val="16"/>
          <w:color w:val="auto"/>
        </w:rPr>
        <w:t>The Company accounts for stock based compensation arrangements with employees and non-employee consultants using a fair value method which requires the recognition of compensation expense for costs related to all stock based payments, including stock options (</w:t>
      </w:r>
      <w:r>
        <w:rPr>
          <w:rFonts w:ascii="Times New Roman" w:cs="Times New Roman" w:eastAsia="Times New Roman" w:hAnsi="Times New Roman"/>
          <w:sz w:val="16"/>
          <w:szCs w:val="16"/>
          <w:b w:val="1"/>
          <w:bCs w:val="1"/>
          <w:color w:val="auto"/>
        </w:rPr>
        <w:t>Note 12</w:t>
      </w:r>
      <w:r>
        <w:rPr>
          <w:rFonts w:ascii="Times New Roman" w:cs="Times New Roman" w:eastAsia="Times New Roman" w:hAnsi="Times New Roman"/>
          <w:sz w:val="16"/>
          <w:szCs w:val="16"/>
          <w:color w:val="auto"/>
        </w:rPr>
        <w:t>). The fair value method requires the Company to estimate the fair value of stock 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spacing w:after="0" w:line="168" w:lineRule="exact"/>
        <w:rPr>
          <w:sz w:val="20"/>
          <w:szCs w:val="20"/>
          <w:color w:val="auto"/>
        </w:rPr>
      </w:pPr>
    </w:p>
    <w:p>
      <w:pPr>
        <w:jc w:val="both"/>
        <w:ind w:hanging="7"/>
        <w:spacing w:after="0" w:line="287" w:lineRule="auto"/>
        <w:rPr>
          <w:sz w:val="20"/>
          <w:szCs w:val="20"/>
          <w:color w:val="auto"/>
        </w:rPr>
      </w:pPr>
      <w:r>
        <w:rPr>
          <w:rFonts w:ascii="Times New Roman" w:cs="Times New Roman" w:eastAsia="Times New Roman" w:hAnsi="Times New Roman"/>
          <w:sz w:val="14"/>
          <w:szCs w:val="14"/>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21" w:name="page122"/>
    <w:bookmarkEnd w:id="12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Income Taxes</w:t>
      </w:r>
    </w:p>
    <w:p>
      <w:pPr>
        <w:spacing w:after="0" w:line="189" w:lineRule="exact"/>
        <w:rPr>
          <w:sz w:val="20"/>
          <w:szCs w:val="20"/>
          <w:color w:val="auto"/>
        </w:rPr>
      </w:pPr>
    </w:p>
    <w:p>
      <w:pPr>
        <w:jc w:val="both"/>
        <w:ind w:right="20" w:hanging="7"/>
        <w:spacing w:after="0" w:line="270" w:lineRule="auto"/>
        <w:rPr>
          <w:sz w:val="20"/>
          <w:szCs w:val="20"/>
          <w:color w:val="auto"/>
        </w:rPr>
      </w:pPr>
      <w:r>
        <w:rPr>
          <w:rFonts w:ascii="Times New Roman" w:cs="Times New Roman" w:eastAsia="Times New Roman" w:hAnsi="Times New Roman"/>
          <w:sz w:val="16"/>
          <w:szCs w:val="16"/>
          <w:color w:val="auto"/>
        </w:rPr>
        <w:t>Deferred income tax assets and liabilities (</w:t>
      </w:r>
      <w:r>
        <w:rPr>
          <w:rFonts w:ascii="Times New Roman" w:cs="Times New Roman" w:eastAsia="Times New Roman" w:hAnsi="Times New Roman"/>
          <w:sz w:val="16"/>
          <w:szCs w:val="16"/>
          <w:b w:val="1"/>
          <w:bCs w:val="1"/>
          <w:color w:val="auto"/>
        </w:rPr>
        <w:t>Note 14</w:t>
      </w:r>
      <w:r>
        <w:rPr>
          <w:rFonts w:ascii="Times New Roman" w:cs="Times New Roman" w:eastAsia="Times New Roman" w:hAnsi="Times New Roman"/>
          <w:sz w:val="16"/>
          <w:szCs w:val="16"/>
          <w:color w:val="auto"/>
        </w:rPr>
        <w:t>)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48"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The Company recognizes a tax benefit for an uncertain tax position only if it is more likely than not that the tax position will be sustained on examination by taxing authorities, based on the technical merits of the position. The Company had a liability of $55 and $91 as of December 31, 2024 and 2023, of uncertain tax positions.</w:t>
      </w:r>
    </w:p>
    <w:p>
      <w:pPr>
        <w:spacing w:after="0" w:line="151"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The Company’s accounting policy is to include penalties and interest related to income taxes if any, in selling, general and administrative expenses. The Company regularly assesses the need to record a valuation allowance against net deferred tax assets if, based upon the available evidence, it is more likely than not that some or all of the deferred tax assets will not be realized.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Net Loss per Common Share</w:t>
      </w:r>
    </w:p>
    <w:p>
      <w:pPr>
        <w:spacing w:after="0" w:line="191" w:lineRule="exact"/>
        <w:rPr>
          <w:sz w:val="20"/>
          <w:szCs w:val="20"/>
          <w:color w:val="auto"/>
        </w:rPr>
      </w:pPr>
    </w:p>
    <w:p>
      <w:pPr>
        <w:jc w:val="both"/>
        <w:ind w:hanging="7"/>
        <w:spacing w:after="0" w:line="340" w:lineRule="auto"/>
        <w:rPr>
          <w:sz w:val="20"/>
          <w:szCs w:val="20"/>
          <w:color w:val="auto"/>
        </w:rPr>
      </w:pPr>
      <w:r>
        <w:rPr>
          <w:rFonts w:ascii="Times New Roman" w:cs="Times New Roman" w:eastAsia="Times New Roman" w:hAnsi="Times New Roman"/>
          <w:sz w:val="14"/>
          <w:szCs w:val="14"/>
          <w:color w:val="auto"/>
        </w:rPr>
        <w:t>Basic net loss per share is calculated by dividing net loss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spacing w:after="0" w:line="104" w:lineRule="exact"/>
        <w:rPr>
          <w:sz w:val="20"/>
          <w:szCs w:val="20"/>
          <w:color w:val="auto"/>
        </w:rPr>
      </w:pPr>
    </w:p>
    <w:p>
      <w:pPr>
        <w:jc w:val="both"/>
        <w:ind w:hanging="7"/>
        <w:spacing w:after="0" w:line="267" w:lineRule="auto"/>
        <w:rPr>
          <w:sz w:val="20"/>
          <w:szCs w:val="20"/>
          <w:color w:val="auto"/>
        </w:rPr>
      </w:pPr>
      <w:r>
        <w:rPr>
          <w:rFonts w:ascii="Times New Roman" w:cs="Times New Roman" w:eastAsia="Times New Roman" w:hAnsi="Times New Roman"/>
          <w:sz w:val="16"/>
          <w:szCs w:val="16"/>
          <w:color w:val="auto"/>
        </w:rPr>
        <w:t>The weighted-average number of common shares included in the computation of diluted net loss gives effect to all potentially dilutive common equivalent shares, including outstanding stock options and warrants.</w:t>
      </w:r>
    </w:p>
    <w:p>
      <w:pPr>
        <w:spacing w:after="0" w:line="151" w:lineRule="exact"/>
        <w:rPr>
          <w:sz w:val="20"/>
          <w:szCs w:val="20"/>
          <w:color w:val="auto"/>
        </w:rPr>
      </w:pPr>
    </w:p>
    <w:p>
      <w:pPr>
        <w:jc w:val="both"/>
        <w:ind w:hanging="7"/>
        <w:spacing w:after="0" w:line="267" w:lineRule="auto"/>
        <w:rPr>
          <w:sz w:val="20"/>
          <w:szCs w:val="20"/>
          <w:color w:val="auto"/>
        </w:rPr>
      </w:pPr>
      <w:r>
        <w:rPr>
          <w:rFonts w:ascii="Times New Roman" w:cs="Times New Roman" w:eastAsia="Times New Roman" w:hAnsi="Times New Roman"/>
          <w:sz w:val="16"/>
          <w:szCs w:val="16"/>
          <w:color w:val="auto"/>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number of potential shares of common stock that have been excluded from diluted net loss per share because their effect was anti-dilutive:</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26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6"/>
                <w:szCs w:val="16"/>
                <w:color w:val="auto"/>
              </w:rPr>
              <w:t>December 31,</w:t>
            </w:r>
          </w:p>
        </w:tc>
        <w:tc>
          <w:tcPr>
            <w:tcW w:w="1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0"/>
        </w:trPr>
        <w:tc>
          <w:tcPr>
            <w:tcW w:w="56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bottom w:val="single" w:sz="8" w:color="CCEEFF"/>
            </w:tcBorders>
          </w:tcPr>
          <w:p>
            <w:pPr>
              <w:spacing w:after="0"/>
              <w:rPr>
                <w:sz w:val="16"/>
                <w:szCs w:val="16"/>
                <w:color w:val="auto"/>
              </w:rPr>
            </w:pPr>
          </w:p>
        </w:tc>
      </w:tr>
      <w:tr>
        <w:trPr>
          <w:trHeight w:val="178"/>
        </w:trPr>
        <w:tc>
          <w:tcPr>
            <w:tcW w:w="56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Warrants</w:t>
            </w:r>
          </w:p>
        </w:tc>
        <w:tc>
          <w:tcPr>
            <w:tcW w:w="15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3,926,151</w:t>
            </w: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2,723,397</w:t>
            </w:r>
          </w:p>
        </w:tc>
        <w:tc>
          <w:tcPr>
            <w:tcW w:w="80" w:type="dxa"/>
            <w:vAlign w:val="bottom"/>
            <w:shd w:val="clear" w:color="auto" w:fill="CCEEFF"/>
          </w:tcPr>
          <w:p>
            <w:pPr>
              <w:spacing w:after="0"/>
              <w:rPr>
                <w:sz w:val="15"/>
                <w:szCs w:val="15"/>
                <w:color w:val="auto"/>
              </w:rPr>
            </w:pPr>
          </w:p>
        </w:tc>
      </w:tr>
      <w:tr>
        <w:trPr>
          <w:trHeight w:val="18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334,751</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80" w:type="dxa"/>
            <w:vAlign w:val="bottom"/>
          </w:tcPr>
          <w:p>
            <w:pPr>
              <w:spacing w:after="0"/>
              <w:rPr>
                <w:sz w:val="16"/>
                <w:szCs w:val="16"/>
                <w:color w:val="auto"/>
              </w:rPr>
            </w:pPr>
          </w:p>
        </w:tc>
      </w:tr>
      <w:tr>
        <w:trPr>
          <w:trHeight w:val="19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168,809</w:t>
            </w:r>
          </w:p>
        </w:tc>
        <w:tc>
          <w:tcPr>
            <w:tcW w:w="2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262,720</w:t>
            </w:r>
          </w:p>
        </w:tc>
        <w:tc>
          <w:tcPr>
            <w:tcW w:w="80" w:type="dxa"/>
            <w:vAlign w:val="bottom"/>
            <w:shd w:val="clear" w:color="auto" w:fill="CCEEFF"/>
          </w:tcPr>
          <w:p>
            <w:pPr>
              <w:spacing w:after="0"/>
              <w:rPr>
                <w:sz w:val="17"/>
                <w:szCs w:val="17"/>
                <w:color w:val="auto"/>
              </w:rPr>
            </w:pPr>
          </w:p>
        </w:tc>
      </w:tr>
      <w:tr>
        <w:trPr>
          <w:trHeight w:val="190"/>
        </w:trPr>
        <w:tc>
          <w:tcPr>
            <w:tcW w:w="56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Weighted average number of common shares-basic</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4,429,711</w:t>
            </w: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2,991,341</w:t>
            </w:r>
          </w:p>
        </w:tc>
        <w:tc>
          <w:tcPr>
            <w:tcW w:w="80" w:type="dxa"/>
            <w:vAlign w:val="bottom"/>
          </w:tcPr>
          <w:p>
            <w:pPr>
              <w:spacing w:after="0"/>
              <w:rPr>
                <w:sz w:val="16"/>
                <w:szCs w:val="16"/>
                <w:color w:val="auto"/>
              </w:rPr>
            </w:pPr>
          </w:p>
        </w:tc>
      </w:tr>
      <w:tr>
        <w:trPr>
          <w:trHeight w:val="20"/>
        </w:trPr>
        <w:tc>
          <w:tcPr>
            <w:tcW w:w="5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Leases</w:t>
      </w:r>
    </w:p>
    <w:p>
      <w:pPr>
        <w:spacing w:after="0" w:line="191"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22" w:name="page123"/>
    <w:bookmarkEnd w:id="122"/>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(CONTINUED)</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u w:val="single" w:color="auto"/>
          <w:color w:val="auto"/>
        </w:rPr>
        <w:t>Segment Reporting</w:t>
      </w:r>
    </w:p>
    <w:p>
      <w:pPr>
        <w:spacing w:after="0" w:line="189" w:lineRule="exact"/>
        <w:rPr>
          <w:sz w:val="20"/>
          <w:szCs w:val="20"/>
          <w:color w:val="auto"/>
        </w:rPr>
      </w:pPr>
    </w:p>
    <w:p>
      <w:pPr>
        <w:jc w:val="both"/>
        <w:ind w:left="7" w:hanging="7"/>
        <w:spacing w:after="0" w:line="248" w:lineRule="auto"/>
        <w:rPr>
          <w:sz w:val="20"/>
          <w:szCs w:val="20"/>
          <w:color w:val="auto"/>
        </w:rPr>
      </w:pPr>
      <w:r>
        <w:rPr>
          <w:rFonts w:ascii="Times New Roman" w:cs="Times New Roman" w:eastAsia="Times New Roman" w:hAnsi="Times New Roman"/>
          <w:sz w:val="16"/>
          <w:szCs w:val="16"/>
          <w:color w:val="auto"/>
        </w:rPr>
        <w:t>Operating segments are identified (</w:t>
      </w:r>
      <w:r>
        <w:rPr>
          <w:rFonts w:ascii="Times New Roman" w:cs="Times New Roman" w:eastAsia="Times New Roman" w:hAnsi="Times New Roman"/>
          <w:sz w:val="16"/>
          <w:szCs w:val="16"/>
          <w:b w:val="1"/>
          <w:bCs w:val="1"/>
          <w:color w:val="auto"/>
        </w:rPr>
        <w:t>Note 15</w:t>
      </w:r>
      <w:r>
        <w:rPr>
          <w:rFonts w:ascii="Times New Roman" w:cs="Times New Roman" w:eastAsia="Times New Roman" w:hAnsi="Times New Roman"/>
          <w:sz w:val="16"/>
          <w:szCs w:val="16"/>
          <w:color w:val="auto"/>
        </w:rPr>
        <w:t>) as components of an enterprise for which separate discrete financial information is available for evaluation by the Company’s Chief Executive Officer to make decisions with respect to resource allocation and assessment of performance. Previously, the Company recognized one operating segment. Historically, the Company reported a single operating and reportable segment, as management evaluated the business on a consolidated basis. During the fourth quarter of the current year, the Company reassessed its internal reporting structure and how management monitors operations and makes decisions. As a result of this reassessment, the Company determined that it now manages its business through two distinct operating segments. This change was driven by the development of the Company’s operations and internal decision-making processes, including the introduction of separate performance metrics and discrete financial information for each segment.</w:t>
      </w:r>
    </w:p>
    <w:p>
      <w:pPr>
        <w:spacing w:after="0" w:line="1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u w:val="single" w:color="auto"/>
          <w:color w:val="auto"/>
        </w:rPr>
        <w:t>Recently adopted accounting pronouncements:</w:t>
      </w:r>
    </w:p>
    <w:p>
      <w:pPr>
        <w:spacing w:after="0" w:line="191" w:lineRule="exact"/>
        <w:rPr>
          <w:sz w:val="20"/>
          <w:szCs w:val="20"/>
          <w:color w:val="auto"/>
        </w:rPr>
      </w:pPr>
    </w:p>
    <w:p>
      <w:pPr>
        <w:jc w:val="both"/>
        <w:ind w:left="7" w:hanging="7"/>
        <w:spacing w:after="0" w:line="249" w:lineRule="auto"/>
        <w:rPr>
          <w:sz w:val="20"/>
          <w:szCs w:val="20"/>
          <w:color w:val="auto"/>
        </w:rPr>
      </w:pPr>
      <w:r>
        <w:rPr>
          <w:rFonts w:ascii="Times New Roman" w:cs="Times New Roman" w:eastAsia="Times New Roman" w:hAnsi="Times New Roman"/>
          <w:sz w:val="16"/>
          <w:szCs w:val="16"/>
          <w:color w:val="auto"/>
        </w:rPr>
        <w:t>In November 2023, the Financial Accounting Standards Board (“FASB”) issued Accounting Standards Update (“ASU”) No. 2023-07, Segment Reporting (Topic 280), Improvements to Reportable Segment Disclosures (“ASU 2023-07”) which will require companies to disclose significant segment expenses that are regularly provided to the chief operating decision maker (“CODM”). The pronouncement is effective for annual filings for the year ended December 31, 2024. The adoption of ASU 2023-07 will necessitate substantial changes to the notes to the financial statements, specifically in the area of segment disclosures. For a company that operates as a single-segment entity and previously did not need to comply with ASC 280 Segment Reporting (“ASC 280”), the changes include:</w:t>
      </w:r>
    </w:p>
    <w:p>
      <w:pPr>
        <w:spacing w:after="0" w:line="166" w:lineRule="exact"/>
        <w:rPr>
          <w:sz w:val="20"/>
          <w:szCs w:val="20"/>
          <w:color w:val="auto"/>
        </w:rPr>
      </w:pPr>
    </w:p>
    <w:p>
      <w:pPr>
        <w:ind w:left="287" w:hanging="287"/>
        <w:spacing w:after="0"/>
        <w:tabs>
          <w:tab w:leader="none" w:pos="28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Single reportable segment entities are required to provide the new disclosures and all disclosures currently required under ASC 280</w:t>
      </w:r>
    </w:p>
    <w:p>
      <w:pPr>
        <w:spacing w:after="0" w:line="18"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of the title and position of the CODM</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of significant segment expenses and “other segment items” for reach reportable segment</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of reportable segment profit or loss and assets in annual and interim periods</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of segment profitability measures used by the CODM provided such measures comply with the use of non-GAAP financial measures</w:t>
      </w:r>
    </w:p>
    <w:p>
      <w:pPr>
        <w:spacing w:after="0" w:line="174" w:lineRule="exact"/>
        <w:rPr>
          <w:sz w:val="20"/>
          <w:szCs w:val="20"/>
          <w:color w:val="auto"/>
        </w:rPr>
      </w:pPr>
    </w:p>
    <w:p>
      <w:pPr>
        <w:jc w:val="both"/>
        <w:ind w:left="7" w:hanging="7"/>
        <w:spacing w:after="0" w:line="255" w:lineRule="auto"/>
        <w:rPr>
          <w:sz w:val="20"/>
          <w:szCs w:val="20"/>
          <w:color w:val="auto"/>
        </w:rPr>
      </w:pPr>
      <w:r>
        <w:rPr>
          <w:rFonts w:ascii="Times New Roman" w:cs="Times New Roman" w:eastAsia="Times New Roman" w:hAnsi="Times New Roman"/>
          <w:sz w:val="16"/>
          <w:szCs w:val="16"/>
          <w:color w:val="auto"/>
        </w:rPr>
        <w:t>The Company evaluated the impact of ASU 2023-07 on its financial reporting and the adoption did not have a material impact on its results of operations, financial position or cash flows. The Company implemented updates to its reporting processes (</w:t>
      </w:r>
      <w:r>
        <w:rPr>
          <w:rFonts w:ascii="Times New Roman" w:cs="Times New Roman" w:eastAsia="Times New Roman" w:hAnsi="Times New Roman"/>
          <w:sz w:val="16"/>
          <w:szCs w:val="16"/>
          <w:b w:val="1"/>
          <w:bCs w:val="1"/>
          <w:color w:val="auto"/>
        </w:rPr>
        <w:t>Note 15</w:t>
      </w:r>
      <w:r>
        <w:rPr>
          <w:rFonts w:ascii="Times New Roman" w:cs="Times New Roman" w:eastAsia="Times New Roman" w:hAnsi="Times New Roman"/>
          <w:sz w:val="16"/>
          <w:szCs w:val="16"/>
          <w:color w:val="auto"/>
        </w:rPr>
        <w:t>) to ensure compliance with the new standard, which required additional data collection related to significant segment expenses.</w:t>
      </w:r>
    </w:p>
    <w:p>
      <w:pPr>
        <w:spacing w:after="0" w:line="1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u w:val="single" w:color="auto"/>
          <w:color w:val="auto"/>
        </w:rPr>
        <w:t>Recently issued accounting pronouncements</w:t>
      </w:r>
      <w:r>
        <w:rPr>
          <w:rFonts w:ascii="Times New Roman" w:cs="Times New Roman" w:eastAsia="Times New Roman" w:hAnsi="Times New Roman"/>
          <w:sz w:val="16"/>
          <w:szCs w:val="16"/>
          <w:i w:val="1"/>
          <w:iCs w:val="1"/>
          <w:color w:val="auto"/>
        </w:rPr>
        <w:t>:</w:t>
      </w:r>
    </w:p>
    <w:p>
      <w:pPr>
        <w:spacing w:after="0" w:line="191" w:lineRule="exact"/>
        <w:rPr>
          <w:sz w:val="20"/>
          <w:szCs w:val="20"/>
          <w:color w:val="auto"/>
        </w:rPr>
      </w:pPr>
    </w:p>
    <w:p>
      <w:pPr>
        <w:jc w:val="both"/>
        <w:ind w:left="7" w:hanging="7"/>
        <w:spacing w:after="0" w:line="251"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spacing w:after="0" w:line="1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123" w:name="page124"/>
    <w:bookmarkEnd w:id="123"/>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4" w:lineRule="exact"/>
        <w:rPr>
          <w:sz w:val="20"/>
          <w:szCs w:val="20"/>
          <w:color w:val="auto"/>
        </w:rPr>
      </w:pPr>
    </w:p>
    <w:p>
      <w:pPr>
        <w:jc w:val="both"/>
        <w:ind w:left="7" w:right="20" w:hanging="7"/>
        <w:spacing w:after="0" w:line="249"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Income Statement - Reporting Comprehensive Income - Expense Disaggregation Disclosures (Subtopic 220-40): Disaggregation of Income Statement Expenses, which requires a public entity to disclose additional information about specific expense categories in the notes to the financial statements on an annual and interim basis. It is effective for fiscal years beginning after December 15, 2026, and interim periods within fiscal years beginning after December 15, 2027. In January 2025, the FASB issued ASU </w:t>
      </w:r>
      <w:r>
        <w:rPr>
          <w:rFonts w:ascii="Times New Roman" w:cs="Times New Roman" w:eastAsia="Times New Roman" w:hAnsi="Times New Roman"/>
          <w:sz w:val="16"/>
          <w:szCs w:val="16"/>
          <w:b w:val="1"/>
          <w:bCs w:val="1"/>
          <w:color w:val="auto"/>
        </w:rPr>
        <w:t>2025</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01</w:t>
      </w:r>
      <w:r>
        <w:rPr>
          <w:rFonts w:ascii="Times New Roman" w:cs="Times New Roman" w:eastAsia="Times New Roman" w:hAnsi="Times New Roman"/>
          <w:sz w:val="16"/>
          <w:szCs w:val="16"/>
          <w:color w:val="auto"/>
        </w:rPr>
        <w:t xml:space="preserve"> to clarify that all public entities, including non-calendar year-end entities, should adopt the disclosure requirements of ASU 2024-03. The Company is currently evaluating the impact.</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NOTE 3 - FAIR VALUE MEASUREMENTS</w:t>
      </w:r>
    </w:p>
    <w:p>
      <w:pPr>
        <w:spacing w:after="0" w:line="191" w:lineRule="exact"/>
        <w:rPr>
          <w:sz w:val="20"/>
          <w:szCs w:val="20"/>
          <w:color w:val="auto"/>
        </w:rPr>
      </w:pPr>
    </w:p>
    <w:p>
      <w:pPr>
        <w:jc w:val="both"/>
        <w:ind w:left="7" w:hanging="7"/>
        <w:spacing w:after="0" w:line="251" w:lineRule="auto"/>
        <w:rPr>
          <w:sz w:val="20"/>
          <w:szCs w:val="20"/>
          <w:color w:val="auto"/>
        </w:rPr>
      </w:pPr>
      <w:r>
        <w:rPr>
          <w:rFonts w:ascii="Times New Roman" w:cs="Times New Roman" w:eastAsia="Times New Roman" w:hAnsi="Times New Roman"/>
          <w:sz w:val="16"/>
          <w:szCs w:val="16"/>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64" w:lineRule="exact"/>
        <w:rPr>
          <w:sz w:val="20"/>
          <w:szCs w:val="20"/>
          <w:color w:val="auto"/>
        </w:rPr>
      </w:pPr>
    </w:p>
    <w:p>
      <w:pPr>
        <w:jc w:val="both"/>
        <w:ind w:left="7" w:right="20" w:hanging="7"/>
        <w:spacing w:after="0" w:line="255" w:lineRule="auto"/>
        <w:rPr>
          <w:sz w:val="20"/>
          <w:szCs w:val="20"/>
          <w:color w:val="auto"/>
        </w:rPr>
      </w:pPr>
      <w:r>
        <w:rPr>
          <w:rFonts w:ascii="Times New Roman" w:cs="Times New Roman" w:eastAsia="Times New Roman" w:hAnsi="Times New Roman"/>
          <w:sz w:val="16"/>
          <w:szCs w:val="16"/>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60" w:lineRule="exact"/>
        <w:rPr>
          <w:sz w:val="20"/>
          <w:szCs w:val="20"/>
          <w:color w:val="auto"/>
        </w:rPr>
      </w:pPr>
    </w:p>
    <w:p>
      <w:pPr>
        <w:ind w:left="287" w:hanging="287"/>
        <w:spacing w:after="0"/>
        <w:tabs>
          <w:tab w:leader="none" w:pos="287"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inputs are quoted prices (unadjusted) in active markets for identical assets or liabilities.</w:t>
      </w:r>
    </w:p>
    <w:p>
      <w:pPr>
        <w:spacing w:after="0" w:line="18"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inputs are inputs other than quoted prices included within Level 1 that are observable for a similar asset or liability, either directly or indirectly.</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inputs are unobservable inputs that reflect the Company’s own assumptions about the inputs that market participants would use in pricing the asset or liability.</w:t>
      </w:r>
    </w:p>
    <w:p>
      <w:pPr>
        <w:spacing w:after="0" w:line="174" w:lineRule="exact"/>
        <w:rPr>
          <w:sz w:val="20"/>
          <w:szCs w:val="20"/>
          <w:color w:val="auto"/>
        </w:rPr>
      </w:pPr>
    </w:p>
    <w:p>
      <w:pPr>
        <w:jc w:val="both"/>
        <w:ind w:left="7" w:hanging="7"/>
        <w:spacing w:after="0" w:line="251" w:lineRule="auto"/>
        <w:rPr>
          <w:sz w:val="20"/>
          <w:szCs w:val="20"/>
          <w:color w:val="auto"/>
        </w:rPr>
      </w:pPr>
      <w:r>
        <w:rPr>
          <w:rFonts w:ascii="Times New Roman" w:cs="Times New Roman" w:eastAsia="Times New Roman" w:hAnsi="Times New Roman"/>
          <w:sz w:val="16"/>
          <w:szCs w:val="16"/>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124" w:name="page125"/>
    <w:bookmarkEnd w:id="12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FAIR VALUE MEASUREMENTS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assets and liabilities that were measured at fair value in the Consolidated Balance Sheets on a recurring basis as of December 31, 2024:</w:t>
      </w:r>
    </w:p>
    <w:p>
      <w:pPr>
        <w:spacing w:after="0" w:line="376"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Carrying Amount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Fair Value</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(Level 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(Level 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(Level 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gridSpan w:val="4"/>
          </w:tcPr>
          <w:p>
            <w:pPr>
              <w:ind w:left="60"/>
              <w:spacing w:after="0" w:line="179" w:lineRule="exact"/>
              <w:rPr>
                <w:sz w:val="20"/>
                <w:szCs w:val="20"/>
                <w:color w:val="auto"/>
              </w:rPr>
            </w:pPr>
            <w:r>
              <w:rPr>
                <w:rFonts w:ascii="Times New Roman" w:cs="Times New Roman" w:eastAsia="Times New Roman" w:hAnsi="Times New Roman"/>
                <w:sz w:val="16"/>
                <w:szCs w:val="16"/>
                <w:color w:val="auto"/>
              </w:rPr>
              <w:t>As of December 31, 2024</w:t>
            </w:r>
          </w:p>
        </w:tc>
        <w:tc>
          <w:tcPr>
            <w:tcW w:w="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Liabilities</w:t>
            </w: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9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color w:val="auto"/>
              </w:rPr>
              <w:t>Warrant liability- Term Loan</w:t>
            </w:r>
          </w:p>
        </w:tc>
        <w:tc>
          <w:tcPr>
            <w:tcW w:w="960" w:type="dxa"/>
            <w:vAlign w:val="bottom"/>
            <w:gridSpan w:val="2"/>
          </w:tcPr>
          <w:p>
            <w:pPr>
              <w:jc w:val="right"/>
              <w:ind w:right="313"/>
              <w:spacing w:after="0" w:line="18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3,883</w:t>
            </w:r>
          </w:p>
        </w:tc>
        <w:tc>
          <w:tcPr>
            <w:tcW w:w="520" w:type="dxa"/>
            <w:vAlign w:val="bottom"/>
            <w:gridSpan w:val="2"/>
          </w:tcPr>
          <w:p>
            <w:pPr>
              <w:jc w:val="right"/>
              <w:ind w:right="22"/>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3,883</w:t>
            </w:r>
          </w:p>
        </w:tc>
        <w:tc>
          <w:tcPr>
            <w:tcW w:w="500" w:type="dxa"/>
            <w:vAlign w:val="bottom"/>
            <w:gridSpan w:val="2"/>
          </w:tcPr>
          <w:p>
            <w:pPr>
              <w:jc w:val="right"/>
              <w:ind w:right="22"/>
              <w:spacing w:after="0" w:line="18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240" w:type="dxa"/>
            <w:vAlign w:val="bottom"/>
            <w:gridSpan w:val="2"/>
          </w:tcPr>
          <w:p>
            <w:pPr>
              <w:jc w:val="right"/>
              <w:ind w:right="22"/>
              <w:spacing w:after="0" w:line="18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3,883</w:t>
            </w:r>
          </w:p>
        </w:tc>
        <w:tc>
          <w:tcPr>
            <w:tcW w:w="320" w:type="dxa"/>
            <w:vAlign w:val="bottom"/>
          </w:tcPr>
          <w:p>
            <w:pPr>
              <w:spacing w:after="0"/>
              <w:rPr>
                <w:sz w:val="15"/>
                <w:szCs w:val="15"/>
                <w:color w:val="auto"/>
              </w:rPr>
            </w:pPr>
          </w:p>
        </w:tc>
        <w:tc>
          <w:tcPr>
            <w:tcW w:w="180" w:type="dxa"/>
            <w:vAlign w:val="bottom"/>
            <w:gridSpan w:val="2"/>
          </w:tcPr>
          <w:p>
            <w:pPr>
              <w:jc w:val="right"/>
              <w:ind w:right="44"/>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 June Public Offering</w:t>
            </w:r>
          </w:p>
        </w:tc>
        <w:tc>
          <w:tcPr>
            <w:tcW w:w="5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Total liabilities</w:t>
            </w:r>
          </w:p>
        </w:tc>
        <w:tc>
          <w:tcPr>
            <w:tcW w:w="520" w:type="dxa"/>
            <w:vAlign w:val="bottom"/>
          </w:tcPr>
          <w:p>
            <w:pPr>
              <w:spacing w:after="0"/>
              <w:rPr>
                <w:sz w:val="16"/>
                <w:szCs w:val="16"/>
                <w:color w:val="auto"/>
              </w:rPr>
            </w:pPr>
          </w:p>
        </w:tc>
        <w:tc>
          <w:tcPr>
            <w:tcW w:w="4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340" w:type="dxa"/>
            <w:vAlign w:val="bottom"/>
          </w:tcPr>
          <w:p>
            <w:pPr>
              <w:spacing w:after="0"/>
              <w:rPr>
                <w:sz w:val="16"/>
                <w:szCs w:val="16"/>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320" w:type="dxa"/>
            <w:vAlign w:val="bottom"/>
          </w:tcPr>
          <w:p>
            <w:pPr>
              <w:spacing w:after="0"/>
              <w:rPr>
                <w:sz w:val="16"/>
                <w:szCs w:val="16"/>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Due to Black Scholes calculation being utilized on all fair value measurement of warrant liabilities as of December 31, 2024, the fair value warrant liabilities were transferred from Level 3 to Level 2. This is due to the observable inputs (such as the Company’s stock price and comparable company volatility calculations) included in the Black Scholes calculation, which makes the fair value measurement of the warrant liabilities more closely aligned with Level 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assets and liabilities that were measured at fair value in the Consolidated Balance Sheets on a recurring basis as of December 31, 2023:</w:t>
      </w:r>
    </w:p>
    <w:p>
      <w:pPr>
        <w:spacing w:after="0" w:line="201"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Carrying Amount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Fair Value</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(Level 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(Level 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(Level 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5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gridSpan w:val="4"/>
          </w:tcPr>
          <w:p>
            <w:pPr>
              <w:ind w:left="60"/>
              <w:spacing w:after="0" w:line="179" w:lineRule="exact"/>
              <w:rPr>
                <w:sz w:val="20"/>
                <w:szCs w:val="20"/>
                <w:color w:val="auto"/>
              </w:rPr>
            </w:pPr>
            <w:r>
              <w:rPr>
                <w:rFonts w:ascii="Times New Roman" w:cs="Times New Roman" w:eastAsia="Times New Roman" w:hAnsi="Times New Roman"/>
                <w:sz w:val="16"/>
                <w:szCs w:val="16"/>
                <w:color w:val="auto"/>
              </w:rPr>
              <w:t>As of December 31, 2023</w:t>
            </w:r>
          </w:p>
        </w:tc>
        <w:tc>
          <w:tcPr>
            <w:tcW w:w="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Liabilities</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1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color w:val="auto"/>
              </w:rPr>
              <w:t>Warrant liability- Term Loan</w:t>
            </w:r>
          </w:p>
        </w:tc>
        <w:tc>
          <w:tcPr>
            <w:tcW w:w="760" w:type="dxa"/>
            <w:vAlign w:val="bottom"/>
            <w:gridSpan w:val="2"/>
          </w:tcPr>
          <w:p>
            <w:pPr>
              <w:jc w:val="right"/>
              <w:ind w:right="313"/>
              <w:spacing w:after="0" w:line="18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1,014</w:t>
            </w:r>
          </w:p>
        </w:tc>
        <w:tc>
          <w:tcPr>
            <w:tcW w:w="520" w:type="dxa"/>
            <w:vAlign w:val="bottom"/>
            <w:gridSpan w:val="2"/>
          </w:tcPr>
          <w:p>
            <w:pPr>
              <w:jc w:val="right"/>
              <w:ind w:right="22"/>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1,014</w:t>
            </w:r>
          </w:p>
        </w:tc>
        <w:tc>
          <w:tcPr>
            <w:tcW w:w="500" w:type="dxa"/>
            <w:vAlign w:val="bottom"/>
            <w:gridSpan w:val="2"/>
          </w:tcPr>
          <w:p>
            <w:pPr>
              <w:jc w:val="right"/>
              <w:ind w:right="22"/>
              <w:spacing w:after="0" w:line="18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240" w:type="dxa"/>
            <w:vAlign w:val="bottom"/>
            <w:gridSpan w:val="2"/>
          </w:tcPr>
          <w:p>
            <w:pPr>
              <w:jc w:val="right"/>
              <w:ind w:right="22"/>
              <w:spacing w:after="0" w:line="18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22"/>
              <w:spacing w:after="0" w:line="18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1,014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 June Public Offering</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Warrant liability- Private placement warrants</w:t>
            </w: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00" w:type="dxa"/>
            <w:vAlign w:val="bottom"/>
            <w:tcBorders>
              <w:bottom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3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hanging="7"/>
        <w:spacing w:after="0" w:line="267" w:lineRule="auto"/>
        <w:rPr>
          <w:sz w:val="20"/>
          <w:szCs w:val="20"/>
          <w:color w:val="auto"/>
        </w:rPr>
      </w:pPr>
      <w:r>
        <w:rPr>
          <w:rFonts w:ascii="Times New Roman" w:cs="Times New Roman" w:eastAsia="Times New Roman" w:hAnsi="Times New Roman"/>
          <w:sz w:val="16"/>
          <w:szCs w:val="16"/>
          <w:color w:val="auto"/>
        </w:rPr>
        <w:t>The carrying amounts of accounts receivable and accounts payable are considered level 1 and approximate fair value as of December 31, 2024 and 2023 because of the relatively short maturity of these instruments.</w:t>
      </w:r>
    </w:p>
    <w:p>
      <w:pPr>
        <w:spacing w:after="0" w:line="151" w:lineRule="exact"/>
        <w:rPr>
          <w:sz w:val="20"/>
          <w:szCs w:val="20"/>
          <w:color w:val="auto"/>
        </w:rPr>
      </w:pPr>
    </w:p>
    <w:p>
      <w:pPr>
        <w:ind w:hanging="7"/>
        <w:spacing w:after="0" w:line="267" w:lineRule="auto"/>
        <w:rPr>
          <w:sz w:val="20"/>
          <w:szCs w:val="20"/>
          <w:color w:val="auto"/>
        </w:rPr>
      </w:pPr>
      <w:r>
        <w:rPr>
          <w:rFonts w:ascii="Times New Roman" w:cs="Times New Roman" w:eastAsia="Times New Roman" w:hAnsi="Times New Roman"/>
          <w:sz w:val="16"/>
          <w:szCs w:val="16"/>
          <w:color w:val="auto"/>
        </w:rPr>
        <w:t>The carrying value of the term loan as of December 31, 2024 and 2023 approximates fair value as the interest rate does not differ significantly from the current market rates available to the Company for similar debt and is considered level 2.</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25" w:name="page126"/>
    <w:bookmarkEnd w:id="12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FAIR VALUE MEASUREMENTS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Level 3 Roll forward</w:t>
      </w:r>
    </w:p>
    <w:p>
      <w:pPr>
        <w:spacing w:after="0" w:line="191" w:lineRule="exact"/>
        <w:rPr>
          <w:sz w:val="20"/>
          <w:szCs w:val="20"/>
          <w:color w:val="auto"/>
        </w:rPr>
      </w:pPr>
    </w:p>
    <w:p>
      <w:pPr>
        <w:ind w:right="20" w:hanging="7"/>
        <w:spacing w:after="0" w:line="267" w:lineRule="auto"/>
        <w:rPr>
          <w:sz w:val="20"/>
          <w:szCs w:val="20"/>
          <w:color w:val="auto"/>
        </w:rPr>
      </w:pPr>
      <w:r>
        <w:rPr>
          <w:rFonts w:ascii="Times New Roman" w:cs="Times New Roman" w:eastAsia="Times New Roman" w:hAnsi="Times New Roman"/>
          <w:sz w:val="16"/>
          <w:szCs w:val="16"/>
          <w:color w:val="auto"/>
        </w:rPr>
        <w:t>Fair value measurements categorized within Level 3 are sensitive to changes in assumptions or methodology used to determine fair value, and such changes could result in a significant increase or decrease in the fair value.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for Level 3 items measured at fair value on recurring basis using significant unobservable inputs are as follows:</w:t>
      </w:r>
    </w:p>
    <w:p>
      <w:pPr>
        <w:sectPr>
          <w:pgSz w:w="11900" w:h="16838" w:orient="portrait"/>
          <w:cols w:equalWidth="0" w:num="1">
            <w:col w:w="11260"/>
          </w:cols>
          <w:pgMar w:left="320" w:top="611" w:right="31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Fair value as of January 1, 2024</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Warrants Issued</w:t>
      </w:r>
    </w:p>
    <w:p>
      <w:pPr>
        <w:ind w:left="1120"/>
        <w:spacing w:after="0" w:line="196" w:lineRule="auto"/>
        <w:rPr>
          <w:sz w:val="20"/>
          <w:szCs w:val="20"/>
          <w:color w:val="auto"/>
        </w:rPr>
      </w:pPr>
      <w:r>
        <w:rPr>
          <w:rFonts w:ascii="Times New Roman" w:cs="Times New Roman" w:eastAsia="Times New Roman" w:hAnsi="Times New Roman"/>
          <w:sz w:val="15"/>
          <w:szCs w:val="15"/>
          <w:color w:val="auto"/>
        </w:rPr>
        <w:t>Change in fair value, gain included in net loss</w:t>
      </w:r>
      <w:r>
        <w:rPr>
          <w:rFonts w:ascii="Times New Roman" w:cs="Times New Roman" w:eastAsia="Times New Roman" w:hAnsi="Times New Roman"/>
          <w:sz w:val="24"/>
          <w:szCs w:val="24"/>
          <w:color w:val="auto"/>
          <w:vertAlign w:val="superscript"/>
        </w:rPr>
        <w:t>(1)</w:t>
      </w:r>
    </w:p>
    <w:p>
      <w:pPr>
        <w:ind w:left="1120"/>
        <w:spacing w:after="0" w:line="195" w:lineRule="auto"/>
        <w:rPr>
          <w:sz w:val="20"/>
          <w:szCs w:val="20"/>
          <w:color w:val="auto"/>
        </w:rPr>
      </w:pPr>
      <w:r>
        <w:rPr>
          <w:rFonts w:ascii="Times New Roman" w:cs="Times New Roman" w:eastAsia="Times New Roman" w:hAnsi="Times New Roman"/>
          <w:sz w:val="16"/>
          <w:szCs w:val="16"/>
          <w:color w:val="auto"/>
        </w:rPr>
        <w:t>Transfers from Level 3 to Level 2</w:t>
      </w:r>
      <w:r>
        <w:rPr>
          <w:rFonts w:ascii="Times New Roman" w:cs="Times New Roman" w:eastAsia="Times New Roman" w:hAnsi="Times New Roman"/>
          <w:sz w:val="25"/>
          <w:szCs w:val="25"/>
          <w:color w:val="auto"/>
          <w:vertAlign w:val="superscript"/>
        </w:rPr>
        <w:t>(2)</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Fair value as of December 31, 2024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Fair value as of January 1, 2023</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Warrants Issued</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Warrant exercises</w:t>
      </w:r>
    </w:p>
    <w:p>
      <w:pPr>
        <w:ind w:left="1120"/>
        <w:spacing w:after="0" w:line="207" w:lineRule="auto"/>
        <w:rPr>
          <w:sz w:val="20"/>
          <w:szCs w:val="20"/>
          <w:color w:val="auto"/>
        </w:rPr>
      </w:pPr>
      <w:r>
        <w:rPr>
          <w:rFonts w:ascii="Times New Roman" w:cs="Times New Roman" w:eastAsia="Times New Roman" w:hAnsi="Times New Roman"/>
          <w:sz w:val="15"/>
          <w:szCs w:val="15"/>
          <w:color w:val="auto"/>
        </w:rPr>
        <w:t>Change in fair value, gain included in net loss</w:t>
      </w:r>
      <w:r>
        <w:rPr>
          <w:rFonts w:ascii="Times New Roman" w:cs="Times New Roman" w:eastAsia="Times New Roman" w:hAnsi="Times New Roman"/>
          <w:sz w:val="24"/>
          <w:szCs w:val="24"/>
          <w:color w:val="auto"/>
          <w:vertAlign w:val="superscript"/>
        </w:rPr>
        <w:t>(1)</w:t>
      </w:r>
    </w:p>
    <w:p>
      <w:pPr>
        <w:ind w:left="1120"/>
        <w:spacing w:after="0"/>
        <w:rPr>
          <w:sz w:val="20"/>
          <w:szCs w:val="20"/>
          <w:color w:val="auto"/>
        </w:rPr>
      </w:pPr>
      <w:r>
        <w:rPr>
          <w:rFonts w:ascii="Times New Roman" w:cs="Times New Roman" w:eastAsia="Times New Roman" w:hAnsi="Times New Roman"/>
          <w:sz w:val="16"/>
          <w:szCs w:val="16"/>
          <w:b w:val="1"/>
          <w:bCs w:val="1"/>
          <w:color w:val="auto"/>
        </w:rPr>
        <w:t>Fair value as of December 31, 2023</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Warrant Liability –</w:t>
      </w:r>
    </w:p>
    <w:p>
      <w:pPr>
        <w:spacing w:after="0" w:line="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Term Loan</w:t>
      </w:r>
    </w:p>
    <w:p>
      <w:pPr>
        <w:spacing w:after="0" w:line="3" w:lineRule="exact"/>
        <w:rPr>
          <w:sz w:val="20"/>
          <w:szCs w:val="20"/>
          <w:color w:val="auto"/>
        </w:rPr>
      </w:pPr>
    </w:p>
    <w:p>
      <w:pPr>
        <w:ind w:left="1200" w:hanging="1199"/>
        <w:spacing w:after="0"/>
        <w:tabs>
          <w:tab w:leader="none" w:pos="12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1,014</w:t>
      </w:r>
    </w:p>
    <w:p>
      <w:pPr>
        <w:spacing w:after="0" w:line="14" w:lineRule="exact"/>
        <w:rPr>
          <w:rFonts w:ascii="Times New Roman" w:cs="Times New Roman" w:eastAsia="Times New Roman" w:hAnsi="Times New Roman"/>
          <w:sz w:val="16"/>
          <w:szCs w:val="16"/>
          <w:color w:val="auto"/>
        </w:rPr>
      </w:pPr>
    </w:p>
    <w:p>
      <w:pPr>
        <w:ind w:left="1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1905</wp:posOffset>
            </wp:positionV>
            <wp:extent cx="5720715" cy="140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20715" cy="140970"/>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-241935</wp:posOffset>
            </wp:positionV>
            <wp:extent cx="5720715" cy="1257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20715" cy="12573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(4,484)</w:t>
            </w: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(3,883)</w:t>
            </w:r>
          </w:p>
        </w:tc>
      </w:tr>
      <w:tr>
        <w:trPr>
          <w:trHeight w:val="190"/>
        </w:trPr>
        <w:tc>
          <w:tcPr>
            <w:tcW w:w="2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-154940</wp:posOffset>
            </wp:positionV>
            <wp:extent cx="5720715" cy="1409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20715" cy="140970"/>
                    </a:xfrm>
                    <a:prstGeom prst="rect">
                      <a:avLst/>
                    </a:prstGeom>
                    <a:noFill/>
                  </pic:spPr>
                </pic:pic>
              </a:graphicData>
            </a:graphic>
          </wp:anchor>
        </w:drawing>
      </w:r>
    </w:p>
    <w:p>
      <w:pPr>
        <w:spacing w:after="0" w:line="1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Warrant Liability –</w:t>
      </w:r>
    </w:p>
    <w:p>
      <w:pPr>
        <w:spacing w:after="0" w:line="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Term Loan</w:t>
      </w:r>
    </w:p>
    <w:p>
      <w:pPr>
        <w:spacing w:after="0" w:line="3" w:lineRule="exact"/>
        <w:rPr>
          <w:sz w:val="20"/>
          <w:szCs w:val="20"/>
          <w:color w:val="auto"/>
        </w:rPr>
      </w:pPr>
    </w:p>
    <w:p>
      <w:pPr>
        <w:ind w:left="1120" w:hanging="1119"/>
        <w:spacing w:after="0"/>
        <w:tabs>
          <w:tab w:leader="none" w:pos="112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30,841</w:t>
      </w:r>
    </w:p>
    <w:p>
      <w:pPr>
        <w:spacing w:after="0" w:line="14"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-241935</wp:posOffset>
            </wp:positionV>
            <wp:extent cx="5720715" cy="1257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20715" cy="12573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color w:val="auto"/>
        </w:rPr>
        <w:t>(11,284)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-115570</wp:posOffset>
            </wp:positionV>
            <wp:extent cx="5720715" cy="1187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20715" cy="11874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(19,241)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19685</wp:posOffset>
            </wp:positionV>
            <wp:extent cx="5720715" cy="1409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20715" cy="140970"/>
                    </a:xfrm>
                    <a:prstGeom prst="rect">
                      <a:avLst/>
                    </a:prstGeom>
                    <a:noFill/>
                  </pic:spPr>
                </pic:pic>
              </a:graphicData>
            </a:graphic>
          </wp:anchor>
        </w:drawing>
      </w:r>
    </w:p>
    <w:p>
      <w:pPr>
        <w:spacing w:after="0" w:line="18" w:lineRule="exact"/>
        <w:rPr>
          <w:sz w:val="20"/>
          <w:szCs w:val="20"/>
          <w:color w:val="auto"/>
        </w:rPr>
      </w:pPr>
    </w:p>
    <w:p>
      <w:pPr>
        <w:ind w:left="1200" w:hanging="1199"/>
        <w:spacing w:after="0"/>
        <w:tabs>
          <w:tab w:leader="none" w:pos="12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97790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7790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Warrant liability- June</w:t>
      </w:r>
    </w:p>
    <w:p>
      <w:pPr>
        <w:spacing w:after="0" w:line="1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Public Offering</w:t>
      </w:r>
    </w:p>
    <w:p>
      <w:pPr>
        <w:spacing w:after="0" w:line="3" w:lineRule="exact"/>
        <w:rPr>
          <w:sz w:val="20"/>
          <w:szCs w:val="20"/>
          <w:color w:val="auto"/>
        </w:rPr>
      </w:pPr>
    </w:p>
    <w:p>
      <w:pPr>
        <w:ind w:left="1180" w:hanging="1170"/>
        <w:spacing w:after="0"/>
        <w:tabs>
          <w:tab w:leader="none" w:pos="11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3,434</w:t>
      </w:r>
    </w:p>
    <w:p>
      <w:pPr>
        <w:spacing w:after="0" w:line="14" w:lineRule="exact"/>
        <w:rPr>
          <w:rFonts w:ascii="Times New Roman" w:cs="Times New Roman" w:eastAsia="Times New Roman" w:hAnsi="Times New Roman"/>
          <w:sz w:val="16"/>
          <w:szCs w:val="16"/>
          <w:color w:val="auto"/>
        </w:rPr>
      </w:pPr>
    </w:p>
    <w:p>
      <w:pPr>
        <w:ind w:left="1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(2,184)</w:t>
            </w: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190"/>
        </w:trPr>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7"/>
              </w:rPr>
              <w:t>Warrant liability- June</w:t>
            </w: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Public Offering</w:t>
            </w:r>
          </w:p>
        </w:tc>
      </w:tr>
      <w:tr>
        <w:trPr>
          <w:trHeight w:val="162"/>
        </w:trPr>
        <w:tc>
          <w:tcPr>
            <w:tcW w:w="20" w:type="dxa"/>
            <w:vAlign w:val="bottom"/>
          </w:tcPr>
          <w:p>
            <w:pPr>
              <w:spacing w:after="0"/>
              <w:rPr>
                <w:sz w:val="14"/>
                <w:szCs w:val="14"/>
                <w:color w:val="auto"/>
              </w:rPr>
            </w:pPr>
          </w:p>
        </w:tc>
        <w:tc>
          <w:tcPr>
            <w:tcW w:w="1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13,762</w:t>
            </w:r>
          </w:p>
        </w:tc>
        <w:tc>
          <w:tcPr>
            <w:tcW w:w="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233"/>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(9,711)</w:t>
            </w:r>
          </w:p>
        </w:tc>
      </w:tr>
    </w:tbl>
    <w:p>
      <w:pPr>
        <w:spacing w:after="0" w:line="7" w:lineRule="exact"/>
        <w:rPr>
          <w:sz w:val="20"/>
          <w:szCs w:val="20"/>
          <w:color w:val="auto"/>
        </w:rPr>
      </w:pPr>
    </w:p>
    <w:p>
      <w:pPr>
        <w:ind w:left="1180" w:hanging="1170"/>
        <w:spacing w:after="0"/>
        <w:tabs>
          <w:tab w:leader="none" w:pos="11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27305</wp:posOffset>
            </wp:positionV>
            <wp:extent cx="96329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63295" cy="7620"/>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3">
            <w:col w:w="6000" w:space="720"/>
            <w:col w:w="1600" w:space="200"/>
            <w:col w:w="2740"/>
          </w:cols>
          <w:pgMar w:left="320" w:top="611" w:right="319" w:bottom="1440" w:gutter="0" w:footer="0" w:header="0"/>
          <w:type w:val="continuous"/>
        </w:sectPr>
      </w:pPr>
    </w:p>
    <w:p>
      <w:pPr>
        <w:ind w:left="300" w:hanging="224"/>
        <w:spacing w:after="0"/>
        <w:tabs>
          <w:tab w:leader="none" w:pos="30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i w:val="1"/>
          <w:iCs w:val="1"/>
          <w:color w:val="auto"/>
        </w:rPr>
        <w:t>Changes in fair value of warrant liabilities are disclosed separately in the Consolidated Statements of Operations.</w:t>
      </w:r>
    </w:p>
    <w:p>
      <w:pPr>
        <w:spacing w:after="0" w:line="95" w:lineRule="exact"/>
        <w:rPr>
          <w:rFonts w:ascii="Times New Roman" w:cs="Times New Roman" w:eastAsia="Times New Roman" w:hAnsi="Times New Roman"/>
          <w:sz w:val="26"/>
          <w:szCs w:val="26"/>
          <w:color w:val="auto"/>
          <w:vertAlign w:val="superscript"/>
        </w:rPr>
      </w:pPr>
    </w:p>
    <w:p>
      <w:pPr>
        <w:ind w:left="300" w:hanging="224"/>
        <w:spacing w:after="0" w:line="184" w:lineRule="auto"/>
        <w:tabs>
          <w:tab w:leader="none" w:pos="30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i w:val="1"/>
          <w:iCs w:val="1"/>
          <w:color w:val="auto"/>
        </w:rPr>
        <w:t>Transfers of warrant liability fair market value reclassified from Level 3 to Level 2 due to utilizing Black Scholes calculation for fair value measurement across all warrant liabilities, which includes observable inputs (such as company stock price and comparable company volatility calculations) and more closely aligns with Level 2.</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type w:val="continuous"/>
        </w:sectPr>
      </w:pPr>
    </w:p>
    <w:bookmarkStart w:id="126" w:name="page127"/>
    <w:bookmarkEnd w:id="12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4 - INVENTORY</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73"/>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Inventory consists of the following:</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5"/>
        </w:trPr>
        <w:tc>
          <w:tcPr>
            <w:tcW w:w="11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8"/>
              </w:rPr>
              <w:t>December 31, 2024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179"/>
        </w:trPr>
        <w:tc>
          <w:tcPr>
            <w:tcW w:w="11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Raw material</w:t>
            </w:r>
          </w:p>
        </w:tc>
        <w:tc>
          <w:tcPr>
            <w:tcW w:w="12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18,776</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31,604</w:t>
            </w:r>
          </w:p>
        </w:tc>
        <w:tc>
          <w:tcPr>
            <w:tcW w:w="80" w:type="dxa"/>
            <w:vAlign w:val="bottom"/>
            <w:tcBorders>
              <w:top w:val="single" w:sz="8" w:color="CCEEFF"/>
            </w:tcBorders>
            <w:shd w:val="clear" w:color="auto" w:fill="CCEEFF"/>
          </w:tcPr>
          <w:p>
            <w:pPr>
              <w:spacing w:after="0"/>
              <w:rPr>
                <w:sz w:val="15"/>
                <w:szCs w:val="15"/>
                <w:color w:val="auto"/>
              </w:rPr>
            </w:pPr>
          </w:p>
        </w:tc>
      </w:tr>
      <w:tr>
        <w:trPr>
          <w:trHeight w:val="198"/>
        </w:trPr>
        <w:tc>
          <w:tcPr>
            <w:tcW w:w="1120" w:type="dxa"/>
            <w:vAlign w:val="bottom"/>
          </w:tcPr>
          <w:p>
            <w:pPr>
              <w:spacing w:after="0"/>
              <w:rPr>
                <w:sz w:val="17"/>
                <w:szCs w:val="17"/>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80" w:type="dxa"/>
            <w:vAlign w:val="bottom"/>
            <w:tcBorders>
              <w:bottom w:val="single" w:sz="8" w:color="CCEEFF"/>
            </w:tcBorders>
          </w:tcPr>
          <w:p>
            <w:pPr>
              <w:spacing w:after="0"/>
              <w:rPr>
                <w:sz w:val="17"/>
                <w:szCs w:val="17"/>
                <w:color w:val="auto"/>
              </w:rPr>
            </w:pPr>
          </w:p>
        </w:tc>
      </w:tr>
      <w:tr>
        <w:trPr>
          <w:trHeight w:val="190"/>
        </w:trPr>
        <w:tc>
          <w:tcPr>
            <w:tcW w:w="1120" w:type="dxa"/>
            <w:vAlign w:val="bottom"/>
          </w:tcPr>
          <w:p>
            <w:pPr>
              <w:spacing w:after="0"/>
              <w:rPr>
                <w:sz w:val="16"/>
                <w:szCs w:val="16"/>
                <w:color w:val="auto"/>
              </w:rPr>
            </w:pPr>
          </w:p>
        </w:tc>
        <w:tc>
          <w:tcPr>
            <w:tcW w:w="560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inventory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21,716</w:t>
            </w: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38,778</w:t>
            </w:r>
          </w:p>
        </w:tc>
        <w:tc>
          <w:tcPr>
            <w:tcW w:w="80" w:type="dxa"/>
            <w:vAlign w:val="bottom"/>
            <w:tcBorders>
              <w:bottom w:val="single" w:sz="8" w:color="CCEEFF"/>
            </w:tcBorders>
            <w:shd w:val="clear" w:color="auto" w:fill="CCEEFF"/>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Litigation</w:t>
      </w:r>
    </w:p>
    <w:p>
      <w:pPr>
        <w:spacing w:after="0" w:line="191"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Leases</w:t>
      </w:r>
    </w:p>
    <w:p>
      <w:pPr>
        <w:spacing w:after="0" w:line="191" w:lineRule="exact"/>
        <w:rPr>
          <w:sz w:val="20"/>
          <w:szCs w:val="20"/>
          <w:color w:val="auto"/>
        </w:rPr>
      </w:pPr>
    </w:p>
    <w:p>
      <w:pPr>
        <w:jc w:val="both"/>
        <w:ind w:hanging="7"/>
        <w:spacing w:after="0" w:line="249" w:lineRule="auto"/>
        <w:rPr>
          <w:sz w:val="20"/>
          <w:szCs w:val="20"/>
          <w:color w:val="auto"/>
        </w:rPr>
      </w:pPr>
      <w:r>
        <w:rPr>
          <w:rFonts w:ascii="Times New Roman" w:cs="Times New Roman" w:eastAsia="Times New Roman" w:hAnsi="Times New Roman"/>
          <w:sz w:val="16"/>
          <w:szCs w:val="16"/>
          <w:color w:val="auto"/>
        </w:rPr>
        <w:t>The Company has leases related to the main office, warehouse space, research and development lab, engineering office, and sales office, all located in Reno, Nevada. The leases require annual escalating monthly payments ranging from $111 to $309.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A certificate of substantial completion has been issued and the lease commencement date was March 25, 2024. The Company began paying monthly rent under the lease on July 24, 2024.</w:t>
      </w:r>
    </w:p>
    <w:p>
      <w:pPr>
        <w:spacing w:after="0" w:line="166" w:lineRule="exact"/>
        <w:rPr>
          <w:sz w:val="20"/>
          <w:szCs w:val="20"/>
          <w:color w:val="auto"/>
        </w:rPr>
      </w:pPr>
    </w:p>
    <w:p>
      <w:pPr>
        <w:jc w:val="both"/>
        <w:ind w:hanging="7"/>
        <w:spacing w:after="0" w:line="245" w:lineRule="auto"/>
        <w:rPr>
          <w:sz w:val="20"/>
          <w:szCs w:val="20"/>
          <w:color w:val="auto"/>
        </w:rPr>
      </w:pPr>
      <w:r>
        <w:rPr>
          <w:rFonts w:ascii="Times New Roman" w:cs="Times New Roman" w:eastAsia="Times New Roman" w:hAnsi="Times New Roman"/>
          <w:sz w:val="16"/>
          <w:szCs w:val="16"/>
          <w:color w:val="auto"/>
        </w:rPr>
        <w:t>On April 12, 2024 the Company entered into a lease agreement, pursuant to which the Company agreed to lease an approximately 64,000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effective date of the lease is April 1, 2024 (the “Lease Commencement Date”). However, the initial term of the Fernley Lease Agreement (the “Term”) is for a period of sixty (60) months, effective June 1, 2024 (the “Rent Commencement Date”). The base rent for the Premises, payable monthly, is $45 for the first ten months, starting June 1, 2024, and is subject to a three percent (3.0%) increase on the anniversary of the Lease Commencement Date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$50.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27" w:name="page128"/>
    <w:bookmarkEnd w:id="127"/>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COMMITMENTS AND CONTINGENCIES (CONTINUED)</w:t>
      </w:r>
    </w:p>
    <w:p>
      <w:pPr>
        <w:sectPr>
          <w:pgSz w:w="11900" w:h="16838" w:orient="portrait"/>
          <w:cols w:equalWidth="0" w:num="1">
            <w:col w:w="10980"/>
          </w:cols>
          <w:pgMar w:left="320" w:top="611" w:right="599" w:bottom="144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breakout of the operating leases as of:</w:t>
      </w:r>
    </w:p>
    <w:p>
      <w:pPr>
        <w:spacing w:after="0" w:line="200" w:lineRule="exact"/>
        <w:rPr>
          <w:sz w:val="20"/>
          <w:szCs w:val="20"/>
          <w:color w:val="auto"/>
        </w:rPr>
      </w:pPr>
    </w:p>
    <w:p>
      <w:pPr>
        <w:spacing w:after="0" w:line="2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Operating lease right-of-use assets</w:t>
      </w:r>
    </w:p>
    <w:p>
      <w:pPr>
        <w:spacing w:after="0" w:line="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Short-term operating lease liabilities</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Long-term operating lease liabilities</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Total operating lease liabilities</w:t>
      </w:r>
    </w:p>
    <w:p>
      <w:pPr>
        <w:spacing w:after="0" w:line="5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Weighted average remaining lease term</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96"/>
              </w:rPr>
              <w:t>December 31, 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8"/>
              </w:rPr>
              <w:t>December 31, 2023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19,737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3,315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2,926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1,288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25,514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6"/>
                <w:szCs w:val="16"/>
                <w:color w:val="auto"/>
              </w:rPr>
              <w:t>8.46 years</w:t>
            </w: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6"/>
                <w:szCs w:val="16"/>
                <w:color w:val="auto"/>
              </w:rPr>
              <w:t>2.6 years</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-769620</wp:posOffset>
            </wp:positionV>
            <wp:extent cx="5720715" cy="1257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20715" cy="125730"/>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-517525</wp:posOffset>
            </wp:positionV>
            <wp:extent cx="5720715" cy="1257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20715" cy="125730"/>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-250825</wp:posOffset>
            </wp:positionV>
            <wp:extent cx="5720715" cy="133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20715" cy="13335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920" w:space="720"/>
            <w:col w:w="4340"/>
          </w:cols>
          <w:pgMar w:left="320" w:top="611" w:right="5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Assumptions used in determining our incremental borrowing rate include our implied credit rating and an estimate of secured borrowing rates based on comparable market data.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the future minimum lease payments under these operating leases are as follows:</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56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Years Ending</w:t>
            </w:r>
          </w:p>
        </w:tc>
        <w:tc>
          <w:tcPr>
            <w:tcW w:w="2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2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w:t>
            </w:r>
          </w:p>
        </w:tc>
        <w:tc>
          <w:tcPr>
            <w:tcW w:w="80" w:type="dxa"/>
            <w:vAlign w:val="bottom"/>
            <w:shd w:val="clear" w:color="auto" w:fill="CCEEFF"/>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2027</w:t>
            </w: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2028</w:t>
            </w:r>
          </w:p>
        </w:tc>
        <w:tc>
          <w:tcPr>
            <w:tcW w:w="2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80" w:type="dxa"/>
            <w:vAlign w:val="bottom"/>
            <w:shd w:val="clear" w:color="auto" w:fill="CCEEFF"/>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2029</w:t>
            </w: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56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15,883</w:t>
            </w: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8"/>
        </w:trPr>
        <w:tc>
          <w:tcPr>
            <w:tcW w:w="560" w:type="dxa"/>
            <w:vAlign w:val="bottom"/>
          </w:tcPr>
          <w:p>
            <w:pPr>
              <w:spacing w:after="0"/>
              <w:rPr>
                <w:sz w:val="15"/>
                <w:szCs w:val="15"/>
                <w:color w:val="auto"/>
              </w:rPr>
            </w:pPr>
          </w:p>
        </w:tc>
        <w:tc>
          <w:tcPr>
            <w:tcW w:w="41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Total lease payments</w:t>
            </w:r>
          </w:p>
        </w:tc>
        <w:tc>
          <w:tcPr>
            <w:tcW w:w="2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35,802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56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10,288</w:t>
            </w: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560" w:type="dxa"/>
            <w:vAlign w:val="bottom"/>
          </w:tcPr>
          <w:p>
            <w:pPr>
              <w:spacing w:after="0"/>
              <w:rPr>
                <w:sz w:val="16"/>
                <w:szCs w:val="16"/>
                <w:color w:val="auto"/>
              </w:rPr>
            </w:pPr>
          </w:p>
        </w:tc>
        <w:tc>
          <w:tcPr>
            <w:tcW w:w="41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operating lease liabilities</w:t>
            </w: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25,514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5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8"/>
          </w:tcPr>
          <w:p>
            <w:pPr>
              <w:ind w:left="140"/>
              <w:spacing w:after="0"/>
              <w:rPr>
                <w:sz w:val="20"/>
                <w:szCs w:val="20"/>
                <w:color w:val="auto"/>
              </w:rPr>
            </w:pPr>
            <w:r>
              <w:rPr>
                <w:rFonts w:ascii="Times New Roman" w:cs="Times New Roman" w:eastAsia="Times New Roman" w:hAnsi="Times New Roman"/>
                <w:sz w:val="16"/>
                <w:szCs w:val="16"/>
                <w:color w:val="auto"/>
              </w:rPr>
              <w:t>For The Years Ended December 31,</w:t>
            </w:r>
          </w:p>
        </w:tc>
      </w:tr>
      <w:tr>
        <w:trPr>
          <w:trHeight w:val="203"/>
        </w:trPr>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 cost</w:t>
            </w: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Classification</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9"/>
        </w:trPr>
        <w:tc>
          <w:tcPr>
            <w:tcW w:w="4680" w:type="dxa"/>
            <w:vAlign w:val="bottom"/>
            <w:tcBorders>
              <w:top w:val="single" w:sz="8" w:color="auto"/>
            </w:tcBorders>
            <w:gridSpan w:val="2"/>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Operating lease cost</w:t>
            </w:r>
          </w:p>
        </w:tc>
        <w:tc>
          <w:tcPr>
            <w:tcW w:w="20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gridSpan w:val="2"/>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1,579</w:t>
            </w:r>
          </w:p>
        </w:tc>
        <w:tc>
          <w:tcPr>
            <w:tcW w:w="3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gridSpan w:val="3"/>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1,393</w:t>
            </w:r>
          </w:p>
        </w:tc>
        <w:tc>
          <w:tcPr>
            <w:tcW w:w="100" w:type="dxa"/>
            <w:vAlign w:val="bottom"/>
            <w:tcBorders>
              <w:top w:val="single" w:sz="8" w:color="CCEEFF"/>
            </w:tcBorders>
            <w:shd w:val="clear" w:color="auto" w:fill="CCEEFF"/>
          </w:tcPr>
          <w:p>
            <w:pPr>
              <w:spacing w:after="0"/>
              <w:rPr>
                <w:sz w:val="15"/>
                <w:szCs w:val="15"/>
                <w:color w:val="auto"/>
              </w:rPr>
            </w:pPr>
          </w:p>
        </w:tc>
      </w:tr>
      <w:tr>
        <w:trPr>
          <w:trHeight w:val="187"/>
        </w:trPr>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6"/>
                <w:szCs w:val="16"/>
                <w:color w:val="auto"/>
              </w:rPr>
            </w:pPr>
          </w:p>
        </w:tc>
      </w:tr>
      <w:tr>
        <w:trPr>
          <w:trHeight w:val="187"/>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administration</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6"/>
                <w:szCs w:val="16"/>
                <w:color w:val="auto"/>
              </w:rPr>
            </w:pPr>
          </w:p>
        </w:tc>
      </w:tr>
      <w:tr>
        <w:trPr>
          <w:trHeight w:val="250"/>
        </w:trPr>
        <w:tc>
          <w:tcPr>
            <w:tcW w:w="4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22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Selling and marketing</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21"/>
                <w:szCs w:val="21"/>
                <w:color w:val="auto"/>
              </w:rPr>
            </w:pPr>
          </w:p>
        </w:tc>
      </w:tr>
      <w:tr>
        <w:trPr>
          <w:trHeight w:val="162"/>
        </w:trPr>
        <w:tc>
          <w:tcPr>
            <w:tcW w:w="468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Total lease cost</w:t>
            </w:r>
          </w:p>
        </w:tc>
        <w:tc>
          <w:tcPr>
            <w:tcW w:w="200" w:type="dxa"/>
            <w:vAlign w:val="bottom"/>
            <w:tcBorders>
              <w:bottom w:val="single" w:sz="8" w:color="CCEEFF"/>
            </w:tcBorders>
            <w:shd w:val="clear" w:color="auto" w:fill="CCEEFF"/>
          </w:tcPr>
          <w:p>
            <w:pPr>
              <w:spacing w:after="0"/>
              <w:rPr>
                <w:sz w:val="14"/>
                <w:szCs w:val="14"/>
                <w:color w:val="auto"/>
              </w:rPr>
            </w:pPr>
          </w:p>
        </w:tc>
        <w:tc>
          <w:tcPr>
            <w:tcW w:w="20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2"/>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4,437</w:t>
            </w:r>
          </w:p>
        </w:tc>
        <w:tc>
          <w:tcPr>
            <w:tcW w:w="3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1,577</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20"/>
        </w:trPr>
        <w:tc>
          <w:tcPr>
            <w:tcW w:w="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lease costs included in the schedule above are fixed.</w:t>
      </w:r>
    </w:p>
    <w:p>
      <w:pPr>
        <w:spacing w:after="0" w:line="1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0980"/>
          </w:cols>
          <w:pgMar w:left="320" w:top="611" w:right="599" w:bottom="144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COMMITMENTS AND CONTINGENCIES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Leases</w:t>
      </w:r>
    </w:p>
    <w:p>
      <w:pPr>
        <w:spacing w:after="0" w:line="191" w:lineRule="exact"/>
        <w:rPr>
          <w:sz w:val="20"/>
          <w:szCs w:val="20"/>
          <w:color w:val="auto"/>
        </w:rPr>
      </w:pPr>
    </w:p>
    <w:p>
      <w:pPr>
        <w:ind w:hanging="7"/>
        <w:spacing w:after="0" w:line="267" w:lineRule="auto"/>
        <w:rPr>
          <w:sz w:val="20"/>
          <w:szCs w:val="20"/>
          <w:color w:val="auto"/>
        </w:rPr>
      </w:pPr>
      <w:r>
        <w:rPr>
          <w:rFonts w:ascii="Times New Roman" w:cs="Times New Roman" w:eastAsia="Times New Roman" w:hAnsi="Times New Roman"/>
          <w:sz w:val="16"/>
          <w:szCs w:val="16"/>
          <w:color w:val="auto"/>
        </w:rPr>
        <w:t>The Company entered into finance lease agreements for equipment to support the Company’s operations. Payments under the finance lease agreements are fixed for a term of 3-5 years. The leased assets are recognized in property plant &amp; equipment.</w:t>
      </w:r>
    </w:p>
    <w:p>
      <w:pPr>
        <w:sectPr>
          <w:pgSz w:w="11900" w:h="16838" w:orient="portrait"/>
          <w:cols w:equalWidth="0" w:num="1">
            <w:col w:w="11240"/>
          </w:cols>
          <w:pgMar w:left="320" w:top="611" w:right="339" w:bottom="1440" w:gutter="0" w:footer="0" w:header="0"/>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breakout of the financing leases as of:</w:t>
      </w:r>
    </w:p>
    <w:p>
      <w:pPr>
        <w:spacing w:after="0" w:line="200" w:lineRule="exact"/>
        <w:rPr>
          <w:sz w:val="20"/>
          <w:szCs w:val="20"/>
          <w:color w:val="auto"/>
        </w:rPr>
      </w:pPr>
    </w:p>
    <w:p>
      <w:pPr>
        <w:spacing w:after="0" w:line="2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Finance lease right-of-use assets</w:t>
      </w:r>
    </w:p>
    <w:p>
      <w:pPr>
        <w:spacing w:after="0" w:line="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Short-term finance lease liabilities</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Long-term finance lease liabilities</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Total finance lease liabilities</w:t>
      </w:r>
    </w:p>
    <w:p>
      <w:pPr>
        <w:spacing w:after="0" w:line="5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Weighted average remaining lease term</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96"/>
              </w:rPr>
              <w:t>December 31, 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8"/>
              </w:rPr>
              <w:t>December 31, 2023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121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6"/>
                <w:szCs w:val="16"/>
                <w:color w:val="auto"/>
              </w:rPr>
              <w:t>2.78 years</w:t>
            </w: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6"/>
                <w:szCs w:val="16"/>
                <w:color w:val="auto"/>
              </w:rPr>
              <w:t>2.7 years</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-769620</wp:posOffset>
            </wp:positionV>
            <wp:extent cx="5720715" cy="1257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20715" cy="125730"/>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-517525</wp:posOffset>
            </wp:positionV>
            <wp:extent cx="5720715" cy="1257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20715" cy="125730"/>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-250825</wp:posOffset>
            </wp:positionV>
            <wp:extent cx="5720715" cy="133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20715" cy="13335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920" w:space="720"/>
            <w:col w:w="4600"/>
          </w:cols>
          <w:pgMar w:left="320" w:top="61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Assumptions used in determining our incremental borrowing rate include our implied credit rating and an estimate of secured borrowing rates based on comparable market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 December 31, 2024, the future minimum lease payments under these financing leases are as follows:</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120" w:type="dxa"/>
            <w:vAlign w:val="bottom"/>
            <w:vMerge w:val="restart"/>
          </w:tcPr>
          <w:p>
            <w:pPr>
              <w:spacing w:after="0"/>
              <w:rPr>
                <w:sz w:val="16"/>
                <w:szCs w:val="16"/>
                <w:color w:val="auto"/>
              </w:rPr>
            </w:pPr>
          </w:p>
        </w:tc>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vMerge w:val="continue"/>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Years Ending</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720" w:type="dxa"/>
            <w:vAlign w:val="bottom"/>
            <w:gridSpan w:val="2"/>
          </w:tcPr>
          <w:p>
            <w:pPr>
              <w:jc w:val="right"/>
              <w:ind w:right="5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2027</w:t>
            </w: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2028</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December 31, 2029</w:t>
            </w:r>
          </w:p>
        </w:tc>
        <w:tc>
          <w:tcPr>
            <w:tcW w:w="10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63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Total lease payments</w:t>
            </w: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0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636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financing lease liabilities</w:t>
            </w:r>
          </w:p>
        </w:tc>
        <w:tc>
          <w:tcPr>
            <w:tcW w:w="10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Contingencies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7 for further discussion regarding contingent consideration arising from the April 2022 Asset Purchase agreement with Thomason Jones Company, LLC.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29" w:name="page130"/>
    <w:bookmarkEnd w:id="12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LONG TERM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Term Loan Agreement</w:t>
      </w:r>
    </w:p>
    <w:p>
      <w:pPr>
        <w:spacing w:after="0" w:line="191"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As of December 31, 2024, the Company had an outstanding term loan under a Term Loan, Guarantee and Security Agreement (the “Term Loan Agreement”), dated October 7, 2022, with EICF Agent LLC, as agent, and certain lenders. The Term Loan matures on October 7, 2027 and amortizes at a rate of 5% per annum beginning in October 2024. During the year ended December 31, 2023, the Company prepaid the first four required quarterly installments totaling $5,275, which deferred the commencement of principal payments to October 2025.</w:t>
      </w:r>
    </w:p>
    <w:p>
      <w:pPr>
        <w:spacing w:after="0" w:line="164" w:lineRule="exact"/>
        <w:rPr>
          <w:sz w:val="20"/>
          <w:szCs w:val="20"/>
          <w:color w:val="auto"/>
        </w:rPr>
      </w:pPr>
    </w:p>
    <w:p>
      <w:pPr>
        <w:jc w:val="both"/>
        <w:ind w:hanging="7"/>
        <w:spacing w:after="0" w:line="290" w:lineRule="auto"/>
        <w:rPr>
          <w:sz w:val="20"/>
          <w:szCs w:val="20"/>
          <w:color w:val="auto"/>
        </w:rPr>
      </w:pPr>
      <w:r>
        <w:rPr>
          <w:rFonts w:ascii="Times New Roman" w:cs="Times New Roman" w:eastAsia="Times New Roman" w:hAnsi="Times New Roman"/>
          <w:sz w:val="14"/>
          <w:szCs w:val="14"/>
          <w:color w:val="auto"/>
        </w:rPr>
        <w:t>Prior to any amendments, the Term Loan accrues interest based on the Company’s senior leverage ratio. From inception through September 30, 2024, interest accrued at a per annum rate equal to adjusted SOFR (subject to a floor of 1.0%) plus 7.0% payable in cash, plus an additional 4.5% to 6.5% payable in kind (“PIK”), depending on the Company’s senior leverage ratio. Effective April 1, 2024, interest payable to lenders subject to the regulations of the U.S. Small Business Administration (with $30,846 of principal outstanding as of that date) is limited to 14.0% per annum, excluding default interest permitted under applicable SBA regulations. From October 1, 2024 through March 31, 2025, interest on the non-SBA regulated portion continued to accrue at adjusted SOFR plus 7.0% payable in cash, and 4.5% to 6.5% payable in kind. Beginning April 1, 2025, interest on all outstanding balances will be payable entirely in cash, at a rate equal to adjusted SOFR plus a margin ranging from 11.5% to 13.5%, depending on the Company’s senior leverage ratio.</w:t>
      </w:r>
    </w:p>
    <w:p>
      <w:pPr>
        <w:spacing w:after="0" w:line="140"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During the years ended December 31, 2024 and 2023, the Company recognized interest expense of $13,999 and $14,272, respectively. Amortization of debt issuance costs amounted to $7,241 and $1,471, respectively, for the same periods. As of December 31, 2024, the carrying value of the Term Loan was $29,646, consisting of $69,974 in principal and $15,938 in capitalized PIK interest, net of $56,266 in unamortized debt discount. As of December 31, 2023, the carrying value was $19,683, consisting of $69,725 in principal and $6,130 in capitalized PIK interest, net of $56,172 in unamortized debt discount.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obligations under the Term Loan Agreement are secured by a first-priority lien on substantially all of the Company’s assets, including certain mortgaged properties.</w:t>
      </w:r>
    </w:p>
    <w:p>
      <w:pPr>
        <w:spacing w:after="0" w:line="189"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Subsequent to the original execution of the Term Loan Agreement, the Company entered into several amendments which modified certain terms of the facility, including, but not limited to, interest rate mechanics, the timing of principal payments, and certain financial and operational covenants. These amendments were in effect as of December 31, 2024, and the terms described above reflect the terms of the agreement as originally issued. See below for further discussion of the amendments.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30" w:name="page131"/>
    <w:bookmarkEnd w:id="13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LONG TERM DEBT (CONTINUED)</w:t>
      </w:r>
    </w:p>
    <w:p>
      <w:pPr>
        <w:spacing w:after="0" w:line="191" w:lineRule="exact"/>
        <w:rPr>
          <w:sz w:val="20"/>
          <w:szCs w:val="20"/>
          <w:color w:val="auto"/>
        </w:rPr>
      </w:pPr>
    </w:p>
    <w:p>
      <w:pPr>
        <w:jc w:val="both"/>
        <w:ind w:hanging="7"/>
        <w:spacing w:after="0" w:line="248" w:lineRule="auto"/>
        <w:rPr>
          <w:sz w:val="20"/>
          <w:szCs w:val="20"/>
          <w:color w:val="auto"/>
        </w:rPr>
      </w:pPr>
      <w:r>
        <w:rPr>
          <w:rFonts w:ascii="Times New Roman" w:cs="Times New Roman" w:eastAsia="Times New Roman" w:hAnsi="Times New Roman"/>
          <w:sz w:val="16"/>
          <w:szCs w:val="16"/>
          <w:color w:val="auto"/>
        </w:rPr>
        <w:t>On May 13, 2024, the Company received a waiver from its Administrative Agent and Term Loan Lenders (the “May 2024 Waiver”) in regards to its compliance with the Senior Leverage Ratio and Fixed Charge Coverage Ratio tests (the “Tests”) as of the last day of the quarter ended March 31, 2024. The May 2024 Waiver provided for a one-time issuance of penny warrants (the “May 2024 Penny Warrants”) to purchase up to 283,334 shares of the Company’s common stock, par value $0.0001 per share (the “May 2024 Penny Warrant Shares”). The May 2024 Penny Warrants have an exercise price of $0.09 per share, were valued at $3,022, and recorded as a debt discount. The May 2024 Penny Warrants were issued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66" w:lineRule="exact"/>
        <w:rPr>
          <w:sz w:val="20"/>
          <w:szCs w:val="20"/>
          <w:color w:val="auto"/>
        </w:rPr>
      </w:pPr>
    </w:p>
    <w:p>
      <w:pPr>
        <w:jc w:val="both"/>
        <w:ind w:hanging="7"/>
        <w:spacing w:after="0" w:line="248" w:lineRule="auto"/>
        <w:rPr>
          <w:sz w:val="20"/>
          <w:szCs w:val="20"/>
          <w:color w:val="auto"/>
        </w:rPr>
      </w:pPr>
      <w:r>
        <w:rPr>
          <w:rFonts w:ascii="Times New Roman" w:cs="Times New Roman" w:eastAsia="Times New Roman" w:hAnsi="Times New Roman"/>
          <w:sz w:val="16"/>
          <w:szCs w:val="16"/>
          <w:color w:val="auto"/>
        </w:rPr>
        <w:t>On June 28, 2024, the Company entered into a Limited Waiver and First Amendment (the “Term Loan Amendment” and, together with the Term Loan Agreement, the “Term Loan Agreement”) to the Term Loan with the lenders in regards to its compliance with the Tests as of the last day of the quarter ended June 30, 2024 and certain amendments to the Term Loan. The Term Loan Amendment provided for a one-time issuance of Penny Warrants to purchase up to 233,334 shares of the Company’s Common Stock at an exercise price of $0.09 per share (the “June 2024 Penny Warrants”), valued at $1,767 and recorded as a debt discount. The June 2024 Penny Warrants were issued in connection with the lenders’ agreement to waive the Tests under the Term Loan for the quarter ended June30, 2024 and to amend the Term Loan. The June 2024 Penny Warrants are immediately exercisable upon issuance and will expire ten years from the date of issuance.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31" w:name="page132"/>
    <w:bookmarkEnd w:id="13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LONG TERM DEBT (CONTINUED)</w:t>
      </w:r>
    </w:p>
    <w:p>
      <w:pPr>
        <w:spacing w:after="0" w:line="191"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In addition, the First Amendment (i) reduced the liquidity requirement under the Term Loan to be $3.5 million as of the last day of the month ended June 30, 2024, and $10.0 million as of the last day of each fiscal month thereafter commencing with the fiscal month ended July 31, 2024 and (ii) provided for the interest to be paid on the Payment Date (as defined in the Term Loan) occurred on July 1, 2024 to be solely payable-in-kind.</w:t>
      </w:r>
    </w:p>
    <w:p>
      <w:pPr>
        <w:spacing w:after="0" w:line="160" w:lineRule="exact"/>
        <w:rPr>
          <w:sz w:val="20"/>
          <w:szCs w:val="20"/>
          <w:color w:val="auto"/>
        </w:rPr>
      </w:pPr>
    </w:p>
    <w:p>
      <w:pPr>
        <w:jc w:val="both"/>
        <w:ind w:hanging="7"/>
        <w:spacing w:after="0" w:line="267" w:lineRule="auto"/>
        <w:rPr>
          <w:sz w:val="20"/>
          <w:szCs w:val="20"/>
          <w:color w:val="auto"/>
        </w:rPr>
      </w:pPr>
      <w:r>
        <w:rPr>
          <w:rFonts w:ascii="Times New Roman" w:cs="Times New Roman" w:eastAsia="Times New Roman" w:hAnsi="Times New Roman"/>
          <w:sz w:val="16"/>
          <w:szCs w:val="16"/>
          <w:color w:val="auto"/>
        </w:rPr>
        <w:t>In connection with the License Agreement, on July 29, 2024, the Company, Legacy Dragonfly and Battle Born LLC entered into a Limited Waiver, Consent and Second Amendment (the “Second Amendment”) to Term Loan.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Second Amendment, the Term Loan Lenders (i) consented to the transactions contemplated by the License Agreement and the Trademark Transfer Agreement and</w:t>
      </w:r>
    </w:p>
    <w:p>
      <w:pPr>
        <w:spacing w:after="0" w:line="42" w:lineRule="exact"/>
        <w:rPr>
          <w:sz w:val="20"/>
          <w:szCs w:val="20"/>
          <w:color w:val="auto"/>
        </w:rPr>
      </w:pPr>
    </w:p>
    <w:p>
      <w:pPr>
        <w:ind w:firstLine="1"/>
        <w:spacing w:after="0" w:line="247" w:lineRule="auto"/>
        <w:tabs>
          <w:tab w:leader="none" w:pos="24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agreed to waive the mandatory prepayment under the Term Loan that would have been due to the Lenders under the Loan Agreement upon Battle Born LLC’s receipt of the Initial Licensing Fee.</w:t>
      </w:r>
    </w:p>
    <w:p>
      <w:pPr>
        <w:spacing w:after="0" w:line="166"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In connection with the Second Amendment, Battle Born LLC entered into a Joinder Agreement with the Term Lenders whereby Battle Born LLC became a guarantor and credit party to the Term Loan.</w:t>
      </w:r>
    </w:p>
    <w:p>
      <w:pPr>
        <w:spacing w:after="0" w:line="151" w:lineRule="exact"/>
        <w:rPr>
          <w:sz w:val="20"/>
          <w:szCs w:val="20"/>
          <w:color w:val="auto"/>
        </w:rPr>
      </w:pPr>
    </w:p>
    <w:p>
      <w:pPr>
        <w:jc w:val="both"/>
        <w:ind w:hanging="7"/>
        <w:spacing w:after="0" w:line="246" w:lineRule="auto"/>
        <w:rPr>
          <w:sz w:val="20"/>
          <w:szCs w:val="20"/>
          <w:color w:val="auto"/>
        </w:rPr>
      </w:pPr>
      <w:r>
        <w:rPr>
          <w:rFonts w:ascii="Times New Roman" w:cs="Times New Roman" w:eastAsia="Times New Roman" w:hAnsi="Times New Roman"/>
          <w:sz w:val="16"/>
          <w:szCs w:val="16"/>
          <w:color w:val="auto"/>
        </w:rPr>
        <w:t>On September 30, 2024, the Company entered into a Limited Waiver and Third Amendment (the “Third Amendment”, together with the Original Term Loan Agreement, the First Amendment and the Second Amendment, the “Term Loan Agreement”) to the Term Loan Agreement with the Term Loan Lenders in regards to its compliance with the Tests as of the last day of the quarter ended September 30, 2024 and certain amendments to the Term Loan Agreement. The Third Amendment provided for a one-time issuance of penny warrants (the “September 2024 Penny Warrants”, collectively with the Original Penny Warrants, the May 2024 Penny Warrants and the June 2024 Penny Warrants, the “Penny Warrants”) to purchase up to 333,334 shares of the Company’s Common Stock at an exercise price of $0.09 per share (the “September 2024 Penny Warrant Shares”, collectively with the Original Penny Warrants, the May 2024 Penny Warrants and the June 2024 Penny Warrants, the “Penny Warrant Shares”), valued at $1,576 and recorded as a debt discount. The September 2024 Penny Warrants were issued in connection with the Term Loan Lenders’ agreement to waive the Tests under the Term Loan for the quarter ended September 30, 2024 and to amend the Term Loan Agreement. The September 2024 Penny Warrants are immediately exercisable upon issuance and will expire ten years from the date of issuance.</w:t>
      </w:r>
    </w:p>
    <w:p>
      <w:pPr>
        <w:spacing w:after="0" w:line="170" w:lineRule="exact"/>
        <w:rPr>
          <w:sz w:val="20"/>
          <w:szCs w:val="20"/>
          <w:color w:val="auto"/>
        </w:rPr>
      </w:pPr>
    </w:p>
    <w:p>
      <w:pPr>
        <w:jc w:val="both"/>
        <w:ind w:hanging="7"/>
        <w:spacing w:after="0" w:line="249" w:lineRule="auto"/>
        <w:rPr>
          <w:sz w:val="20"/>
          <w:szCs w:val="20"/>
          <w:color w:val="auto"/>
        </w:rPr>
      </w:pPr>
      <w:r>
        <w:rPr>
          <w:rFonts w:ascii="Times New Roman" w:cs="Times New Roman" w:eastAsia="Times New Roman" w:hAnsi="Times New Roman"/>
          <w:sz w:val="16"/>
          <w:szCs w:val="16"/>
          <w:color w:val="auto"/>
        </w:rPr>
        <w:t>In addition, the Third Amendment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for the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plus the Applicable Margin.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32" w:name="page133"/>
    <w:bookmarkEnd w:id="13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LONG TERM DEBT (CONTINUED)</w:t>
      </w:r>
    </w:p>
    <w:p>
      <w:pPr>
        <w:spacing w:after="0" w:line="191" w:lineRule="exact"/>
        <w:rPr>
          <w:sz w:val="20"/>
          <w:szCs w:val="20"/>
          <w:color w:val="auto"/>
        </w:rPr>
      </w:pPr>
    </w:p>
    <w:p>
      <w:pPr>
        <w:jc w:val="both"/>
        <w:ind w:hanging="7"/>
        <w:spacing w:after="0" w:line="246" w:lineRule="auto"/>
        <w:rPr>
          <w:sz w:val="20"/>
          <w:szCs w:val="20"/>
          <w:color w:val="auto"/>
        </w:rPr>
      </w:pPr>
      <w:r>
        <w:rPr>
          <w:rFonts w:ascii="Times New Roman" w:cs="Times New Roman" w:eastAsia="Times New Roman" w:hAnsi="Times New Roman"/>
          <w:sz w:val="16"/>
          <w:szCs w:val="16"/>
          <w:color w:val="auto"/>
        </w:rPr>
        <w:t>On December 31, 2024, the Company entered into a Limited Waiver and Fourth Amendment (the “Fourth Amendment”, together with the Original Term Loan Agreement, the First Amendment, the Second Amendment, and the Third Amendment the “Term Loan Agreement”) to the Term Loan Agreement with the Term Loan Lenders in regards to its compliance with the Tests as of the last day of the quarter ended December 31, 2024 and certain amendments to the Term Loan Agreement. The Fourth Amendment provided for a one-time issuance of penny warrants (the “December 2024 Penny Warrants”, collectively with the Original Penny Warrants, the May 2024 Penny Warrants, the June 2024 Penny Warrants and the September 2024 Penny Warrants, the “Penny Warrants”) to purchase up to 350,000 shares of the Company’s Common Stock at an exercise price of $0.01 per share (the “December 2024 Penny Warrant Shares”, collectively with the Original Penny Warrants, the May 2024 Penny Warrants, the June 2024 Penny Warrants and the September 2024 Penny Warrants, the “Penny Warrant Shares”), valued at $971 and recorded as a debt discount. The December 2024 Penny Warrants were issued in connection with the Term Loan Lenders’ agreement to waive the Tests under the Term Loan for the quarter ended December 31, 2024 and to amend the Term Loan Agreement. The December 2024 Penny Warrants will be exercisable at such time that the Company obtain the Warrant Issuance Shareholder Approval (as defined below) and will expire ten years from the date of issuance.</w:t>
      </w:r>
    </w:p>
    <w:p>
      <w:pPr>
        <w:spacing w:after="0" w:line="168"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In addition, the Fourth Amendment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Covenants</w:t>
      </w:r>
    </w:p>
    <w:p>
      <w:pPr>
        <w:spacing w:after="0" w:line="191" w:lineRule="exact"/>
        <w:rPr>
          <w:sz w:val="20"/>
          <w:szCs w:val="20"/>
          <w:color w:val="auto"/>
        </w:rPr>
      </w:pPr>
    </w:p>
    <w:p>
      <w:pPr>
        <w:jc w:val="both"/>
        <w:ind w:hanging="7"/>
        <w:spacing w:after="0" w:line="248" w:lineRule="auto"/>
        <w:rPr>
          <w:sz w:val="20"/>
          <w:szCs w:val="20"/>
          <w:color w:val="auto"/>
        </w:rPr>
      </w:pPr>
      <w:r>
        <w:rPr>
          <w:rFonts w:ascii="Times New Roman" w:cs="Times New Roman" w:eastAsia="Times New Roman" w:hAnsi="Times New Roman"/>
          <w:sz w:val="16"/>
          <w:szCs w:val="16"/>
          <w:color w:val="auto"/>
        </w:rPr>
        <w:t>The Company is subject to restrictive financial covenants pertaining to Maximum Senior Leverage Ratio, Liquidity, Fixed Charge Coverage Ratio, and Capital Expenditures as defined in the Term Loan Agreement. As of December 31, 2024, the Company was not in compliance with its financial covenants pertaining to the fixed charge coverage ratio, liquidity, and the maximum senior leverage ratio. On March 31, 2024, April 29, 2024, May 30, 2024, June 28, 2024, July 31, 2024, August 30, 2024, September 30, 2024, October 31, 2024, November 30, 2024 and December 31, 2024 the Company obtained waivers from the Term Loan Lenders and administrative agent in regards to its failure to satisfy the liquidity requirement under the Term Loan for the quarters ended March 31, 2024, June 30, 2024, September 30, 2024, and December 31, 2024 and the fiscal months ended April 30, 2024, May 31, 2024, July 31, 2024, August 31, 2024, October 31, 2024, November 30, 2024, as applicable.</w:t>
      </w:r>
    </w:p>
    <w:p>
      <w:pPr>
        <w:spacing w:after="0" w:line="166" w:lineRule="exact"/>
        <w:rPr>
          <w:sz w:val="20"/>
          <w:szCs w:val="20"/>
          <w:color w:val="auto"/>
        </w:rPr>
      </w:pPr>
    </w:p>
    <w:p>
      <w:pPr>
        <w:jc w:val="both"/>
        <w:ind w:right="20" w:hanging="7"/>
        <w:spacing w:after="0" w:line="299" w:lineRule="auto"/>
        <w:rPr>
          <w:sz w:val="20"/>
          <w:szCs w:val="20"/>
          <w:color w:val="auto"/>
        </w:rPr>
      </w:pPr>
      <w:r>
        <w:rPr>
          <w:rFonts w:ascii="Times New Roman" w:cs="Times New Roman" w:eastAsia="Times New Roman" w:hAnsi="Times New Roman"/>
          <w:sz w:val="14"/>
          <w:szCs w:val="14"/>
          <w:color w:val="auto"/>
        </w:rPr>
        <w:t>On February 2025, subsequent to the current year ended December 31, 2024, in connection with the Securities Purchase Agreement, the Company entered into the Fifth Amendment to the Term Loan. This amendment extended the loan’s maturity date by one year to October 2027 and deferred all principal and interest payments until April 2026. Additionally, the amendment postponed certain covenant requirements, significantly reducing the likelihood of a breach and the lender’s ability to accelerate repayment based on prior noncompliance, thereby allowing the Company to reclassify the debt as long-term as of December 31, 2024. As a result, the debt now qualifies for long-term classification.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 December 31, 2024, the future debt maturities are as follows:</w:t>
            </w: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74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For Year Ended December 31,</w:t>
            </w: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3620" w:type="dxa"/>
            <w:vAlign w:val="bottom"/>
            <w:tcBorders>
              <w:top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2025</w:t>
            </w:r>
          </w:p>
        </w:tc>
        <w:tc>
          <w:tcPr>
            <w:tcW w:w="36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gridSpan w:val="2"/>
            <w:shd w:val="clear" w:color="auto" w:fill="CCEEFF"/>
          </w:tcPr>
          <w:p>
            <w:pPr>
              <w:jc w:val="right"/>
              <w:ind w:right="382"/>
              <w:spacing w:after="0" w:line="179"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CCEEFF"/>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3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98,342</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36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Total debt</w:t>
            </w:r>
          </w:p>
        </w:tc>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101,155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Estimated interest paid-in-kind</w:t>
            </w:r>
          </w:p>
        </w:tc>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(15,243)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Total debt</w:t>
            </w:r>
          </w:p>
        </w:tc>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20" w:type="dxa"/>
            <w:vAlign w:val="bottom"/>
          </w:tcPr>
          <w:p>
            <w:pPr>
              <w:spacing w:after="0"/>
              <w:rPr>
                <w:sz w:val="14"/>
                <w:szCs w:val="14"/>
                <w:color w:val="auto"/>
              </w:rPr>
            </w:pPr>
          </w:p>
        </w:tc>
        <w:tc>
          <w:tcPr>
            <w:tcW w:w="3620" w:type="dxa"/>
            <w:vAlign w:val="bottom"/>
            <w:tcBorders>
              <w:bottom w:val="single" w:sz="8" w:color="CCEEFF"/>
            </w:tcBorders>
            <w:vMerge w:val="continue"/>
          </w:tcPr>
          <w:p>
            <w:pPr>
              <w:spacing w:after="0"/>
              <w:rPr>
                <w:sz w:val="14"/>
                <w:szCs w:val="14"/>
                <w:color w:val="auto"/>
              </w:rPr>
            </w:pPr>
          </w:p>
        </w:tc>
        <w:tc>
          <w:tcPr>
            <w:tcW w:w="36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85,912</w:t>
            </w:r>
          </w:p>
        </w:tc>
        <w:tc>
          <w:tcPr>
            <w:tcW w:w="80" w:type="dxa"/>
            <w:vAlign w:val="bottom"/>
            <w:tcBorders>
              <w:bottom w:val="single" w:sz="8" w:color="CCEEFF"/>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36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Less: Unamortized debt issuance costs</w:t>
            </w:r>
          </w:p>
        </w:tc>
        <w:tc>
          <w:tcPr>
            <w:tcW w:w="3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(56,266)</w:t>
            </w:r>
          </w:p>
        </w:tc>
        <w:tc>
          <w:tcPr>
            <w:tcW w:w="8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carrying amount</w:t>
            </w:r>
          </w:p>
        </w:tc>
        <w:tc>
          <w:tcPr>
            <w:tcW w:w="36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29,646</w:t>
            </w:r>
          </w:p>
        </w:tc>
        <w:tc>
          <w:tcPr>
            <w:tcW w:w="80" w:type="dxa"/>
            <w:vAlign w:val="bottom"/>
            <w:tcBorders>
              <w:bottom w:val="single" w:sz="8" w:color="CCEEFF"/>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36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Less: Current portion of debt</w:t>
            </w:r>
          </w:p>
        </w:tc>
        <w:tc>
          <w:tcPr>
            <w:tcW w:w="3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8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36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long-term debt</w:t>
            </w: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29,646</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3"/>
          </w:tcPr>
          <w:p>
            <w:pPr>
              <w:jc w:val="right"/>
              <w:ind w:right="3202"/>
              <w:spacing w:after="0"/>
              <w:rPr>
                <w:sz w:val="20"/>
                <w:szCs w:val="20"/>
                <w:color w:val="auto"/>
              </w:rPr>
            </w:pPr>
            <w:r>
              <w:rPr>
                <w:rFonts w:ascii="Times New Roman" w:cs="Times New Roman" w:eastAsia="Times New Roman" w:hAnsi="Times New Roman"/>
                <w:sz w:val="16"/>
                <w:szCs w:val="16"/>
                <w:color w:val="auto"/>
              </w:rPr>
              <w:t>F-26</w:t>
            </w: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11" w:right="319"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ASSET PURCHASE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Thomason Jones Company, LLC</w:t>
      </w:r>
    </w:p>
    <w:p>
      <w:pPr>
        <w:spacing w:after="0" w:line="191" w:lineRule="exact"/>
        <w:rPr>
          <w:sz w:val="20"/>
          <w:szCs w:val="20"/>
          <w:color w:val="auto"/>
        </w:rPr>
      </w:pPr>
    </w:p>
    <w:p>
      <w:pPr>
        <w:jc w:val="both"/>
        <w:ind w:hanging="7"/>
        <w:spacing w:after="0" w:line="293" w:lineRule="auto"/>
        <w:rPr>
          <w:sz w:val="20"/>
          <w:szCs w:val="20"/>
          <w:color w:val="auto"/>
        </w:rPr>
      </w:pPr>
      <w:r>
        <w:rPr>
          <w:rFonts w:ascii="Times New Roman" w:cs="Times New Roman" w:eastAsia="Times New Roman" w:hAnsi="Times New Roman"/>
          <w:sz w:val="14"/>
          <w:szCs w:val="14"/>
          <w:color w:val="auto"/>
        </w:rPr>
        <w:t>In April 2022, the Company entered into an Asset Purchase Agreement with William Thomason, Richard Jones, and Thomason Jones Company, LLC whereby the Company acquired inventory and intellectual property assets for a price not to exceed $700 cash plus contingent payments of $1,000 each to William Thomason and Richard Jones (the “Earn Out”). The transaction was determined to be a business combination under the guidance in FASB ASC 805: Business Combinations. The Company followed the guidance under ASC 805-10-55 and determined the contingent consideration to be separate from the business combination and the earn out to be recognized as contingent compensation to Mr. Thomason and Mr. Jones as the contingency became probable of being met. The Company concluded the purchase price to be $444 and was allocated in its entirety to inventory.</w:t>
      </w:r>
    </w:p>
    <w:p>
      <w:pPr>
        <w:spacing w:after="0" w:line="138"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Pursuant to the terms of the agreement dated April 2022, Dragonfly Energy Corp. agreed to a contingent compensation arrangement with Mr. Thomason and Mr. Jones. According to this agreement, if Dragonfly Energy Corp. realizes $3,000 in gross sales from products sold under the Wakespeed brand or which incorporate any portion of the Purchased Intellectual Property (IP) within twenty-four months of the acquisition, the Company is obligated to pay each of Thomason and Jones $1,000. The Company may satisfy this obligation in cash or by issuing common stock at its discretion.</w:t>
      </w:r>
    </w:p>
    <w:p>
      <w:pPr>
        <w:spacing w:after="0" w:line="164"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The Company has determined that this arrangement constitutes compensation for post-acquisition services. Consequently, the Company has recognized this contingent consideration as a compensation expense, measured at its fair value at the acquisition date. The fair value was determined using a probability weighted expected outcome approach, considering the likelihood of reaching the gross sales target.</w:t>
      </w:r>
    </w:p>
    <w:p>
      <w:pPr>
        <w:spacing w:after="0" w:line="160"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As of December 31, 2023, the Company has recognized $2,000 of compensation expense, respectively, in connection with this arrangement. This expense is reflected in the statement of operations under Sales and marketing expense. The total amount was recognized as compensation expense as of December 31, 2023, since it was deemed earned and no further service performance was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LICENSE AGREEMENT</w:t>
      </w:r>
    </w:p>
    <w:p>
      <w:pPr>
        <w:spacing w:after="0" w:line="191" w:lineRule="exact"/>
        <w:rPr>
          <w:sz w:val="20"/>
          <w:szCs w:val="20"/>
          <w:color w:val="auto"/>
        </w:rPr>
      </w:pPr>
    </w:p>
    <w:p>
      <w:pPr>
        <w:jc w:val="both"/>
        <w:ind w:hanging="7"/>
        <w:spacing w:after="0" w:line="246" w:lineRule="auto"/>
        <w:rPr>
          <w:sz w:val="20"/>
          <w:szCs w:val="20"/>
          <w:color w:val="auto"/>
        </w:rPr>
      </w:pPr>
      <w:r>
        <w:rPr>
          <w:rFonts w:ascii="Times New Roman" w:cs="Times New Roman" w:eastAsia="Times New Roman" w:hAnsi="Times New Roman"/>
          <w:sz w:val="16"/>
          <w:szCs w:val="16"/>
          <w:color w:val="auto"/>
        </w:rPr>
        <w:t>On July 29, 2024, Legacy Dragonfly and Battle Born LLC, a wholly-owned subsidiary of Legacy Dragonfly, entered into the License Agreement with Stryten. Under the terms of the License Agreement, Battle Born LLC granted Stryten an exclusive, worldwide license to use certain trademarks associated with the Company’s lithium-ion battery brand, Battle Born Batteries®, for business-to-business battery sales in specified markets. In exchange, Stryten paid an initial licensing fee of $5,000 and will make additional mid-single digit royalty payments to be paid based on net sales to be paid quarterly utilizing the licensed trademarks, with total royalties capped at $25,000. Once the cap is reached, Stryten will be required to pay a nominal annual license fee. The License Agreement is perpetual unless terminated in accordance with its terms. Concurrently, the Company transferred all intellectual property rights related to the licensed trademarks to Battle Born LLC and retained a worldwide license outside of Stryten’s designated markets. The $5,000 initial licensing fee is being recognized as revenue on a straight-line basis over five years, which reflects the period over which the Company expects to satisfy its performance obligations and the customer is expected to benefit from the license. For the year ended December 31, 2024, the Company has recorded $417 in revenue related to the amortization of the License Agreement and no royalty payments have been received or earned. As of December 31, 2024, the Company has recorded $1,000 in short term deferred revenue and $3,583 in long-term deferred revenue related to the license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RELATED PARTY</w:t>
      </w:r>
    </w:p>
    <w:p>
      <w:pPr>
        <w:spacing w:after="0" w:line="191" w:lineRule="exact"/>
        <w:rPr>
          <w:sz w:val="20"/>
          <w:szCs w:val="20"/>
          <w:color w:val="auto"/>
        </w:rPr>
      </w:pPr>
    </w:p>
    <w:p>
      <w:pPr>
        <w:jc w:val="both"/>
        <w:ind w:hanging="7"/>
        <w:spacing w:after="0" w:line="249" w:lineRule="auto"/>
        <w:rPr>
          <w:sz w:val="20"/>
          <w:szCs w:val="20"/>
          <w:color w:val="auto"/>
        </w:rPr>
      </w:pPr>
      <w:r>
        <w:rPr>
          <w:rFonts w:ascii="Times New Roman" w:cs="Times New Roman" w:eastAsia="Times New Roman" w:hAnsi="Times New Roman"/>
          <w:sz w:val="16"/>
          <w:szCs w:val="16"/>
          <w:color w:val="auto"/>
        </w:rPr>
        <w:t>On October 25, 2022, the Company entered into a separation and release of claims agreement with its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 The twelve (12) month period ended on November 7, 2023 in which the COO exercised 11,111 options and 8,480 options expired.</w:t>
      </w:r>
    </w:p>
    <w:p>
      <w:pPr>
        <w:spacing w:after="0" w:line="166" w:lineRule="exact"/>
        <w:rPr>
          <w:sz w:val="20"/>
          <w:szCs w:val="20"/>
          <w:color w:val="auto"/>
        </w:rPr>
      </w:pPr>
    </w:p>
    <w:p>
      <w:pPr>
        <w:jc w:val="both"/>
        <w:ind w:right="20" w:hanging="7"/>
        <w:spacing w:after="0" w:line="340" w:lineRule="auto"/>
        <w:rPr>
          <w:sz w:val="20"/>
          <w:szCs w:val="20"/>
          <w:color w:val="auto"/>
        </w:rPr>
      </w:pPr>
      <w:r>
        <w:rPr>
          <w:rFonts w:ascii="Times New Roman" w:cs="Times New Roman" w:eastAsia="Times New Roman" w:hAnsi="Times New Roman"/>
          <w:sz w:val="14"/>
          <w:szCs w:val="14"/>
          <w:color w:val="auto"/>
        </w:rPr>
        <w:t>In February 2023, the Company entered into an agreement with its former COO in which the COO waived their rights to a transaction bonus resulting from the merger transaction in lieu of a Company van. The Company accounted for the cost of the van as an employee bonus, resulting in $116 of general and administrative expense for the prior year.</w:t>
      </w:r>
    </w:p>
    <w:p>
      <w:pPr>
        <w:spacing w:after="0" w:line="104"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On March 5, 2023, the Company entered into a convertible promissory note (the “Note”) with a board member in the amount of $1,000, or the Principal Amount. Upon execution of the Note and funding of the original principal sum, a payment of $100 ( the “Loan Fee”) was fully earned as of the date of the Note and was due and payable in full in cash on April 4, 2023. The Company paid the Principal Amount and the Loan Fee on April 1, 2023 and April 4, 2023, respectively.</w:t>
      </w:r>
    </w:p>
    <w:p>
      <w:pPr>
        <w:spacing w:after="0" w:line="160" w:lineRule="exact"/>
        <w:rPr>
          <w:sz w:val="20"/>
          <w:szCs w:val="20"/>
          <w:color w:val="auto"/>
        </w:rPr>
      </w:pPr>
    </w:p>
    <w:p>
      <w:pPr>
        <w:jc w:val="both"/>
        <w:ind w:right="20" w:hanging="7"/>
        <w:spacing w:after="0" w:line="251" w:lineRule="auto"/>
        <w:rPr>
          <w:sz w:val="20"/>
          <w:szCs w:val="20"/>
          <w:color w:val="auto"/>
        </w:rPr>
      </w:pPr>
      <w:r>
        <w:rPr>
          <w:rFonts w:ascii="Times New Roman" w:cs="Times New Roman" w:eastAsia="Times New Roman" w:hAnsi="Times New Roman"/>
          <w:sz w:val="16"/>
          <w:szCs w:val="16"/>
          <w:color w:val="auto"/>
        </w:rPr>
        <w:t>On April 26, 2023, the Company entered into a separation and release of claims agreement with its former Chief Legal Officer (“CLO”). As consideration for the CLO’s execution of the agreement, the Company agreed to pay the employee payments equivalent to $720 divided into 24 monthly payments commencing on June 1, 2023, and all outstanding equity based compensation awards to become fully vested and exercisable at an expense of $76. The CLO shall have 3 months from the termination date to exercise outstanding options. The three (3) month period ended on July 26, 2023 in which the options were not exercised and the options were forfeited as a result.</w:t>
      </w:r>
    </w:p>
    <w:p>
      <w:pPr>
        <w:spacing w:after="0" w:line="164"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On January 26, 2024 the Company entered into a convertible promissory note (the “January Note”) with a board member in the amount of $1,000, or the January Principal Amount. Upon execution of the January Note and funding of the original principal sum, a payment of $50 (the “January Loan Fee”) was fully earned as of the date of the January Note and was due and payable in full in cash on February 2, 2024. The Company paid the January Principal Amount and the January Loan Fee on February 1, 2024.</w:t>
      </w:r>
    </w:p>
    <w:p>
      <w:pPr>
        <w:spacing w:after="0" w:line="160" w:lineRule="exact"/>
        <w:rPr>
          <w:sz w:val="20"/>
          <w:szCs w:val="20"/>
          <w:color w:val="auto"/>
        </w:rPr>
      </w:pPr>
    </w:p>
    <w:p>
      <w:pPr>
        <w:jc w:val="both"/>
        <w:ind w:right="20" w:hanging="7"/>
        <w:spacing w:after="0" w:line="255" w:lineRule="auto"/>
        <w:rPr>
          <w:sz w:val="20"/>
          <w:szCs w:val="20"/>
          <w:color w:val="auto"/>
        </w:rPr>
      </w:pPr>
      <w:r>
        <w:rPr>
          <w:rFonts w:ascii="Times New Roman" w:cs="Times New Roman" w:eastAsia="Times New Roman" w:hAnsi="Times New Roman"/>
          <w:sz w:val="16"/>
          <w:szCs w:val="16"/>
          <w:color w:val="auto"/>
        </w:rPr>
        <w:t>On February 27, 2024 the Company entered into a convertible promissory note (the “February Note”) with a board member in the amount of $1,700, or the February Principal Amount. Upon execution of the February Note and funding of the original principal sum, a payment of $85 (the “February Loan Fee”) was fully earned as of the date of the February Note and was due and payable in full in cash on March 1, 2024. The Company paid the February Principal Amount and the February Loan Fee on March 1, 2024.</w:t>
      </w:r>
    </w:p>
    <w:p>
      <w:pPr>
        <w:spacing w:after="0" w:line="160"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($1,532 for the Chief Executive Officer, $490 for the Chief Revenue Officer and $236 for the Chief Marketing Officer), subject to approval and such other terms and conditions imposed by the compensation committee of the board of directors.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35" w:name="page136"/>
    <w:bookmarkEnd w:id="13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WARRANTS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Warrants classified as Equity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Public Warrants</w:t>
      </w:r>
    </w:p>
    <w:p>
      <w:pPr>
        <w:spacing w:after="0" w:line="191" w:lineRule="exact"/>
        <w:rPr>
          <w:sz w:val="20"/>
          <w:szCs w:val="20"/>
          <w:color w:val="auto"/>
        </w:rPr>
      </w:pPr>
    </w:p>
    <w:p>
      <w:pPr>
        <w:jc w:val="both"/>
        <w:ind w:hanging="7"/>
        <w:spacing w:after="0" w:line="247" w:lineRule="auto"/>
        <w:rPr>
          <w:sz w:val="20"/>
          <w:szCs w:val="20"/>
          <w:color w:val="auto"/>
        </w:rPr>
      </w:pPr>
      <w:r>
        <w:rPr>
          <w:rFonts w:ascii="Times New Roman" w:cs="Times New Roman" w:eastAsia="Times New Roman" w:hAnsi="Times New Roman"/>
          <w:sz w:val="16"/>
          <w:szCs w:val="16"/>
          <w:color w:val="auto"/>
        </w:rPr>
        <w:t>Each Public Warrant entitles the holder to the right to purchase one share of common stock at an exercise price of $103.50 per share. No fractional shares will be issued upon exercise of the Public Warrants. The Company may elect to redeem the Public Warrants subject to certain conditions, in whole and not in part, at a price of $0.09 per Public Warrant if (i) 30 days’ prior written notice of redemption is provided to the holders, and (ii) the last reported sale price of the Company’s common stock equals or exceeds $144.00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1,054,167 Public Warrants issued and outstanding. The Public Warrants are not precluded from equity classification, and are accounted for as such on the date of issuance, and each balance sheet date thereafter.</w:t>
      </w:r>
    </w:p>
    <w:p>
      <w:pPr>
        <w:spacing w:after="0" w:line="168"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and 2023, there were 1,046,948 Public Warrants issued and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 ended December 31, 2024, no public warrants were exercised.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 ended December 31, 2023, the company received proceeds from public warrant exercises of $747 in exchange for 7,219 common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June 2023 Offering (Underwriter and Investor Warrants)</w:t>
      </w:r>
    </w:p>
    <w:p>
      <w:pPr>
        <w:spacing w:after="0" w:line="191" w:lineRule="exact"/>
        <w:rPr>
          <w:sz w:val="20"/>
          <w:szCs w:val="20"/>
          <w:color w:val="auto"/>
        </w:rPr>
      </w:pPr>
    </w:p>
    <w:p>
      <w:pPr>
        <w:jc w:val="both"/>
        <w:ind w:hanging="7"/>
        <w:spacing w:after="0" w:line="286" w:lineRule="auto"/>
        <w:rPr>
          <w:sz w:val="20"/>
          <w:szCs w:val="20"/>
          <w:color w:val="auto"/>
        </w:rPr>
      </w:pPr>
      <w:r>
        <w:rPr>
          <w:rFonts w:ascii="Times New Roman" w:cs="Times New Roman" w:eastAsia="Times New Roman" w:hAnsi="Times New Roman"/>
          <w:sz w:val="14"/>
          <w:szCs w:val="14"/>
          <w:color w:val="auto"/>
        </w:rPr>
        <w:t>In connection with the entry into the underwriting agreement as further described in Note 11 of the financial statements, (the “June 2023 Offering”) the Company issued (i) underwriters warrants to purchase up to an aggregate of 63,362 shares of Common Stock (the “Underwriters’ Warrants”) which are exercisable upon issuance and will expire on June 20, 2028. The initial exercise price of the Underwriters’ Warrants is $22.50 per share, which equals 125% of the per share public offering price in the June 2023 Offering and</w:t>
      </w:r>
    </w:p>
    <w:p>
      <w:pPr>
        <w:spacing w:after="0" w:line="1" w:lineRule="exact"/>
        <w:rPr>
          <w:sz w:val="20"/>
          <w:szCs w:val="20"/>
          <w:color w:val="auto"/>
        </w:rPr>
      </w:pPr>
    </w:p>
    <w:p>
      <w:pPr>
        <w:ind w:right="20" w:firstLine="1"/>
        <w:spacing w:after="0" w:line="247" w:lineRule="auto"/>
        <w:tabs>
          <w:tab w:leader="none" w:pos="231"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to purchase up to 1,111,111 shares of Common Stock to the investors in the offering together with shares of Common Stock (the “Investor Warrants”), at the combined public offering price of $18.00 per share of Common Stock and accompanying Investor Warrant, less underwriting discounts and commissions.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36" w:name="page137"/>
    <w:bookmarkEnd w:id="13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WARRANTS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June 2023 Offering (Underwriter and Investor Warrants) (continued)</w:t>
      </w:r>
    </w:p>
    <w:p>
      <w:pPr>
        <w:spacing w:after="0" w:line="191" w:lineRule="exact"/>
        <w:rPr>
          <w:sz w:val="20"/>
          <w:szCs w:val="20"/>
          <w:color w:val="auto"/>
        </w:rPr>
      </w:pPr>
    </w:p>
    <w:p>
      <w:pPr>
        <w:jc w:val="both"/>
        <w:ind w:hanging="7"/>
        <w:spacing w:after="0" w:line="247" w:lineRule="auto"/>
        <w:rPr>
          <w:sz w:val="20"/>
          <w:szCs w:val="20"/>
          <w:color w:val="auto"/>
        </w:rPr>
      </w:pPr>
      <w:r>
        <w:rPr>
          <w:rFonts w:ascii="Times New Roman" w:cs="Times New Roman" w:eastAsia="Times New Roman" w:hAnsi="Times New Roman"/>
          <w:sz w:val="16"/>
          <w:szCs w:val="16"/>
          <w:color w:val="auto"/>
        </w:rPr>
        <w:t>The Company also granted the underwriters a 45-day over-allotment option to purchase up to an additional 166,667 shares of Common Stock and/or Investor Warrants to purchase up to 166,667 shares of Common Stock at the public offering price per security, less underwriting discounts and commissions. The underwriters exercised their over-allotment option to purchase an additional 156,112 shares of Common Stock and Investor Warrants to purchase up to 156,112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sectPr>
          <w:pgSz w:w="11900" w:h="16838" w:orient="portrait"/>
          <w:cols w:equalWidth="0" w:num="1">
            <w:col w:w="11260"/>
          </w:cols>
          <w:pgMar w:left="320" w:top="611" w:right="319" w:bottom="1440" w:gutter="0" w:footer="0" w:header="0"/>
        </w:sectPr>
      </w:pP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Underwriters’ Warrants:</w:t>
      </w:r>
    </w:p>
    <w:p>
      <w:pPr>
        <w:spacing w:after="0" w:line="4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Underwriters’ Warrants Outstanding,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-113030</wp:posOffset>
            </wp:positionV>
            <wp:extent cx="6431915" cy="1257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31915" cy="12573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6"/>
          <w:szCs w:val="16"/>
          <w:color w:val="auto"/>
        </w:rPr>
        <w:t>Underwriters’ Warrants issued</w:t>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Underwriters’ Warrants Outstanding,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-100965</wp:posOffset>
            </wp:positionV>
            <wp:extent cx="6431915" cy="1257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31915" cy="125730"/>
                    </a:xfrm>
                    <a:prstGeom prst="rect">
                      <a:avLst/>
                    </a:prstGeom>
                    <a:noFill/>
                  </pic:spPr>
                </pic:pic>
              </a:graphicData>
            </a:graphic>
          </wp:anchor>
        </w:drawing>
      </w:r>
    </w:p>
    <w:p>
      <w:pPr>
        <w:spacing w:after="0" w:line="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Underwriters’ Warrants issued</w:t>
      </w:r>
    </w:p>
    <w:p>
      <w:pPr>
        <w:spacing w:after="0" w:line="34" w:lineRule="exact"/>
        <w:rPr>
          <w:sz w:val="20"/>
          <w:szCs w:val="20"/>
          <w:color w:val="auto"/>
        </w:rPr>
      </w:pPr>
    </w:p>
    <w:p>
      <w:pPr>
        <w:jc w:val="right"/>
        <w:ind w:right="4120"/>
        <w:spacing w:after="0"/>
        <w:rPr>
          <w:sz w:val="20"/>
          <w:szCs w:val="20"/>
          <w:color w:val="auto"/>
        </w:rPr>
      </w:pPr>
      <w:r>
        <w:rPr>
          <w:rFonts w:ascii="Times New Roman" w:cs="Times New Roman" w:eastAsia="Times New Roman" w:hAnsi="Times New Roman"/>
          <w:sz w:val="16"/>
          <w:szCs w:val="16"/>
          <w:color w:val="auto"/>
        </w:rPr>
        <w:t>Underwriters’ Warrants Outstanding,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-105410</wp:posOffset>
            </wp:positionV>
            <wp:extent cx="6431915" cy="140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31915" cy="14097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Warrants classified as Liability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Private Placement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Warrants</w:t>
      </w:r>
    </w:p>
    <w:p>
      <w:pPr>
        <w:spacing w:after="0" w:line="19"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6"/>
          <w:szCs w:val="16"/>
          <w:color w:val="auto"/>
        </w:rPr>
        <w:t>63,362</w:t>
      </w:r>
    </w:p>
    <w:p>
      <w:pPr>
        <w:spacing w:after="0" w:line="3"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6"/>
          <w:szCs w:val="16"/>
          <w:color w:val="auto"/>
        </w:rPr>
        <w:t>63,362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9525</wp:posOffset>
            </wp:positionV>
            <wp:extent cx="108902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2"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12065</wp:posOffset>
            </wp:positionV>
            <wp:extent cx="108902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18"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6"/>
          <w:szCs w:val="16"/>
          <w:color w:val="auto"/>
        </w:rPr>
        <w:t>63,362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27305</wp:posOffset>
            </wp:positionV>
            <wp:extent cx="108902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970" w:lineRule="exact"/>
        <w:rPr>
          <w:sz w:val="20"/>
          <w:szCs w:val="20"/>
          <w:color w:val="auto"/>
        </w:rPr>
      </w:pPr>
    </w:p>
    <w:p>
      <w:pPr>
        <w:sectPr>
          <w:pgSz w:w="11900" w:h="16838" w:orient="portrait"/>
          <w:cols w:equalWidth="0" w:num="2">
            <w:col w:w="8240" w:space="720"/>
            <w:col w:w="2300"/>
          </w:cols>
          <w:pgMar w:left="320" w:top="611" w:right="319" w:bottom="1440" w:gutter="0" w:footer="0" w:header="0"/>
          <w:type w:val="continuous"/>
        </w:sectPr>
      </w:pPr>
    </w:p>
    <w:p>
      <w:pPr>
        <w:jc w:val="both"/>
        <w:ind w:hanging="7"/>
        <w:spacing w:after="0" w:line="282" w:lineRule="auto"/>
        <w:rPr>
          <w:sz w:val="20"/>
          <w:szCs w:val="20"/>
          <w:color w:val="auto"/>
        </w:rPr>
      </w:pPr>
      <w:r>
        <w:rPr>
          <w:rFonts w:ascii="Times New Roman" w:cs="Times New Roman" w:eastAsia="Times New Roman" w:hAnsi="Times New Roman"/>
          <w:sz w:val="14"/>
          <w:szCs w:val="14"/>
          <w:color w:val="auto"/>
        </w:rPr>
        <w:t>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w:t>
      </w:r>
    </w:p>
    <w:p>
      <w:pPr>
        <w:spacing w:after="0" w:line="1" w:lineRule="exact"/>
        <w:rPr>
          <w:sz w:val="20"/>
          <w:szCs w:val="20"/>
          <w:color w:val="auto"/>
        </w:rPr>
      </w:pPr>
    </w:p>
    <w:p>
      <w:pPr>
        <w:jc w:val="both"/>
        <w:ind w:firstLine="1"/>
        <w:spacing w:after="0" w:line="244" w:lineRule="auto"/>
        <w:tabs>
          <w:tab w:leader="none" w:pos="378"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year ended December 31, 2023, private placement warrant holders exercised 347,386 warrants on a cashless basis, with the Company agreeing to issue 122,222 shares of Common Stock in connection with such exercise. There were 166,821 private warrants outstanding as of December 31, 2024 and 2023,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type w:val="continuous"/>
        </w:sectPr>
      </w:pPr>
    </w:p>
    <w:bookmarkStart w:id="137" w:name="page138"/>
    <w:bookmarkEnd w:id="13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WARRANTS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Warrants classified as Liability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Private Placement Warrants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each such re-measurement, the warrant liabilities will be adjusted to its current fair value, with the change in fair value recognized in the Company’s statement of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will reassess the classification at each balance sheet date.</w:t>
      </w:r>
    </w:p>
    <w:p>
      <w:pPr>
        <w:spacing w:after="0" w:line="174"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The Private Placement Warrants are classified as Level 2 within the fair value hierarchy. Although these instruments are not actively traded, they are valued based on observable inputs, including the market price of the Company’s publicly traded warrants. The Company used a Black-Scholes model to estimate the fair value of the Private Placement Warrants, applying a discount to the value of the Public Warrants to account for the difference in remaining life. Because the valuation primarily relies on observable market data with limited adjustments, the Company determined that classification within Level 2 is appropriate.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 Loan Warrants</w:t>
      </w:r>
    </w:p>
    <w:p>
      <w:pPr>
        <w:spacing w:after="0" w:line="191" w:lineRule="exact"/>
        <w:rPr>
          <w:sz w:val="20"/>
          <w:szCs w:val="20"/>
          <w:color w:val="auto"/>
        </w:rPr>
      </w:pPr>
    </w:p>
    <w:p>
      <w:pPr>
        <w:jc w:val="both"/>
        <w:ind w:hanging="7"/>
        <w:spacing w:after="0" w:line="286" w:lineRule="auto"/>
        <w:rPr>
          <w:sz w:val="20"/>
          <w:szCs w:val="20"/>
          <w:color w:val="auto"/>
        </w:rPr>
      </w:pPr>
      <w:r>
        <w:rPr>
          <w:rFonts w:ascii="Times New Roman" w:cs="Times New Roman" w:eastAsia="Times New Roman" w:hAnsi="Times New Roman"/>
          <w:sz w:val="14"/>
          <w:szCs w:val="14"/>
          <w:color w:val="auto"/>
        </w:rPr>
        <w:t>In connection with the entry into the Term Loan Agreement on October 7, 2022, and as a required term and condition thereof, the Company issued (i) the penny warrants to the Term Loan Lenders exercisable to purchase an aggregate of 288,118 shares of Common Stock (the “Original Penny Warrants”) and (ii) the $90.00 warrants to issue warrants to the Term Loan Lenders exercisable to purchase an aggregate of 177,778 shares of Common Stock at $90 per share (the “$10 Warrants” and, together with the Original Penny Warrants, the “Term Loan Warrants”). The $10 Warrants were exercised on a cashless basis on October 10, 2022, with the Company issuing 50,794 shares of Common Stock in connection with such exercise. During the year ended December 31, 2023, Original Penny Warrant holders exercised 222,223 warrants on a cashless basis, with the Company agreeing to issue 221,814 shares of Common Stock in connection with such exercise. During the year ended December 31, 2023 the Company issued additional Original Penny Warrants to purchase 532 shares of Common Stock to the Term Loan Lenders in accordance with the anti-dilution provisions of the original penny warrants with respect to certain sales made by the Company under the ChEF Equity Facility. In addition, pursuant to the Company’s limited waiver agreement on December 29, 2023 between the Company and the lenders and lending agent, the Company agreed to issue to the lenders additional penny warrants exercisable to purchase an aggregate 142,964 shares of its Common Stock.</w:t>
      </w:r>
    </w:p>
    <w:p>
      <w:pPr>
        <w:spacing w:after="0" w:line="141"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On May 13, 2024, the Company received the May 2024 Waiver in regards to its compliance with the Tests as of the last day of the quarter ended March 31, 2024. The May 2024 Waiver provided for a one-time issuance of the May 2024 Penny Warrants to purchase up to 283,334 shares of the Company’s common stock, at an exercise price of $0.09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64"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On June 28, 2024, the Company entered into the First Amendment to the Term Loan with the Term Loan Lenders in regards to its compliance with the Tests for the quarter ended June 30, 2024. The First Amendment provided for a one-time issuance of the June 2024 Penny Warrants to purchase up to 233,334 shares of the Company’s common stock, at an exercise price of $0.09 per share, in connection with the Term Loan Lenders’ agreement to waive the Tests under the Term Loan for the quarter ended June 30, 2024 and certain amendments to the Term Loan. The June 2024 Penny Warrants are immediately exercisable upon issuance and will expire ten years from the date of issuance.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38" w:name="page139"/>
    <w:bookmarkEnd w:id="13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WARRANTS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Warrants classified as Liability (Continued)</w:t>
      </w:r>
    </w:p>
    <w:p>
      <w:pPr>
        <w:spacing w:after="0" w:line="191" w:lineRule="exact"/>
        <w:rPr>
          <w:sz w:val="20"/>
          <w:szCs w:val="20"/>
          <w:color w:val="auto"/>
        </w:rPr>
      </w:pPr>
    </w:p>
    <w:p>
      <w:pPr>
        <w:jc w:val="both"/>
        <w:ind w:hanging="7"/>
        <w:spacing w:after="0" w:line="249" w:lineRule="auto"/>
        <w:rPr>
          <w:sz w:val="20"/>
          <w:szCs w:val="20"/>
          <w:color w:val="auto"/>
        </w:rPr>
      </w:pPr>
      <w:r>
        <w:rPr>
          <w:rFonts w:ascii="Times New Roman" w:cs="Times New Roman" w:eastAsia="Times New Roman" w:hAnsi="Times New Roman"/>
          <w:sz w:val="16"/>
          <w:szCs w:val="16"/>
          <w:color w:val="auto"/>
        </w:rPr>
        <w:t>On September 30, 2024, the Company entered into the Third Amendment to the Term Loan with the Term Loan Lenders in regards to its compliance with the Tests for the quarter ended September 30, 2024. The Third Amendment provided for a one-time issuance the September 2024 Penny Warrants to purchase up to 333,334 shares of the Company’s Common Stock, at an exercise price of $0.09 per share, in connection with the Term Loan Lenders agreement to waive the Tests under the Term Loan for the quarter ended September 30, 2024 and to amend the Term Loan. The September 2024 Penny Warrants are immediately exercisable upon issuance and will expire ten years from the date of issuance.</w:t>
      </w:r>
    </w:p>
    <w:p>
      <w:pPr>
        <w:spacing w:after="0" w:line="166" w:lineRule="exact"/>
        <w:rPr>
          <w:sz w:val="20"/>
          <w:szCs w:val="20"/>
          <w:color w:val="auto"/>
        </w:rPr>
      </w:pPr>
    </w:p>
    <w:p>
      <w:pPr>
        <w:jc w:val="both"/>
        <w:ind w:hanging="7"/>
        <w:spacing w:after="0" w:line="247" w:lineRule="auto"/>
        <w:rPr>
          <w:sz w:val="20"/>
          <w:szCs w:val="20"/>
          <w:color w:val="auto"/>
        </w:rPr>
      </w:pPr>
      <w:r>
        <w:rPr>
          <w:rFonts w:ascii="Times New Roman" w:cs="Times New Roman" w:eastAsia="Times New Roman" w:hAnsi="Times New Roman"/>
          <w:sz w:val="16"/>
          <w:szCs w:val="16"/>
          <w:color w:val="auto"/>
        </w:rPr>
        <w:t>On December 31, 2024, the Company entered into the Fourth Amendment to the Term Loan with the Term Loan Lenders in regards to its compliance with the Tests for the quarter ended December 31, 2024. The Fourth Amendment provided for a one-time issuance the December 2024 Penny Warrants to purchase up to 350,000 shares of the Company’s Common Stock, at an exercise price of $0.01 per share, in connection with the Term Loan Lenders agreement to waive the Tests under the Term Loan for the quarter ended December 31, 2024 and to amend the Term Loan. During the year ended December 31, 2024 the Company issued additional Original Penny Warrants to purchase 2,754 shares of Common Stock to the Term Loan Lenders in accordance with the anti-dilution provisions of the original penny warrants with respect to certain sales made by the Company under the ChEF Equity Facility. The December 2024 Penny Warrants will be exercisable at such time that the Company obtain the Warrant Issuance Shareholder Approval (as defined below) and will expire ten years from the date of issuance. The May 2024 Penny Warrants, the June 2024 Penny Warrants, the September 2024 Penny Warrants and the December 2024 Penny Warrants were valued utilizing a Black-Scholes model with the following assumptions:</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2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97"/>
              </w:rPr>
              <w:t>May 2024 penny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97"/>
              </w:rPr>
              <w:t>June 2024 penny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99"/>
              </w:rPr>
              <w:t>September 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8"/>
              </w:rPr>
              <w:t>December 2024</w:t>
            </w:r>
          </w:p>
        </w:tc>
      </w:tr>
      <w:tr>
        <w:trPr>
          <w:trHeight w:val="203"/>
        </w:trPr>
        <w:tc>
          <w:tcPr>
            <w:tcW w:w="2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warrants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warrants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penny warrants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penny warrants</w:t>
            </w:r>
          </w:p>
        </w:tc>
      </w:tr>
      <w:tr>
        <w:trPr>
          <w:trHeight w:val="179"/>
        </w:trPr>
        <w:tc>
          <w:tcPr>
            <w:tcW w:w="230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Stock price</w:t>
            </w: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10.71</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7.65</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4.77</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2.78</w:t>
            </w:r>
          </w:p>
        </w:tc>
        <w:tc>
          <w:tcPr>
            <w:tcW w:w="140" w:type="dxa"/>
            <w:vAlign w:val="bottom"/>
            <w:tcBorders>
              <w:top w:val="single" w:sz="8" w:color="CCEEFF"/>
            </w:tcBorders>
            <w:shd w:val="clear" w:color="auto" w:fill="CCEEFF"/>
          </w:tcPr>
          <w:p>
            <w:pPr>
              <w:spacing w:after="0"/>
              <w:rPr>
                <w:sz w:val="15"/>
                <w:szCs w:val="15"/>
                <w:color w:val="auto"/>
              </w:rPr>
            </w:pPr>
          </w:p>
        </w:tc>
      </w:tr>
      <w:tr>
        <w:trPr>
          <w:trHeight w:val="187"/>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Strike price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4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4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4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40" w:type="dxa"/>
            <w:vAlign w:val="bottom"/>
          </w:tcPr>
          <w:p>
            <w:pPr>
              <w:spacing w:after="0"/>
              <w:rPr>
                <w:sz w:val="16"/>
                <w:szCs w:val="16"/>
                <w:color w:val="auto"/>
              </w:rPr>
            </w:pPr>
          </w:p>
        </w:tc>
      </w:tr>
      <w:tr>
        <w:trPr>
          <w:trHeight w:val="187"/>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 years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 years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 years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 years</w:t>
            </w:r>
          </w:p>
        </w:tc>
      </w:tr>
      <w:tr>
        <w:trPr>
          <w:trHeight w:val="187"/>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r>
      <w:tr>
        <w:trPr>
          <w:trHeight w:val="187"/>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r>
    </w:tbl>
    <w:p>
      <w:pPr>
        <w:spacing w:after="0" w:line="170" w:lineRule="exact"/>
        <w:rPr>
          <w:sz w:val="20"/>
          <w:szCs w:val="20"/>
          <w:color w:val="auto"/>
        </w:rPr>
      </w:pPr>
    </w:p>
    <w:p>
      <w:pPr>
        <w:jc w:val="both"/>
        <w:ind w:right="20" w:hanging="7"/>
        <w:spacing w:after="0" w:line="255" w:lineRule="auto"/>
        <w:rPr>
          <w:sz w:val="20"/>
          <w:szCs w:val="20"/>
          <w:color w:val="auto"/>
        </w:rPr>
      </w:pPr>
      <w:r>
        <w:rPr>
          <w:rFonts w:ascii="Times New Roman" w:cs="Times New Roman" w:eastAsia="Times New Roman" w:hAnsi="Times New Roman"/>
          <w:sz w:val="16"/>
          <w:szCs w:val="16"/>
          <w:color w:val="auto"/>
        </w:rPr>
        <w:t>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39" w:name="page140"/>
    <w:bookmarkEnd w:id="13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WARRANTS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Warrants classified as Liability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significant inputs to the Black-Scholes method for the fair value of the Penny Warrants:</w:t>
      </w:r>
    </w:p>
    <w:p>
      <w:pPr>
        <w:spacing w:after="0" w:line="189" w:lineRule="exact"/>
        <w:rPr>
          <w:sz w:val="20"/>
          <w:szCs w:val="20"/>
          <w:color w:val="auto"/>
        </w:rPr>
      </w:pPr>
    </w:p>
    <w:tbl>
      <w:tblPr>
        <w:tblLayout w:type="fixed"/>
        <w:tblInd w:w="82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color w:val="auto"/>
              </w:rPr>
              <w:t>As of</w:t>
            </w:r>
          </w:p>
        </w:tc>
        <w:tc>
          <w:tcPr>
            <w:tcW w:w="180" w:type="dxa"/>
            <w:vAlign w:val="bottom"/>
          </w:tcPr>
          <w:p>
            <w:pPr>
              <w:spacing w:after="0"/>
              <w:rPr>
                <w:sz w:val="16"/>
                <w:szCs w:val="16"/>
                <w:color w:val="auto"/>
              </w:rPr>
            </w:pPr>
          </w:p>
        </w:tc>
        <w:tc>
          <w:tcPr>
            <w:tcW w:w="172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As of</w:t>
            </w:r>
          </w:p>
        </w:tc>
      </w:tr>
      <w:tr>
        <w:trPr>
          <w:trHeight w:val="203"/>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December 31, 2024</w:t>
            </w:r>
          </w:p>
        </w:tc>
        <w:tc>
          <w:tcPr>
            <w:tcW w:w="180" w:type="dxa"/>
            <w:vAlign w:val="bottom"/>
          </w:tcPr>
          <w:p>
            <w:pPr>
              <w:spacing w:after="0"/>
              <w:rPr>
                <w:sz w:val="17"/>
                <w:szCs w:val="17"/>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179"/>
        </w:trPr>
        <w:tc>
          <w:tcPr>
            <w:tcW w:w="20" w:type="dxa"/>
            <w:vAlign w:val="bottom"/>
          </w:tcPr>
          <w:p>
            <w:pPr>
              <w:spacing w:after="0"/>
              <w:rPr>
                <w:sz w:val="15"/>
                <w:szCs w:val="15"/>
                <w:color w:val="auto"/>
              </w:rPr>
            </w:pPr>
          </w:p>
        </w:tc>
        <w:tc>
          <w:tcPr>
            <w:tcW w:w="534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Common stock price</w:t>
            </w:r>
          </w:p>
        </w:tc>
        <w:tc>
          <w:tcPr>
            <w:tcW w:w="180" w:type="dxa"/>
            <w:vAlign w:val="bottom"/>
            <w:tcBorders>
              <w:top w:val="single" w:sz="8" w:color="auto"/>
            </w:tcBorders>
            <w:shd w:val="clear" w:color="auto" w:fill="CCEEFF"/>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2.78</w:t>
            </w: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4.86</w:t>
            </w:r>
          </w:p>
        </w:tc>
        <w:tc>
          <w:tcPr>
            <w:tcW w:w="140" w:type="dxa"/>
            <w:vAlign w:val="bottom"/>
            <w:tcBorders>
              <w:top w:val="single" w:sz="8" w:color="CCEEFF"/>
            </w:tcBorders>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180" w:type="dxa"/>
            <w:vAlign w:val="bottom"/>
          </w:tcPr>
          <w:p>
            <w:pPr>
              <w:spacing w:after="0"/>
              <w:rPr>
                <w:sz w:val="16"/>
                <w:szCs w:val="16"/>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0.09</w:t>
            </w:r>
          </w:p>
        </w:tc>
        <w:tc>
          <w:tcPr>
            <w:tcW w:w="180" w:type="dxa"/>
            <w:vAlign w:val="bottom"/>
          </w:tcPr>
          <w:p>
            <w:pPr>
              <w:spacing w:after="0"/>
              <w:rPr>
                <w:sz w:val="16"/>
                <w:szCs w:val="16"/>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0.09</w:t>
            </w:r>
          </w:p>
        </w:tc>
      </w:tr>
      <w:tr>
        <w:trPr>
          <w:trHeight w:val="187"/>
        </w:trPr>
        <w:tc>
          <w:tcPr>
            <w:tcW w:w="20" w:type="dxa"/>
            <w:vAlign w:val="bottom"/>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8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87"/>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Term</w:t>
            </w:r>
          </w:p>
        </w:tc>
        <w:tc>
          <w:tcPr>
            <w:tcW w:w="180" w:type="dxa"/>
            <w:vAlign w:val="bottom"/>
          </w:tcPr>
          <w:p>
            <w:pPr>
              <w:spacing w:after="0"/>
              <w:rPr>
                <w:sz w:val="16"/>
                <w:szCs w:val="16"/>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7.77</w:t>
            </w:r>
          </w:p>
        </w:tc>
        <w:tc>
          <w:tcPr>
            <w:tcW w:w="180" w:type="dxa"/>
            <w:vAlign w:val="bottom"/>
          </w:tcPr>
          <w:p>
            <w:pPr>
              <w:spacing w:after="0"/>
              <w:rPr>
                <w:sz w:val="16"/>
                <w:szCs w:val="16"/>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r>
      <w:tr>
        <w:trPr>
          <w:trHeight w:val="187"/>
        </w:trPr>
        <w:tc>
          <w:tcPr>
            <w:tcW w:w="20" w:type="dxa"/>
            <w:vAlign w:val="bottom"/>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Volatility</w:t>
            </w:r>
          </w:p>
        </w:tc>
        <w:tc>
          <w:tcPr>
            <w:tcW w:w="18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94.00%</w:t>
            </w:r>
          </w:p>
        </w:tc>
        <w:tc>
          <w:tcPr>
            <w:tcW w:w="1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96.00%</w:t>
            </w:r>
          </w:p>
        </w:tc>
      </w:tr>
      <w:tr>
        <w:trPr>
          <w:trHeight w:val="187"/>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180" w:type="dxa"/>
            <w:vAlign w:val="bottom"/>
          </w:tcPr>
          <w:p>
            <w:pPr>
              <w:spacing w:after="0"/>
              <w:rPr>
                <w:sz w:val="16"/>
                <w:szCs w:val="16"/>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187"/>
        </w:trPr>
        <w:tc>
          <w:tcPr>
            <w:tcW w:w="20" w:type="dxa"/>
            <w:vAlign w:val="bottom"/>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2.74</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4.86</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significant inputs to the Black-Scholes method for the fair value of the Investor Warrants issued in the June 2023 Offering: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As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As of</w:t>
            </w:r>
          </w:p>
        </w:tc>
        <w:tc>
          <w:tcPr>
            <w:tcW w:w="1120" w:type="dxa"/>
            <w:vAlign w:val="bottom"/>
          </w:tcPr>
          <w:p>
            <w:pPr>
              <w:spacing w:after="0"/>
              <w:rPr>
                <w:sz w:val="16"/>
                <w:szCs w:val="16"/>
                <w:color w:val="auto"/>
              </w:rPr>
            </w:pPr>
          </w:p>
        </w:tc>
      </w:tr>
      <w:tr>
        <w:trPr>
          <w:trHeight w:val="203"/>
        </w:trPr>
        <w:tc>
          <w:tcPr>
            <w:tcW w:w="1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96"/>
              </w:rPr>
              <w:t>December 31, 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98"/>
              </w:rPr>
              <w:t>December 31, 2023</w:t>
            </w:r>
          </w:p>
        </w:tc>
        <w:tc>
          <w:tcPr>
            <w:tcW w:w="1120" w:type="dxa"/>
            <w:vAlign w:val="bottom"/>
          </w:tcPr>
          <w:p>
            <w:pPr>
              <w:spacing w:after="0"/>
              <w:rPr>
                <w:sz w:val="17"/>
                <w:szCs w:val="17"/>
                <w:color w:val="auto"/>
              </w:rPr>
            </w:pPr>
          </w:p>
        </w:tc>
      </w:tr>
      <w:tr>
        <w:trPr>
          <w:trHeight w:val="179"/>
        </w:trPr>
        <w:tc>
          <w:tcPr>
            <w:tcW w:w="1120" w:type="dxa"/>
            <w:vAlign w:val="bottom"/>
          </w:tcPr>
          <w:p>
            <w:pPr>
              <w:spacing w:after="0"/>
              <w:rPr>
                <w:sz w:val="15"/>
                <w:szCs w:val="15"/>
                <w:color w:val="auto"/>
              </w:rPr>
            </w:pPr>
          </w:p>
        </w:tc>
        <w:tc>
          <w:tcPr>
            <w:tcW w:w="282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Common stock price</w:t>
            </w:r>
          </w:p>
        </w:tc>
        <w:tc>
          <w:tcPr>
            <w:tcW w:w="27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2.78</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4.86</w:t>
            </w:r>
          </w:p>
        </w:tc>
        <w:tc>
          <w:tcPr>
            <w:tcW w:w="140" w:type="dxa"/>
            <w:vAlign w:val="bottom"/>
            <w:tcBorders>
              <w:top w:val="single" w:sz="8" w:color="CCEEFF"/>
            </w:tcBorders>
            <w:shd w:val="clear" w:color="auto" w:fill="CCEEFF"/>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12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Term</w:t>
            </w: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Volatility</w:t>
            </w:r>
          </w:p>
        </w:tc>
        <w:tc>
          <w:tcPr>
            <w:tcW w:w="2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106.00%</w:t>
            </w:r>
          </w:p>
        </w:tc>
        <w:tc>
          <w:tcPr>
            <w:tcW w:w="112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3.90%</w:t>
            </w:r>
          </w:p>
        </w:tc>
        <w:tc>
          <w:tcPr>
            <w:tcW w:w="112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4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373"/>
        </w:trPr>
        <w:tc>
          <w:tcPr>
            <w:tcW w:w="1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902"/>
              <w:spacing w:after="0"/>
              <w:rPr>
                <w:sz w:val="20"/>
                <w:szCs w:val="20"/>
                <w:color w:val="auto"/>
              </w:rPr>
            </w:pPr>
            <w:r>
              <w:rPr>
                <w:rFonts w:ascii="Times New Roman" w:cs="Times New Roman" w:eastAsia="Times New Roman" w:hAnsi="Times New Roman"/>
                <w:sz w:val="16"/>
                <w:szCs w:val="16"/>
                <w:color w:val="auto"/>
              </w:rPr>
              <w:t>F-33</w:t>
            </w: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11" w:right="319" w:bottom="1440" w:gutter="0" w:footer="0" w:header="0"/>
        </w:sectPr>
      </w:pPr>
    </w:p>
    <w:bookmarkStart w:id="140" w:name="page141"/>
    <w:bookmarkEnd w:id="14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WARRANTS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Warrants classified as Liability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roll-forward of the Company’s warrants from January 1, 2024 to December 31, 2024 and January 1, 2023 to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Warrants:</w:t>
            </w: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Private</w:t>
            </w:r>
          </w:p>
        </w:tc>
        <w:tc>
          <w:tcPr>
            <w:tcW w:w="170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color w:val="auto"/>
              </w:rPr>
              <w:t>Public</w:t>
            </w: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Term Loan</w:t>
            </w: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Investor</w:t>
            </w: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Warrants</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Warrants</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Warrants</w:t>
            </w: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Warrants</w:t>
            </w: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06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Warrants Outstanding, January 1, 2024</w:t>
            </w:r>
          </w:p>
        </w:tc>
        <w:tc>
          <w:tcPr>
            <w:tcW w:w="14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166,821</w:t>
            </w:r>
          </w:p>
        </w:tc>
        <w:tc>
          <w:tcPr>
            <w:tcW w:w="34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1,046,948</w:t>
            </w:r>
          </w:p>
        </w:tc>
        <w:tc>
          <w:tcPr>
            <w:tcW w:w="3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209,391</w:t>
            </w:r>
          </w:p>
        </w:tc>
        <w:tc>
          <w:tcPr>
            <w:tcW w:w="3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1,236,878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warrants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issued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1,202,756</w:t>
            </w:r>
          </w:p>
        </w:tc>
        <w:tc>
          <w:tcPr>
            <w:tcW w:w="3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406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color w:val="auto"/>
              </w:rPr>
              <w:t>Warrants Outstanding, December 31, 2024</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166,821</w:t>
            </w:r>
          </w:p>
        </w:tc>
        <w:tc>
          <w:tcPr>
            <w:tcW w:w="340" w:type="dxa"/>
            <w:vAlign w:val="bottom"/>
            <w:tcBorders>
              <w:bottom w:val="single" w:sz="8" w:color="CCEEFF"/>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1,046,948</w:t>
            </w:r>
          </w:p>
        </w:tc>
        <w:tc>
          <w:tcPr>
            <w:tcW w:w="300" w:type="dxa"/>
            <w:vAlign w:val="bottom"/>
            <w:tcBorders>
              <w:bottom w:val="single" w:sz="8" w:color="CCEEFF"/>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1,412,147</w:t>
            </w:r>
          </w:p>
        </w:tc>
        <w:tc>
          <w:tcPr>
            <w:tcW w:w="320" w:type="dxa"/>
            <w:vAlign w:val="bottom"/>
            <w:tcBorders>
              <w:bottom w:val="single" w:sz="8" w:color="CCEEFF"/>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1,236,878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60" w:type="dxa"/>
            <w:vAlign w:val="bottom"/>
            <w:vMerge w:val="continue"/>
          </w:tcPr>
          <w:p>
            <w:pPr>
              <w:spacing w:after="0"/>
              <w:rPr>
                <w:sz w:val="16"/>
                <w:szCs w:val="16"/>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Warrants Outstanding, January 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514,207</w:t>
            </w:r>
          </w:p>
        </w:tc>
        <w:tc>
          <w:tcPr>
            <w:tcW w:w="340" w:type="dxa"/>
            <w:vAlign w:val="bottom"/>
          </w:tcPr>
          <w:p>
            <w:pPr>
              <w:spacing w:after="0"/>
              <w:rPr>
                <w:sz w:val="16"/>
                <w:szCs w:val="16"/>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1,054,167</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288,118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warrants</w:t>
            </w: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(347,386)</w:t>
            </w: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(7,219)</w:t>
            </w: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(222,223)</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(30,345)</w:t>
            </w: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Warrants issued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143,496</w:t>
            </w:r>
          </w:p>
        </w:tc>
        <w:tc>
          <w:tcPr>
            <w:tcW w:w="32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1,267,223</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0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Warrants Outstanding, December 31, 2023</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166,821</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1,046,948</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209,391</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1,236,878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Warrants classified as Liability</w:t>
      </w:r>
    </w:p>
    <w:p>
      <w:pPr>
        <w:spacing w:after="0" w:line="191" w:lineRule="exact"/>
        <w:rPr>
          <w:sz w:val="20"/>
          <w:szCs w:val="20"/>
          <w:color w:val="auto"/>
        </w:rPr>
      </w:pPr>
    </w:p>
    <w:p>
      <w:pPr>
        <w:jc w:val="both"/>
        <w:ind w:hanging="7"/>
        <w:spacing w:after="0" w:line="249" w:lineRule="auto"/>
        <w:rPr>
          <w:sz w:val="20"/>
          <w:szCs w:val="20"/>
          <w:color w:val="auto"/>
        </w:rPr>
      </w:pPr>
      <w:r>
        <w:rPr>
          <w:rFonts w:ascii="Times New Roman" w:cs="Times New Roman" w:eastAsia="Times New Roman" w:hAnsi="Times New Roman"/>
          <w:sz w:val="16"/>
          <w:szCs w:val="16"/>
          <w:color w:val="auto"/>
        </w:rPr>
        <w:t>The following table presents a roll forward of the aggregate fair values of the Company’s warrant liabilities for which fair value is determined by Level 2 Inputs. The only class of warrants that were determined to be Level 2 were the term loan and June offering investor warrants. Due to Black Scholes calculation being utilized on all fair value measurement of warrant liabilities as of December 31, 2024, the fair value warrant liabilities were transferred from Level 3 to Level 2. This is due to the observable inputs (such as the Company’s stock price and comparable company volatility calculations) included in the Black Scholes calculation, which makes the fair value measurement of the warrant liabilities more closely aligned with Level 2.</w:t>
      </w:r>
    </w:p>
    <w:p>
      <w:pPr>
        <w:sectPr>
          <w:pgSz w:w="11900" w:h="16838" w:orient="portrait"/>
          <w:cols w:equalWidth="0" w:num="1">
            <w:col w:w="11260"/>
          </w:cols>
          <w:pgMar w:left="320" w:top="611" w:right="319" w:bottom="1440" w:gutter="0" w:footer="0" w:header="0"/>
        </w:sectPr>
      </w:pPr>
    </w:p>
    <w:p>
      <w:pPr>
        <w:spacing w:after="0" w:line="37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Balances,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-113030</wp:posOffset>
            </wp:positionV>
            <wp:extent cx="5720715" cy="1257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20715" cy="125730"/>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16"/>
          <w:szCs w:val="16"/>
          <w:color w:val="auto"/>
        </w:rPr>
        <w:t>Issuance of warrants</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-115570</wp:posOffset>
            </wp:positionV>
            <wp:extent cx="5720715" cy="1187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20715" cy="11874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16"/>
          <w:szCs w:val="16"/>
          <w:color w:val="auto"/>
        </w:rPr>
        <w:t>Change in fair value of warrants</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Balances,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-108585</wp:posOffset>
            </wp:positionV>
            <wp:extent cx="5720715" cy="1257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20715" cy="125730"/>
                    </a:xfrm>
                    <a:prstGeom prst="rect">
                      <a:avLst/>
                    </a:prstGeom>
                    <a:noFill/>
                  </pic:spPr>
                </pic:pic>
              </a:graphicData>
            </a:graphic>
          </wp:anchor>
        </w:drawing>
      </w:r>
    </w:p>
    <w:p>
      <w:pPr>
        <w:spacing w:after="0" w:line="18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Balances,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-105410</wp:posOffset>
            </wp:positionV>
            <wp:extent cx="5720715" cy="1187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20715" cy="11874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16"/>
          <w:szCs w:val="16"/>
          <w:color w:val="auto"/>
        </w:rPr>
        <w:t>Issuance of warrants</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-115570</wp:posOffset>
            </wp:positionV>
            <wp:extent cx="5720715" cy="1187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20715" cy="11874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16"/>
          <w:szCs w:val="16"/>
          <w:color w:val="auto"/>
        </w:rPr>
        <w:t>Change in fair value of warrants</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Balances,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-108585</wp:posOffset>
            </wp:positionV>
            <wp:extent cx="5720715" cy="1409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20715" cy="140970"/>
                    </a:xfrm>
                    <a:prstGeom prst="rect">
                      <a:avLst/>
                    </a:prstGeom>
                    <a:noFill/>
                  </pic:spPr>
                </pic:pic>
              </a:graphicData>
            </a:graphic>
          </wp:anchor>
        </w:drawing>
      </w:r>
    </w:p>
    <w:p>
      <w:pPr>
        <w:spacing w:after="0" w:line="224" w:lineRule="exact"/>
        <w:rPr>
          <w:sz w:val="20"/>
          <w:szCs w:val="20"/>
          <w:color w:val="auto"/>
        </w:rPr>
      </w:pPr>
    </w:p>
    <w:p>
      <w:pPr>
        <w:jc w:val="right"/>
        <w:ind w:right="2018"/>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222"/>
        <w:spacing w:after="0"/>
        <w:rPr>
          <w:sz w:val="20"/>
          <w:szCs w:val="20"/>
          <w:color w:val="auto"/>
        </w:rPr>
      </w:pPr>
      <w:r>
        <w:rPr>
          <w:rFonts w:ascii="Times New Roman" w:cs="Times New Roman" w:eastAsia="Times New Roman" w:hAnsi="Times New Roman"/>
          <w:sz w:val="16"/>
          <w:szCs w:val="16"/>
          <w:color w:val="auto"/>
        </w:rPr>
        <w:t>Warrant Liability</w:t>
      </w:r>
    </w:p>
    <w:p>
      <w:pPr>
        <w:spacing w:after="0" w:line="19" w:lineRule="exact"/>
        <w:rPr>
          <w:sz w:val="20"/>
          <w:szCs w:val="20"/>
          <w:color w:val="auto"/>
        </w:rPr>
      </w:pPr>
    </w:p>
    <w:p>
      <w:pPr>
        <w:ind w:left="1182" w:hanging="1182"/>
        <w:spacing w:after="0"/>
        <w:tabs>
          <w:tab w:leader="none" w:pos="1182"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4,448</w:t>
      </w:r>
    </w:p>
    <w:p>
      <w:pPr>
        <w:spacing w:after="0" w:line="14" w:lineRule="exact"/>
        <w:rPr>
          <w:rFonts w:ascii="Times New Roman" w:cs="Times New Roman" w:eastAsia="Times New Roman" w:hAnsi="Times New Roman"/>
          <w:sz w:val="16"/>
          <w:szCs w:val="16"/>
          <w:color w:val="auto"/>
        </w:rPr>
      </w:pPr>
    </w:p>
    <w:p>
      <w:pPr>
        <w:ind w:left="118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7,354</w:t>
      </w:r>
    </w:p>
    <w:p>
      <w:pPr>
        <w:spacing w:after="0" w:line="2" w:lineRule="exact"/>
        <w:rPr>
          <w:rFonts w:ascii="Times New Roman" w:cs="Times New Roman" w:eastAsia="Times New Roman" w:hAnsi="Times New Roman"/>
          <w:sz w:val="16"/>
          <w:szCs w:val="16"/>
          <w:color w:val="auto"/>
        </w:rPr>
      </w:pPr>
    </w:p>
    <w:p>
      <w:pPr>
        <w:ind w:left="148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3"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6"/>
          <w:szCs w:val="16"/>
          <w:color w:val="auto"/>
        </w:rPr>
        <w:t>(6,669)</w:t>
      </w:r>
    </w:p>
    <w:p>
      <w:pPr>
        <w:spacing w:after="0" w:line="14" w:lineRule="exact"/>
        <w:rPr>
          <w:sz w:val="20"/>
          <w:szCs w:val="20"/>
          <w:color w:val="auto"/>
        </w:rPr>
      </w:pPr>
    </w:p>
    <w:p>
      <w:pPr>
        <w:ind w:left="1182" w:hanging="1182"/>
        <w:spacing w:after="0"/>
        <w:tabs>
          <w:tab w:leader="none" w:pos="1182"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97091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70915" cy="7620"/>
                    </a:xfrm>
                    <a:prstGeom prst="rect">
                      <a:avLst/>
                    </a:prstGeom>
                    <a:noFill/>
                  </pic:spPr>
                </pic:pic>
              </a:graphicData>
            </a:graphic>
          </wp:anchor>
        </w:drawing>
      </w:r>
    </w:p>
    <w:p>
      <w:pPr>
        <w:spacing w:after="0" w:line="177" w:lineRule="exact"/>
        <w:rPr>
          <w:sz w:val="20"/>
          <w:szCs w:val="20"/>
          <w:color w:val="auto"/>
        </w:rPr>
      </w:pPr>
    </w:p>
    <w:p>
      <w:pPr>
        <w:ind w:left="1102" w:hanging="1102"/>
        <w:spacing w:after="0"/>
        <w:tabs>
          <w:tab w:leader="none" w:pos="110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30,841</w:t>
      </w:r>
    </w:p>
    <w:p>
      <w:pPr>
        <w:spacing w:after="0" w:line="18" w:lineRule="exact"/>
        <w:rPr>
          <w:rFonts w:ascii="Times New Roman" w:cs="Times New Roman" w:eastAsia="Times New Roman" w:hAnsi="Times New Roman"/>
          <w:sz w:val="16"/>
          <w:szCs w:val="16"/>
          <w:color w:val="auto"/>
        </w:rPr>
      </w:pPr>
    </w:p>
    <w:p>
      <w:pPr>
        <w:ind w:left="110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14,460</w:t>
      </w:r>
    </w:p>
    <w:p>
      <w:pPr>
        <w:spacing w:after="0" w:line="3"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6"/>
          <w:szCs w:val="16"/>
          <w:color w:val="auto"/>
        </w:rPr>
        <w:t>(11,901)</w:t>
      </w:r>
    </w:p>
    <w:p>
      <w:pPr>
        <w:spacing w:after="0" w:line="3"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6"/>
          <w:szCs w:val="16"/>
          <w:color w:val="auto"/>
        </w:rPr>
        <w:t>(28,952)</w:t>
      </w:r>
    </w:p>
    <w:p>
      <w:pPr>
        <w:spacing w:after="0" w:line="22" w:lineRule="exact"/>
        <w:rPr>
          <w:sz w:val="20"/>
          <w:szCs w:val="20"/>
          <w:color w:val="auto"/>
        </w:rPr>
      </w:pPr>
    </w:p>
    <w:p>
      <w:pPr>
        <w:ind w:left="1182" w:hanging="1182"/>
        <w:spacing w:after="0"/>
        <w:tabs>
          <w:tab w:leader="none" w:pos="1182"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97091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70915" cy="7620"/>
                    </a:xfrm>
                    <a:prstGeom prst="rect">
                      <a:avLst/>
                    </a:prstGeom>
                    <a:noFill/>
                  </pic:spPr>
                </pic:pic>
              </a:graphicData>
            </a:graphic>
          </wp:anchor>
        </w:drawing>
      </w:r>
    </w:p>
    <w:p>
      <w:pPr>
        <w:sectPr>
          <w:pgSz w:w="11900" w:h="16838" w:orient="portrait"/>
          <w:cols w:equalWidth="0" w:num="2">
            <w:col w:w="7798" w:space="720"/>
            <w:col w:w="2742"/>
          </w:cols>
          <w:pgMar w:left="320" w:top="611" w:right="319" w:bottom="1440" w:gutter="0" w:footer="0" w:header="0"/>
          <w:type w:val="continuous"/>
        </w:sectPr>
      </w:pPr>
    </w:p>
    <w:bookmarkStart w:id="141" w:name="page142"/>
    <w:bookmarkEnd w:id="14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COMMON STOCK</w:t>
      </w:r>
    </w:p>
    <w:p>
      <w:pPr>
        <w:spacing w:after="0" w:line="191"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The Company is authorized to issue up to 250,000,000 shares of common stock with $0.0001 par value. Common stockholders are entitled to dividends if and when declared by the Board of Directors subject to the rights of the preferred stockholders. As of December 31, 2024 and 2023, there were 7,232,650 and 6,695,587 shares issued and outstanding. No dividends on common stock had been declared by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years ended December 31, 2024 and 2023, the Company had reserved shares of common stock for issuance as follows:</w:t>
      </w:r>
    </w:p>
    <w:p>
      <w:pPr>
        <w:spacing w:after="0" w:line="189" w:lineRule="exact"/>
        <w:rPr>
          <w:sz w:val="20"/>
          <w:szCs w:val="20"/>
          <w:color w:val="auto"/>
        </w:rPr>
      </w:pPr>
    </w:p>
    <w:tbl>
      <w:tblPr>
        <w:tblLayout w:type="fixed"/>
        <w:tblInd w:w="112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8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December 31,</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December 31,</w:t>
            </w:r>
          </w:p>
        </w:tc>
      </w:tr>
      <w:tr>
        <w:trPr>
          <w:trHeight w:val="203"/>
        </w:trPr>
        <w:tc>
          <w:tcPr>
            <w:tcW w:w="56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bottom w:val="single" w:sz="8" w:color="CCEEFF"/>
            </w:tcBorders>
          </w:tcPr>
          <w:p>
            <w:pPr>
              <w:spacing w:after="0"/>
              <w:rPr>
                <w:sz w:val="17"/>
                <w:szCs w:val="17"/>
                <w:color w:val="auto"/>
              </w:rPr>
            </w:pPr>
          </w:p>
        </w:tc>
      </w:tr>
      <w:tr>
        <w:trPr>
          <w:trHeight w:val="179"/>
        </w:trPr>
        <w:tc>
          <w:tcPr>
            <w:tcW w:w="560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Options issued and outstanding</w:t>
            </w:r>
          </w:p>
        </w:tc>
        <w:tc>
          <w:tcPr>
            <w:tcW w:w="15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168,809</w:t>
            </w: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262,720</w:t>
            </w:r>
          </w:p>
        </w:tc>
        <w:tc>
          <w:tcPr>
            <w:tcW w:w="80" w:type="dxa"/>
            <w:vAlign w:val="bottom"/>
            <w:shd w:val="clear" w:color="auto" w:fill="CCEEFF"/>
          </w:tcPr>
          <w:p>
            <w:pPr>
              <w:spacing w:after="0"/>
              <w:rPr>
                <w:sz w:val="15"/>
                <w:szCs w:val="15"/>
                <w:color w:val="auto"/>
              </w:rPr>
            </w:pPr>
          </w:p>
        </w:tc>
      </w:tr>
      <w:tr>
        <w:trPr>
          <w:trHeight w:val="18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outstanding</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7,232,650</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6,695,587</w:t>
            </w:r>
          </w:p>
        </w:tc>
        <w:tc>
          <w:tcPr>
            <w:tcW w:w="80" w:type="dxa"/>
            <w:vAlign w:val="bottom"/>
          </w:tcPr>
          <w:p>
            <w:pPr>
              <w:spacing w:after="0"/>
              <w:rPr>
                <w:sz w:val="16"/>
                <w:szCs w:val="16"/>
                <w:color w:val="auto"/>
              </w:rPr>
            </w:pPr>
          </w:p>
        </w:tc>
      </w:tr>
      <w:tr>
        <w:trPr>
          <w:trHeight w:val="18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outstanding</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3,926,156</w:t>
            </w: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2,723,397</w:t>
            </w:r>
          </w:p>
        </w:tc>
        <w:tc>
          <w:tcPr>
            <w:tcW w:w="80" w:type="dxa"/>
            <w:vAlign w:val="bottom"/>
            <w:shd w:val="clear" w:color="auto" w:fill="CCEEFF"/>
          </w:tcPr>
          <w:p>
            <w:pPr>
              <w:spacing w:after="0"/>
              <w:rPr>
                <w:sz w:val="16"/>
                <w:szCs w:val="16"/>
                <w:color w:val="auto"/>
              </w:rPr>
            </w:pPr>
          </w:p>
        </w:tc>
      </w:tr>
      <w:tr>
        <w:trPr>
          <w:trHeight w:val="18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Earnout 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2,777,778</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4,444,444</w:t>
            </w:r>
          </w:p>
        </w:tc>
        <w:tc>
          <w:tcPr>
            <w:tcW w:w="80" w:type="dxa"/>
            <w:vAlign w:val="bottom"/>
          </w:tcPr>
          <w:p>
            <w:pPr>
              <w:spacing w:after="0"/>
              <w:rPr>
                <w:sz w:val="16"/>
                <w:szCs w:val="16"/>
                <w:color w:val="auto"/>
              </w:rPr>
            </w:pPr>
          </w:p>
        </w:tc>
      </w:tr>
      <w:tr>
        <w:trPr>
          <w:trHeight w:val="19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available for future issuance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854,412</w:t>
            </w:r>
          </w:p>
        </w:tc>
        <w:tc>
          <w:tcPr>
            <w:tcW w:w="28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496,587</w:t>
            </w:r>
          </w:p>
        </w:tc>
        <w:tc>
          <w:tcPr>
            <w:tcW w:w="80" w:type="dxa"/>
            <w:vAlign w:val="bottom"/>
            <w:shd w:val="clear" w:color="auto" w:fill="CCEEFF"/>
          </w:tcPr>
          <w:p>
            <w:pPr>
              <w:spacing w:after="0"/>
              <w:rPr>
                <w:sz w:val="17"/>
                <w:szCs w:val="17"/>
                <w:color w:val="auto"/>
              </w:rPr>
            </w:pPr>
          </w:p>
        </w:tc>
      </w:tr>
      <w:tr>
        <w:trPr>
          <w:trHeight w:val="190"/>
        </w:trPr>
        <w:tc>
          <w:tcPr>
            <w:tcW w:w="56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14,959,805</w:t>
            </w:r>
          </w:p>
        </w:tc>
        <w:tc>
          <w:tcPr>
            <w:tcW w:w="28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14,622,735</w:t>
            </w:r>
          </w:p>
        </w:tc>
        <w:tc>
          <w:tcPr>
            <w:tcW w:w="80" w:type="dxa"/>
            <w:vAlign w:val="bottom"/>
          </w:tcPr>
          <w:p>
            <w:pPr>
              <w:spacing w:after="0"/>
              <w:rPr>
                <w:sz w:val="16"/>
                <w:szCs w:val="16"/>
                <w:color w:val="auto"/>
              </w:rPr>
            </w:pPr>
          </w:p>
        </w:tc>
      </w:tr>
      <w:tr>
        <w:trPr>
          <w:trHeight w:val="20"/>
        </w:trPr>
        <w:tc>
          <w:tcPr>
            <w:tcW w:w="5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ChEF Equity Facility</w:t>
      </w:r>
    </w:p>
    <w:p>
      <w:pPr>
        <w:spacing w:after="0" w:line="191" w:lineRule="exact"/>
        <w:rPr>
          <w:sz w:val="20"/>
          <w:szCs w:val="20"/>
          <w:color w:val="auto"/>
        </w:rPr>
      </w:pPr>
    </w:p>
    <w:p>
      <w:pPr>
        <w:jc w:val="both"/>
        <w:ind w:hanging="7"/>
        <w:spacing w:after="0" w:line="247" w:lineRule="auto"/>
        <w:rPr>
          <w:sz w:val="20"/>
          <w:szCs w:val="20"/>
          <w:color w:val="auto"/>
        </w:rPr>
      </w:pPr>
      <w:r>
        <w:rPr>
          <w:rFonts w:ascii="Times New Roman" w:cs="Times New Roman" w:eastAsia="Times New Roman" w:hAnsi="Times New Roman"/>
          <w:sz w:val="16"/>
          <w:szCs w:val="16"/>
          <w:color w:val="auto"/>
        </w:rPr>
        <w:t>On October 7, 2022, the Company and Chardan Capital Markets LLC, a New York limited liability company (“CCM LLC”) entered into a purchase agreement (the “Original Purchase Agreement”) and a Registration Rights Agreement in connection with the merger. Pursuant to the Original Purchase Agreement, the Company has the right to sell to CCM LLC an amount of shares of Common Stock, up to a maximum aggregate purchase price of $150 million, pursuant to the terms of the Purchase Agreement (the “ChEF Equity Facility”). In addition, the Company appointed LifeSci Capital, LLC as “qualified independent underwriter” with respect to the transactions contemplated by the Purchase Agreement. On May 20, 2024, the Company entered into an amendment to the Original Purchase Agreement (the “A&amp;R Purchase Agreement”, together with the Original Purchase Agreement, the “Purchase Agreement”) with CCM LLC to update the volume weighted average price purchase mechanics of the equity facility to permit Intraday VWAP Purchases (as defined in the A&amp;R Purchase Agreement). Under the terms of the Purchase Agreement with CCM LLC, during the years ended December 31, 2024 and 2023, the Company issued 350,423 and 65,389 shares, respectively, for aggregate net proceeds to the Company of $2,025 and $1,273,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June 2023 Offering</w:t>
      </w:r>
    </w:p>
    <w:p>
      <w:pPr>
        <w:spacing w:after="0" w:line="191" w:lineRule="exact"/>
        <w:rPr>
          <w:sz w:val="20"/>
          <w:szCs w:val="20"/>
          <w:color w:val="auto"/>
        </w:rPr>
      </w:pPr>
    </w:p>
    <w:p>
      <w:pPr>
        <w:jc w:val="both"/>
        <w:ind w:right="20" w:hanging="7"/>
        <w:spacing w:after="0" w:line="255" w:lineRule="auto"/>
        <w:rPr>
          <w:sz w:val="20"/>
          <w:szCs w:val="20"/>
          <w:color w:val="auto"/>
        </w:rPr>
      </w:pPr>
      <w:r>
        <w:rPr>
          <w:rFonts w:ascii="Times New Roman" w:cs="Times New Roman" w:eastAsia="Times New Roman" w:hAnsi="Times New Roman"/>
          <w:sz w:val="16"/>
          <w:szCs w:val="16"/>
          <w:color w:val="auto"/>
        </w:rPr>
        <w:t>In the June 2023 Offering, the Company sold an aggregate of (i) 1,111,111 shares of its Common Stock and, (ii) accompanying Investor Warrants to purchase up to 1,111,111 shares of Common Stock, at the combined public offering price of $18.00 per share and accompanying Investor Warrant, less underwriting discounts and commissions, and (iii) the Underwriters’ Warrants.</w:t>
      </w:r>
    </w:p>
    <w:p>
      <w:pPr>
        <w:spacing w:after="0" w:line="160" w:lineRule="exact"/>
        <w:rPr>
          <w:sz w:val="20"/>
          <w:szCs w:val="20"/>
          <w:color w:val="auto"/>
        </w:rPr>
      </w:pPr>
    </w:p>
    <w:p>
      <w:pPr>
        <w:jc w:val="both"/>
        <w:ind w:hanging="7"/>
        <w:spacing w:after="0" w:line="299" w:lineRule="auto"/>
        <w:rPr>
          <w:sz w:val="20"/>
          <w:szCs w:val="20"/>
          <w:color w:val="auto"/>
        </w:rPr>
      </w:pPr>
      <w:r>
        <w:rPr>
          <w:rFonts w:ascii="Times New Roman" w:cs="Times New Roman" w:eastAsia="Times New Roman" w:hAnsi="Times New Roman"/>
          <w:sz w:val="14"/>
          <w:szCs w:val="14"/>
          <w:color w:val="auto"/>
        </w:rPr>
        <w:t>The Investor Warrants are exercisable for five years from the closing date of the June 2023 Offering, have an exercise price of $18.00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at an exercise price of $22.50 per share and will expire on June 20, 2028.</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42" w:name="page143"/>
    <w:bookmarkEnd w:id="14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COMMON STOCK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June 2023 Offering (continued)</w:t>
      </w:r>
    </w:p>
    <w:p>
      <w:pPr>
        <w:spacing w:after="0" w:line="191"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The Company granted the underwriters a 45-day over-allotment option to purchase up to an additional 166,667 shares of Common Stock and/or Warrants to purchase up to an aggregate of 166,667 shares of Common Stock at the public offering price per security, less underwriting discounts and commissions, of which the underwriters exercised for 156,112 shares of Common Stock and Investor Warrants to purchase up to 156,112 shares of Common Stock and the remaining was not exercised within the 45-day window.</w:t>
      </w:r>
    </w:p>
    <w:p>
      <w:pPr>
        <w:spacing w:after="0" w:line="160" w:lineRule="exact"/>
        <w:rPr>
          <w:sz w:val="20"/>
          <w:szCs w:val="20"/>
          <w:color w:val="auto"/>
        </w:rPr>
      </w:pPr>
    </w:p>
    <w:p>
      <w:pPr>
        <w:jc w:val="both"/>
        <w:ind w:hanging="7"/>
        <w:spacing w:after="0" w:line="248" w:lineRule="auto"/>
        <w:rPr>
          <w:sz w:val="20"/>
          <w:szCs w:val="20"/>
          <w:color w:val="auto"/>
        </w:rPr>
      </w:pPr>
      <w:r>
        <w:rPr>
          <w:rFonts w:ascii="Times New Roman" w:cs="Times New Roman" w:eastAsia="Times New Roman" w:hAnsi="Times New Roman"/>
          <w:sz w:val="16"/>
          <w:szCs w:val="16"/>
          <w:color w:val="auto"/>
        </w:rPr>
        <w:t>The Company received gross proceeds of $22,810 and incurred $2,074 of offering related costs. The gross proceeds were first allocated to the liability classified warrants based upon the transaction date fair value and then to the equity classified warrants with the residual allocated to the common shares. The offering related costs were allocated based on the relative fair value of all instruments, of which $1,169 was accounted for as a reduction of additional-paid-in-capital and $904 was recorded within general and administrative expenses. The Company accounted for the investor warrants issued in connection with the Public Offering and the exercise of the underwriters’ over-allotment option in accordance with the guidance contained in ASC 815-40. Such guidance provides that the warrants described above are precluded from equity classification. The fair value of the warrants were recorded as a liability in the amount of $13,762 on issuance and are being fair valued at each reporting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Reverse Stock Split and Recasting of Per-Share Amounts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On November 12, 2024, Dragonfly Energy Holdings Corp. (the “Company”) filed a Certificate of Amendment to the Company’s Articles of Incorporation with the Secretary of State of the State of Nevada (the “Certificate of Amendment”) to be effected at 6:00 a.m. Eastern Time on November 22, 2024, a one-for-nine reverse stock split (the “Reverse Stock Split”) of the Company’s issued and outstanding shares of common stock, par value $0.0001 per share (the “Common Stock”). Pursuant to the Certificate of Amendment, effective as of 6:00 a.m., Eastern Time on August 30, 2023, every 9 shares of Common Stock issued and outstanding, including shares of Common Stock held by the Company as treasury shares, were automatically combined into one share of Common Stock. The number of authorized shares of Common Stock remained the same at 250,000,000 authorized shares.</w:t>
      </w:r>
    </w:p>
    <w:p>
      <w:pPr>
        <w:spacing w:after="0" w:line="16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Shares of the Common Stock began trading on a split-adjusted basis at market open on November 22, 2024. The $0.0001 par value per share of Common Stock and any other rights associated the Common Stock were not affected by the reverse stock split.</w:t>
      </w:r>
    </w:p>
    <w:p>
      <w:pPr>
        <w:spacing w:after="0" w:line="1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All shares of Common Stock, stock option awards and per share amounts in the accompanying Consolidated Financial Statements and related Notes have been retrospectively restated to reflect the effect of the reverse stock split.</w:t>
      </w:r>
    </w:p>
    <w:p>
      <w:pPr>
        <w:spacing w:after="0" w:line="15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Preferred shares outstanding were not affected by the reverse stock split and as such, those shares have not been adjusted in the accompanying Consolidated Financial Statements and related Notes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 12 - STOCK-BASED COMPENSATION</w:t>
      </w:r>
    </w:p>
    <w:p>
      <w:pPr>
        <w:spacing w:after="0" w:line="191" w:lineRule="exact"/>
        <w:rPr>
          <w:sz w:val="20"/>
          <w:szCs w:val="20"/>
          <w:color w:val="auto"/>
        </w:rPr>
      </w:pPr>
    </w:p>
    <w:p>
      <w:pPr>
        <w:jc w:val="both"/>
        <w:ind w:left="20" w:hanging="7"/>
        <w:spacing w:after="0" w:line="249" w:lineRule="auto"/>
        <w:rPr>
          <w:sz w:val="20"/>
          <w:szCs w:val="20"/>
          <w:color w:val="auto"/>
        </w:rPr>
      </w:pPr>
      <w:r>
        <w:rPr>
          <w:rFonts w:ascii="Times New Roman" w:cs="Times New Roman" w:eastAsia="Times New Roman" w:hAnsi="Times New Roman"/>
          <w:sz w:val="16"/>
          <w:szCs w:val="16"/>
          <w:color w:val="auto"/>
        </w:rPr>
        <w:t>In July of 2021, the Board of Directors approved the 2021 Stock Incentive Plan (the “2021 Plan” and, together with the 2019 Plan, the “Prior Plans”) with a term of ten years. The Plan was administered by the Board of Directors, which was authorized to grant, at its discretion, awards to employees, directors, and consultants. The maximum number of common shares reserved for grants of awards under the Plan was 1,000,000 shares which was amended and increased to 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spacing w:after="0" w:line="166" w:lineRule="exact"/>
        <w:rPr>
          <w:sz w:val="20"/>
          <w:szCs w:val="20"/>
          <w:color w:val="auto"/>
        </w:rPr>
      </w:pPr>
    </w:p>
    <w:p>
      <w:pPr>
        <w:jc w:val="both"/>
        <w:ind w:left="20" w:hanging="7"/>
        <w:spacing w:after="0" w:line="249" w:lineRule="auto"/>
        <w:rPr>
          <w:sz w:val="20"/>
          <w:szCs w:val="20"/>
          <w:color w:val="auto"/>
        </w:rPr>
      </w:pPr>
      <w:r>
        <w:rPr>
          <w:rFonts w:ascii="Times New Roman" w:cs="Times New Roman" w:eastAsia="Times New Roman" w:hAnsi="Times New Roman"/>
          <w:sz w:val="16"/>
          <w:szCs w:val="16"/>
          <w:color w:val="auto"/>
        </w:rPr>
        <w:t>In connection with the merger, shareholders and board members approved the Dragonfly Energy Holdings 2022 Equity Incentive Plan (the “2022 Plan”). A total of 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spacing w:after="0" w:line="166" w:lineRule="exact"/>
        <w:rPr>
          <w:sz w:val="20"/>
          <w:szCs w:val="20"/>
          <w:color w:val="auto"/>
        </w:rPr>
      </w:pPr>
    </w:p>
    <w:p>
      <w:pPr>
        <w:jc w:val="both"/>
        <w:ind w:left="20" w:hanging="7"/>
        <w:spacing w:after="0" w:line="299" w:lineRule="auto"/>
        <w:rPr>
          <w:sz w:val="20"/>
          <w:szCs w:val="20"/>
          <w:color w:val="auto"/>
        </w:rPr>
      </w:pPr>
      <w:r>
        <w:rPr>
          <w:rFonts w:ascii="Times New Roman" w:cs="Times New Roman" w:eastAsia="Times New Roman" w:hAnsi="Times New Roman"/>
          <w:sz w:val="14"/>
          <w:szCs w:val="14"/>
          <w:color w:val="auto"/>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31" w:lineRule="exact"/>
        <w:rPr>
          <w:sz w:val="20"/>
          <w:szCs w:val="20"/>
          <w:color w:val="auto"/>
        </w:rPr>
      </w:pPr>
    </w:p>
    <w:p>
      <w:pPr>
        <w:jc w:val="both"/>
        <w:ind w:left="20" w:hanging="7"/>
        <w:spacing w:after="0" w:line="249" w:lineRule="auto"/>
        <w:rPr>
          <w:sz w:val="20"/>
          <w:szCs w:val="20"/>
          <w:color w:val="auto"/>
        </w:rPr>
      </w:pPr>
      <w:r>
        <w:rPr>
          <w:rFonts w:ascii="Times New Roman" w:cs="Times New Roman" w:eastAsia="Times New Roman" w:hAnsi="Times New Roman"/>
          <w:sz w:val="16"/>
          <w:szCs w:val="16"/>
          <w:color w:val="auto"/>
        </w:rPr>
        <w:t>The Company maintains the Dragonfly Energy Holdings Corp. Employee Stock Purchase Plan (the “ESPP”) which is designed to allow eligible employees and the eligible employees of the Company’s participating subsidiaries to purchase shares of the Company’s common stock, at semi-annual intervals, with their accumulated payroll deductions. A total of 273,822 shares of the Company’s common stock were initially available for issuance under the ESPP. The share limit will automatically increase on the first trading day in January of each year by an amount equal to lesser of (1) 1% of the total number of outstanding shares of the Company’s common stock on December 31 in the prior year, (2) 166,667 shares, or (3) such number as determined by the Company’s board of directors.</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 summary of the Company’s option activity and related information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5"/>
              </w:rPr>
              <w:t>Weighted-Average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Weighted-Average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6"/>
              </w:rPr>
              <w:t>Remaining</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Number of</w:t>
            </w: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Weighted-Average</w:t>
            </w:r>
          </w:p>
        </w:tc>
        <w:tc>
          <w:tcPr>
            <w:tcW w:w="10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7"/>
              </w:rPr>
              <w:t>Grant Date Fair</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Contractual Life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5"/>
              </w:rPr>
              <w:t>Aggregate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Options</w:t>
            </w:r>
          </w:p>
        </w:tc>
        <w:tc>
          <w:tcPr>
            <w:tcW w:w="10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Exercise Price</w:t>
            </w:r>
          </w:p>
        </w:tc>
        <w:tc>
          <w:tcPr>
            <w:tcW w:w="100" w:type="dxa"/>
            <w:vAlign w:val="bottom"/>
          </w:tcPr>
          <w:p>
            <w:pPr>
              <w:spacing w:after="0"/>
              <w:rPr>
                <w:sz w:val="17"/>
                <w:szCs w:val="17"/>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88"/>
              </w:rPr>
              <w:t>Value</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5"/>
              </w:rPr>
              <w:t>(in years)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6"/>
              </w:rPr>
              <w:t>intrinsic value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2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Balances, January 1, 2023</w:t>
            </w:r>
          </w:p>
        </w:tc>
        <w:tc>
          <w:tcPr>
            <w:tcW w:w="12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404,773</w:t>
            </w: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18.18</w:t>
            </w: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10.89</w:t>
            </w:r>
          </w:p>
        </w:tc>
        <w:tc>
          <w:tcPr>
            <w:tcW w:w="3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7.90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35,898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Options granted</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15,956</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34.38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forfeited</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(56,013)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14.67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Options exercised</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(101,996)</w:t>
            </w:r>
          </w:p>
        </w:tc>
        <w:tc>
          <w:tcPr>
            <w:tcW w:w="10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11.52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Balances, December 31, 2023</w:t>
            </w:r>
          </w:p>
        </w:tc>
        <w:tc>
          <w:tcPr>
            <w:tcW w:w="120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262,720</w:t>
            </w: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24.21</w:t>
            </w: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14.13</w:t>
            </w:r>
          </w:p>
        </w:tc>
        <w:tc>
          <w:tcPr>
            <w:tcW w:w="3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7.60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January 1, 2024</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262,720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14.13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Options granted</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forfeited</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(27,029)</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26.53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Options expired</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(65,660)</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18.93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exercised</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(1,222)</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3.17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color w:val="auto"/>
              </w:rPr>
              <w:t>Balances, December 31, 2024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168,809</w:t>
            </w:r>
          </w:p>
        </w:tc>
        <w:tc>
          <w:tcPr>
            <w:tcW w:w="3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3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30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At December 31, 2024</w:t>
            </w: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and Exercisable</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146,613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168,809</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During the year ended December 31, 2024, the Company issued 1,240 shares as a result of exercised stock options upon the receipt of proceeds of approximately $4.</w:t>
      </w:r>
    </w:p>
    <w:p>
      <w:pPr>
        <w:spacing w:after="0" w:line="189" w:lineRule="exact"/>
        <w:rPr>
          <w:sz w:val="20"/>
          <w:szCs w:val="20"/>
          <w:color w:val="auto"/>
        </w:rPr>
      </w:pPr>
    </w:p>
    <w:p>
      <w:pPr>
        <w:jc w:val="both"/>
        <w:ind w:left="20" w:hanging="7"/>
        <w:spacing w:after="0" w:line="267" w:lineRule="auto"/>
        <w:rPr>
          <w:sz w:val="20"/>
          <w:szCs w:val="20"/>
          <w:color w:val="auto"/>
        </w:rPr>
      </w:pPr>
      <w:r>
        <w:rPr>
          <w:rFonts w:ascii="Times New Roman" w:cs="Times New Roman" w:eastAsia="Times New Roman" w:hAnsi="Times New Roman"/>
          <w:sz w:val="16"/>
          <w:szCs w:val="16"/>
          <w:color w:val="auto"/>
        </w:rPr>
        <w:t>Share-based compensation expense for options and RSUs totaling $1,020 and $6,710 was recognized in the Company’s consolidated statements of operations for the years ended December 31, 2024 and 2023, respectively.</w:t>
      </w:r>
    </w:p>
    <w:p>
      <w:pPr>
        <w:spacing w:after="0" w:line="151" w:lineRule="exact"/>
        <w:rPr>
          <w:sz w:val="20"/>
          <w:szCs w:val="20"/>
          <w:color w:val="auto"/>
        </w:rPr>
      </w:pPr>
    </w:p>
    <w:p>
      <w:pPr>
        <w:jc w:val="both"/>
        <w:ind w:left="20" w:hanging="7"/>
        <w:spacing w:after="0" w:line="255" w:lineRule="auto"/>
        <w:rPr>
          <w:sz w:val="20"/>
          <w:szCs w:val="20"/>
          <w:color w:val="auto"/>
        </w:rPr>
      </w:pPr>
      <w:r>
        <w:rPr>
          <w:rFonts w:ascii="Times New Roman" w:cs="Times New Roman" w:eastAsia="Times New Roman" w:hAnsi="Times New Roman"/>
          <w:sz w:val="16"/>
          <w:szCs w:val="16"/>
          <w:color w:val="auto"/>
        </w:rPr>
        <w:t>Of the $1,020 of share-based compensation incurred during the year ended December 31, 2024, $100 is allocated to cost of goods sold, $168 to research and development, $265 to selling and marketing, and $488 to general and administrative expenses. Of the $6,710 of share-based compensation incurred during the year ended December 31, 2023, $133 is allocated to cost of goods sold, $116 to research and development, $1,097 to selling and marketing, and $5,364 to general and administrative expenses.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715073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80"/>
          </w:cols>
          <w:pgMar w:left="300" w:top="611" w:right="319" w:bottom="1440" w:gutter="0" w:footer="0" w:header="0"/>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STOCK-BASED COMPENSATION (CONTINUED)</w:t>
      </w:r>
    </w:p>
    <w:p>
      <w:pPr>
        <w:spacing w:after="0" w:line="191" w:lineRule="exact"/>
        <w:rPr>
          <w:sz w:val="20"/>
          <w:szCs w:val="20"/>
          <w:color w:val="auto"/>
        </w:rPr>
      </w:pPr>
    </w:p>
    <w:p>
      <w:pPr>
        <w:jc w:val="both"/>
        <w:ind w:right="20" w:hanging="7"/>
        <w:spacing w:after="0" w:line="255" w:lineRule="auto"/>
        <w:rPr>
          <w:sz w:val="20"/>
          <w:szCs w:val="20"/>
          <w:color w:val="auto"/>
        </w:rPr>
      </w:pPr>
      <w:r>
        <w:rPr>
          <w:rFonts w:ascii="Times New Roman" w:cs="Times New Roman" w:eastAsia="Times New Roman" w:hAnsi="Times New Roman"/>
          <w:sz w:val="16"/>
          <w:szCs w:val="16"/>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6660" w:type="dxa"/>
            <w:vAlign w:val="bottom"/>
            <w:gridSpan w:val="2"/>
          </w:tcPr>
          <w:p>
            <w:pPr>
              <w:ind w:left="6180"/>
              <w:spacing w:after="0"/>
              <w:rPr>
                <w:sz w:val="20"/>
                <w:szCs w:val="20"/>
                <w:color w:val="auto"/>
              </w:rPr>
            </w:pPr>
            <w:r>
              <w:rPr>
                <w:rFonts w:ascii="Times New Roman" w:cs="Times New Roman" w:eastAsia="Times New Roman" w:hAnsi="Times New Roman"/>
                <w:sz w:val="16"/>
                <w:szCs w:val="16"/>
                <w:color w:val="auto"/>
              </w:rPr>
              <w:t>2024</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Pr>
          <w:p>
            <w:pPr>
              <w:spacing w:after="0"/>
              <w:rPr>
                <w:sz w:val="17"/>
                <w:szCs w:val="17"/>
                <w:color w:val="auto"/>
              </w:rPr>
            </w:pPr>
          </w:p>
        </w:tc>
      </w:tr>
      <w:tr>
        <w:trPr>
          <w:trHeight w:val="179"/>
        </w:trPr>
        <w:tc>
          <w:tcPr>
            <w:tcW w:w="558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Weighted average fair value of options granted</w:t>
            </w:r>
          </w:p>
        </w:tc>
        <w:tc>
          <w:tcPr>
            <w:tcW w:w="10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160"/>
              <w:spacing w:after="0" w:line="179" w:lineRule="exact"/>
              <w:rPr>
                <w:sz w:val="20"/>
                <w:szCs w:val="20"/>
                <w:color w:val="auto"/>
              </w:rPr>
            </w:pPr>
            <w:r>
              <w:rPr>
                <w:rFonts w:ascii="Times New Roman" w:cs="Times New Roman" w:eastAsia="Times New Roman" w:hAnsi="Times New Roman"/>
                <w:sz w:val="16"/>
                <w:szCs w:val="16"/>
                <w:color w:val="auto"/>
                <w:w w:val="94"/>
              </w:rPr>
              <w:t>N/A</w:t>
            </w:r>
          </w:p>
        </w:tc>
        <w:tc>
          <w:tcPr>
            <w:tcW w:w="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34.38</w:t>
            </w:r>
          </w:p>
        </w:tc>
        <w:tc>
          <w:tcPr>
            <w:tcW w:w="140" w:type="dxa"/>
            <w:vAlign w:val="bottom"/>
            <w:tcBorders>
              <w:top w:val="single" w:sz="8" w:color="CCEEFF"/>
            </w:tcBorders>
            <w:shd w:val="clear" w:color="auto" w:fill="CCEEFF"/>
          </w:tcPr>
          <w:p>
            <w:pPr>
              <w:spacing w:after="0"/>
              <w:rPr>
                <w:sz w:val="15"/>
                <w:szCs w:val="15"/>
                <w:color w:val="auto"/>
              </w:rPr>
            </w:pPr>
          </w:p>
        </w:tc>
      </w:tr>
      <w:tr>
        <w:trPr>
          <w:trHeight w:val="187"/>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0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4.20%</w:t>
            </w:r>
          </w:p>
        </w:tc>
      </w:tr>
      <w:tr>
        <w:trPr>
          <w:trHeight w:val="187"/>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Volatility</w:t>
            </w:r>
          </w:p>
        </w:tc>
        <w:tc>
          <w:tcPr>
            <w:tcW w:w="10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45.0%</w:t>
            </w:r>
          </w:p>
        </w:tc>
      </w:tr>
      <w:tr>
        <w:trPr>
          <w:trHeight w:val="187"/>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life (years)</w:t>
            </w:r>
          </w:p>
        </w:tc>
        <w:tc>
          <w:tcPr>
            <w:tcW w:w="10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40" w:type="dxa"/>
            <w:vAlign w:val="bottom"/>
          </w:tcPr>
          <w:p>
            <w:pPr>
              <w:spacing w:after="0"/>
              <w:rPr>
                <w:sz w:val="16"/>
                <w:szCs w:val="16"/>
                <w:color w:val="auto"/>
              </w:rPr>
            </w:pPr>
          </w:p>
        </w:tc>
      </w:tr>
      <w:tr>
        <w:trPr>
          <w:trHeight w:val="187"/>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0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Restricted Stock Units</w:t>
      </w:r>
    </w:p>
    <w:p>
      <w:pPr>
        <w:spacing w:after="0" w:line="191" w:lineRule="exact"/>
        <w:rPr>
          <w:sz w:val="20"/>
          <w:szCs w:val="20"/>
          <w:color w:val="auto"/>
        </w:rPr>
      </w:pPr>
    </w:p>
    <w:p>
      <w:pPr>
        <w:jc w:val="both"/>
        <w:ind w:right="20" w:hanging="7"/>
        <w:spacing w:after="0" w:line="255" w:lineRule="auto"/>
        <w:rPr>
          <w:sz w:val="20"/>
          <w:szCs w:val="20"/>
          <w:color w:val="auto"/>
        </w:rPr>
      </w:pPr>
      <w:r>
        <w:rPr>
          <w:rFonts w:ascii="Times New Roman" w:cs="Times New Roman" w:eastAsia="Times New Roman" w:hAnsi="Times New Roman"/>
          <w:sz w:val="16"/>
          <w:szCs w:val="16"/>
          <w:color w:val="auto"/>
        </w:rPr>
        <w:t>On February 10, 2023, the Company granted 51,333 restricted stock units under the 2022 Plan which vested in full immediately upon grant. The fair value of the restricted stock units on the date of grant was $3,464 and was recorded as compensation expense during the year ended December 31, 2023. The Company granted an additional 5,224 restricted stock units. The fair value of the 5,224 unvested restricted stock units was $126 and an expense of $22 was recorded during the year ended December 31, 2023.</w:t>
      </w:r>
    </w:p>
    <w:p>
      <w:pPr>
        <w:spacing w:after="0" w:line="160" w:lineRule="exact"/>
        <w:rPr>
          <w:sz w:val="20"/>
          <w:szCs w:val="20"/>
          <w:color w:val="auto"/>
        </w:rPr>
      </w:pPr>
    </w:p>
    <w:p>
      <w:pPr>
        <w:jc w:val="both"/>
        <w:ind w:right="20" w:hanging="7"/>
        <w:spacing w:after="0" w:line="267" w:lineRule="auto"/>
        <w:rPr>
          <w:sz w:val="20"/>
          <w:szCs w:val="20"/>
          <w:color w:val="auto"/>
        </w:rPr>
      </w:pPr>
      <w:r>
        <w:rPr>
          <w:rFonts w:ascii="Times New Roman" w:cs="Times New Roman" w:eastAsia="Times New Roman" w:hAnsi="Times New Roman"/>
          <w:sz w:val="16"/>
          <w:szCs w:val="16"/>
          <w:color w:val="auto"/>
        </w:rPr>
        <w:t>On February 5, 2024, the Company granted 24,447 restricted stock units of which 11,111 vested immediately. The fair value of the 24,447 restricted stock units was $95 and an expense of $53 was recorded as compensation expense during the year ended December 31, 2024, respectively.</w:t>
      </w:r>
    </w:p>
    <w:p>
      <w:pPr>
        <w:spacing w:after="0" w:line="151"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On April 12, 2024, the Company issued a total of 92,923 RSUs to the following employees: (i) 63,045 RSUs to the Chief Executive Officer; (ii) 20,165 RSUs to the Chief Revenue Officer; and (iii) 9,712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92,923 RSUs was $376 and an expense of $91 was recorded during the year ended December 31, 2024.</w:t>
      </w:r>
    </w:p>
    <w:p>
      <w:pPr>
        <w:spacing w:after="0" w:line="164"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On April 12, 2024, the board of directors authorized the issuance of 24,692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 The fair value of the 148,152 RSUs issued to directors in total was $600 and an expense of $145 was recorded during the year ended December 31, 2024.</w:t>
      </w:r>
    </w:p>
    <w:p>
      <w:pPr>
        <w:spacing w:after="0" w:line="164" w:lineRule="exact"/>
        <w:rPr>
          <w:sz w:val="20"/>
          <w:szCs w:val="20"/>
          <w:color w:val="auto"/>
        </w:rPr>
      </w:pPr>
    </w:p>
    <w:p>
      <w:pPr>
        <w:jc w:val="both"/>
        <w:ind w:hanging="7"/>
        <w:spacing w:after="0" w:line="267" w:lineRule="auto"/>
        <w:rPr>
          <w:sz w:val="20"/>
          <w:szCs w:val="20"/>
          <w:color w:val="auto"/>
        </w:rPr>
      </w:pPr>
      <w:r>
        <w:rPr>
          <w:rFonts w:ascii="Times New Roman" w:cs="Times New Roman" w:eastAsia="Times New Roman" w:hAnsi="Times New Roman"/>
          <w:sz w:val="16"/>
          <w:szCs w:val="16"/>
          <w:color w:val="auto"/>
        </w:rPr>
        <w:t>On June 24, 2024, the Company granted 2,417 restricted stock units. The fair value of the 2,417 RSUs was $19 and an expense of $2 was recorded as compensation expense during the year ended December 31, 2024.</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 12 - STOCK-BASED COMPENSATION (CONTINUED)</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Restricted Stock Units (Continued)</w:t>
      </w:r>
    </w:p>
    <w:p>
      <w:pPr>
        <w:spacing w:after="0" w:line="191" w:lineRule="exact"/>
        <w:rPr>
          <w:sz w:val="20"/>
          <w:szCs w:val="20"/>
          <w:color w:val="auto"/>
        </w:rPr>
      </w:pPr>
    </w:p>
    <w:p>
      <w:pPr>
        <w:jc w:val="both"/>
        <w:ind w:left="20" w:right="20" w:hanging="7"/>
        <w:spacing w:after="0" w:line="255" w:lineRule="auto"/>
        <w:rPr>
          <w:sz w:val="20"/>
          <w:szCs w:val="20"/>
          <w:color w:val="auto"/>
        </w:rPr>
      </w:pPr>
      <w:r>
        <w:rPr>
          <w:rFonts w:ascii="Times New Roman" w:cs="Times New Roman" w:eastAsia="Times New Roman" w:hAnsi="Times New Roman"/>
          <w:sz w:val="16"/>
          <w:szCs w:val="16"/>
          <w:color w:val="auto"/>
        </w:rPr>
        <w:t>In addition to the restricted stock unit awards, the Board also approved the following cash awards to the above referenced employees: (i) $511 to the Chief Executive Officer; (ii) $163 to the Chief Revenue Officer; and (iii) $79 to the Chief Marketing Officer. Each of the approved cash awards will not be paid out to the employees until the Company has achieved a minimum cash balance of $30,000, and are subject to each employee’s continued employment on the date of payment.</w:t>
      </w:r>
    </w:p>
    <w:p>
      <w:pPr>
        <w:spacing w:after="0" w:line="160" w:lineRule="exact"/>
        <w:rPr>
          <w:sz w:val="20"/>
          <w:szCs w:val="20"/>
          <w:color w:val="auto"/>
        </w:rPr>
      </w:pPr>
    </w:p>
    <w:p>
      <w:pPr>
        <w:jc w:val="both"/>
        <w:ind w:left="20" w:hanging="7"/>
        <w:spacing w:after="0" w:line="251" w:lineRule="auto"/>
        <w:rPr>
          <w:sz w:val="20"/>
          <w:szCs w:val="20"/>
          <w:color w:val="auto"/>
        </w:rPr>
      </w:pPr>
      <w:r>
        <w:rPr>
          <w:rFonts w:ascii="Times New Roman" w:cs="Times New Roman" w:eastAsia="Times New Roman" w:hAnsi="Times New Roman"/>
          <w:sz w:val="16"/>
          <w:szCs w:val="16"/>
          <w:color w:val="auto"/>
        </w:rPr>
        <w:t>On August 19, 2024, the Company issued a total of 81,710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81,710 RSUs was $448 and an expense of $52 was recorded as compensation expense during the year ended December 31, 2024.</w:t>
      </w:r>
    </w:p>
    <w:p>
      <w:pPr>
        <w:spacing w:after="0" w:line="164" w:lineRule="exact"/>
        <w:rPr>
          <w:sz w:val="20"/>
          <w:szCs w:val="20"/>
          <w:color w:val="auto"/>
        </w:rPr>
      </w:pPr>
    </w:p>
    <w:p>
      <w:pPr>
        <w:jc w:val="both"/>
        <w:ind w:left="20" w:right="20" w:hanging="7"/>
        <w:spacing w:after="0" w:line="309" w:lineRule="auto"/>
        <w:rPr>
          <w:sz w:val="20"/>
          <w:szCs w:val="20"/>
          <w:color w:val="auto"/>
        </w:rPr>
      </w:pPr>
      <w:r>
        <w:rPr>
          <w:rFonts w:ascii="Times New Roman" w:cs="Times New Roman" w:eastAsia="Times New Roman" w:hAnsi="Times New Roman"/>
          <w:sz w:val="14"/>
          <w:szCs w:val="14"/>
          <w:color w:val="auto"/>
        </w:rPr>
        <w:t>On August 26, 2024, the Company issued a total of 2,223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2,223 RSUs was $12 and no expense was recorded as compensation expense during the year ended December 31, 2024.</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 the year ended December 31, 2024, the Company issued 863 shares in exchange for 1,103 vested restricted stock units less shares deducted to cover taxes.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following table presents the restricted stock units activity for the years ended December 31, 2024 and 2023:</w:t>
      </w:r>
    </w:p>
    <w:p>
      <w:pPr>
        <w:sectPr>
          <w:pgSz w:w="11900" w:h="16838" w:orient="portrait"/>
          <w:cols w:equalWidth="0" w:num="1">
            <w:col w:w="11280"/>
          </w:cols>
          <w:pgMar w:left="300" w:top="611" w:right="31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Unvested shares, January 1,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Granted and unvested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Vested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Unvested shares, December 31, 2023</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Unvested shares, January 1, 2024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Granted and unvested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Forfeited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Exercised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Vested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Unvested shares, December 31, 2024</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8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Number of</w:t>
            </w:r>
          </w:p>
        </w:tc>
        <w:tc>
          <w:tcPr>
            <w:tcW w:w="20" w:type="dxa"/>
            <w:vAlign w:val="bottom"/>
          </w:tcPr>
          <w:p>
            <w:pPr>
              <w:spacing w:after="0"/>
              <w:rPr>
                <w:sz w:val="16"/>
                <w:szCs w:val="16"/>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5"/>
              </w:rPr>
              <w:t>Weighted-Average Fair</w:t>
            </w:r>
          </w:p>
        </w:tc>
      </w:tr>
      <w:tr>
        <w:trPr>
          <w:trHeight w:val="203"/>
        </w:trPr>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color w:val="auto"/>
              </w:rPr>
              <w:t>Shares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Market Value</w:t>
            </w:r>
          </w:p>
        </w:tc>
      </w:tr>
      <w:tr>
        <w:trPr>
          <w:trHeight w:val="162"/>
        </w:trPr>
        <w:tc>
          <w:tcPr>
            <w:tcW w:w="1540" w:type="dxa"/>
            <w:vAlign w:val="bottom"/>
            <w:tcBorders>
              <w:top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20,000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126.00</w:t>
            </w:r>
          </w:p>
        </w:tc>
        <w:tc>
          <w:tcPr>
            <w:tcW w:w="20" w:type="dxa"/>
            <w:vAlign w:val="bottom"/>
          </w:tcPr>
          <w:p>
            <w:pPr>
              <w:spacing w:after="0"/>
              <w:rPr>
                <w:sz w:val="14"/>
                <w:szCs w:val="14"/>
                <w:color w:val="auto"/>
              </w:rPr>
            </w:pPr>
          </w:p>
        </w:tc>
      </w:tr>
      <w:tr>
        <w:trPr>
          <w:trHeight w:val="187"/>
        </w:trPr>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56,557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63.54</w:t>
            </w:r>
          </w:p>
        </w:tc>
      </w:tr>
      <w:tr>
        <w:trPr>
          <w:trHeight w:val="215"/>
        </w:trPr>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(71,333)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83.88</w:t>
            </w:r>
          </w:p>
        </w:tc>
      </w:tr>
      <w:tr>
        <w:trPr>
          <w:trHeight w:val="190"/>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24.21</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2"/>
        </w:trPr>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260" w:type="dxa"/>
            <w:vAlign w:val="bottom"/>
          </w:tcPr>
          <w:p>
            <w:pPr>
              <w:spacing w:after="0"/>
              <w:rPr>
                <w:sz w:val="24"/>
                <w:szCs w:val="24"/>
                <w:color w:val="auto"/>
              </w:rPr>
            </w:pPr>
          </w:p>
        </w:tc>
        <w:tc>
          <w:tcPr>
            <w:tcW w:w="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24.21</w:t>
            </w:r>
          </w:p>
        </w:tc>
      </w:tr>
      <w:tr>
        <w:trPr>
          <w:trHeight w:val="187"/>
        </w:trPr>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351,872</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4.41</w:t>
            </w:r>
          </w:p>
        </w:tc>
      </w:tr>
      <w:tr>
        <w:trPr>
          <w:trHeight w:val="187"/>
        </w:trPr>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(9,727)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7.51</w:t>
            </w:r>
          </w:p>
        </w:tc>
      </w:tr>
      <w:tr>
        <w:trPr>
          <w:trHeight w:val="187"/>
        </w:trPr>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(1,103)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32.79</w:t>
            </w:r>
          </w:p>
        </w:tc>
      </w:tr>
      <w:tr>
        <w:trPr>
          <w:trHeight w:val="215"/>
        </w:trPr>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(11,515)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4.18</w:t>
            </w:r>
          </w:p>
        </w:tc>
      </w:tr>
      <w:tr>
        <w:trPr>
          <w:trHeight w:val="190"/>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334,751</w:t>
            </w: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4.54</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-1400175</wp:posOffset>
            </wp:positionV>
            <wp:extent cx="5720715" cy="1257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20715" cy="12573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-1155065</wp:posOffset>
            </wp:positionV>
            <wp:extent cx="5720715" cy="1257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20715" cy="12573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-888365</wp:posOffset>
            </wp:positionV>
            <wp:extent cx="5720715" cy="133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20715" cy="13335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-636905</wp:posOffset>
            </wp:positionV>
            <wp:extent cx="5720715" cy="1187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20715" cy="118745"/>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-399415</wp:posOffset>
            </wp:positionV>
            <wp:extent cx="5720715" cy="1187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20715" cy="118745"/>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-154940</wp:posOffset>
            </wp:positionV>
            <wp:extent cx="5720715" cy="1409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20715" cy="14097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4900" w:space="720"/>
            <w:col w:w="5660"/>
          </w:cols>
          <w:pgMar w:left="300" w:top="611" w:right="319" w:bottom="1440" w:gutter="0" w:footer="0" w:header="0"/>
          <w:type w:val="continuous"/>
        </w:sectPr>
      </w:pPr>
    </w:p>
    <w:p>
      <w:pPr>
        <w:ind w:left="20" w:right="20" w:hanging="7"/>
        <w:spacing w:after="0" w:line="267" w:lineRule="auto"/>
        <w:rPr>
          <w:sz w:val="20"/>
          <w:szCs w:val="20"/>
          <w:color w:val="auto"/>
        </w:rPr>
      </w:pPr>
      <w:r>
        <w:rPr>
          <w:rFonts w:ascii="Times New Roman" w:cs="Times New Roman" w:eastAsia="Times New Roman" w:hAnsi="Times New Roman"/>
          <w:sz w:val="16"/>
          <w:szCs w:val="16"/>
          <w:color w:val="auto"/>
        </w:rPr>
        <w:t>As of December 31, 2024 and 2023 there were 854,412 and 496,587 shares, respectively, of unissued authorized and available for future awards under the 2022 Equity Incentive Plan and Employee Stock Purchase Plan.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715073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80"/>
          </w:cols>
          <w:pgMar w:left="300" w:top="611" w:right="319" w:bottom="1440" w:gutter="0" w:footer="0" w:header="0"/>
          <w:type w:val="continuous"/>
        </w:sectPr>
      </w:pPr>
    </w:p>
    <w:bookmarkStart w:id="146" w:name="page147"/>
    <w:bookmarkEnd w:id="14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STOCK-BASED COMPENSATION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Employee Stock Purchase Plan</w:t>
      </w:r>
    </w:p>
    <w:p>
      <w:pPr>
        <w:spacing w:after="0" w:line="191" w:lineRule="exact"/>
        <w:rPr>
          <w:sz w:val="20"/>
          <w:szCs w:val="20"/>
          <w:color w:val="auto"/>
        </w:rPr>
      </w:pPr>
    </w:p>
    <w:p>
      <w:pPr>
        <w:jc w:val="both"/>
        <w:ind w:hanging="7"/>
        <w:spacing w:after="0" w:line="249" w:lineRule="auto"/>
        <w:rPr>
          <w:sz w:val="20"/>
          <w:szCs w:val="20"/>
          <w:color w:val="auto"/>
        </w:rPr>
      </w:pPr>
      <w:r>
        <w:rPr>
          <w:rFonts w:ascii="Times New Roman" w:cs="Times New Roman" w:eastAsia="Times New Roman" w:hAnsi="Times New Roman"/>
          <w:sz w:val="16"/>
          <w:szCs w:val="16"/>
          <w:color w:val="auto"/>
        </w:rPr>
        <w:t>The Company maintains the Dragonfly Energy Corporation, Inc. Employee Stock Purchase Plan which permits eligible employees to purchase shares at not less than 85% of the market value of the Company’s common stock on the offering date or the purchase date of the applicable offering period, whichever is lower. The plan was adopted by the Company’s Board of Directors on May 13, 2022. On April 24, 2024, the Company issued 27,197 common shares in connection with its Employee Stock Purchase Plan for a total consideration of approximately $112. The ESPP allows employees to purchase shares at a 15% discount to the lesser of the stock price at the beginning or the end of the offering period, which was October 1, 2023, and April 1, 2024, respectively. The discount resulted in an exercise price of $4.14 per share.</w:t>
      </w:r>
    </w:p>
    <w:p>
      <w:pPr>
        <w:spacing w:after="0" w:line="166"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On April 1, 2024, the Company commenced a second offering under the Employee Stock Purchase Plan (ESPP), which ran through September 30, 2024, with the same terms as the first offering. As of September 30, 2024, the Company had issued 33,950 common shares in connection with its Employee Stock Purchase Plan for a total consideration of approximately $135. The ESPP allows employees to purchase shares at a 15% discount to the lesser of the stock price at the beginning or the end of the offering period, which was April 1, 2024, and September 30, 2024, respectively. The discount resulted in an exercise price of $3.99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SUPPLIER AGREEMENT</w:t>
      </w:r>
    </w:p>
    <w:p>
      <w:pPr>
        <w:spacing w:after="0" w:line="191" w:lineRule="exact"/>
        <w:rPr>
          <w:sz w:val="20"/>
          <w:szCs w:val="20"/>
          <w:color w:val="auto"/>
        </w:rPr>
      </w:pPr>
    </w:p>
    <w:p>
      <w:pPr>
        <w:jc w:val="both"/>
        <w:ind w:hanging="7"/>
        <w:spacing w:after="0" w:line="248" w:lineRule="auto"/>
        <w:rPr>
          <w:sz w:val="20"/>
          <w:szCs w:val="20"/>
          <w:color w:val="auto"/>
        </w:rPr>
      </w:pPr>
      <w:r>
        <w:rPr>
          <w:rFonts w:ascii="Times New Roman" w:cs="Times New Roman" w:eastAsia="Times New Roman" w:hAnsi="Times New Roman"/>
          <w:sz w:val="16"/>
          <w:szCs w:val="16"/>
          <w:color w:val="auto"/>
        </w:rPr>
        <w:t>On May 9, 2023, Ioneer Rhyolite Ridge LLC, or the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47" w:name="page148"/>
    <w:bookmarkEnd w:id="147"/>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14 - INCOME TAXES</w:t>
            </w: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income tax expense consists of the following items:</w:t>
            </w: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414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Current – Federal</w:t>
            </w:r>
          </w:p>
        </w:tc>
        <w:tc>
          <w:tcPr>
            <w:tcW w:w="14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ind w:right="86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Current – State</w:t>
            </w:r>
          </w:p>
        </w:tc>
        <w:tc>
          <w:tcPr>
            <w:tcW w:w="1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41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Deferred – Federal</w:t>
            </w:r>
          </w:p>
        </w:tc>
        <w:tc>
          <w:tcPr>
            <w:tcW w:w="146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4140" w:type="dxa"/>
            <w:vAlign w:val="bottom"/>
            <w:tcBorders>
              <w:bottom w:val="single" w:sz="8" w:color="CCEEFF"/>
            </w:tcBorders>
          </w:tcPr>
          <w:p>
            <w:pPr>
              <w:spacing w:after="0" w:line="178" w:lineRule="exact"/>
              <w:rPr>
                <w:sz w:val="20"/>
                <w:szCs w:val="20"/>
                <w:color w:val="auto"/>
              </w:rPr>
            </w:pPr>
            <w:r>
              <w:rPr>
                <w:rFonts w:ascii="Times New Roman" w:cs="Times New Roman" w:eastAsia="Times New Roman" w:hAnsi="Times New Roman"/>
                <w:sz w:val="16"/>
                <w:szCs w:val="16"/>
                <w:color w:val="auto"/>
              </w:rPr>
              <w:t>Deferred – State</w:t>
            </w:r>
          </w:p>
        </w:tc>
        <w:tc>
          <w:tcPr>
            <w:tcW w:w="14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414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tax expense</w:t>
            </w:r>
          </w:p>
        </w:tc>
        <w:tc>
          <w:tcPr>
            <w:tcW w:w="1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Components of deferred tax assets (liabilities) are as follows:</w:t>
            </w:r>
          </w:p>
        </w:tc>
        <w:tc>
          <w:tcPr>
            <w:tcW w:w="1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526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414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Deferred tax assets:</w:t>
            </w:r>
          </w:p>
        </w:tc>
        <w:tc>
          <w:tcPr>
            <w:tcW w:w="14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Start up costs</w:t>
            </w:r>
          </w:p>
        </w:tc>
        <w:tc>
          <w:tcPr>
            <w:tcW w:w="2480" w:type="dxa"/>
            <w:vAlign w:val="bottom"/>
            <w:gridSpan w:val="2"/>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620" w:type="dxa"/>
            <w:vAlign w:val="bottom"/>
            <w:gridSpan w:val="2"/>
          </w:tcPr>
          <w:p>
            <w:pPr>
              <w:jc w:val="right"/>
              <w:ind w:right="22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1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1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bad debt</w:t>
            </w:r>
          </w:p>
        </w:tc>
        <w:tc>
          <w:tcPr>
            <w:tcW w:w="1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1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Fixed assets and intangibles</w:t>
            </w:r>
          </w:p>
        </w:tc>
        <w:tc>
          <w:tcPr>
            <w:tcW w:w="1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1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accrual</w:t>
            </w:r>
          </w:p>
        </w:tc>
        <w:tc>
          <w:tcPr>
            <w:tcW w:w="1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w:t>
            </w:r>
          </w:p>
        </w:tc>
        <w:tc>
          <w:tcPr>
            <w:tcW w:w="1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(Sec. 263A)</w:t>
            </w:r>
          </w:p>
        </w:tc>
        <w:tc>
          <w:tcPr>
            <w:tcW w:w="14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414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color w:val="auto"/>
              </w:rPr>
              <w:t>Deferred tax asset</w:t>
            </w:r>
          </w:p>
        </w:tc>
        <w:tc>
          <w:tcPr>
            <w:tcW w:w="14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33,982</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20,374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140"/>
          </w:cols>
          <w:pgMar w:left="320" w:top="611" w:right="1439" w:bottom="1440" w:gutter="0" w:footer="0" w:header="0"/>
        </w:sectPr>
      </w:pPr>
    </w:p>
    <w:p>
      <w:pPr>
        <w:ind w:left="1120"/>
        <w:spacing w:after="0"/>
        <w:rPr>
          <w:sz w:val="20"/>
          <w:szCs w:val="20"/>
          <w:color w:val="auto"/>
        </w:rPr>
      </w:pPr>
      <w:r>
        <w:rPr>
          <w:rFonts w:ascii="Times New Roman" w:cs="Times New Roman" w:eastAsia="Times New Roman" w:hAnsi="Times New Roman"/>
          <w:sz w:val="16"/>
          <w:szCs w:val="16"/>
          <w:color w:val="auto"/>
        </w:rPr>
        <w:t>Deferred tax liabilities:</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Right of Use Asset</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Fixed assets and intangibles</w:t>
      </w:r>
    </w:p>
    <w:p>
      <w:pPr>
        <w:spacing w:after="0" w:line="1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Deferred tax liability</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Net deferred tax asset (liability)</w:t>
      </w:r>
    </w:p>
    <w:p>
      <w:pPr>
        <w:spacing w:after="0" w:line="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Valuation Allowance</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Net deferred tax asset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124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4,533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757</w:t>
            </w:r>
          </w:p>
        </w:tc>
        <w:tc>
          <w:tcPr>
            <w:tcW w:w="4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29,449</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19,617</w:t>
            </w:r>
          </w:p>
        </w:tc>
        <w:tc>
          <w:tcPr>
            <w:tcW w:w="4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(29,449)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(19,617)</w:t>
            </w:r>
          </w:p>
        </w:tc>
      </w:tr>
      <w:tr>
        <w:trPr>
          <w:trHeight w:val="190"/>
        </w:trPr>
        <w:tc>
          <w:tcPr>
            <w:tcW w:w="2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-770255</wp:posOffset>
            </wp:positionV>
            <wp:extent cx="5720715" cy="1187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20715" cy="11874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-525780</wp:posOffset>
            </wp:positionV>
            <wp:extent cx="5720715" cy="1257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20715" cy="12573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-280670</wp:posOffset>
            </wp:positionV>
            <wp:extent cx="5720715" cy="1257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20715" cy="12573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12065</wp:posOffset>
            </wp:positionV>
            <wp:extent cx="715073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2">
            <w:col w:w="4760" w:space="720"/>
            <w:col w:w="4660"/>
          </w:cols>
          <w:pgMar w:left="320" w:top="611" w:right="1439" w:bottom="1440" w:gutter="0" w:footer="0" w:header="0"/>
          <w:type w:val="continuous"/>
        </w:sectPr>
      </w:pPr>
    </w:p>
    <w:bookmarkStart w:id="148" w:name="page149"/>
    <w:bookmarkEnd w:id="14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INCOME TAXES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Reconciliation between the effective tax rate on income from continuing operations and the statutory rate for the year ending December 31, 2024 and 2023, is as follows: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2024</w:t>
            </w:r>
          </w:p>
        </w:tc>
        <w:tc>
          <w:tcPr>
            <w:tcW w:w="11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2023</w:t>
            </w:r>
          </w:p>
        </w:tc>
        <w:tc>
          <w:tcPr>
            <w:tcW w:w="1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color w:val="auto"/>
              </w:rPr>
              <w:t>Tax</w:t>
            </w:r>
          </w:p>
        </w:tc>
        <w:tc>
          <w:tcPr>
            <w:tcW w:w="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rPr>
              <w:t>Percentage</w:t>
            </w:r>
          </w:p>
        </w:tc>
        <w:tc>
          <w:tcPr>
            <w:tcW w:w="3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color w:val="auto"/>
              </w:rPr>
              <w:t>Tax</w:t>
            </w: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rPr>
              <w:t>Percentage</w:t>
            </w:r>
          </w:p>
        </w:tc>
        <w:tc>
          <w:tcPr>
            <w:tcW w:w="180" w:type="dxa"/>
            <w:vAlign w:val="bottom"/>
            <w:tcBorders>
              <w:bottom w:val="single" w:sz="8" w:color="CCEEF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Book income (loss) before taxes</w:t>
            </w: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(8,529)</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82"/>
              <w:spacing w:after="0" w:line="178" w:lineRule="exact"/>
              <w:rPr>
                <w:sz w:val="20"/>
                <w:szCs w:val="20"/>
                <w:color w:val="auto"/>
              </w:rPr>
            </w:pPr>
            <w:r>
              <w:rPr>
                <w:rFonts w:ascii="Times New Roman" w:cs="Times New Roman" w:eastAsia="Times New Roman" w:hAnsi="Times New Roman"/>
                <w:sz w:val="16"/>
                <w:szCs w:val="16"/>
                <w:color w:val="auto"/>
              </w:rPr>
              <w:t>21.00%</w:t>
            </w:r>
          </w:p>
        </w:tc>
        <w:tc>
          <w:tcPr>
            <w:tcW w:w="12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(2,902)</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ind w:right="60"/>
              <w:spacing w:after="0" w:line="178" w:lineRule="exact"/>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187"/>
        </w:trPr>
        <w:tc>
          <w:tcPr>
            <w:tcW w:w="316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Permanent differences (other than tax))</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tcPr>
          <w:p>
            <w:pPr>
              <w:spacing w:after="0"/>
              <w:rPr>
                <w:sz w:val="16"/>
                <w:szCs w:val="16"/>
                <w:color w:val="auto"/>
              </w:rPr>
            </w:pPr>
          </w:p>
        </w:tc>
        <w:tc>
          <w:tcPr>
            <w:tcW w:w="152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0.64%</w:t>
            </w:r>
          </w:p>
        </w:tc>
        <w:tc>
          <w:tcPr>
            <w:tcW w:w="158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(6,089)</w:t>
            </w:r>
          </w:p>
        </w:tc>
        <w:tc>
          <w:tcPr>
            <w:tcW w:w="16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44.07%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taxes, net</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(1,110)</w:t>
            </w:r>
          </w:p>
        </w:tc>
        <w:tc>
          <w:tcPr>
            <w:tcW w:w="1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2.73%</w:t>
            </w:r>
          </w:p>
        </w:tc>
        <w:tc>
          <w:tcPr>
            <w:tcW w:w="15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(1,233)</w:t>
            </w:r>
          </w:p>
        </w:tc>
        <w:tc>
          <w:tcPr>
            <w:tcW w:w="16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Deferred true-up</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tcPr>
          <w:p>
            <w:pPr>
              <w:spacing w:after="0"/>
              <w:rPr>
                <w:sz w:val="16"/>
                <w:szCs w:val="16"/>
                <w:color w:val="auto"/>
              </w:rPr>
            </w:pPr>
          </w:p>
        </w:tc>
        <w:tc>
          <w:tcPr>
            <w:tcW w:w="152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0.35%</w:t>
            </w:r>
          </w:p>
        </w:tc>
        <w:tc>
          <w:tcPr>
            <w:tcW w:w="158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(1,617)</w:t>
            </w:r>
          </w:p>
        </w:tc>
        <w:tc>
          <w:tcPr>
            <w:tcW w:w="16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11.71%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0.07%</w:t>
            </w:r>
          </w:p>
        </w:tc>
        <w:tc>
          <w:tcPr>
            <w:tcW w:w="15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(647)</w:t>
            </w:r>
          </w:p>
        </w:tc>
        <w:tc>
          <w:tcPr>
            <w:tcW w:w="16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capitalization</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Uncertain tax positions</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0.09%</w:t>
            </w:r>
          </w:p>
        </w:tc>
        <w:tc>
          <w:tcPr>
            <w:tcW w:w="158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(0.23)%</w:t>
            </w:r>
          </w:p>
        </w:tc>
        <w:tc>
          <w:tcPr>
            <w:tcW w:w="158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68</w:t>
            </w:r>
          </w:p>
        </w:tc>
        <w:tc>
          <w:tcPr>
            <w:tcW w:w="1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Rate Change</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179</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(0.44)%</w:t>
            </w:r>
          </w:p>
        </w:tc>
        <w:tc>
          <w:tcPr>
            <w:tcW w:w="158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268</w:t>
            </w:r>
          </w:p>
        </w:tc>
        <w:tc>
          <w:tcPr>
            <w:tcW w:w="1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Borders>
              <w:bottom w:val="single" w:sz="8" w:color="CCEEFF"/>
            </w:tcBorders>
          </w:tcPr>
          <w:p>
            <w:pPr>
              <w:spacing w:after="0" w:line="178" w:lineRule="exact"/>
              <w:rPr>
                <w:sz w:val="20"/>
                <w:szCs w:val="20"/>
                <w:color w:val="auto"/>
              </w:rPr>
            </w:pPr>
            <w:r>
              <w:rPr>
                <w:rFonts w:ascii="Times New Roman" w:cs="Times New Roman" w:eastAsia="Times New Roman" w:hAnsi="Times New Roman"/>
                <w:sz w:val="16"/>
                <w:szCs w:val="16"/>
                <w:color w:val="auto"/>
              </w:rPr>
              <w:t>Change in valuation allowance</w:t>
            </w:r>
          </w:p>
        </w:tc>
        <w:tc>
          <w:tcPr>
            <w:tcW w:w="5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9,832</w:t>
            </w:r>
          </w:p>
        </w:tc>
        <w:tc>
          <w:tcPr>
            <w:tcW w:w="3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(24.21</w:t>
            </w:r>
          </w:p>
        </w:tc>
        <w:tc>
          <w:tcPr>
            <w:tcW w:w="380" w:type="dxa"/>
            <w:vAlign w:val="bottom"/>
            <w:tcBorders>
              <w:bottom w:val="single" w:sz="8" w:color="CCEEFF"/>
            </w:tcBorders>
          </w:tcPr>
          <w:p>
            <w:pPr>
              <w:jc w:val="right"/>
              <w:ind w:right="122"/>
              <w:spacing w:after="0" w:line="178" w:lineRule="exact"/>
              <w:rPr>
                <w:sz w:val="20"/>
                <w:szCs w:val="20"/>
                <w:color w:val="auto"/>
              </w:rPr>
            </w:pPr>
            <w:r>
              <w:rPr>
                <w:rFonts w:ascii="Times New Roman" w:cs="Times New Roman" w:eastAsia="Times New Roman" w:hAnsi="Times New Roman"/>
                <w:sz w:val="16"/>
                <w:szCs w:val="16"/>
                <w:color w:val="auto"/>
                <w:w w:val="85"/>
              </w:rPr>
              <w:t>)%</w:t>
            </w: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12,294</w:t>
            </w:r>
          </w:p>
        </w:tc>
        <w:tc>
          <w:tcPr>
            <w:tcW w:w="3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(88.96</w:t>
            </w:r>
          </w:p>
        </w:tc>
        <w:tc>
          <w:tcPr>
            <w:tcW w:w="180" w:type="dxa"/>
            <w:vAlign w:val="bottom"/>
            <w:tcBorders>
              <w:bottom w:val="single" w:sz="8" w:color="CCEEFF"/>
            </w:tcBorders>
            <w:gridSpan w:val="2"/>
          </w:tcPr>
          <w:p>
            <w:pPr>
              <w:spacing w:after="0" w:line="178" w:lineRule="exact"/>
              <w:rPr>
                <w:sz w:val="20"/>
                <w:szCs w:val="20"/>
                <w:color w:val="auto"/>
              </w:rPr>
            </w:pPr>
            <w:r>
              <w:rPr>
                <w:rFonts w:ascii="Times New Roman" w:cs="Times New Roman" w:eastAsia="Times New Roman" w:hAnsi="Times New Roman"/>
                <w:sz w:val="16"/>
                <w:szCs w:val="16"/>
                <w:color w:val="auto"/>
                <w:w w:val="85"/>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Borders>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00" w:type="dxa"/>
            <w:vAlign w:val="bottom"/>
            <w:tcBorders>
              <w:bottom w:val="single" w:sz="8" w:color="CCEEFF"/>
            </w:tcBorders>
            <w:shd w:val="clear" w:color="auto" w:fill="CCEEFF"/>
          </w:tcPr>
          <w:p>
            <w:pPr>
              <w:jc w:val="right"/>
              <w:ind w:right="162"/>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85"/>
        </w:trPr>
        <w:tc>
          <w:tcPr>
            <w:tcW w:w="316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tax returns of the Company are open for three years from the date of filing. At the report date, federal tax returns are open for the Company for 2021, 2022 and 2023.</w:t>
      </w:r>
    </w:p>
    <w:p>
      <w:pPr>
        <w:spacing w:after="0" w:line="189" w:lineRule="exact"/>
        <w:rPr>
          <w:sz w:val="20"/>
          <w:szCs w:val="20"/>
          <w:color w:val="auto"/>
        </w:rPr>
      </w:pPr>
    </w:p>
    <w:p>
      <w:pPr>
        <w:jc w:val="both"/>
        <w:ind w:hanging="7"/>
        <w:spacing w:after="0" w:line="248" w:lineRule="auto"/>
        <w:rPr>
          <w:sz w:val="20"/>
          <w:szCs w:val="20"/>
          <w:color w:val="auto"/>
        </w:rPr>
      </w:pPr>
      <w:r>
        <w:rPr>
          <w:rFonts w:ascii="Times New Roman" w:cs="Times New Roman" w:eastAsia="Times New Roman" w:hAnsi="Times New Roman"/>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spacing w:after="0" w:line="16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Subject to the limitations described below, as of December 31, 2024, the Company had federal net operating loss carryforwards of approximately $56,315 available to reduce future taxable income which do not expire, but are limited to 80% utilization against taxable income. As of December 31, 2024, the Company had state net operating loss carryforwards of approximately $24,910 available to reduce future taxable income, which start to expire in 2037. The Company also had research and development credits of $875 as of December 31, 2024 to offset future federal income taxes, which are set to expire in 2042.</w:t>
      </w:r>
    </w:p>
    <w:p>
      <w:pPr>
        <w:spacing w:after="0" w:line="164" w:lineRule="exact"/>
        <w:rPr>
          <w:sz w:val="20"/>
          <w:szCs w:val="20"/>
          <w:color w:val="auto"/>
        </w:rPr>
      </w:pPr>
    </w:p>
    <w:p>
      <w:pPr>
        <w:jc w:val="both"/>
        <w:ind w:right="20" w:hanging="7"/>
        <w:spacing w:after="0" w:line="309" w:lineRule="auto"/>
        <w:rPr>
          <w:sz w:val="20"/>
          <w:szCs w:val="20"/>
          <w:color w:val="auto"/>
        </w:rPr>
      </w:pPr>
      <w:r>
        <w:rPr>
          <w:rFonts w:ascii="Times New Roman" w:cs="Times New Roman" w:eastAsia="Times New Roman" w:hAnsi="Times New Roman"/>
          <w:sz w:val="14"/>
          <w:szCs w:val="14"/>
          <w:color w:val="auto"/>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2024. The valuation allowance as of December 31, 2024 was $29,449, primarily due to the company entering into a 3 year cumulative loss position and no expectation of income for the year ended December 31, 2024.</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49" w:name="page150"/>
    <w:bookmarkEnd w:id="14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INCOME TAXES (CONTINUED)</w:t>
      </w:r>
    </w:p>
    <w:p>
      <w:pPr>
        <w:spacing w:after="0" w:line="191" w:lineRule="exact"/>
        <w:rPr>
          <w:sz w:val="20"/>
          <w:szCs w:val="20"/>
          <w:color w:val="auto"/>
        </w:rPr>
      </w:pPr>
    </w:p>
    <w:p>
      <w:pPr>
        <w:jc w:val="both"/>
        <w:ind w:hanging="7"/>
        <w:spacing w:after="0" w:line="251" w:lineRule="auto"/>
        <w:rPr>
          <w:sz w:val="20"/>
          <w:szCs w:val="20"/>
          <w:color w:val="auto"/>
        </w:rPr>
      </w:pPr>
      <w:r>
        <w:rPr>
          <w:rFonts w:ascii="Times New Roman" w:cs="Times New Roman" w:eastAsia="Times New Roman" w:hAnsi="Times New Roman"/>
          <w:sz w:val="16"/>
          <w:szCs w:val="16"/>
          <w:color w:val="auto"/>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roll-forward of the Company’s gross uncertain tax positions is as follows: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58"/>
        </w:trPr>
        <w:tc>
          <w:tcPr>
            <w:tcW w:w="11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5"/>
              </w:rPr>
              <w:t>Gross Uncertain Tax</w:t>
            </w:r>
          </w:p>
        </w:tc>
      </w:tr>
      <w:tr>
        <w:trPr>
          <w:trHeight w:val="203"/>
        </w:trPr>
        <w:tc>
          <w:tcPr>
            <w:tcW w:w="11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Position</w:t>
            </w:r>
          </w:p>
        </w:tc>
      </w:tr>
      <w:tr>
        <w:trPr>
          <w:trHeight w:val="179"/>
        </w:trPr>
        <w:tc>
          <w:tcPr>
            <w:tcW w:w="1120" w:type="dxa"/>
            <w:vAlign w:val="bottom"/>
          </w:tcPr>
          <w:p>
            <w:pPr>
              <w:spacing w:after="0"/>
              <w:rPr>
                <w:sz w:val="15"/>
                <w:szCs w:val="15"/>
                <w:color w:val="auto"/>
              </w:rPr>
            </w:pPr>
          </w:p>
        </w:tc>
        <w:tc>
          <w:tcPr>
            <w:tcW w:w="556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Balance at January 1, 2023</w:t>
            </w:r>
          </w:p>
        </w:tc>
        <w:tc>
          <w:tcPr>
            <w:tcW w:w="18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128</w:t>
            </w:r>
          </w:p>
        </w:tc>
        <w:tc>
          <w:tcPr>
            <w:tcW w:w="80" w:type="dxa"/>
            <w:vAlign w:val="bottom"/>
            <w:tcBorders>
              <w:top w:val="single" w:sz="8" w:color="CCEEFF"/>
            </w:tcBorders>
            <w:shd w:val="clear" w:color="auto" w:fill="CCEEFF"/>
          </w:tcPr>
          <w:p>
            <w:pPr>
              <w:spacing w:after="0"/>
              <w:rPr>
                <w:sz w:val="15"/>
                <w:szCs w:val="15"/>
                <w:color w:val="auto"/>
              </w:rPr>
            </w:pPr>
          </w:p>
        </w:tc>
      </w:tr>
      <w:tr>
        <w:trPr>
          <w:trHeight w:val="198"/>
        </w:trPr>
        <w:tc>
          <w:tcPr>
            <w:tcW w:w="11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Additions for current year tax positions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r>
      <w:tr>
        <w:trPr>
          <w:trHeight w:val="178"/>
        </w:trPr>
        <w:tc>
          <w:tcPr>
            <w:tcW w:w="1120" w:type="dxa"/>
            <w:vAlign w:val="bottom"/>
          </w:tcPr>
          <w:p>
            <w:pPr>
              <w:spacing w:after="0"/>
              <w:rPr>
                <w:sz w:val="15"/>
                <w:szCs w:val="15"/>
                <w:color w:val="auto"/>
              </w:rPr>
            </w:pPr>
          </w:p>
        </w:tc>
        <w:tc>
          <w:tcPr>
            <w:tcW w:w="556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Balance at December 31, 2023</w:t>
            </w:r>
          </w:p>
        </w:tc>
        <w:tc>
          <w:tcPr>
            <w:tcW w:w="18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top w:val="single" w:sz="8" w:color="CCEEFF"/>
            </w:tcBorders>
            <w:shd w:val="clear" w:color="auto" w:fill="CCEEFF"/>
          </w:tcPr>
          <w:p>
            <w:pPr>
              <w:spacing w:after="0"/>
              <w:rPr>
                <w:sz w:val="15"/>
                <w:szCs w:val="15"/>
                <w:color w:val="auto"/>
              </w:rPr>
            </w:pPr>
          </w:p>
        </w:tc>
      </w:tr>
      <w:tr>
        <w:trPr>
          <w:trHeight w:val="198"/>
        </w:trPr>
        <w:tc>
          <w:tcPr>
            <w:tcW w:w="11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Additions for current year tax positions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r>
      <w:tr>
        <w:trPr>
          <w:trHeight w:val="178"/>
        </w:trPr>
        <w:tc>
          <w:tcPr>
            <w:tcW w:w="1120" w:type="dxa"/>
            <w:vAlign w:val="bottom"/>
          </w:tcPr>
          <w:p>
            <w:pPr>
              <w:spacing w:after="0"/>
              <w:rPr>
                <w:sz w:val="15"/>
                <w:szCs w:val="15"/>
                <w:color w:val="auto"/>
              </w:rPr>
            </w:pPr>
          </w:p>
        </w:tc>
        <w:tc>
          <w:tcPr>
            <w:tcW w:w="556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8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55</w:t>
            </w:r>
          </w:p>
        </w:tc>
        <w:tc>
          <w:tcPr>
            <w:tcW w:w="80" w:type="dxa"/>
            <w:vAlign w:val="bottom"/>
            <w:tcBorders>
              <w:top w:val="single" w:sz="8" w:color="CCEEFF"/>
            </w:tcBorders>
            <w:shd w:val="clear" w:color="auto" w:fill="CCEEFF"/>
          </w:tcPr>
          <w:p>
            <w:pPr>
              <w:spacing w:after="0"/>
              <w:rPr>
                <w:sz w:val="15"/>
                <w:szCs w:val="15"/>
                <w:color w:val="auto"/>
              </w:rPr>
            </w:pPr>
          </w:p>
        </w:tc>
      </w:tr>
    </w:tbl>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Company’s total uncertain tax positions decreased during the year ended December 31, 2024 as a result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REPORTABLE SEGMENTS</w:t>
      </w:r>
    </w:p>
    <w:p>
      <w:pPr>
        <w:spacing w:after="0" w:line="1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Company has two reportable segments: DTC and OEM. The DTC segment pertains to Battle Born, LLC branded batteries which are sold directly to consumers. The OEM segment pertains to Dragonfly branded batteries which are sold to original equipment manufacturers</w:t>
      </w:r>
    </w:p>
    <w:p>
      <w:pPr>
        <w:spacing w:after="0" w:line="15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accounting policies of the segments are the same as those described in the summary of significant accounting policies. The Company evaluates performance for all of its reportable segments based on both segment gross and net profit or loss from operations.</w:t>
      </w:r>
    </w:p>
    <w:p>
      <w:pPr>
        <w:spacing w:after="0" w:line="15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For the DTC and OEM, the Chief Operating Decision Maker (“CODM”) uses both segment gross profit and loss from operations to allocate resources (including employees, property, and financial or capital resources) for each segment predominantly in the annual budget and forecasting process.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Assets information for the reported segments is not disclosed as it is not used by the CODM in evaluating the performance of, or making decisions about, the reported segments.</w:t>
      </w:r>
    </w:p>
    <w:p>
      <w:pPr>
        <w:spacing w:after="0" w:line="21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Company’s reportable segments are strategic business units that offer different branded products. They are managed separately because each segment requires different technology and marketing strategies.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CODM is the Chief Executive Officer.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50" w:name="page151"/>
    <w:bookmarkEnd w:id="15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REPORTABLE SEGMENTS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reportable segments information as of December 31,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DTC</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OEM</w:t>
            </w:r>
          </w:p>
        </w:tc>
        <w:tc>
          <w:tcPr>
            <w:tcW w:w="300" w:type="dxa"/>
            <w:vAlign w:val="bottom"/>
          </w:tcPr>
          <w:p>
            <w:pPr>
              <w:spacing w:after="0"/>
              <w:rPr>
                <w:sz w:val="17"/>
                <w:szCs w:val="17"/>
                <w:color w:val="auto"/>
              </w:rPr>
            </w:pPr>
          </w:p>
        </w:tc>
        <w:tc>
          <w:tcPr>
            <w:tcW w:w="146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79"/>
        </w:trPr>
        <w:tc>
          <w:tcPr>
            <w:tcW w:w="32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96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22,616</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27,612</w:t>
            </w: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417</w:t>
            </w:r>
          </w:p>
        </w:tc>
        <w:tc>
          <w:tcPr>
            <w:tcW w:w="10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50,645</w:t>
            </w:r>
          </w:p>
        </w:tc>
      </w:tr>
      <w:tr>
        <w:trPr>
          <w:trHeight w:val="187"/>
        </w:trPr>
        <w:tc>
          <w:tcPr>
            <w:tcW w:w="3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Reconciliation of Net Sales</w:t>
            </w: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8"/>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Reconciling items</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r>
      <w:tr>
        <w:trPr>
          <w:trHeight w:val="190"/>
        </w:trPr>
        <w:tc>
          <w:tcPr>
            <w:tcW w:w="328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Consolidated Net Sales</w:t>
            </w:r>
          </w:p>
        </w:tc>
        <w:tc>
          <w:tcPr>
            <w:tcW w:w="9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50,645</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material</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13,915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18,308</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32,223</w:t>
            </w: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Direct labor</w:t>
            </w:r>
          </w:p>
        </w:tc>
        <w:tc>
          <w:tcPr>
            <w:tcW w:w="9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1,433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20" w:type="dxa"/>
            <w:vAlign w:val="bottom"/>
          </w:tcPr>
          <w:p>
            <w:pPr>
              <w:spacing w:after="0"/>
              <w:rPr>
                <w:sz w:val="16"/>
                <w:szCs w:val="16"/>
                <w:color w:val="auto"/>
              </w:rPr>
            </w:pPr>
          </w:p>
        </w:tc>
      </w:tr>
      <w:tr>
        <w:trPr>
          <w:trHeight w:val="19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overhead and depreciation</w:t>
            </w:r>
          </w:p>
        </w:tc>
        <w:tc>
          <w:tcPr>
            <w:tcW w:w="9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1,529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120" w:type="dxa"/>
            <w:vAlign w:val="bottom"/>
            <w:shd w:val="clear" w:color="auto" w:fill="CCEEFF"/>
          </w:tcPr>
          <w:p>
            <w:pPr>
              <w:spacing w:after="0"/>
              <w:rPr>
                <w:sz w:val="17"/>
                <w:szCs w:val="17"/>
                <w:color w:val="auto"/>
              </w:rPr>
            </w:pPr>
          </w:p>
        </w:tc>
      </w:tr>
      <w:tr>
        <w:trPr>
          <w:trHeight w:val="178"/>
        </w:trPr>
        <w:tc>
          <w:tcPr>
            <w:tcW w:w="32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Cost of Goods Sold</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16,877</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22,142</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39,019</w:t>
            </w:r>
          </w:p>
        </w:tc>
      </w:tr>
      <w:tr>
        <w:trPr>
          <w:trHeight w:val="187"/>
        </w:trPr>
        <w:tc>
          <w:tcPr>
            <w:tcW w:w="3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5,739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5,470</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417</w:t>
            </w: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11,626</w:t>
            </w:r>
          </w:p>
        </w:tc>
        <w:tc>
          <w:tcPr>
            <w:tcW w:w="120" w:type="dxa"/>
            <w:vAlign w:val="bottom"/>
            <w:shd w:val="clear" w:color="auto" w:fill="CCEEFF"/>
          </w:tcPr>
          <w:p>
            <w:pPr>
              <w:spacing w:after="0"/>
              <w:rPr>
                <w:sz w:val="16"/>
                <w:szCs w:val="16"/>
                <w:color w:val="auto"/>
              </w:rPr>
            </w:pPr>
          </w:p>
        </w:tc>
      </w:tr>
      <w:tr>
        <w:trPr>
          <w:trHeight w:val="187"/>
        </w:trPr>
        <w:tc>
          <w:tcPr>
            <w:tcW w:w="3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Research &amp; development</w:t>
            </w:r>
          </w:p>
        </w:tc>
        <w:tc>
          <w:tcPr>
            <w:tcW w:w="9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300" w:type="dxa"/>
            <w:vAlign w:val="bottom"/>
          </w:tcPr>
          <w:p>
            <w:pPr>
              <w:spacing w:after="0"/>
              <w:rPr>
                <w:sz w:val="16"/>
                <w:szCs w:val="16"/>
                <w:color w:val="auto"/>
              </w:rPr>
            </w:pPr>
          </w:p>
        </w:tc>
        <w:tc>
          <w:tcPr>
            <w:tcW w:w="1020" w:type="dxa"/>
            <w:vAlign w:val="bottom"/>
          </w:tcPr>
          <w:p>
            <w:pPr>
              <w:jc w:val="right"/>
              <w:ind w:right="535"/>
              <w:spacing w:after="0"/>
              <w:rPr>
                <w:sz w:val="20"/>
                <w:szCs w:val="20"/>
                <w:color w:val="auto"/>
              </w:rPr>
            </w:pPr>
            <w:r>
              <w:rPr>
                <w:rFonts w:ascii="Times New Roman" w:cs="Times New Roman" w:eastAsia="Times New Roman" w:hAnsi="Times New Roman"/>
                <w:sz w:val="13"/>
                <w:szCs w:val="13"/>
                <w:color w:val="auto"/>
              </w:rPr>
              <w:t>(2)</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120" w:type="dxa"/>
            <w:vAlign w:val="bottom"/>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tax adjustment</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6"/>
                <w:szCs w:val="16"/>
                <w:color w:val="auto"/>
              </w:rPr>
            </w:pP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Credit card &amp; amazon transaction fees</w:t>
            </w:r>
          </w:p>
        </w:tc>
        <w:tc>
          <w:tcPr>
            <w:tcW w:w="9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556</w:t>
            </w: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settlement</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1,126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3"/>
                <w:szCs w:val="13"/>
                <w:color w:val="auto"/>
              </w:rPr>
              <w:t>(5)</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6"/>
                <w:szCs w:val="16"/>
                <w:color w:val="auto"/>
              </w:rPr>
            </w:pP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Other general &amp; administrative</w:t>
            </w:r>
          </w:p>
        </w:tc>
        <w:tc>
          <w:tcPr>
            <w:tcW w:w="9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18,749</w:t>
            </w:r>
          </w:p>
        </w:tc>
        <w:tc>
          <w:tcPr>
            <w:tcW w:w="1020" w:type="dxa"/>
            <w:vAlign w:val="bottom"/>
          </w:tcPr>
          <w:p>
            <w:pPr>
              <w:jc w:val="right"/>
              <w:ind w:right="535"/>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tcPr>
          <w:p>
            <w:pPr>
              <w:spacing w:after="0"/>
              <w:rPr>
                <w:sz w:val="16"/>
                <w:szCs w:val="16"/>
                <w:color w:val="auto"/>
              </w:rPr>
            </w:pPr>
          </w:p>
        </w:tc>
        <w:tc>
          <w:tcPr>
            <w:tcW w:w="12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18,749</w:t>
            </w: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Shipping</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1,711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818</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20" w:type="dxa"/>
            <w:vAlign w:val="bottom"/>
            <w:shd w:val="clear" w:color="auto" w:fill="CCEEFF"/>
          </w:tcPr>
          <w:p>
            <w:pPr>
              <w:spacing w:after="0"/>
              <w:rPr>
                <w:sz w:val="16"/>
                <w:szCs w:val="16"/>
                <w:color w:val="auto"/>
              </w:rPr>
            </w:pP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 stock compensation</w:t>
            </w:r>
          </w:p>
        </w:tc>
        <w:tc>
          <w:tcPr>
            <w:tcW w:w="9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157</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211</w:t>
            </w: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 wages</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1,156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20" w:type="dxa"/>
            <w:vAlign w:val="bottom"/>
            <w:shd w:val="clear" w:color="auto" w:fill="CCEEFF"/>
          </w:tcPr>
          <w:p>
            <w:pPr>
              <w:spacing w:after="0"/>
              <w:rPr>
                <w:sz w:val="16"/>
                <w:szCs w:val="16"/>
                <w:color w:val="auto"/>
              </w:rPr>
            </w:pP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Marketing spend</w:t>
            </w:r>
          </w:p>
        </w:tc>
        <w:tc>
          <w:tcPr>
            <w:tcW w:w="9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1,411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990</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20" w:type="dxa"/>
            <w:vAlign w:val="bottom"/>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Rent</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6"/>
                <w:szCs w:val="16"/>
                <w:color w:val="auto"/>
              </w:rPr>
            </w:pPr>
          </w:p>
        </w:tc>
      </w:tr>
      <w:tr>
        <w:trPr>
          <w:trHeight w:val="170"/>
        </w:trPr>
        <w:tc>
          <w:tcPr>
            <w:tcW w:w="328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Unallocated sales and marketing stock</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300" w:type="dxa"/>
            <w:vAlign w:val="bottom"/>
          </w:tcPr>
          <w:p>
            <w:pPr>
              <w:spacing w:after="0"/>
              <w:rPr>
                <w:sz w:val="17"/>
                <w:szCs w:val="17"/>
                <w:color w:val="auto"/>
              </w:rPr>
            </w:pPr>
          </w:p>
        </w:tc>
        <w:tc>
          <w:tcPr>
            <w:tcW w:w="1020" w:type="dxa"/>
            <w:vAlign w:val="bottom"/>
          </w:tcPr>
          <w:p>
            <w:pPr>
              <w:jc w:val="right"/>
              <w:ind w:right="535"/>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7"/>
                <w:szCs w:val="17"/>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sales and marketing wages</w:t>
            </w: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292</w:t>
            </w:r>
          </w:p>
        </w:tc>
        <w:tc>
          <w:tcPr>
            <w:tcW w:w="10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292</w:t>
            </w:r>
          </w:p>
        </w:tc>
      </w:tr>
      <w:tr>
        <w:trPr>
          <w:trHeight w:val="198"/>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Other sales &amp; marketing</w:t>
            </w:r>
          </w:p>
        </w:tc>
        <w:tc>
          <w:tcPr>
            <w:tcW w:w="9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300" w:type="dxa"/>
            <w:vAlign w:val="bottom"/>
          </w:tcPr>
          <w:p>
            <w:pPr>
              <w:spacing w:after="0"/>
              <w:rPr>
                <w:sz w:val="17"/>
                <w:szCs w:val="17"/>
                <w:color w:val="auto"/>
              </w:rPr>
            </w:pPr>
          </w:p>
        </w:tc>
        <w:tc>
          <w:tcPr>
            <w:tcW w:w="1020" w:type="dxa"/>
            <w:vAlign w:val="bottom"/>
          </w:tcPr>
          <w:p>
            <w:pPr>
              <w:jc w:val="right"/>
              <w:ind w:right="535"/>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20" w:type="dxa"/>
            <w:vAlign w:val="bottom"/>
          </w:tcPr>
          <w:p>
            <w:pPr>
              <w:spacing w:after="0"/>
              <w:rPr>
                <w:sz w:val="17"/>
                <w:szCs w:val="17"/>
                <w:color w:val="auto"/>
              </w:rPr>
            </w:pPr>
          </w:p>
        </w:tc>
      </w:tr>
      <w:tr>
        <w:trPr>
          <w:trHeight w:val="178"/>
        </w:trPr>
        <w:tc>
          <w:tcPr>
            <w:tcW w:w="3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9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6,175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26,137</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37,385</w:t>
            </w:r>
          </w:p>
        </w:tc>
      </w:tr>
      <w:tr>
        <w:trPr>
          <w:trHeight w:val="187"/>
        </w:trPr>
        <w:tc>
          <w:tcPr>
            <w:tcW w:w="3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32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9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397</w:t>
            </w:r>
          </w:p>
        </w:tc>
        <w:tc>
          <w:tcPr>
            <w:tcW w:w="30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(25,720)</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(25,759)</w:t>
            </w:r>
          </w:p>
        </w:tc>
      </w:tr>
      <w:tr>
        <w:trPr>
          <w:trHeight w:val="187"/>
        </w:trPr>
        <w:tc>
          <w:tcPr>
            <w:tcW w:w="3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9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(21,504)</w:t>
            </w: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(21,504)</w:t>
            </w:r>
          </w:p>
        </w:tc>
      </w:tr>
      <w:tr>
        <w:trPr>
          <w:trHeight w:val="198"/>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Change in FMV of warrant liability</w:t>
            </w:r>
          </w:p>
        </w:tc>
        <w:tc>
          <w:tcPr>
            <w:tcW w:w="9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6,684</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6,684</w:t>
            </w:r>
          </w:p>
        </w:tc>
        <w:tc>
          <w:tcPr>
            <w:tcW w:w="120" w:type="dxa"/>
            <w:vAlign w:val="bottom"/>
          </w:tcPr>
          <w:p>
            <w:pPr>
              <w:spacing w:after="0"/>
              <w:rPr>
                <w:sz w:val="17"/>
                <w:szCs w:val="17"/>
                <w:color w:val="auto"/>
              </w:rPr>
            </w:pPr>
          </w:p>
        </w:tc>
      </w:tr>
      <w:tr>
        <w:trPr>
          <w:trHeight w:val="178"/>
        </w:trPr>
        <w:tc>
          <w:tcPr>
            <w:tcW w:w="3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Other Income (Expense)</w:t>
            </w:r>
          </w:p>
        </w:tc>
        <w:tc>
          <w:tcPr>
            <w:tcW w:w="9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(14,856)</w:t>
            </w:r>
          </w:p>
        </w:tc>
        <w:tc>
          <w:tcPr>
            <w:tcW w:w="1020" w:type="dxa"/>
            <w:vAlign w:val="bottom"/>
          </w:tcPr>
          <w:p>
            <w:pPr>
              <w:jc w:val="right"/>
              <w:ind w:right="535"/>
              <w:spacing w:after="0"/>
              <w:rPr>
                <w:sz w:val="20"/>
                <w:szCs w:val="20"/>
                <w:color w:val="auto"/>
              </w:rPr>
            </w:pPr>
            <w:r>
              <w:rPr>
                <w:rFonts w:ascii="Times New Roman" w:cs="Times New Roman" w:eastAsia="Times New Roman" w:hAnsi="Times New Roman"/>
                <w:sz w:val="13"/>
                <w:szCs w:val="13"/>
                <w:color w:val="auto"/>
              </w:rPr>
              <w:t>(6)</w:t>
            </w:r>
          </w:p>
        </w:tc>
        <w:tc>
          <w:tcPr>
            <w:tcW w:w="3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(14,856)</w:t>
            </w:r>
          </w:p>
        </w:tc>
      </w:tr>
      <w:tr>
        <w:trPr>
          <w:trHeight w:val="187"/>
        </w:trPr>
        <w:tc>
          <w:tcPr>
            <w:tcW w:w="3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8"/>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Before Taxes</w:t>
            </w:r>
          </w:p>
        </w:tc>
        <w:tc>
          <w:tcPr>
            <w:tcW w:w="9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397</w:t>
            </w:r>
          </w:p>
        </w:tc>
        <w:tc>
          <w:tcPr>
            <w:tcW w:w="30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(40,576)</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(40,615)</w:t>
            </w:r>
          </w:p>
        </w:tc>
      </w:tr>
      <w:tr>
        <w:trPr>
          <w:trHeight w:val="178"/>
        </w:trPr>
        <w:tc>
          <w:tcPr>
            <w:tcW w:w="3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98"/>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Benefit</w:t>
            </w:r>
          </w:p>
        </w:tc>
        <w:tc>
          <w:tcPr>
            <w:tcW w:w="9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78"/>
        </w:trPr>
        <w:tc>
          <w:tcPr>
            <w:tcW w:w="3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98"/>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96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397</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(40,576)</w:t>
            </w:r>
          </w:p>
        </w:tc>
        <w:tc>
          <w:tcPr>
            <w:tcW w:w="1020" w:type="dxa"/>
            <w:vAlign w:val="bottom"/>
          </w:tcPr>
          <w:p>
            <w:pPr>
              <w:spacing w:after="0"/>
              <w:rPr>
                <w:sz w:val="17"/>
                <w:szCs w:val="17"/>
                <w:color w:val="auto"/>
              </w:rPr>
            </w:pP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(40,615)</w:t>
            </w:r>
          </w:p>
        </w:tc>
      </w:tr>
      <w:tr>
        <w:trPr>
          <w:trHeight w:val="178"/>
        </w:trPr>
        <w:tc>
          <w:tcPr>
            <w:tcW w:w="3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Reconciliation of net loss</w:t>
            </w: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Reconciling items</w:t>
            </w:r>
          </w:p>
        </w:tc>
        <w:tc>
          <w:tcPr>
            <w:tcW w:w="9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r>
      <w:tr>
        <w:trPr>
          <w:trHeight w:val="190"/>
        </w:trPr>
        <w:tc>
          <w:tcPr>
            <w:tcW w:w="32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Consolidated net loss</w:t>
            </w: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(40,615</w:t>
            </w: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8"/>
        </w:trPr>
        <w:tc>
          <w:tcPr>
            <w:tcW w:w="3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1140"/>
              <w:spacing w:after="0"/>
              <w:rPr>
                <w:sz w:val="20"/>
                <w:szCs w:val="20"/>
                <w:color w:val="auto"/>
              </w:rPr>
            </w:pPr>
            <w:r>
              <w:rPr>
                <w:rFonts w:ascii="Times New Roman" w:cs="Times New Roman" w:eastAsia="Times New Roman" w:hAnsi="Times New Roman"/>
                <w:sz w:val="16"/>
                <w:szCs w:val="16"/>
                <w:color w:val="auto"/>
              </w:rPr>
              <w:t>F-44</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11" w:right="319" w:bottom="1440" w:gutter="0" w:footer="0" w:header="0"/>
        </w:sectPr>
      </w:pPr>
    </w:p>
    <w:bookmarkStart w:id="151" w:name="page152"/>
    <w:bookmarkEnd w:id="15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REPORTABLE SEGMENTS (CONTINUED)</w:t>
      </w:r>
    </w:p>
    <w:p>
      <w:pPr>
        <w:spacing w:after="0" w:line="191" w:lineRule="exact"/>
        <w:rPr>
          <w:sz w:val="20"/>
          <w:szCs w:val="20"/>
          <w:color w:val="auto"/>
        </w:rPr>
      </w:pPr>
    </w:p>
    <w:p>
      <w:pPr>
        <w:ind w:left="300" w:hanging="254"/>
        <w:spacing w:after="0"/>
        <w:tabs>
          <w:tab w:leader="none" w:pos="3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Licensing Revenue which is not considered a segment as it is currently immaterial</w:t>
      </w:r>
    </w:p>
    <w:p>
      <w:pPr>
        <w:spacing w:after="0" w:line="96" w:lineRule="exact"/>
        <w:rPr>
          <w:rFonts w:ascii="Times New Roman" w:cs="Times New Roman" w:eastAsia="Times New Roman" w:hAnsi="Times New Roman"/>
          <w:sz w:val="16"/>
          <w:szCs w:val="16"/>
          <w:color w:val="auto"/>
        </w:rPr>
      </w:pPr>
    </w:p>
    <w:p>
      <w:pPr>
        <w:ind w:left="300" w:hanging="254"/>
        <w:spacing w:after="0"/>
        <w:tabs>
          <w:tab w:leader="none" w:pos="3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expenses including employee costs related to new products</w:t>
      </w:r>
    </w:p>
    <w:p>
      <w:pPr>
        <w:spacing w:after="0" w:line="96" w:lineRule="exact"/>
        <w:rPr>
          <w:rFonts w:ascii="Times New Roman" w:cs="Times New Roman" w:eastAsia="Times New Roman" w:hAnsi="Times New Roman"/>
          <w:sz w:val="16"/>
          <w:szCs w:val="16"/>
          <w:color w:val="auto"/>
        </w:rPr>
      </w:pPr>
    </w:p>
    <w:p>
      <w:pPr>
        <w:ind w:left="300" w:hanging="254"/>
        <w:spacing w:after="0"/>
        <w:tabs>
          <w:tab w:leader="none" w:pos="3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Administrative and Engineering employee costs along with legal, insurance, professional fees related to administration and other general office expenses</w:t>
      </w:r>
    </w:p>
    <w:p>
      <w:pPr>
        <w:spacing w:after="0" w:line="96" w:lineRule="exact"/>
        <w:rPr>
          <w:rFonts w:ascii="Times New Roman" w:cs="Times New Roman" w:eastAsia="Times New Roman" w:hAnsi="Times New Roman"/>
          <w:sz w:val="16"/>
          <w:szCs w:val="16"/>
          <w:color w:val="auto"/>
        </w:rPr>
      </w:pPr>
    </w:p>
    <w:p>
      <w:pPr>
        <w:ind w:left="300" w:hanging="254"/>
        <w:spacing w:after="0"/>
        <w:tabs>
          <w:tab w:leader="none" w:pos="3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sales and marketing employee cost and other marketing expenses</w:t>
      </w:r>
    </w:p>
    <w:p>
      <w:pPr>
        <w:spacing w:after="0" w:line="96" w:lineRule="exact"/>
        <w:rPr>
          <w:rFonts w:ascii="Times New Roman" w:cs="Times New Roman" w:eastAsia="Times New Roman" w:hAnsi="Times New Roman"/>
          <w:sz w:val="16"/>
          <w:szCs w:val="16"/>
          <w:color w:val="auto"/>
        </w:rPr>
      </w:pPr>
    </w:p>
    <w:p>
      <w:pPr>
        <w:ind w:left="300" w:hanging="254"/>
        <w:spacing w:after="0"/>
        <w:tabs>
          <w:tab w:leader="none" w:pos="3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settlement from patent licensing litigation</w:t>
      </w:r>
    </w:p>
    <w:p>
      <w:pPr>
        <w:spacing w:after="0" w:line="96" w:lineRule="exact"/>
        <w:rPr>
          <w:rFonts w:ascii="Times New Roman" w:cs="Times New Roman" w:eastAsia="Times New Roman" w:hAnsi="Times New Roman"/>
          <w:sz w:val="16"/>
          <w:szCs w:val="16"/>
          <w:color w:val="auto"/>
        </w:rPr>
      </w:pPr>
    </w:p>
    <w:p>
      <w:pPr>
        <w:ind w:left="300" w:hanging="254"/>
        <w:spacing w:after="0"/>
        <w:tabs>
          <w:tab w:leader="none" w:pos="3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related to debt and change in fair market value of warrant liability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significant customer revenues from the Company’s DTC segment for the year ended December 31, 2024.</w:t>
      </w:r>
    </w:p>
    <w:p>
      <w:pPr>
        <w:spacing w:after="0" w:line="18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Revenues from one customer of the Company’s OEM segment represents approximately $7,310, or 14%, of the Company’s consolidated revenues for the year ended December 31, 2024.</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52" w:name="page153"/>
    <w:bookmarkEnd w:id="15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REPORTABLE SEGMENTS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reportable segments information as of December 31,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DTC</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OEM</w:t>
            </w:r>
          </w:p>
        </w:tc>
        <w:tc>
          <w:tcPr>
            <w:tcW w:w="300" w:type="dxa"/>
            <w:vAlign w:val="bottom"/>
          </w:tcPr>
          <w:p>
            <w:pPr>
              <w:spacing w:after="0"/>
              <w:rPr>
                <w:sz w:val="17"/>
                <w:szCs w:val="17"/>
                <w:color w:val="auto"/>
              </w:rPr>
            </w:pPr>
          </w:p>
        </w:tc>
        <w:tc>
          <w:tcPr>
            <w:tcW w:w="146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79"/>
        </w:trPr>
        <w:tc>
          <w:tcPr>
            <w:tcW w:w="32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96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36,875</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27,517</w:t>
            </w: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64,392</w:t>
            </w:r>
          </w:p>
        </w:tc>
      </w:tr>
      <w:tr>
        <w:trPr>
          <w:trHeight w:val="187"/>
        </w:trPr>
        <w:tc>
          <w:tcPr>
            <w:tcW w:w="3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Reconciliation of Net Sales</w:t>
            </w: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8"/>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Reconciling items</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r>
      <w:tr>
        <w:trPr>
          <w:trHeight w:val="190"/>
        </w:trPr>
        <w:tc>
          <w:tcPr>
            <w:tcW w:w="328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Consolidated Net Sales</w:t>
            </w:r>
          </w:p>
        </w:tc>
        <w:tc>
          <w:tcPr>
            <w:tcW w:w="9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64,392</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material</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21,601</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19,746</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41,347</w:t>
            </w: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Direct labor</w:t>
            </w:r>
          </w:p>
        </w:tc>
        <w:tc>
          <w:tcPr>
            <w:tcW w:w="9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1,895</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120" w:type="dxa"/>
            <w:vAlign w:val="bottom"/>
          </w:tcPr>
          <w:p>
            <w:pPr>
              <w:spacing w:after="0"/>
              <w:rPr>
                <w:sz w:val="16"/>
                <w:szCs w:val="16"/>
                <w:color w:val="auto"/>
              </w:rPr>
            </w:pPr>
          </w:p>
        </w:tc>
      </w:tr>
      <w:tr>
        <w:trPr>
          <w:trHeight w:val="19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overhead and depreciation</w:t>
            </w:r>
          </w:p>
        </w:tc>
        <w:tc>
          <w:tcPr>
            <w:tcW w:w="9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1,775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w:t>
            </w:r>
          </w:p>
        </w:tc>
        <w:tc>
          <w:tcPr>
            <w:tcW w:w="120" w:type="dxa"/>
            <w:vAlign w:val="bottom"/>
            <w:shd w:val="clear" w:color="auto" w:fill="CCEEFF"/>
          </w:tcPr>
          <w:p>
            <w:pPr>
              <w:spacing w:after="0"/>
              <w:rPr>
                <w:sz w:val="17"/>
                <w:szCs w:val="17"/>
                <w:color w:val="auto"/>
              </w:rPr>
            </w:pPr>
          </w:p>
        </w:tc>
      </w:tr>
      <w:tr>
        <w:trPr>
          <w:trHeight w:val="178"/>
        </w:trPr>
        <w:tc>
          <w:tcPr>
            <w:tcW w:w="32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Cost of Goods Sold</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25,271</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23,675</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48,946</w:t>
            </w:r>
          </w:p>
        </w:tc>
      </w:tr>
      <w:tr>
        <w:trPr>
          <w:trHeight w:val="187"/>
        </w:trPr>
        <w:tc>
          <w:tcPr>
            <w:tcW w:w="3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11,604</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15,446</w:t>
            </w:r>
          </w:p>
        </w:tc>
      </w:tr>
      <w:tr>
        <w:trPr>
          <w:trHeight w:val="187"/>
        </w:trPr>
        <w:tc>
          <w:tcPr>
            <w:tcW w:w="3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Research &amp; development</w:t>
            </w:r>
          </w:p>
        </w:tc>
        <w:tc>
          <w:tcPr>
            <w:tcW w:w="9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300" w:type="dxa"/>
            <w:vAlign w:val="bottom"/>
          </w:tcPr>
          <w:p>
            <w:pPr>
              <w:spacing w:after="0"/>
              <w:rPr>
                <w:sz w:val="16"/>
                <w:szCs w:val="16"/>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120" w:type="dxa"/>
            <w:vAlign w:val="bottom"/>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tax adjustment</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125</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w:t>
            </w: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Credit card &amp; amazon transaction fees</w:t>
            </w:r>
          </w:p>
        </w:tc>
        <w:tc>
          <w:tcPr>
            <w:tcW w:w="9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1,101</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general &amp; administrative</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25,121</w:t>
            </w:r>
          </w:p>
        </w:tc>
        <w:tc>
          <w:tcPr>
            <w:tcW w:w="10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3"/>
                <w:szCs w:val="13"/>
                <w:color w:val="auto"/>
              </w:rPr>
              <w:t>(2)</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25,121</w:t>
            </w: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Shipping</w:t>
            </w:r>
          </w:p>
        </w:tc>
        <w:tc>
          <w:tcPr>
            <w:tcW w:w="9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2,037</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w:t>
            </w:r>
          </w:p>
        </w:tc>
        <w:tc>
          <w:tcPr>
            <w:tcW w:w="120" w:type="dxa"/>
            <w:vAlign w:val="bottom"/>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 stock compensation</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640</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682</w:t>
            </w: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 wages</w:t>
            </w:r>
          </w:p>
        </w:tc>
        <w:tc>
          <w:tcPr>
            <w:tcW w:w="9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783</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20" w:type="dxa"/>
            <w:vAlign w:val="bottom"/>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Marketing spend</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1,375</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20" w:type="dxa"/>
            <w:vAlign w:val="bottom"/>
            <w:shd w:val="clear" w:color="auto" w:fill="CCEEFF"/>
          </w:tcPr>
          <w:p>
            <w:pPr>
              <w:spacing w:after="0"/>
              <w:rPr>
                <w:sz w:val="16"/>
                <w:szCs w:val="16"/>
                <w:color w:val="auto"/>
              </w:rPr>
            </w:pP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Rent</w:t>
            </w:r>
          </w:p>
        </w:tc>
        <w:tc>
          <w:tcPr>
            <w:tcW w:w="9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54</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6"/>
                <w:szCs w:val="16"/>
                <w:color w:val="auto"/>
              </w:rPr>
            </w:pPr>
          </w:p>
        </w:tc>
      </w:tr>
      <w:tr>
        <w:trPr>
          <w:trHeight w:val="170"/>
        </w:trPr>
        <w:tc>
          <w:tcPr>
            <w:tcW w:w="32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Unallocated sales and marketing stock</w:t>
            </w: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413</w:t>
            </w:r>
          </w:p>
        </w:tc>
        <w:tc>
          <w:tcPr>
            <w:tcW w:w="10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413</w:t>
            </w: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Unallocated sales and marketing wages</w:t>
            </w: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300" w:type="dxa"/>
            <w:vAlign w:val="bottom"/>
          </w:tcPr>
          <w:p>
            <w:pPr>
              <w:spacing w:after="0"/>
              <w:rPr>
                <w:sz w:val="16"/>
                <w:szCs w:val="16"/>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20" w:type="dxa"/>
            <w:vAlign w:val="bottom"/>
          </w:tcPr>
          <w:p>
            <w:pPr>
              <w:spacing w:after="0"/>
              <w:rPr>
                <w:sz w:val="16"/>
                <w:szCs w:val="16"/>
                <w:color w:val="auto"/>
              </w:rPr>
            </w:pPr>
          </w:p>
        </w:tc>
      </w:tr>
      <w:tr>
        <w:trPr>
          <w:trHeight w:val="19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sales &amp; marketing</w:t>
            </w:r>
          </w:p>
        </w:tc>
        <w:tc>
          <w:tcPr>
            <w:tcW w:w="9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20" w:type="dxa"/>
            <w:vAlign w:val="bottom"/>
            <w:shd w:val="clear" w:color="auto" w:fill="CCEEFF"/>
          </w:tcPr>
          <w:p>
            <w:pPr>
              <w:spacing w:after="0"/>
              <w:rPr>
                <w:sz w:val="17"/>
                <w:szCs w:val="17"/>
                <w:color w:val="auto"/>
              </w:rPr>
            </w:pPr>
          </w:p>
        </w:tc>
      </w:tr>
      <w:tr>
        <w:trPr>
          <w:trHeight w:val="178"/>
        </w:trPr>
        <w:tc>
          <w:tcPr>
            <w:tcW w:w="32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5,517</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33,316</w:t>
            </w: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42,875</w:t>
            </w:r>
          </w:p>
        </w:tc>
      </w:tr>
      <w:tr>
        <w:trPr>
          <w:trHeight w:val="187"/>
        </w:trPr>
        <w:tc>
          <w:tcPr>
            <w:tcW w:w="3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3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6,087</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(200)</w:t>
            </w: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(33,316)</w:t>
            </w: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(27,429)</w:t>
            </w:r>
          </w:p>
        </w:tc>
      </w:tr>
      <w:tr>
        <w:trPr>
          <w:trHeight w:val="187"/>
        </w:trPr>
        <w:tc>
          <w:tcPr>
            <w:tcW w:w="3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6"/>
                <w:szCs w:val="16"/>
                <w:color w:val="auto"/>
              </w:rPr>
            </w:pP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9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(16,015)</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(16,015)</w:t>
            </w:r>
          </w:p>
        </w:tc>
      </w:tr>
      <w:tr>
        <w:trPr>
          <w:trHeight w:val="19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FMV of warrant liability</w:t>
            </w:r>
          </w:p>
        </w:tc>
        <w:tc>
          <w:tcPr>
            <w:tcW w:w="9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29,582</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29,582</w:t>
            </w:r>
          </w:p>
        </w:tc>
      </w:tr>
      <w:tr>
        <w:trPr>
          <w:trHeight w:val="178"/>
        </w:trPr>
        <w:tc>
          <w:tcPr>
            <w:tcW w:w="32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Other Income (Expense)</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13,586</w:t>
            </w:r>
          </w:p>
        </w:tc>
        <w:tc>
          <w:tcPr>
            <w:tcW w:w="10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13,586</w:t>
            </w:r>
          </w:p>
        </w:tc>
      </w:tr>
      <w:tr>
        <w:trPr>
          <w:trHeight w:val="187"/>
        </w:trPr>
        <w:tc>
          <w:tcPr>
            <w:tcW w:w="3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before taxes</w:t>
            </w:r>
          </w:p>
        </w:tc>
        <w:tc>
          <w:tcPr>
            <w:tcW w:w="9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6,087</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(200)</w:t>
            </w:r>
          </w:p>
        </w:tc>
        <w:tc>
          <w:tcPr>
            <w:tcW w:w="3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(19,730)</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(13,843)</w:t>
            </w:r>
          </w:p>
        </w:tc>
      </w:tr>
      <w:tr>
        <w:trPr>
          <w:trHeight w:val="178"/>
        </w:trPr>
        <w:tc>
          <w:tcPr>
            <w:tcW w:w="32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Tax Benefit</w:t>
            </w:r>
          </w:p>
        </w:tc>
        <w:tc>
          <w:tcPr>
            <w:tcW w:w="9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r>
      <w:tr>
        <w:trPr>
          <w:trHeight w:val="178"/>
        </w:trPr>
        <w:tc>
          <w:tcPr>
            <w:tcW w:w="32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96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6,087</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(200)</w:t>
            </w: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(19,704)</w:t>
            </w:r>
          </w:p>
        </w:tc>
        <w:tc>
          <w:tcPr>
            <w:tcW w:w="134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(13,817)</w:t>
            </w:r>
          </w:p>
        </w:tc>
      </w:tr>
      <w:tr>
        <w:trPr>
          <w:trHeight w:val="20"/>
        </w:trPr>
        <w:tc>
          <w:tcPr>
            <w:tcW w:w="3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8" w:lineRule="exact"/>
        <w:rPr>
          <w:sz w:val="20"/>
          <w:szCs w:val="20"/>
          <w:color w:val="auto"/>
        </w:rPr>
      </w:pPr>
    </w:p>
    <w:p>
      <w:pPr>
        <w:sectPr>
          <w:pgSz w:w="11900" w:h="16838" w:orient="portrait"/>
          <w:cols w:equalWidth="0" w:num="1">
            <w:col w:w="11260"/>
          </w:cols>
          <w:pgMar w:left="320" w:top="611" w:right="319" w:bottom="1440" w:gutter="0" w:footer="0" w:header="0"/>
        </w:sectPr>
      </w:pPr>
    </w:p>
    <w:p>
      <w:pPr>
        <w:spacing w:after="0"/>
        <w:rPr>
          <w:sz w:val="20"/>
          <w:szCs w:val="20"/>
          <w:color w:val="auto"/>
        </w:rPr>
      </w:pPr>
      <w:r>
        <w:rPr>
          <w:rFonts w:ascii="Times New Roman" w:cs="Times New Roman" w:eastAsia="Times New Roman" w:hAnsi="Times New Roman"/>
          <w:sz w:val="14"/>
          <w:szCs w:val="14"/>
          <w:i w:val="1"/>
          <w:iCs w:val="1"/>
          <w:color w:val="auto"/>
        </w:rPr>
        <w:t>Reconciliation of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50735" cy="1187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11874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Reconciling items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Consolidated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150735" cy="1555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735" cy="155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397"/>
        <w:spacing w:after="0"/>
        <w:rPr>
          <w:sz w:val="20"/>
          <w:szCs w:val="20"/>
          <w:color w:val="auto"/>
        </w:rPr>
      </w:pPr>
      <w:r>
        <w:rPr>
          <w:rFonts w:ascii="Times New Roman" w:cs="Times New Roman" w:eastAsia="Times New Roman" w:hAnsi="Times New Roman"/>
          <w:sz w:val="16"/>
          <w:szCs w:val="16"/>
          <w:color w:val="auto"/>
        </w:rPr>
        <w:t>-</w:t>
      </w:r>
    </w:p>
    <w:p>
      <w:pPr>
        <w:spacing w:after="0" w:line="19" w:lineRule="exact"/>
        <w:rPr>
          <w:sz w:val="20"/>
          <w:szCs w:val="20"/>
          <w:color w:val="auto"/>
        </w:rPr>
      </w:pPr>
    </w:p>
    <w:p>
      <w:pPr>
        <w:ind w:left="977" w:hanging="977"/>
        <w:spacing w:after="0"/>
        <w:tabs>
          <w:tab w:leader="none" w:pos="977"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91884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18845" cy="762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46355</wp:posOffset>
            </wp:positionV>
            <wp:extent cx="208216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82165" cy="762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983" w:space="720"/>
            <w:col w:w="1557"/>
          </w:cols>
          <w:pgMar w:left="320" w:top="611" w:right="31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715073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type w:val="continuous"/>
        </w:sectPr>
      </w:pPr>
    </w:p>
    <w:bookmarkStart w:id="153" w:name="page154"/>
    <w:bookmarkEnd w:id="15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REPORTABLE SEGMENTS (CONTINUED)</w:t>
      </w:r>
    </w:p>
    <w:p>
      <w:pPr>
        <w:spacing w:after="0" w:line="191" w:lineRule="exact"/>
        <w:rPr>
          <w:sz w:val="20"/>
          <w:szCs w:val="20"/>
          <w:color w:val="auto"/>
        </w:rPr>
      </w:pPr>
    </w:p>
    <w:p>
      <w:pPr>
        <w:ind w:left="300" w:hanging="254"/>
        <w:spacing w:after="0"/>
        <w:tabs>
          <w:tab w:leader="none" w:pos="3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expenses including employee costs related to new products</w:t>
      </w:r>
    </w:p>
    <w:p>
      <w:pPr>
        <w:spacing w:after="0" w:line="96" w:lineRule="exact"/>
        <w:rPr>
          <w:rFonts w:ascii="Times New Roman" w:cs="Times New Roman" w:eastAsia="Times New Roman" w:hAnsi="Times New Roman"/>
          <w:sz w:val="16"/>
          <w:szCs w:val="16"/>
          <w:color w:val="auto"/>
        </w:rPr>
      </w:pPr>
    </w:p>
    <w:p>
      <w:pPr>
        <w:ind w:left="300" w:hanging="254"/>
        <w:spacing w:after="0"/>
        <w:tabs>
          <w:tab w:leader="none" w:pos="3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Administrative and Engineering employee costs along with legal, insurance, professional fees related to administration and other general office expenses</w:t>
      </w:r>
    </w:p>
    <w:p>
      <w:pPr>
        <w:spacing w:after="0" w:line="96" w:lineRule="exact"/>
        <w:rPr>
          <w:rFonts w:ascii="Times New Roman" w:cs="Times New Roman" w:eastAsia="Times New Roman" w:hAnsi="Times New Roman"/>
          <w:sz w:val="16"/>
          <w:szCs w:val="16"/>
          <w:color w:val="auto"/>
        </w:rPr>
      </w:pPr>
    </w:p>
    <w:p>
      <w:pPr>
        <w:ind w:left="300" w:hanging="254"/>
        <w:spacing w:after="0"/>
        <w:tabs>
          <w:tab w:leader="none" w:pos="3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sales and marketing employee cost and other marketing expenses</w:t>
      </w:r>
    </w:p>
    <w:p>
      <w:pPr>
        <w:spacing w:after="0" w:line="96" w:lineRule="exact"/>
        <w:rPr>
          <w:rFonts w:ascii="Times New Roman" w:cs="Times New Roman" w:eastAsia="Times New Roman" w:hAnsi="Times New Roman"/>
          <w:sz w:val="16"/>
          <w:szCs w:val="16"/>
          <w:color w:val="auto"/>
        </w:rPr>
      </w:pPr>
    </w:p>
    <w:p>
      <w:pPr>
        <w:ind w:left="300" w:hanging="254"/>
        <w:spacing w:after="0"/>
        <w:tabs>
          <w:tab w:leader="none" w:pos="3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related to debt and change in fair market value of warrant liability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significant customer revenues from the Company’s DTC segment for the year ended December 31, 2023.</w:t>
      </w:r>
    </w:p>
    <w:p>
      <w:pPr>
        <w:spacing w:after="0" w:line="18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Revenues from one customer of the Company’s OEM segment represents approximately $10,285, or 16%, of the Company’s consolidated revenues for the year ended December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 SUBSEQUENT EVENTS</w:t>
      </w:r>
    </w:p>
    <w:p>
      <w:pPr>
        <w:spacing w:after="0" w:line="191" w:lineRule="exact"/>
        <w:rPr>
          <w:sz w:val="20"/>
          <w:szCs w:val="20"/>
          <w:color w:val="auto"/>
        </w:rPr>
      </w:pPr>
    </w:p>
    <w:p>
      <w:pPr>
        <w:jc w:val="both"/>
        <w:ind w:hanging="7"/>
        <w:spacing w:after="0" w:line="249" w:lineRule="auto"/>
        <w:rPr>
          <w:sz w:val="20"/>
          <w:szCs w:val="20"/>
          <w:color w:val="auto"/>
        </w:rPr>
      </w:pPr>
      <w:r>
        <w:rPr>
          <w:rFonts w:ascii="Times New Roman" w:cs="Times New Roman" w:eastAsia="Times New Roman" w:hAnsi="Times New Roman"/>
          <w:sz w:val="16"/>
          <w:szCs w:val="16"/>
          <w:color w:val="auto"/>
        </w:rPr>
        <w:t>On February 1, 2025, the Company appointed Dr. Vickram Singh, the Company’s former Senior Vice President of Technology, as its Chief Operating Officer pursuant to an employment agreement, dated February 1, 2025 (the “Employment Agreement”). Dr. Singh’s employment as the Company’s Chief Operating Officer commenced on February 4, 2025. The Employment Agreement provides for a three-year initial employment term, with automatic three-year renewal terms thereafter, subject to 90 days’ notice of nonrenewal by either party. The Employment Agreement also provides for an initial annual base salary of $350,000 (the “Base Salary”) and a discretionary annual bonus of up to 65% of the Base Salary.</w:t>
      </w:r>
    </w:p>
    <w:p>
      <w:pPr>
        <w:spacing w:after="0" w:line="166"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On February 2025, the Company entered into a Securities Purchase agreement (“Purchase Agreement”). The Purchase Agreement calls for the Company to authorize a new series of convertible preferred stock of the Company designated as the Series A Convertible Preferred Stock, which shall be convertible into shares of the Company’s common stock, and sell to each Buyer an aggregate number of shares of Series A Preferred Stock and 20 warrants, to each buyer, that are convertible to common stock.</w:t>
      </w:r>
    </w:p>
    <w:p>
      <w:pPr>
        <w:spacing w:after="0" w:line="160" w:lineRule="exact"/>
        <w:rPr>
          <w:sz w:val="20"/>
          <w:szCs w:val="20"/>
          <w:color w:val="auto"/>
        </w:rPr>
      </w:pPr>
    </w:p>
    <w:p>
      <w:pPr>
        <w:jc w:val="both"/>
        <w:ind w:hanging="7"/>
        <w:spacing w:after="0" w:line="255" w:lineRule="auto"/>
        <w:rPr>
          <w:sz w:val="20"/>
          <w:szCs w:val="20"/>
          <w:color w:val="auto"/>
        </w:rPr>
      </w:pPr>
      <w:r>
        <w:rPr>
          <w:rFonts w:ascii="Times New Roman" w:cs="Times New Roman" w:eastAsia="Times New Roman" w:hAnsi="Times New Roman"/>
          <w:sz w:val="16"/>
          <w:szCs w:val="16"/>
          <w:color w:val="auto"/>
        </w:rPr>
        <w:t>Total expected proceeds amount to $8,000 which the Company will use for working capital, general corporate purposes and mandatory payments on the Term Loan if more than $8,000 is raised. In addition, investors received warrants to purchase up to 4,000 shares of Series A preferred stock at $10,000 per share, potentially providing up to $40 million in future capital. We received $3,500 less $300 in costs on February 27, 2025 and expect to receive the remaining $4,500, minus costs, in early May 2025.</w:t>
      </w:r>
    </w:p>
    <w:p>
      <w:pPr>
        <w:spacing w:after="0" w:line="160" w:lineRule="exact"/>
        <w:rPr>
          <w:sz w:val="20"/>
          <w:szCs w:val="20"/>
          <w:color w:val="auto"/>
        </w:rPr>
      </w:pPr>
    </w:p>
    <w:p>
      <w:pPr>
        <w:jc w:val="both"/>
        <w:ind w:right="20" w:hanging="7"/>
        <w:spacing w:after="0" w:line="255" w:lineRule="auto"/>
        <w:rPr>
          <w:sz w:val="20"/>
          <w:szCs w:val="20"/>
          <w:color w:val="auto"/>
        </w:rPr>
      </w:pPr>
      <w:r>
        <w:rPr>
          <w:rFonts w:ascii="Times New Roman" w:cs="Times New Roman" w:eastAsia="Times New Roman" w:hAnsi="Times New Roman"/>
          <w:sz w:val="16"/>
          <w:szCs w:val="16"/>
          <w:color w:val="auto"/>
        </w:rPr>
        <w:t>In addition to the Purchase Agreement, the Term Loan was amended to (i) extend the maturity date by one (1) year to October 2027, (ii) defer all principal and interest payments to April 2026 and (iii) remove any applicable financial covenants (except for a financial covenant requiring the Company to maintain cash and cash equivalents equal to or greater than $2,500) for the next one and a half years.</w:t>
      </w:r>
    </w:p>
    <w:p>
      <w:pPr>
        <w:spacing w:after="0" w:line="160" w:lineRule="exact"/>
        <w:rPr>
          <w:sz w:val="20"/>
          <w:szCs w:val="20"/>
          <w:color w:val="auto"/>
        </w:rPr>
      </w:pPr>
    </w:p>
    <w:p>
      <w:pPr>
        <w:jc w:val="both"/>
        <w:ind w:hanging="7"/>
        <w:spacing w:after="0" w:line="267" w:lineRule="auto"/>
        <w:rPr>
          <w:sz w:val="20"/>
          <w:szCs w:val="20"/>
          <w:color w:val="auto"/>
        </w:rPr>
      </w:pPr>
      <w:r>
        <w:rPr>
          <w:rFonts w:ascii="Times New Roman" w:cs="Times New Roman" w:eastAsia="Times New Roman" w:hAnsi="Times New Roman"/>
          <w:sz w:val="16"/>
          <w:szCs w:val="16"/>
          <w:color w:val="auto"/>
        </w:rPr>
        <w:t>In March 2025, the Company entered into a settlement agreement with a third party regarding a patent licensing dispute. Under the terms of the settlement, the Company agreed to pay $2,500 to resolve the matter. As a result of the settlement, the Company has recorded a liability of $2,500 on the balance sheet as of December 31, 2024</w:t>
      </w:r>
    </w:p>
    <w:p>
      <w:pPr>
        <w:spacing w:after="0" w:line="151" w:lineRule="exact"/>
        <w:rPr>
          <w:sz w:val="20"/>
          <w:szCs w:val="20"/>
          <w:color w:val="auto"/>
        </w:rPr>
      </w:pPr>
    </w:p>
    <w:p>
      <w:pPr>
        <w:jc w:val="both"/>
        <w:ind w:right="20" w:hanging="7"/>
        <w:spacing w:after="0" w:line="255" w:lineRule="auto"/>
        <w:rPr>
          <w:sz w:val="20"/>
          <w:szCs w:val="20"/>
          <w:color w:val="auto"/>
        </w:rPr>
      </w:pPr>
      <w:r>
        <w:rPr>
          <w:rFonts w:ascii="Times New Roman" w:cs="Times New Roman" w:eastAsia="Times New Roman" w:hAnsi="Times New Roman"/>
          <w:sz w:val="16"/>
          <w:szCs w:val="16"/>
          <w:color w:val="auto"/>
        </w:rPr>
        <w:t>In March 2025, the Company sold certain machinery and equipment assets to a third party at a price below their carrying value. As a result of the sale, the Company recognized an impairment loss of $873 on consolidated statement of operations and reclassified the remaining fair value of $644 as Assets Held for Sale on the balance sheet as of December 31, 2024.</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54" w:name="page155"/>
    <w:bookmarkEnd w:id="15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3022600</wp:posOffset>
            </wp:positionH>
            <wp:positionV relativeFrom="page">
              <wp:posOffset>400050</wp:posOffset>
            </wp:positionV>
            <wp:extent cx="1511935" cy="3778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1511935" cy="377825"/>
                    </a:xfrm>
                    <a:prstGeom prst="rect">
                      <a:avLst/>
                    </a:prstGeom>
                    <a:noFill/>
                  </pic:spPr>
                </pic:pic>
              </a:graphicData>
            </a:graphic>
          </wp:anchor>
        </w:drawing>
        <w:t>36,901,132 Shares of Common Stock</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PRELIMINARY PROSPECTUS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The date of this prospectus is</w:t>
            </w:r>
          </w:p>
        </w:tc>
        <w:tc>
          <w:tcPr>
            <w:tcW w:w="4860" w:type="dxa"/>
            <w:vAlign w:val="bottom"/>
          </w:tcPr>
          <w:p>
            <w:pPr>
              <w:jc w:val="right"/>
              <w:ind w:right="4042"/>
              <w:spacing w:after="0"/>
              <w:rPr>
                <w:sz w:val="20"/>
                <w:szCs w:val="20"/>
                <w:color w:val="auto"/>
              </w:rPr>
            </w:pPr>
            <w:r>
              <w:rPr>
                <w:rFonts w:ascii="Times New Roman" w:cs="Times New Roman" w:eastAsia="Times New Roman" w:hAnsi="Times New Roman"/>
                <w:sz w:val="16"/>
                <w:szCs w:val="16"/>
                <w:b w:val="1"/>
                <w:bCs w:val="1"/>
                <w:color w:val="auto"/>
              </w:rPr>
              <w:t>, 2025</w:t>
            </w:r>
          </w:p>
        </w:tc>
      </w:tr>
      <w:tr>
        <w:trPr>
          <w:trHeight w:val="374"/>
        </w:trPr>
        <w:tc>
          <w:tcPr>
            <w:tcW w:w="64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393" w:right="319" w:bottom="1440" w:gutter="0" w:footer="0" w:header="0"/>
        </w:sectPr>
      </w:pPr>
    </w:p>
    <w:bookmarkStart w:id="155" w:name="page156"/>
    <w:bookmarkEnd w:id="155"/>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8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Item 13. Other Expenses of Issuance and Distribution.</w:t>
      </w:r>
    </w:p>
    <w:p>
      <w:pPr>
        <w:spacing w:after="0" w:line="191"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The following table indicates the expenses to be incurred in connection with the offering described in this registration statement. All amounts are estimated except the SEC registration fee.</w:t>
      </w:r>
    </w:p>
    <w:p>
      <w:pPr>
        <w:spacing w:after="0" w:line="149" w:lineRule="exact"/>
        <w:rPr>
          <w:sz w:val="20"/>
          <w:szCs w:val="20"/>
          <w:color w:val="auto"/>
        </w:rPr>
      </w:pPr>
    </w:p>
    <w:tbl>
      <w:tblPr>
        <w:tblLayout w:type="fixed"/>
        <w:tblInd w:w="7" w:type="dxa"/>
        <w:tblCellMar>
          <w:top w:w="0" w:type="dxa"/>
          <w:left w:w="0" w:type="dxa"/>
          <w:bottom w:w="0" w:type="dxa"/>
          <w:right w:w="0" w:type="dxa"/>
        </w:tblCellMar>
      </w:tblPr>
      <w:tr>
        <w:trPr>
          <w:trHeight w:val="198"/>
        </w:trPr>
        <w:tc>
          <w:tcPr>
            <w:tcW w:w="9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Amount to be</w:t>
            </w:r>
          </w:p>
        </w:tc>
      </w:tr>
      <w:tr>
        <w:trPr>
          <w:trHeight w:val="205"/>
        </w:trPr>
        <w:tc>
          <w:tcPr>
            <w:tcW w:w="9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6"/>
              </w:rPr>
              <w:t>Paid</w:t>
            </w:r>
          </w:p>
        </w:tc>
      </w:tr>
      <w:tr>
        <w:trPr>
          <w:trHeight w:val="179"/>
        </w:trPr>
        <w:tc>
          <w:tcPr>
            <w:tcW w:w="924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SEC Registration fee</w:t>
            </w: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5,367</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7"/>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Printing expenses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fees and expenses</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6"/>
                <w:szCs w:val="16"/>
                <w:color w:val="auto"/>
              </w:rPr>
            </w:pPr>
          </w:p>
        </w:tc>
      </w:tr>
      <w:tr>
        <w:trPr>
          <w:trHeight w:val="187"/>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Accounting fees and expenses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6"/>
                <w:szCs w:val="16"/>
                <w:color w:val="auto"/>
              </w:rPr>
            </w:pPr>
          </w:p>
        </w:tc>
      </w:tr>
      <w:tr>
        <w:trPr>
          <w:trHeight w:val="198"/>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Miscellaneous fees and expenses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17"/>
                <w:szCs w:val="17"/>
                <w:color w:val="auto"/>
              </w:rPr>
            </w:pPr>
          </w:p>
        </w:tc>
      </w:tr>
      <w:tr>
        <w:trPr>
          <w:trHeight w:val="190"/>
        </w:trPr>
        <w:tc>
          <w:tcPr>
            <w:tcW w:w="92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71,000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Item 14. Indemnification of Directors and Officers.</w:t>
      </w:r>
    </w:p>
    <w:p>
      <w:pPr>
        <w:spacing w:after="0" w:line="191" w:lineRule="exact"/>
        <w:rPr>
          <w:sz w:val="20"/>
          <w:szCs w:val="20"/>
          <w:color w:val="auto"/>
        </w:rPr>
      </w:pPr>
    </w:p>
    <w:p>
      <w:pPr>
        <w:jc w:val="both"/>
        <w:ind w:left="7"/>
        <w:spacing w:after="0" w:line="299" w:lineRule="auto"/>
        <w:rPr>
          <w:sz w:val="20"/>
          <w:szCs w:val="20"/>
          <w:color w:val="auto"/>
        </w:rPr>
      </w:pPr>
      <w:r>
        <w:rPr>
          <w:rFonts w:ascii="Times New Roman" w:cs="Times New Roman" w:eastAsia="Times New Roman" w:hAnsi="Times New Roman"/>
          <w:sz w:val="14"/>
          <w:szCs w:val="14"/>
          <w:color w:val="auto"/>
        </w:rPr>
        <w:t>Neither our Articles of Incorporation nor our Bylaws prevent us from indemnifying our officers, directors and agents to the extent permitted under the Nevada Revised Statutes, as amended (“NRS”). NRS Section 78.751 provides that a corporation shall indemnify any director, officer, employee or agent of a corporation against expenses, including attorneys’ fees, actually and reasonably incurred by him in connection with any the defense to the extent that a director, officer, employee or agent of a corporation has been successful on the merits or otherwise in defense of any action, suit or proceeding referred to Section 78.7502(1) or 78.7502(2), or in defense of any claim, issue or matter therein.</w:t>
      </w:r>
    </w:p>
    <w:p>
      <w:pPr>
        <w:spacing w:after="0" w:line="131" w:lineRule="exact"/>
        <w:rPr>
          <w:sz w:val="20"/>
          <w:szCs w:val="20"/>
          <w:color w:val="auto"/>
        </w:rPr>
      </w:pPr>
    </w:p>
    <w:p>
      <w:pPr>
        <w:jc w:val="both"/>
        <w:ind w:left="7"/>
        <w:spacing w:after="0" w:line="290" w:lineRule="auto"/>
        <w:rPr>
          <w:sz w:val="20"/>
          <w:szCs w:val="20"/>
          <w:color w:val="auto"/>
        </w:rPr>
      </w:pPr>
      <w:r>
        <w:rPr>
          <w:rFonts w:ascii="Times New Roman" w:cs="Times New Roman" w:eastAsia="Times New Roman" w:hAnsi="Times New Roman"/>
          <w:sz w:val="14"/>
          <w:szCs w:val="14"/>
          <w:color w:val="auto"/>
        </w:rPr>
        <w:t>NRS Section 78.7502(1)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 (a) is not liable pursuant to NRS Section 78.138; or (b) acted in good faith and in a manner which he reasonably believed to be in or not opposed to the best interests of the corporation, and, with respect to any criminal action or proceeding, had no reasonable cause to believe his conduct was unlawful.</w:t>
      </w:r>
    </w:p>
    <w:p>
      <w:pPr>
        <w:spacing w:after="0" w:line="140" w:lineRule="exact"/>
        <w:rPr>
          <w:sz w:val="20"/>
          <w:szCs w:val="20"/>
          <w:color w:val="auto"/>
        </w:rPr>
      </w:pPr>
    </w:p>
    <w:p>
      <w:pPr>
        <w:jc w:val="both"/>
        <w:ind w:left="7" w:right="20"/>
        <w:spacing w:after="0" w:line="284" w:lineRule="auto"/>
        <w:rPr>
          <w:sz w:val="20"/>
          <w:szCs w:val="20"/>
          <w:color w:val="auto"/>
        </w:rPr>
      </w:pPr>
      <w:r>
        <w:rPr>
          <w:rFonts w:ascii="Times New Roman" w:cs="Times New Roman" w:eastAsia="Times New Roman" w:hAnsi="Times New Roman"/>
          <w:sz w:val="14"/>
          <w:szCs w:val="14"/>
          <w:color w:val="auto"/>
        </w:rPr>
        <w:t>NRS Section 78.7502(2)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w:t>
      </w:r>
    </w:p>
    <w:p>
      <w:pPr>
        <w:spacing w:after="0" w:line="1" w:lineRule="exact"/>
        <w:rPr>
          <w:sz w:val="20"/>
          <w:szCs w:val="20"/>
          <w:color w:val="auto"/>
        </w:rPr>
      </w:pPr>
    </w:p>
    <w:p>
      <w:pPr>
        <w:jc w:val="both"/>
        <w:ind w:left="7" w:hanging="7"/>
        <w:spacing w:after="0" w:line="244" w:lineRule="auto"/>
        <w:tabs>
          <w:tab w:leader="none" w:pos="236"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liable pursuant to NRS Section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69" w:lineRule="exact"/>
        <w:rPr>
          <w:sz w:val="20"/>
          <w:szCs w:val="20"/>
          <w:color w:val="auto"/>
        </w:rPr>
      </w:pPr>
    </w:p>
    <w:p>
      <w:pPr>
        <w:jc w:val="both"/>
        <w:ind w:left="7" w:right="20"/>
        <w:spacing w:after="0" w:line="255" w:lineRule="auto"/>
        <w:rPr>
          <w:sz w:val="20"/>
          <w:szCs w:val="20"/>
          <w:color w:val="auto"/>
        </w:rPr>
      </w:pPr>
      <w:r>
        <w:rPr>
          <w:rFonts w:ascii="Times New Roman" w:cs="Times New Roman" w:eastAsia="Times New Roman" w:hAnsi="Times New Roman"/>
          <w:sz w:val="16"/>
          <w:szCs w:val="16"/>
          <w:color w:val="auto"/>
        </w:rPr>
        <w:t>NRS Section 78.747 provides that except as otherwise provided by specific statute or agreement, no person other than a corporation is individually liable for a debt or liability of the corporation, unless the person acts as the alter ego of the corporation. The court as a matter of law must determine the question of whether the person acts as the alter ego of a corporation.</w:t>
      </w:r>
    </w:p>
    <w:p>
      <w:pPr>
        <w:spacing w:after="0" w:line="16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1" w:right="319" w:bottom="1440" w:gutter="0" w:footer="0" w:header="0"/>
        </w:sectPr>
      </w:pPr>
    </w:p>
    <w:bookmarkStart w:id="156" w:name="page157"/>
    <w:bookmarkEnd w:id="156"/>
    <w:p>
      <w:pPr>
        <w:jc w:val="both"/>
        <w:ind w:right="20"/>
        <w:spacing w:after="0" w:line="290"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controlling persons of ours, pursuant to the foregoing provisions, or otherwise,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a director, officer or controlling person in connection with the securities being registered, we will, unless in the opinion of its counsel the matter has been settled by controlling precedent, submit to a court of appropriate jurisdiction the question whether such indemnification is against public policy as expressed hereby in the Securities Act and we will be governed by the final adjudication of such issue.</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also the undertakings set out in response to Item 17 of this Registration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RSU Grants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On October 7, 2022, we granted each of our non-employee directors (i.e. Jonathan Bellows, Perry Boyle, Karina Edmonds, Luisa Ingargiola, Brian Nelson, and Rick Parod) an award of 3,333 restricted stock units (“RSUs”) under the Dragonfly Energy Holdings Corp. 2022 Equity Incentive Plan. The RSUs are eligible to vest on the first anniversary of the grant date, subject to each director’s continued service on our board through the vesting date.</w:t>
      </w:r>
    </w:p>
    <w:p>
      <w:pPr>
        <w:spacing w:after="0" w:line="16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foregoing transactions did not involve any underwriters, underwriting discounts or commissions, or any public offering. We believe these transactions were exempt from registration under the Securities Act in reliance on Section 4(a)(2) of the Securities Act (and Regulation D promulgated thereunder) as transactions by an issuer not involving any public offering.</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All certificates or book entry statements representing the securities issued in the transactions described above included appropriate legends setting forth that the securities had not been offered or sold pursuant to a registration statement and describing the applicable restrictions on transfer of the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Original Private Placement</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On October 7, 2022, we entered into a Term Loan Guarantee and Security Agreement, dated as of October 2022, as amended July 1, 2024 (the “Term Loan Agreement”) by and among us, the lenders signatory thereto (the “Term Loan Lenders”) and Alter Domus (US), LLC, setting forth the terms of our Term Loan. The Term Loan Agreement provided for a one-time issuance of penny warrants (the “Original Penny Warrants”) exercisable for 288,188 shares of common stock (the “Original Shares”), at an exercise price of $0.09 per share, in connection with the entry into the Term Loan Agreement. The Original Penny Warrants were immediately exercisable upon issuance and will expire ten years from the date of issuance.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i w:val="1"/>
          <w:iCs w:val="1"/>
          <w:color w:val="auto"/>
        </w:rPr>
        <w:t>March 2023 Promissory Note</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On March 5, 2023, we issued a note in the principal amount of $1.0 million (the “Principal Amount”) to Brian Nelson (the “Note”), one of our directors, in a private placement in exchange for cash in an equal amount. The Note became due and payable in full on April 1, 2023. We were also obligated to pay a loan fee in the amount of $100,000 to Mr. Nelson on April 4, 2023 (the “Loan Fee”). The Principal Amount of the Note was paid in full on April 1, 2023 and the Loan Fee was paid in full on April 4,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December 2023 Private Placement</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On December 29, 2023, we received the December 2023 Waiver from the Term Loan Lenders in regards to our compliance with Tests under Term Loan Agreement, as of the last day of the quarter ended December 31, 2023. The December 2023 Waiver provided for a one-time issuance of the December 2023 Penny Warrants to purchase 142,964 December 2023 Waiver Shares, at an exercise price of $0.09 per share, in connection with the Term Loan Lenders’ agreement to waive the Tests under the Term Loan for the quarter ended December 31, 2023. The December 2023 Penny Warrants were immediately exercisable upon issuance and will expire ten years from the date of issuance.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February 2024 Promissory Note</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On February 27, 2024, we issued a note in the principal amount of $1.7 million (the “February Principal Amount”) to Brian Nelson (the “February Note”) in a private placement in exchange for cash in an equal amount. The February Note became due and payable in full on March 1, 2024. We were also obligated to pay a loan fee in the amount of $85,000 to Mr. Nelson on March 1, 2024 (the “February Loan Fee”). The February Note and the February Loan Fee were paid in full on March 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May 2024 Private Placement</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On May 13, 2024, we received the May 2024 Waiver from the Term Loan Lenders in regards to our compliance with the Tests as of the last day of the quarter ended March 31, 2024. The May 2024 Waiver provided for a one-time issuance of the May 2024 Penny Warrants to purchase 283,334 May 2024 Penny Warrant Shares, at an exercise price of $0.09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June 2024 Private Placement and First Amendment to Term Loan Agreement</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On June 28, 2024, we received a limited waiver and First Amendment to the Term Loan Agreement from the Term Loan Lenders in regards to our compliance with the Tests as of the last day of the quarter ended June 30, 2024. The First Amendment provided for a one-time issuance of the June 2024 Penny Warrants to purchase up to 233,334 June 2024 Penny Warrant Shares, at an exercise price of $0.09 per share, in connection with the Term Loan Lender’s agreement to waive the Tests under the Term Loan for the quarter ended June 30, 2024. The June 2024 Penny Warrants were immediately exercisable upon issuance and will expire ten years from the date of issuance.</w:t>
      </w:r>
    </w:p>
    <w:p>
      <w:pPr>
        <w:spacing w:after="0" w:line="16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In addition, the First Amendment (i) reduced the liquidity requirement under the Term Loan to be $3.5 million as of the last day of the month ended June 30, 2024, and $10.0 million as of the last day of each fiscal month thereafter commencing with the fiscal month ended July 31, 2024 and (ii) provided for the interest to be paid on the Payment Date (as defined in the Term Loan Agreement) occurred on July 1, 2024 to be solely payable-in-kind.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September 2024 Private Placement and Third Amendment to the Term Loan Agreement</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On September 30, 2024, we received a limited waiver and Third Amendment to the Term Loan Agreement from the Term Loan Lenders in regards to our compliance with the Tests as of the last day of the quarter ended September 30, 2024. The Third Amendment provided for a one-time issuance of the September 2024 Penny Warrants to purchase up to 333,334 September 2024 Penny Warrant Shares, at an exercise price of $0.09 per share, in connection with the Term Loan Lender’s agreement to waive the Tests under the Term Loan for the quarter ended September 30, 2024. The September 2024 Penny Warrants were immediately exercisable upon issuance and will expire ten years from the date of issuance.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58" w:name="page159"/>
    <w:bookmarkEnd w:id="158"/>
    <w:p>
      <w:pPr>
        <w:jc w:val="both"/>
        <w:spacing w:after="0" w:line="249" w:lineRule="auto"/>
        <w:rPr>
          <w:sz w:val="20"/>
          <w:szCs w:val="20"/>
          <w:color w:val="auto"/>
        </w:rPr>
      </w:pPr>
      <w:r>
        <w:rPr>
          <w:rFonts w:ascii="Times New Roman" w:cs="Times New Roman" w:eastAsia="Times New Roman" w:hAnsi="Times New Roman"/>
          <w:sz w:val="16"/>
          <w:szCs w:val="16"/>
          <w:color w:val="auto"/>
        </w:rPr>
        <w:t>In addition, the Third Amendment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(as defined in the Term Loan Agreement) plus the Applicable Margin (as defined in the Term Loan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December 2024 Private Placement and Fourth Amendment to the Term Loan Agreement</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On December 31, 2024, we received a limited waiver and Fourth Amendment to the Term Loan Agreement from the Term Loan Lenders in regards to our compliance with the Tests as of the last day of the quarter ended December 31, 2024. The Fourth Amendment provided for a one-time issuance of the December 2024 Penny Warrants to purchase up to 350,000 December 2024 Penny Warrant Shares, at an exercise price of $0.01 per share, in connection with the Term Loan Lender’s agreement to waive the Tests under the Term Loan for the quarter ended December 31, 2024. The December 2024 Penny Warrants will be exercisable at such time that we obtain the Warrant Issuance Shareholder Approval (as defined below) and will expire ten years from the date of issuance.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addition, the Fourth Amendment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spacing w:after="0" w:line="16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Pursuant to the Fourth Amendment, we agreed to use commercially reasonable efforts to obtain shareholder approval for the issuance of up to 1,400,000 shares of common stock underlying penny warrants issued to the Term Loan Lenders on and after the date of the Fourth Amendment, including the December 2024 Penny Warrant Shares and the Accrued Warrant Shares, in accordance with the Warrant Issuance Shareholder Approval. Further, we agreed to issue the Term Loan Lenders the Accrued Penny Warrants exercisable for the number of Accrued Warrant Shares upon the earlier to occur of (i) five business days after the end of the Waiver Period or (ii) five business days prior to the effectiveness of a Change of Control (as defined in the Term Loan Agreement), in which such Accrued Penny Warrants would not be exercisable prior to receipt of the Warrant Issuance Shareholder Approval.</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Under the Fourth Amendment, the Term Loan Lenders agreed to temporarily suspend the Term Loan Lenders’ rights under Section 4(b) of the Penny Warrants to receive additional warrant shares in connection with the issuances by us of shares of common stock pursuant to the ChEF Equity Facility during the Waiver Period. In addition, the Fourth Amendment: (i) provided for the interest to be paid on the Payment Date (as defined in the Term Loan Agreement) occurring on January 1, 2025 to be payable partly in cash and the remainder payable-in-kind as set forth in the Amendment; and (ii) reduced the liquidity requirement under the Term Loan Agreement to be $3.5 million as of the last day of the fiscal month ended December 31,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February 2025 Registered Direct Offering and Concurrent Private Placement and Fifth Amendment to Term Loan Agreement</w:t>
      </w:r>
    </w:p>
    <w:p>
      <w:pPr>
        <w:spacing w:after="0" w:line="19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On February 26, 2025, we entered into the Purchase Agreement with a single institutional investor, pursuant to which we sold in the Registered Direct Offering 180 shares of Series A Preferred Stock, at a price of $10,000 per share, initially convertible into shares of our common stock, at a conversion price of $2.332 per share of common stock. The Series A Preferred Stock is also convertible by the investor at an adjusted conversion price, subject to the applicable floor price, which is based on a discount to the market price of our common stock as set forth in the Certificate of Designation. The floor price for the Series A Preferred Stock sold in the Registered Direct Offering is $1.00.</w:t>
      </w:r>
    </w:p>
    <w:p>
      <w:pPr>
        <w:spacing w:after="0" w:line="16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Concurrently with the sale of the Series A Preferred Stock in the Registered Direct Offering, in the Private Placement, we sold, at the Initial Closing, (i) an additional 170 shares of Series A Preferred Stock at the same offering price as the Series A Preferred Stock offered in the Registered Direct Offering, initially convertible into shares of common stock at a conversion price of $2.332 per share, and (ii) the Private Placement Warrants to purchase up to an aggregate of 4,000 Private Placement Warrant Shares, with an exercise price of $10,000 per share of Series A Preferred Stock, and a term as described below. The floor price for the Series A Preferred Stock sold in the Private Placement is $0.424.</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159" w:name="page160"/>
    <w:bookmarkEnd w:id="159"/>
    <w:p>
      <w:pPr>
        <w:jc w:val="both"/>
        <w:spacing w:after="0" w:line="249" w:lineRule="auto"/>
        <w:rPr>
          <w:sz w:val="20"/>
          <w:szCs w:val="20"/>
          <w:color w:val="auto"/>
        </w:rPr>
      </w:pPr>
      <w:r>
        <w:rPr>
          <w:rFonts w:ascii="Times New Roman" w:cs="Times New Roman" w:eastAsia="Times New Roman" w:hAnsi="Times New Roman"/>
          <w:sz w:val="16"/>
          <w:szCs w:val="16"/>
          <w:color w:val="auto"/>
        </w:rPr>
        <w:t>The exercise price under each Private Placement Warrant will be $10,000 per share of Series A Preferred Stock. Each Private Placement Warrant will be exercisable for 200 shares of Series A Preferred Stock in minimum increments of $500,000. The Private Placement Warrants will have a term beginning on the issuance date and ending on or prior to the earlier of (i) the Registration Effectiveness Date and (ii) (A) the consummation of a Change of Control and (B) the consummation of a redemption of the then outstanding Series A Preferred Stock in full. The exercise price and number of shares of Series A Preferred Stock issuable upon exercise are subject to appropriate adjustment in the event of share dividends, share splits, reorganizations or similar events affecting shares of our common stock.</w:t>
      </w:r>
    </w:p>
    <w:p>
      <w:pPr>
        <w:spacing w:after="0" w:line="16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Pursuant to the Private Placement Warrants, we have a call right upon the occurrence of certain events. No earlier than two (2) months following the Registration Effectiveness Date and (2) the most recent conversion or exercise in full of a Private Placement Warrant, (i) the VWAP for the Measurement Period exceeds $3.00, (ii) the average daily volume for such Measurement Period exceeds $300,000 per trading day, (iii) the aggregate stated value of the then outstanding Series A Preferred Stock is less than or equal to $1,500,000, (iv) the Private Placement Warrant Shares are registered for resale pursuant to an effective registration statement and (v) there has not been an Equity Conditions Failure (as defined in the Certificate of Designation), then we may, within one (1) trading day of the end of such Measurement Period, call for cancellation of all or any portion of the Private Placement Warrant for which a notice to exercise has not yet been delivered and require the holder to exercise in part or in full the number of shares of Series A Preferred Stock set forth in a Call Notice for consideration equal to the applicable number of Series A Preferred Stock issuable upon exercise or cancellation of the Private Placement Warrants.</w:t>
      </w:r>
    </w:p>
    <w:p>
      <w:pPr>
        <w:spacing w:after="0" w:line="1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addition, upon receipt of stockholder approval pursuant to the rules of Nasdaq for certain shares of common stock issuable upon conversion of the Series A Preferred Stock and the Registration Effectiveness, the investor will be automatically required to purchase for $4.5 million in the Second Closing the Second Closing Preferred Shares. The Second Closing Preferred Shares will be identical to the Series A Preferred Stock offered in the Registered Direct Offering and sold in the initial closing of the Private Placement, other than the conversion price and the floor price which will be determined at the time of the Second Closing based on the Nasdaq minimum price.</w:t>
      </w:r>
    </w:p>
    <w:p>
      <w:pPr>
        <w:spacing w:after="0" w:line="16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net proceeds to us from the closing of the Registered Direct Offering and the Initial Closing, after deducting the placement agent’s fees and expenses and estimated offering expenses, were approximately $3.2 million, excluding the net proceeds, if any, from the exercise of the Private Placement Warrants.</w:t>
      </w:r>
    </w:p>
    <w:p>
      <w:pPr>
        <w:spacing w:after="0" w:line="15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As a condition precedent to the closing of the Offerings, on February 26, 2025, we entered into the Fifth Amendment to the Term Loan Agreement with the Term Loan Lenders. Under the Fifth Amendment, the Term Loan Lenders agreed to, among other matters (i) receive no principal or interest payments under the Term Loan Agreement through March 31, 2026, and (ii) remove certain financial covenant tests under the Term Loan, provided that we maintain cash and cash equivalents equal to at least $2.5 million through such date.</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Pursuant to the Fifth Amendment, we agreed to make certain mandatory prepayments on the Term Loan upon the occurrence of certain events. We are obligated to make a mandatory prepayment of the term loan equal to (i) 100% of the net cash proceeds of certain equity issuances by us made on or after the announcement of a Change of Control (as defined in the Term Loan Agreement), and (ii) 20% of the net cash proceeds of certain equity issuances by us made prior to the announcement of a Change of Control.</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In connection with the entry into the Fifth Amendment, we issued to the Term Loan Lenders 330,000 February 2025 Penny Warrants to purchase shares of our common stock at an exercise price of $0.01 per share on the date of the Initial Closing in connection with the waiver of the antidilution provisions in the existing penny warrants held by the Term Loan Lenders with respect to the shares of Series A Preferred Stock issued at the closing of the Registered Direct Offering and the initial closing of the Private Placement. We also agreed to increase the number of shares subject to the Warrant Issuance Shareholder Approval (as defined in the Term Loan Agreement) from 1,400,000 to 3,130,000. Further, we and the Term Loan Lenders agreed to waive the antidilution provisions in the existing penny warrants held by the Lenders with respect to the Private Placement Warrants issued at the initial closing of the Private Placement and the shares of Series A Preferred Stock issued at the Second Closing on the condition that we will issue to the Term Loan Lenders a number of penny warrants which will be determined by the parties within five (5) trading days after the end of each fiscal quarter after the Second Closing.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5"/>
        </w:trPr>
        <w:tc>
          <w:tcPr>
            <w:tcW w:w="8960" w:type="dxa"/>
            <w:vAlign w:val="bottom"/>
            <w:gridSpan w:val="34"/>
          </w:tcPr>
          <w:p>
            <w:pPr>
              <w:spacing w:after="0"/>
              <w:rPr>
                <w:sz w:val="20"/>
                <w:szCs w:val="20"/>
                <w:color w:val="auto"/>
              </w:rPr>
            </w:pPr>
            <w:r>
              <w:rPr>
                <w:rFonts w:ascii="Times New Roman" w:cs="Times New Roman" w:eastAsia="Times New Roman" w:hAnsi="Times New Roman"/>
                <w:sz w:val="16"/>
                <w:szCs w:val="16"/>
                <w:b w:val="1"/>
                <w:bCs w:val="1"/>
                <w:color w:val="auto"/>
              </w:rPr>
              <w:t>Item 16. Exhibits and Financial Statement Schedules.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560" w:type="dxa"/>
            <w:vAlign w:val="bottom"/>
          </w:tcPr>
          <w:p>
            <w:pPr>
              <w:spacing w:after="0"/>
              <w:rPr>
                <w:sz w:val="24"/>
                <w:szCs w:val="24"/>
                <w:color w:val="auto"/>
              </w:rPr>
            </w:pPr>
          </w:p>
        </w:tc>
        <w:tc>
          <w:tcPr>
            <w:tcW w:w="8400" w:type="dxa"/>
            <w:vAlign w:val="bottom"/>
            <w:gridSpan w:val="33"/>
          </w:tcPr>
          <w:p>
            <w:pPr>
              <w:spacing w:after="0"/>
              <w:rPr>
                <w:sz w:val="20"/>
                <w:szCs w:val="20"/>
                <w:color w:val="auto"/>
              </w:rPr>
            </w:pPr>
            <w:r>
              <w:rPr>
                <w:rFonts w:ascii="Times New Roman" w:cs="Times New Roman" w:eastAsia="Times New Roman" w:hAnsi="Times New Roman"/>
                <w:sz w:val="16"/>
                <w:szCs w:val="16"/>
                <w:color w:val="auto"/>
              </w:rPr>
              <w:t>(a) Exhibits: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160"/>
        </w:trPr>
        <w:tc>
          <w:tcPr>
            <w:tcW w:w="5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4"/>
              </w:rPr>
              <w:t>Filing</w:t>
            </w:r>
          </w:p>
        </w:tc>
        <w:tc>
          <w:tcPr>
            <w:tcW w:w="0" w:type="dxa"/>
            <w:vAlign w:val="bottom"/>
          </w:tcPr>
          <w:p>
            <w:pPr>
              <w:spacing w:after="0"/>
              <w:rPr>
                <w:sz w:val="1"/>
                <w:szCs w:val="1"/>
                <w:color w:val="auto"/>
              </w:rPr>
            </w:pPr>
          </w:p>
        </w:tc>
      </w:tr>
      <w:tr>
        <w:trPr>
          <w:trHeight w:val="205"/>
        </w:trPr>
        <w:tc>
          <w:tcPr>
            <w:tcW w:w="5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 .</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0" w:type="dxa"/>
            <w:vAlign w:val="bottom"/>
            <w:gridSpan w:val="14"/>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144"/>
        </w:trPr>
        <w:tc>
          <w:tcPr>
            <w:tcW w:w="56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8060" w:type="dxa"/>
            <w:vAlign w:val="bottom"/>
            <w:tcBorders>
              <w:top w:val="single" w:sz="8" w:color="auto"/>
              <w:bottom w:val="single" w:sz="8" w:color="0000EE"/>
            </w:tcBorders>
            <w:gridSpan w:val="26"/>
          </w:tcPr>
          <w:p>
            <w:pPr>
              <w:spacing w:after="0" w:line="144" w:lineRule="exact"/>
              <w:rPr>
                <w:rFonts w:ascii="Times New Roman" w:cs="Times New Roman" w:eastAsia="Times New Roman" w:hAnsi="Times New Roman"/>
                <w:sz w:val="16"/>
                <w:szCs w:val="16"/>
                <w:color w:val="0000EE"/>
              </w:rPr>
            </w:pPr>
            <w:hyperlink r:id="rId244">
              <w:r>
                <w:rPr>
                  <w:rFonts w:ascii="Times New Roman" w:cs="Times New Roman" w:eastAsia="Times New Roman" w:hAnsi="Times New Roman"/>
                  <w:sz w:val="16"/>
                  <w:szCs w:val="16"/>
                  <w:color w:val="0000EE"/>
                </w:rPr>
                <w:t>Agreement and Plan of Merger, dated as of May 15, 2022, by and among Dragonfly Energy Holdings Corp. (f/k/a Chardan</w:t>
              </w:r>
            </w:hyperlink>
          </w:p>
        </w:tc>
        <w:tc>
          <w:tcPr>
            <w:tcW w:w="80" w:type="dxa"/>
            <w:vAlign w:val="bottom"/>
            <w:tcBorders>
              <w:top w:val="single" w:sz="8" w:color="auto"/>
            </w:tcBorders>
            <w:gridSpan w:val="4"/>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6"/>
                <w:szCs w:val="16"/>
                <w:color w:val="auto"/>
                <w:w w:val="98"/>
              </w:rPr>
              <w:t>S-4</w:t>
            </w:r>
          </w:p>
        </w:tc>
        <w:tc>
          <w:tcPr>
            <w:tcW w:w="180" w:type="dxa"/>
            <w:vAlign w:val="bottom"/>
          </w:tcPr>
          <w:p>
            <w:pPr>
              <w:spacing w:after="0"/>
              <w:rPr>
                <w:sz w:val="12"/>
                <w:szCs w:val="12"/>
                <w:color w:val="auto"/>
              </w:rPr>
            </w:pPr>
          </w:p>
        </w:tc>
        <w:tc>
          <w:tcPr>
            <w:tcW w:w="56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6"/>
                <w:szCs w:val="16"/>
                <w:color w:val="auto"/>
                <w:w w:val="89"/>
              </w:rPr>
              <w:t>2.1</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6"/>
                <w:szCs w:val="16"/>
                <w:color w:val="auto"/>
                <w:w w:val="95"/>
              </w:rPr>
              <w:t>07/22/2022</w:t>
            </w: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120" w:type="dxa"/>
            <w:vAlign w:val="bottom"/>
            <w:tcBorders>
              <w:bottom w:val="single" w:sz="8" w:color="0000EE"/>
            </w:tcBorders>
            <w:gridSpan w:val="29"/>
          </w:tcPr>
          <w:p>
            <w:pPr>
              <w:spacing w:after="0" w:line="167" w:lineRule="exact"/>
              <w:rPr>
                <w:rFonts w:ascii="Times New Roman" w:cs="Times New Roman" w:eastAsia="Times New Roman" w:hAnsi="Times New Roman"/>
                <w:sz w:val="16"/>
                <w:szCs w:val="16"/>
                <w:color w:val="0000EE"/>
              </w:rPr>
            </w:pPr>
            <w:hyperlink r:id="rId244">
              <w:r>
                <w:rPr>
                  <w:rFonts w:ascii="Times New Roman" w:cs="Times New Roman" w:eastAsia="Times New Roman" w:hAnsi="Times New Roman"/>
                  <w:sz w:val="16"/>
                  <w:szCs w:val="16"/>
                  <w:color w:val="0000EE"/>
                </w:rPr>
                <w:t>NexTech Acquisition 2 Corp.), Bronco Merger Sub, Inc. and Dragonfly Energy Corp. (included as Annex A to the proxy</w:t>
              </w:r>
            </w:hyperlink>
          </w:p>
        </w:tc>
        <w:tc>
          <w:tcPr>
            <w:tcW w:w="120" w:type="dxa"/>
            <w:vAlign w:val="bottom"/>
            <w:gridSpan w:val="3"/>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bottom w:val="single" w:sz="8" w:color="0000EE"/>
            </w:tcBorders>
            <w:gridSpan w:val="4"/>
          </w:tcPr>
          <w:p>
            <w:pPr>
              <w:spacing w:after="0" w:line="167" w:lineRule="exact"/>
              <w:rPr>
                <w:rFonts w:ascii="Times New Roman" w:cs="Times New Roman" w:eastAsia="Times New Roman" w:hAnsi="Times New Roman"/>
                <w:sz w:val="16"/>
                <w:szCs w:val="16"/>
                <w:color w:val="0000EE"/>
                <w:w w:val="96"/>
              </w:rPr>
            </w:pPr>
            <w:hyperlink r:id="rId244">
              <w:r>
                <w:rPr>
                  <w:rFonts w:ascii="Times New Roman" w:cs="Times New Roman" w:eastAsia="Times New Roman" w:hAnsi="Times New Roman"/>
                  <w:sz w:val="16"/>
                  <w:szCs w:val="16"/>
                  <w:color w:val="0000EE"/>
                  <w:w w:val="96"/>
                </w:rPr>
                <w:t>statement/prospectus).</w:t>
              </w:r>
            </w:hyperlink>
          </w:p>
        </w:tc>
        <w:tc>
          <w:tcPr>
            <w:tcW w:w="6840" w:type="dxa"/>
            <w:vAlign w:val="bottom"/>
            <w:gridSpan w:val="28"/>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4"/>
                <w:szCs w:val="14"/>
                <w:color w:val="auto"/>
              </w:rPr>
            </w:pPr>
          </w:p>
        </w:tc>
        <w:tc>
          <w:tcPr>
            <w:tcW w:w="8120" w:type="dxa"/>
            <w:vAlign w:val="bottom"/>
            <w:tcBorders>
              <w:bottom w:val="single" w:sz="8" w:color="0000EE"/>
            </w:tcBorders>
            <w:gridSpan w:val="29"/>
          </w:tcPr>
          <w:p>
            <w:pPr>
              <w:spacing w:after="0" w:line="167" w:lineRule="exact"/>
              <w:rPr>
                <w:rFonts w:ascii="Times New Roman" w:cs="Times New Roman" w:eastAsia="Times New Roman" w:hAnsi="Times New Roman"/>
                <w:sz w:val="16"/>
                <w:szCs w:val="16"/>
                <w:color w:val="0000EE"/>
                <w:w w:val="97"/>
              </w:rPr>
            </w:pPr>
            <w:hyperlink r:id="rId245">
              <w:r>
                <w:rPr>
                  <w:rFonts w:ascii="Times New Roman" w:cs="Times New Roman" w:eastAsia="Times New Roman" w:hAnsi="Times New Roman"/>
                  <w:sz w:val="16"/>
                  <w:szCs w:val="16"/>
                  <w:color w:val="0000EE"/>
                  <w:w w:val="97"/>
                </w:rPr>
                <w:t>Amendment to Agreement and Plan of Merger, dated as of July 12, 2022, by and among Dragonfly Energy Holdings Corp. (f/k/a</w:t>
              </w:r>
            </w:hyperlink>
          </w:p>
        </w:tc>
        <w:tc>
          <w:tcPr>
            <w:tcW w:w="120" w:type="dxa"/>
            <w:vAlign w:val="bottom"/>
            <w:gridSpan w:val="3"/>
          </w:tcPr>
          <w:p>
            <w:pPr>
              <w:spacing w:after="0"/>
              <w:rPr>
                <w:sz w:val="14"/>
                <w:szCs w:val="14"/>
                <w:color w:val="auto"/>
              </w:rPr>
            </w:pPr>
          </w:p>
        </w:tc>
        <w:tc>
          <w:tcPr>
            <w:tcW w:w="740" w:type="dxa"/>
            <w:vAlign w:val="bottom"/>
            <w:gridSpan w:val="2"/>
          </w:tcPr>
          <w:p>
            <w:pPr>
              <w:jc w:val="center"/>
              <w:ind w:right="160"/>
              <w:spacing w:after="0" w:line="167" w:lineRule="exact"/>
              <w:rPr>
                <w:sz w:val="20"/>
                <w:szCs w:val="20"/>
                <w:color w:val="auto"/>
              </w:rPr>
            </w:pPr>
            <w:r>
              <w:rPr>
                <w:rFonts w:ascii="Times New Roman" w:cs="Times New Roman" w:eastAsia="Times New Roman" w:hAnsi="Times New Roman"/>
                <w:sz w:val="16"/>
                <w:szCs w:val="16"/>
                <w:color w:val="auto"/>
                <w:w w:val="98"/>
              </w:rPr>
              <w:t>S-4</w:t>
            </w:r>
          </w:p>
        </w:tc>
        <w:tc>
          <w:tcPr>
            <w:tcW w:w="72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rPr>
              <w:t>2.1(a)</w:t>
            </w: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07/22/2022</w:t>
            </w: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40" w:type="dxa"/>
            <w:vAlign w:val="bottom"/>
            <w:gridSpan w:val="32"/>
          </w:tcPr>
          <w:p>
            <w:pPr>
              <w:spacing w:after="0" w:line="167" w:lineRule="exact"/>
              <w:rPr>
                <w:rFonts w:ascii="Times New Roman" w:cs="Times New Roman" w:eastAsia="Times New Roman" w:hAnsi="Times New Roman"/>
                <w:sz w:val="16"/>
                <w:szCs w:val="16"/>
                <w:color w:val="0000EE"/>
              </w:rPr>
            </w:pPr>
            <w:hyperlink r:id="rId245">
              <w:r>
                <w:rPr>
                  <w:rFonts w:ascii="Times New Roman" w:cs="Times New Roman" w:eastAsia="Times New Roman" w:hAnsi="Times New Roman"/>
                  <w:sz w:val="16"/>
                  <w:szCs w:val="16"/>
                  <w:color w:val="0000EE"/>
                </w:rPr>
                <w:t>Chardan NexTech Acquisition 2 Corp.), Bronco Merger Sub, Inc. and Dragonfly Energy Corp.</w:t>
              </w:r>
            </w:hyperlink>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14"/>
                <w:szCs w:val="14"/>
                <w:color w:val="auto"/>
              </w:rPr>
            </w:pPr>
          </w:p>
        </w:tc>
        <w:tc>
          <w:tcPr>
            <w:tcW w:w="1240" w:type="dxa"/>
            <w:vAlign w:val="bottom"/>
            <w:tcBorders>
              <w:top w:val="single" w:sz="8" w:color="0000EE"/>
              <w:bottom w:val="single" w:sz="8" w:color="0000EE"/>
            </w:tcBorders>
            <w:gridSpan w:val="2"/>
          </w:tcPr>
          <w:p>
            <w:pPr>
              <w:spacing w:after="0" w:line="167" w:lineRule="exact"/>
              <w:rPr>
                <w:rFonts w:ascii="Times New Roman" w:cs="Times New Roman" w:eastAsia="Times New Roman" w:hAnsi="Times New Roman"/>
                <w:sz w:val="16"/>
                <w:szCs w:val="16"/>
                <w:color w:val="0000EE"/>
                <w:w w:val="95"/>
              </w:rPr>
            </w:pPr>
            <w:hyperlink r:id="rId246">
              <w:r>
                <w:rPr>
                  <w:rFonts w:ascii="Times New Roman" w:cs="Times New Roman" w:eastAsia="Times New Roman" w:hAnsi="Times New Roman"/>
                  <w:sz w:val="16"/>
                  <w:szCs w:val="16"/>
                  <w:color w:val="0000EE"/>
                  <w:w w:val="95"/>
                </w:rPr>
                <w:t>Plan of Conversion.</w:t>
              </w:r>
            </w:hyperlink>
          </w:p>
        </w:tc>
        <w:tc>
          <w:tcPr>
            <w:tcW w:w="4640" w:type="dxa"/>
            <w:vAlign w:val="bottom"/>
            <w:tcBorders>
              <w:top w:val="single" w:sz="8" w:color="0000EE"/>
            </w:tcBorders>
            <w:gridSpan w:val="22"/>
          </w:tcPr>
          <w:p>
            <w:pPr>
              <w:spacing w:after="0"/>
              <w:rPr>
                <w:sz w:val="14"/>
                <w:szCs w:val="14"/>
                <w:color w:val="auto"/>
              </w:rPr>
            </w:pPr>
          </w:p>
        </w:tc>
        <w:tc>
          <w:tcPr>
            <w:tcW w:w="2360" w:type="dxa"/>
            <w:vAlign w:val="bottom"/>
            <w:gridSpan w:val="8"/>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2.1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03/31/2023</w:t>
            </w: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3.1</w:t>
            </w:r>
          </w:p>
        </w:tc>
        <w:tc>
          <w:tcPr>
            <w:tcW w:w="160" w:type="dxa"/>
            <w:vAlign w:val="bottom"/>
          </w:tcPr>
          <w:p>
            <w:pPr>
              <w:spacing w:after="0"/>
              <w:rPr>
                <w:sz w:val="14"/>
                <w:szCs w:val="14"/>
                <w:color w:val="auto"/>
              </w:rPr>
            </w:pPr>
          </w:p>
        </w:tc>
        <w:tc>
          <w:tcPr>
            <w:tcW w:w="3880" w:type="dxa"/>
            <w:vAlign w:val="bottom"/>
            <w:tcBorders>
              <w:bottom w:val="single" w:sz="8" w:color="0000EE"/>
            </w:tcBorders>
            <w:gridSpan w:val="20"/>
          </w:tcPr>
          <w:p>
            <w:pPr>
              <w:spacing w:after="0" w:line="167" w:lineRule="exact"/>
              <w:rPr>
                <w:rFonts w:ascii="Times New Roman" w:cs="Times New Roman" w:eastAsia="Times New Roman" w:hAnsi="Times New Roman"/>
                <w:sz w:val="16"/>
                <w:szCs w:val="16"/>
                <w:color w:val="0000EE"/>
                <w:w w:val="96"/>
              </w:rPr>
            </w:pPr>
            <w:hyperlink r:id="rId247">
              <w:r>
                <w:rPr>
                  <w:rFonts w:ascii="Times New Roman" w:cs="Times New Roman" w:eastAsia="Times New Roman" w:hAnsi="Times New Roman"/>
                  <w:sz w:val="16"/>
                  <w:szCs w:val="16"/>
                  <w:color w:val="0000EE"/>
                  <w:w w:val="96"/>
                </w:rPr>
                <w:t>Articles of Incorporation of Dragonfly Energy Holdings Corp.</w:t>
              </w:r>
            </w:hyperlink>
          </w:p>
        </w:tc>
        <w:tc>
          <w:tcPr>
            <w:tcW w:w="4360" w:type="dxa"/>
            <w:vAlign w:val="bottom"/>
            <w:gridSpan w:val="12"/>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3.1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03/31/2023</w:t>
            </w: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4"/>
                <w:szCs w:val="14"/>
                <w:color w:val="auto"/>
              </w:rPr>
            </w:pPr>
          </w:p>
        </w:tc>
        <w:tc>
          <w:tcPr>
            <w:tcW w:w="8240" w:type="dxa"/>
            <w:vAlign w:val="bottom"/>
            <w:gridSpan w:val="32"/>
          </w:tcPr>
          <w:p>
            <w:pPr>
              <w:spacing w:after="0" w:line="167" w:lineRule="exact"/>
              <w:rPr>
                <w:rFonts w:ascii="Times New Roman" w:cs="Times New Roman" w:eastAsia="Times New Roman" w:hAnsi="Times New Roman"/>
                <w:sz w:val="16"/>
                <w:szCs w:val="16"/>
                <w:color w:val="0000EE"/>
              </w:rPr>
            </w:pPr>
            <w:hyperlink r:id="rId248">
              <w:r>
                <w:rPr>
                  <w:rFonts w:ascii="Times New Roman" w:cs="Times New Roman" w:eastAsia="Times New Roman" w:hAnsi="Times New Roman"/>
                  <w:sz w:val="16"/>
                  <w:szCs w:val="16"/>
                  <w:color w:val="0000EE"/>
                </w:rPr>
                <w:t>Certificate of Amendment to the Articles of Incorporation of Dragonfly Energy Holdings Corp., dated November 29, 2023.</w:t>
              </w:r>
            </w:hyperlink>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3.1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11/29/2023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14"/>
                <w:szCs w:val="14"/>
                <w:color w:val="auto"/>
              </w:rPr>
            </w:pPr>
          </w:p>
        </w:tc>
        <w:tc>
          <w:tcPr>
            <w:tcW w:w="8140" w:type="dxa"/>
            <w:vAlign w:val="bottom"/>
            <w:tcBorders>
              <w:bottom w:val="single" w:sz="8" w:color="0000EE"/>
            </w:tcBorders>
            <w:gridSpan w:val="30"/>
          </w:tcPr>
          <w:p>
            <w:pPr>
              <w:spacing w:after="0" w:line="167" w:lineRule="exact"/>
              <w:rPr>
                <w:rFonts w:ascii="Times New Roman" w:cs="Times New Roman" w:eastAsia="Times New Roman" w:hAnsi="Times New Roman"/>
                <w:sz w:val="16"/>
                <w:szCs w:val="16"/>
                <w:color w:val="0000EE"/>
              </w:rPr>
            </w:pPr>
            <w:hyperlink r:id="rId249">
              <w:r>
                <w:rPr>
                  <w:rFonts w:ascii="Times New Roman" w:cs="Times New Roman" w:eastAsia="Times New Roman" w:hAnsi="Times New Roman"/>
                  <w:sz w:val="16"/>
                  <w:szCs w:val="16"/>
                  <w:color w:val="0000EE"/>
                </w:rPr>
                <w:t>Certificate of Amendment to the Articles of Incorporation of Dragonfly Energy Holdings Corp., as filed with the Secretary of</w:t>
              </w:r>
            </w:hyperlink>
          </w:p>
        </w:tc>
        <w:tc>
          <w:tcPr>
            <w:tcW w:w="100" w:type="dxa"/>
            <w:vAlign w:val="bottom"/>
            <w:gridSpan w:val="2"/>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3.1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11/22/2024</w:t>
            </w: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40" w:type="dxa"/>
            <w:vAlign w:val="bottom"/>
            <w:gridSpan w:val="32"/>
          </w:tcPr>
          <w:p>
            <w:pPr>
              <w:spacing w:after="0" w:line="167" w:lineRule="exact"/>
              <w:rPr>
                <w:rFonts w:ascii="Times New Roman" w:cs="Times New Roman" w:eastAsia="Times New Roman" w:hAnsi="Times New Roman"/>
                <w:sz w:val="16"/>
                <w:szCs w:val="16"/>
                <w:color w:val="0000EE"/>
              </w:rPr>
            </w:pPr>
            <w:hyperlink r:id="rId249">
              <w:r>
                <w:rPr>
                  <w:rFonts w:ascii="Times New Roman" w:cs="Times New Roman" w:eastAsia="Times New Roman" w:hAnsi="Times New Roman"/>
                  <w:sz w:val="16"/>
                  <w:szCs w:val="16"/>
                  <w:color w:val="0000EE"/>
                </w:rPr>
                <w:t>State of the State of Nevada, dated November 19, 2024.</w:t>
              </w:r>
            </w:hyperlink>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4"/>
                <w:szCs w:val="14"/>
                <w:color w:val="auto"/>
              </w:rPr>
            </w:pPr>
          </w:p>
        </w:tc>
        <w:tc>
          <w:tcPr>
            <w:tcW w:w="2800" w:type="dxa"/>
            <w:vAlign w:val="bottom"/>
            <w:tcBorders>
              <w:top w:val="single" w:sz="8" w:color="0000EE"/>
              <w:bottom w:val="single" w:sz="8" w:color="0000EE"/>
            </w:tcBorders>
            <w:gridSpan w:val="14"/>
          </w:tcPr>
          <w:p>
            <w:pPr>
              <w:spacing w:after="0" w:line="167" w:lineRule="exact"/>
              <w:rPr>
                <w:rFonts w:ascii="Times New Roman" w:cs="Times New Roman" w:eastAsia="Times New Roman" w:hAnsi="Times New Roman"/>
                <w:sz w:val="16"/>
                <w:szCs w:val="16"/>
                <w:color w:val="0000EE"/>
                <w:w w:val="96"/>
              </w:rPr>
            </w:pPr>
            <w:hyperlink r:id="rId250">
              <w:r>
                <w:rPr>
                  <w:rFonts w:ascii="Times New Roman" w:cs="Times New Roman" w:eastAsia="Times New Roman" w:hAnsi="Times New Roman"/>
                  <w:sz w:val="16"/>
                  <w:szCs w:val="16"/>
                  <w:color w:val="0000EE"/>
                  <w:w w:val="96"/>
                </w:rPr>
                <w:t>Bylaws of Dragonfly Energy Holdings Corp.</w:t>
              </w:r>
            </w:hyperlink>
          </w:p>
        </w:tc>
        <w:tc>
          <w:tcPr>
            <w:tcW w:w="660" w:type="dxa"/>
            <w:vAlign w:val="bottom"/>
            <w:tcBorders>
              <w:top w:val="single" w:sz="8" w:color="0000EE"/>
            </w:tcBorders>
            <w:gridSpan w:val="2"/>
          </w:tcPr>
          <w:p>
            <w:pPr>
              <w:spacing w:after="0"/>
              <w:rPr>
                <w:sz w:val="14"/>
                <w:szCs w:val="14"/>
                <w:color w:val="auto"/>
              </w:rPr>
            </w:pPr>
          </w:p>
        </w:tc>
        <w:tc>
          <w:tcPr>
            <w:tcW w:w="4780" w:type="dxa"/>
            <w:vAlign w:val="bottom"/>
            <w:gridSpan w:val="16"/>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3.2</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03/31/2023</w:t>
            </w: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4"/>
                <w:szCs w:val="14"/>
                <w:color w:val="auto"/>
              </w:rPr>
            </w:pPr>
          </w:p>
        </w:tc>
        <w:tc>
          <w:tcPr>
            <w:tcW w:w="8120" w:type="dxa"/>
            <w:vAlign w:val="bottom"/>
            <w:tcBorders>
              <w:bottom w:val="single" w:sz="8" w:color="0000EE"/>
            </w:tcBorders>
            <w:gridSpan w:val="29"/>
          </w:tcPr>
          <w:p>
            <w:pPr>
              <w:spacing w:after="0" w:line="167" w:lineRule="exact"/>
              <w:rPr>
                <w:rFonts w:ascii="Times New Roman" w:cs="Times New Roman" w:eastAsia="Times New Roman" w:hAnsi="Times New Roman"/>
                <w:sz w:val="16"/>
                <w:szCs w:val="16"/>
                <w:color w:val="0000EE"/>
              </w:rPr>
            </w:pPr>
            <w:hyperlink r:id="rId251">
              <w:r>
                <w:rPr>
                  <w:rFonts w:ascii="Times New Roman" w:cs="Times New Roman" w:eastAsia="Times New Roman" w:hAnsi="Times New Roman"/>
                  <w:sz w:val="16"/>
                  <w:szCs w:val="16"/>
                  <w:color w:val="0000EE"/>
                </w:rPr>
                <w:t>Certificate of Designation of the Powers, Preferences and Relative, Participating, Optional and Other Restrictions of Series A</w:t>
              </w:r>
            </w:hyperlink>
          </w:p>
        </w:tc>
        <w:tc>
          <w:tcPr>
            <w:tcW w:w="120" w:type="dxa"/>
            <w:vAlign w:val="bottom"/>
            <w:gridSpan w:val="3"/>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3.1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02/27/2025</w:t>
            </w: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80" w:type="dxa"/>
            <w:vAlign w:val="bottom"/>
            <w:tcBorders>
              <w:bottom w:val="single" w:sz="8" w:color="0000EE"/>
            </w:tcBorders>
            <w:gridSpan w:val="21"/>
          </w:tcPr>
          <w:p>
            <w:pPr>
              <w:spacing w:after="0" w:line="167" w:lineRule="exact"/>
              <w:rPr>
                <w:rFonts w:ascii="Times New Roman" w:cs="Times New Roman" w:eastAsia="Times New Roman" w:hAnsi="Times New Roman"/>
                <w:sz w:val="16"/>
                <w:szCs w:val="16"/>
                <w:color w:val="0000EE"/>
                <w:w w:val="96"/>
              </w:rPr>
            </w:pPr>
            <w:hyperlink r:id="rId251">
              <w:r>
                <w:rPr>
                  <w:rFonts w:ascii="Times New Roman" w:cs="Times New Roman" w:eastAsia="Times New Roman" w:hAnsi="Times New Roman"/>
                  <w:sz w:val="16"/>
                  <w:szCs w:val="16"/>
                  <w:color w:val="0000EE"/>
                  <w:w w:val="96"/>
                </w:rPr>
                <w:t>Convertible Preferred Stock of Dragonfly Energy Holdings Corp.</w:t>
              </w:r>
            </w:hyperlink>
          </w:p>
        </w:tc>
        <w:tc>
          <w:tcPr>
            <w:tcW w:w="4160" w:type="dxa"/>
            <w:vAlign w:val="bottom"/>
            <w:gridSpan w:val="11"/>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spacing w:after="0"/>
              <w:rPr>
                <w:sz w:val="14"/>
                <w:szCs w:val="14"/>
                <w:color w:val="auto"/>
              </w:rPr>
            </w:pPr>
          </w:p>
        </w:tc>
        <w:tc>
          <w:tcPr>
            <w:tcW w:w="8240" w:type="dxa"/>
            <w:vAlign w:val="bottom"/>
            <w:gridSpan w:val="32"/>
          </w:tcPr>
          <w:p>
            <w:pPr>
              <w:spacing w:after="0" w:line="167" w:lineRule="exact"/>
              <w:rPr>
                <w:rFonts w:ascii="Times New Roman" w:cs="Times New Roman" w:eastAsia="Times New Roman" w:hAnsi="Times New Roman"/>
                <w:sz w:val="16"/>
                <w:szCs w:val="16"/>
                <w:color w:val="0000EE"/>
              </w:rPr>
            </w:pPr>
            <w:hyperlink r:id="rId252">
              <w:r>
                <w:rPr>
                  <w:rFonts w:ascii="Times New Roman" w:cs="Times New Roman" w:eastAsia="Times New Roman" w:hAnsi="Times New Roman"/>
                  <w:sz w:val="16"/>
                  <w:szCs w:val="16"/>
                  <w:color w:val="0000EE"/>
                </w:rPr>
                <w:t>Specimen Common Stock Certificate of Dragonfly Energy Holdings Corp.</w:t>
              </w:r>
            </w:hyperlink>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10/11/2022</w:t>
            </w: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4.2</w:t>
            </w:r>
          </w:p>
        </w:tc>
        <w:tc>
          <w:tcPr>
            <w:tcW w:w="160" w:type="dxa"/>
            <w:vAlign w:val="bottom"/>
          </w:tcPr>
          <w:p>
            <w:pPr>
              <w:spacing w:after="0"/>
              <w:rPr>
                <w:sz w:val="14"/>
                <w:szCs w:val="14"/>
                <w:color w:val="auto"/>
              </w:rPr>
            </w:pPr>
          </w:p>
        </w:tc>
        <w:tc>
          <w:tcPr>
            <w:tcW w:w="4640" w:type="dxa"/>
            <w:vAlign w:val="bottom"/>
            <w:tcBorders>
              <w:top w:val="single" w:sz="8" w:color="0000EE"/>
            </w:tcBorders>
            <w:gridSpan w:val="23"/>
          </w:tcPr>
          <w:p>
            <w:pPr>
              <w:spacing w:after="0" w:line="167" w:lineRule="exact"/>
              <w:rPr>
                <w:rFonts w:ascii="Times New Roman" w:cs="Times New Roman" w:eastAsia="Times New Roman" w:hAnsi="Times New Roman"/>
                <w:sz w:val="16"/>
                <w:szCs w:val="16"/>
                <w:color w:val="0000EE"/>
              </w:rPr>
            </w:pPr>
            <w:hyperlink r:id="rId253">
              <w:r>
                <w:rPr>
                  <w:rFonts w:ascii="Times New Roman" w:cs="Times New Roman" w:eastAsia="Times New Roman" w:hAnsi="Times New Roman"/>
                  <w:sz w:val="16"/>
                  <w:szCs w:val="16"/>
                  <w:color w:val="0000EE"/>
                </w:rPr>
                <w:t xml:space="preserve">Form of </w:t>
              </w:r>
              <w:r>
                <w:rPr>
                  <w:rFonts w:ascii="Times New Roman" w:cs="Times New Roman" w:eastAsia="Times New Roman" w:hAnsi="Times New Roman"/>
                  <w:sz w:val="16"/>
                  <w:szCs w:val="16"/>
                  <w:u w:val="single" w:color="auto"/>
                  <w:color w:val="0000EE"/>
                </w:rPr>
                <w:t>$</w:t>
              </w:r>
              <w:r>
                <w:rPr>
                  <w:rFonts w:ascii="Times New Roman" w:cs="Times New Roman" w:eastAsia="Times New Roman" w:hAnsi="Times New Roman"/>
                  <w:sz w:val="16"/>
                  <w:szCs w:val="16"/>
                  <w:color w:val="0000EE"/>
                </w:rPr>
                <w:t>10 Warrant of Dragonfly Energy Holdings Corp.</w:t>
              </w:r>
            </w:hyperlink>
          </w:p>
        </w:tc>
        <w:tc>
          <w:tcPr>
            <w:tcW w:w="3600" w:type="dxa"/>
            <w:vAlign w:val="bottom"/>
            <w:gridSpan w:val="9"/>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4.2</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10/11/2022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4.3</w:t>
            </w:r>
          </w:p>
        </w:tc>
        <w:tc>
          <w:tcPr>
            <w:tcW w:w="160" w:type="dxa"/>
            <w:vAlign w:val="bottom"/>
          </w:tcPr>
          <w:p>
            <w:pPr>
              <w:spacing w:after="0"/>
              <w:rPr>
                <w:sz w:val="14"/>
                <w:szCs w:val="14"/>
                <w:color w:val="auto"/>
              </w:rPr>
            </w:pPr>
          </w:p>
        </w:tc>
        <w:tc>
          <w:tcPr>
            <w:tcW w:w="3800" w:type="dxa"/>
            <w:vAlign w:val="bottom"/>
            <w:tcBorders>
              <w:bottom w:val="single" w:sz="8" w:color="0000EE"/>
            </w:tcBorders>
            <w:gridSpan w:val="19"/>
          </w:tcPr>
          <w:p>
            <w:pPr>
              <w:spacing w:after="0" w:line="167" w:lineRule="exact"/>
              <w:rPr>
                <w:rFonts w:ascii="Times New Roman" w:cs="Times New Roman" w:eastAsia="Times New Roman" w:hAnsi="Times New Roman"/>
                <w:sz w:val="16"/>
                <w:szCs w:val="16"/>
                <w:color w:val="0000EE"/>
                <w:w w:val="96"/>
              </w:rPr>
            </w:pPr>
            <w:hyperlink r:id="rId254">
              <w:r>
                <w:rPr>
                  <w:rFonts w:ascii="Times New Roman" w:cs="Times New Roman" w:eastAsia="Times New Roman" w:hAnsi="Times New Roman"/>
                  <w:sz w:val="16"/>
                  <w:szCs w:val="16"/>
                  <w:color w:val="0000EE"/>
                  <w:w w:val="96"/>
                </w:rPr>
                <w:t>Form of Penny Warrant of Dragonfly Energy Holdings Corp.</w:t>
              </w:r>
            </w:hyperlink>
          </w:p>
        </w:tc>
        <w:tc>
          <w:tcPr>
            <w:tcW w:w="4440" w:type="dxa"/>
            <w:vAlign w:val="bottom"/>
            <w:gridSpan w:val="13"/>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4.3</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10/11/2022</w:t>
            </w: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4.4</w:t>
            </w:r>
          </w:p>
        </w:tc>
        <w:tc>
          <w:tcPr>
            <w:tcW w:w="160" w:type="dxa"/>
            <w:vAlign w:val="bottom"/>
          </w:tcPr>
          <w:p>
            <w:pPr>
              <w:spacing w:after="0"/>
              <w:rPr>
                <w:sz w:val="14"/>
                <w:szCs w:val="14"/>
                <w:color w:val="auto"/>
              </w:rPr>
            </w:pPr>
          </w:p>
        </w:tc>
        <w:tc>
          <w:tcPr>
            <w:tcW w:w="8120" w:type="dxa"/>
            <w:vAlign w:val="bottom"/>
            <w:tcBorders>
              <w:bottom w:val="single" w:sz="8" w:color="0000EE"/>
            </w:tcBorders>
            <w:gridSpan w:val="29"/>
          </w:tcPr>
          <w:p>
            <w:pPr>
              <w:spacing w:after="0" w:line="167" w:lineRule="exact"/>
              <w:rPr>
                <w:rFonts w:ascii="Times New Roman" w:cs="Times New Roman" w:eastAsia="Times New Roman" w:hAnsi="Times New Roman"/>
                <w:sz w:val="16"/>
                <w:szCs w:val="16"/>
                <w:color w:val="0000EE"/>
                <w:w w:val="99"/>
              </w:rPr>
            </w:pPr>
            <w:hyperlink r:id="rId255">
              <w:r>
                <w:rPr>
                  <w:rFonts w:ascii="Times New Roman" w:cs="Times New Roman" w:eastAsia="Times New Roman" w:hAnsi="Times New Roman"/>
                  <w:sz w:val="16"/>
                  <w:szCs w:val="16"/>
                  <w:color w:val="0000EE"/>
                  <w:w w:val="99"/>
                </w:rPr>
                <w:t>Warrant Agreement, dated as of October 19, 2022, between Dragonfly Energy Holdings Corp. and American Stock Transfer &amp;</w:t>
              </w:r>
            </w:hyperlink>
          </w:p>
        </w:tc>
        <w:tc>
          <w:tcPr>
            <w:tcW w:w="120" w:type="dxa"/>
            <w:vAlign w:val="bottom"/>
            <w:gridSpan w:val="3"/>
          </w:tcPr>
          <w:p>
            <w:pPr>
              <w:spacing w:after="0"/>
              <w:rPr>
                <w:sz w:val="14"/>
                <w:szCs w:val="14"/>
                <w:color w:val="auto"/>
              </w:rPr>
            </w:pPr>
          </w:p>
        </w:tc>
        <w:tc>
          <w:tcPr>
            <w:tcW w:w="740" w:type="dxa"/>
            <w:vAlign w:val="bottom"/>
            <w:gridSpan w:val="2"/>
          </w:tcPr>
          <w:p>
            <w:pPr>
              <w:jc w:val="center"/>
              <w:ind w:right="160"/>
              <w:spacing w:after="0" w:line="167" w:lineRule="exact"/>
              <w:rPr>
                <w:sz w:val="20"/>
                <w:szCs w:val="20"/>
                <w:color w:val="auto"/>
              </w:rPr>
            </w:pPr>
            <w:r>
              <w:rPr>
                <w:rFonts w:ascii="Times New Roman" w:cs="Times New Roman" w:eastAsia="Times New Roman" w:hAnsi="Times New Roman"/>
                <w:sz w:val="16"/>
                <w:szCs w:val="16"/>
                <w:color w:val="auto"/>
                <w:w w:val="98"/>
              </w:rPr>
              <w:t>S-1</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4.4</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10/21/2022</w:t>
            </w: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40" w:type="dxa"/>
            <w:vAlign w:val="bottom"/>
            <w:gridSpan w:val="32"/>
          </w:tcPr>
          <w:p>
            <w:pPr>
              <w:spacing w:after="0" w:line="167" w:lineRule="exact"/>
              <w:rPr>
                <w:rFonts w:ascii="Times New Roman" w:cs="Times New Roman" w:eastAsia="Times New Roman" w:hAnsi="Times New Roman"/>
                <w:sz w:val="16"/>
                <w:szCs w:val="16"/>
                <w:color w:val="0000EE"/>
              </w:rPr>
            </w:pPr>
            <w:hyperlink r:id="rId255">
              <w:r>
                <w:rPr>
                  <w:rFonts w:ascii="Times New Roman" w:cs="Times New Roman" w:eastAsia="Times New Roman" w:hAnsi="Times New Roman"/>
                  <w:sz w:val="16"/>
                  <w:szCs w:val="16"/>
                  <w:color w:val="0000EE"/>
                </w:rPr>
                <w:t>Trust Company, LLC.</w:t>
              </w:r>
            </w:hyperlink>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4.5</w:t>
            </w:r>
          </w:p>
        </w:tc>
        <w:tc>
          <w:tcPr>
            <w:tcW w:w="160" w:type="dxa"/>
            <w:vAlign w:val="bottom"/>
          </w:tcPr>
          <w:p>
            <w:pPr>
              <w:spacing w:after="0"/>
              <w:rPr>
                <w:sz w:val="14"/>
                <w:szCs w:val="14"/>
                <w:color w:val="auto"/>
              </w:rPr>
            </w:pPr>
          </w:p>
        </w:tc>
        <w:tc>
          <w:tcPr>
            <w:tcW w:w="4180" w:type="dxa"/>
            <w:vAlign w:val="bottom"/>
            <w:tcBorders>
              <w:bottom w:val="single" w:sz="8" w:color="0000EE"/>
            </w:tcBorders>
            <w:gridSpan w:val="22"/>
          </w:tcPr>
          <w:p>
            <w:pPr>
              <w:spacing w:after="0" w:line="167" w:lineRule="exact"/>
              <w:rPr>
                <w:rFonts w:ascii="Times New Roman" w:cs="Times New Roman" w:eastAsia="Times New Roman" w:hAnsi="Times New Roman"/>
                <w:sz w:val="16"/>
                <w:szCs w:val="16"/>
                <w:color w:val="0000EE"/>
                <w:w w:val="96"/>
              </w:rPr>
            </w:pPr>
            <w:hyperlink r:id="rId256">
              <w:r>
                <w:rPr>
                  <w:rFonts w:ascii="Times New Roman" w:cs="Times New Roman" w:eastAsia="Times New Roman" w:hAnsi="Times New Roman"/>
                  <w:sz w:val="16"/>
                  <w:szCs w:val="16"/>
                  <w:color w:val="0000EE"/>
                  <w:w w:val="96"/>
                </w:rPr>
                <w:t>Specimen Warrant Certificate of Dragonfly Energy Holdings Corp.</w:t>
              </w:r>
            </w:hyperlink>
          </w:p>
        </w:tc>
        <w:tc>
          <w:tcPr>
            <w:tcW w:w="4060" w:type="dxa"/>
            <w:vAlign w:val="bottom"/>
            <w:gridSpan w:val="10"/>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4.5</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04/17/2023</w:t>
            </w: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4.6</w:t>
            </w:r>
          </w:p>
        </w:tc>
        <w:tc>
          <w:tcPr>
            <w:tcW w:w="160" w:type="dxa"/>
            <w:vAlign w:val="bottom"/>
          </w:tcPr>
          <w:p>
            <w:pPr>
              <w:spacing w:after="0"/>
              <w:rPr>
                <w:sz w:val="14"/>
                <w:szCs w:val="14"/>
                <w:color w:val="auto"/>
              </w:rPr>
            </w:pPr>
          </w:p>
        </w:tc>
        <w:tc>
          <w:tcPr>
            <w:tcW w:w="8240" w:type="dxa"/>
            <w:vAlign w:val="bottom"/>
            <w:gridSpan w:val="32"/>
          </w:tcPr>
          <w:p>
            <w:pPr>
              <w:spacing w:after="0" w:line="167" w:lineRule="exact"/>
              <w:rPr>
                <w:rFonts w:ascii="Times New Roman" w:cs="Times New Roman" w:eastAsia="Times New Roman" w:hAnsi="Times New Roman"/>
                <w:sz w:val="16"/>
                <w:szCs w:val="16"/>
                <w:color w:val="0000EE"/>
              </w:rPr>
            </w:pPr>
            <w:hyperlink r:id="rId257">
              <w:r>
                <w:rPr>
                  <w:rFonts w:ascii="Times New Roman" w:cs="Times New Roman" w:eastAsia="Times New Roman" w:hAnsi="Times New Roman"/>
                  <w:sz w:val="16"/>
                  <w:szCs w:val="16"/>
                  <w:color w:val="0000EE"/>
                </w:rPr>
                <w:t>Promissory Note of the Company, dated March 5, 2023.</w:t>
              </w:r>
            </w:hyperlink>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03/09/2023</w:t>
            </w: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4.7</w:t>
            </w:r>
          </w:p>
        </w:tc>
        <w:tc>
          <w:tcPr>
            <w:tcW w:w="160" w:type="dxa"/>
            <w:vAlign w:val="bottom"/>
          </w:tcPr>
          <w:p>
            <w:pPr>
              <w:spacing w:after="0"/>
              <w:rPr>
                <w:sz w:val="14"/>
                <w:szCs w:val="14"/>
                <w:color w:val="auto"/>
              </w:rPr>
            </w:pPr>
          </w:p>
        </w:tc>
        <w:tc>
          <w:tcPr>
            <w:tcW w:w="1760" w:type="dxa"/>
            <w:vAlign w:val="bottom"/>
            <w:tcBorders>
              <w:top w:val="single" w:sz="8" w:color="0000EE"/>
              <w:bottom w:val="single" w:sz="8" w:color="0000EE"/>
            </w:tcBorders>
            <w:gridSpan w:val="6"/>
          </w:tcPr>
          <w:p>
            <w:pPr>
              <w:spacing w:after="0" w:line="167" w:lineRule="exact"/>
              <w:rPr>
                <w:rFonts w:ascii="Times New Roman" w:cs="Times New Roman" w:eastAsia="Times New Roman" w:hAnsi="Times New Roman"/>
                <w:sz w:val="16"/>
                <w:szCs w:val="16"/>
                <w:color w:val="0000EE"/>
                <w:w w:val="95"/>
              </w:rPr>
            </w:pPr>
            <w:hyperlink r:id="rId258">
              <w:r>
                <w:rPr>
                  <w:rFonts w:ascii="Times New Roman" w:cs="Times New Roman" w:eastAsia="Times New Roman" w:hAnsi="Times New Roman"/>
                  <w:sz w:val="16"/>
                  <w:szCs w:val="16"/>
                  <w:color w:val="0000EE"/>
                  <w:w w:val="95"/>
                </w:rPr>
                <w:t>Form of June 2023 Warrant.</w:t>
              </w:r>
            </w:hyperlink>
          </w:p>
        </w:tc>
        <w:tc>
          <w:tcPr>
            <w:tcW w:w="1720" w:type="dxa"/>
            <w:vAlign w:val="bottom"/>
            <w:tcBorders>
              <w:top w:val="single" w:sz="8" w:color="0000EE"/>
            </w:tcBorders>
            <w:gridSpan w:val="11"/>
          </w:tcPr>
          <w:p>
            <w:pPr>
              <w:spacing w:after="0"/>
              <w:rPr>
                <w:sz w:val="14"/>
                <w:szCs w:val="14"/>
                <w:color w:val="auto"/>
              </w:rPr>
            </w:pPr>
          </w:p>
        </w:tc>
        <w:tc>
          <w:tcPr>
            <w:tcW w:w="4760" w:type="dxa"/>
            <w:vAlign w:val="bottom"/>
            <w:gridSpan w:val="15"/>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06/21/2023</w:t>
            </w: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4.8</w:t>
            </w:r>
          </w:p>
        </w:tc>
        <w:tc>
          <w:tcPr>
            <w:tcW w:w="160" w:type="dxa"/>
            <w:vAlign w:val="bottom"/>
          </w:tcPr>
          <w:p>
            <w:pPr>
              <w:spacing w:after="0"/>
              <w:rPr>
                <w:sz w:val="14"/>
                <w:szCs w:val="14"/>
                <w:color w:val="auto"/>
              </w:rPr>
            </w:pPr>
          </w:p>
        </w:tc>
        <w:tc>
          <w:tcPr>
            <w:tcW w:w="8240" w:type="dxa"/>
            <w:vAlign w:val="bottom"/>
            <w:gridSpan w:val="32"/>
          </w:tcPr>
          <w:p>
            <w:pPr>
              <w:spacing w:after="0" w:line="167" w:lineRule="exact"/>
              <w:rPr>
                <w:rFonts w:ascii="Times New Roman" w:cs="Times New Roman" w:eastAsia="Times New Roman" w:hAnsi="Times New Roman"/>
                <w:sz w:val="16"/>
                <w:szCs w:val="16"/>
                <w:color w:val="0000EE"/>
              </w:rPr>
            </w:pPr>
            <w:hyperlink r:id="rId259">
              <w:r>
                <w:rPr>
                  <w:rFonts w:ascii="Times New Roman" w:cs="Times New Roman" w:eastAsia="Times New Roman" w:hAnsi="Times New Roman"/>
                  <w:sz w:val="16"/>
                  <w:szCs w:val="16"/>
                  <w:color w:val="0000EE"/>
                </w:rPr>
                <w:t>Form of Underwriters’ Warrant.</w:t>
              </w:r>
            </w:hyperlink>
          </w:p>
        </w:tc>
        <w:tc>
          <w:tcPr>
            <w:tcW w:w="740" w:type="dxa"/>
            <w:vAlign w:val="bottom"/>
            <w:gridSpan w:val="2"/>
          </w:tcPr>
          <w:p>
            <w:pPr>
              <w:jc w:val="center"/>
              <w:ind w:right="160"/>
              <w:spacing w:after="0" w:line="167" w:lineRule="exact"/>
              <w:rPr>
                <w:sz w:val="20"/>
                <w:szCs w:val="20"/>
                <w:color w:val="auto"/>
              </w:rPr>
            </w:pPr>
            <w:r>
              <w:rPr>
                <w:rFonts w:ascii="Times New Roman" w:cs="Times New Roman" w:eastAsia="Times New Roman" w:hAnsi="Times New Roman"/>
                <w:sz w:val="16"/>
                <w:szCs w:val="16"/>
                <w:color w:val="auto"/>
                <w:w w:val="99"/>
              </w:rPr>
              <w:t>S-1/A</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4.8</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06/14/2023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0" w:type="dxa"/>
            <w:vAlign w:val="bottom"/>
            <w:gridSpan w:val="1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4.9</w:t>
            </w:r>
          </w:p>
        </w:tc>
        <w:tc>
          <w:tcPr>
            <w:tcW w:w="160" w:type="dxa"/>
            <w:vAlign w:val="bottom"/>
          </w:tcPr>
          <w:p>
            <w:pPr>
              <w:spacing w:after="0"/>
              <w:rPr>
                <w:sz w:val="14"/>
                <w:szCs w:val="14"/>
                <w:color w:val="auto"/>
              </w:rPr>
            </w:pPr>
          </w:p>
        </w:tc>
        <w:tc>
          <w:tcPr>
            <w:tcW w:w="3020" w:type="dxa"/>
            <w:vAlign w:val="bottom"/>
            <w:tcBorders>
              <w:bottom w:val="single" w:sz="8" w:color="0000EE"/>
            </w:tcBorders>
            <w:gridSpan w:val="15"/>
          </w:tcPr>
          <w:p>
            <w:pPr>
              <w:spacing w:after="0" w:line="167" w:lineRule="exact"/>
              <w:rPr>
                <w:rFonts w:ascii="Times New Roman" w:cs="Times New Roman" w:eastAsia="Times New Roman" w:hAnsi="Times New Roman"/>
                <w:sz w:val="16"/>
                <w:szCs w:val="16"/>
                <w:color w:val="0000EE"/>
                <w:w w:val="96"/>
              </w:rPr>
            </w:pPr>
            <w:hyperlink r:id="rId260">
              <w:r>
                <w:rPr>
                  <w:rFonts w:ascii="Times New Roman" w:cs="Times New Roman" w:eastAsia="Times New Roman" w:hAnsi="Times New Roman"/>
                  <w:sz w:val="16"/>
                  <w:szCs w:val="16"/>
                  <w:color w:val="0000EE"/>
                  <w:w w:val="96"/>
                </w:rPr>
                <w:t>Form of December 2023 Lender Penny Warrant.</w:t>
              </w:r>
            </w:hyperlink>
          </w:p>
        </w:tc>
        <w:tc>
          <w:tcPr>
            <w:tcW w:w="5220" w:type="dxa"/>
            <w:vAlign w:val="bottom"/>
            <w:gridSpan w:val="17"/>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12/29/2023</w:t>
            </w: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4.10</w:t>
            </w:r>
          </w:p>
        </w:tc>
        <w:tc>
          <w:tcPr>
            <w:tcW w:w="160" w:type="dxa"/>
            <w:vAlign w:val="bottom"/>
          </w:tcPr>
          <w:p>
            <w:pPr>
              <w:spacing w:after="0"/>
              <w:rPr>
                <w:sz w:val="14"/>
                <w:szCs w:val="14"/>
                <w:color w:val="auto"/>
              </w:rPr>
            </w:pPr>
          </w:p>
        </w:tc>
        <w:tc>
          <w:tcPr>
            <w:tcW w:w="8240" w:type="dxa"/>
            <w:vAlign w:val="bottom"/>
            <w:gridSpan w:val="32"/>
          </w:tcPr>
          <w:p>
            <w:pPr>
              <w:spacing w:after="0" w:line="167" w:lineRule="exact"/>
              <w:rPr>
                <w:rFonts w:ascii="Times New Roman" w:cs="Times New Roman" w:eastAsia="Times New Roman" w:hAnsi="Times New Roman"/>
                <w:sz w:val="16"/>
                <w:szCs w:val="16"/>
                <w:color w:val="0000EE"/>
              </w:rPr>
            </w:pPr>
            <w:hyperlink r:id="rId261">
              <w:r>
                <w:rPr>
                  <w:rFonts w:ascii="Times New Roman" w:cs="Times New Roman" w:eastAsia="Times New Roman" w:hAnsi="Times New Roman"/>
                  <w:sz w:val="16"/>
                  <w:szCs w:val="16"/>
                  <w:color w:val="0000EE"/>
                </w:rPr>
                <w:t>Form of January Note.</w:t>
              </w:r>
            </w:hyperlink>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03/04/2024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1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4.11</w:t>
            </w:r>
          </w:p>
        </w:tc>
        <w:tc>
          <w:tcPr>
            <w:tcW w:w="160" w:type="dxa"/>
            <w:vAlign w:val="bottom"/>
          </w:tcPr>
          <w:p>
            <w:pPr>
              <w:spacing w:after="0"/>
              <w:rPr>
                <w:sz w:val="14"/>
                <w:szCs w:val="14"/>
                <w:color w:val="auto"/>
              </w:rPr>
            </w:pPr>
          </w:p>
        </w:tc>
        <w:tc>
          <w:tcPr>
            <w:tcW w:w="8240" w:type="dxa"/>
            <w:vAlign w:val="bottom"/>
            <w:gridSpan w:val="32"/>
          </w:tcPr>
          <w:p>
            <w:pPr>
              <w:spacing w:after="0" w:line="167" w:lineRule="exact"/>
              <w:rPr>
                <w:rFonts w:ascii="Times New Roman" w:cs="Times New Roman" w:eastAsia="Times New Roman" w:hAnsi="Times New Roman"/>
                <w:sz w:val="16"/>
                <w:szCs w:val="16"/>
                <w:color w:val="0000EE"/>
              </w:rPr>
            </w:pPr>
            <w:hyperlink r:id="rId262">
              <w:r>
                <w:rPr>
                  <w:rFonts w:ascii="Times New Roman" w:cs="Times New Roman" w:eastAsia="Times New Roman" w:hAnsi="Times New Roman"/>
                  <w:sz w:val="16"/>
                  <w:szCs w:val="16"/>
                  <w:color w:val="0000EE"/>
                </w:rPr>
                <w:t>Form of February Note.</w:t>
              </w:r>
            </w:hyperlink>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03/04/2024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1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4.12</w:t>
            </w:r>
          </w:p>
        </w:tc>
        <w:tc>
          <w:tcPr>
            <w:tcW w:w="160" w:type="dxa"/>
            <w:vAlign w:val="bottom"/>
          </w:tcPr>
          <w:p>
            <w:pPr>
              <w:spacing w:after="0"/>
              <w:rPr>
                <w:sz w:val="14"/>
                <w:szCs w:val="14"/>
                <w:color w:val="auto"/>
              </w:rPr>
            </w:pPr>
          </w:p>
        </w:tc>
        <w:tc>
          <w:tcPr>
            <w:tcW w:w="2180" w:type="dxa"/>
            <w:vAlign w:val="bottom"/>
            <w:tcBorders>
              <w:bottom w:val="single" w:sz="8" w:color="0000EE"/>
            </w:tcBorders>
            <w:gridSpan w:val="8"/>
          </w:tcPr>
          <w:p>
            <w:pPr>
              <w:spacing w:after="0" w:line="167" w:lineRule="exact"/>
              <w:rPr>
                <w:rFonts w:ascii="Times New Roman" w:cs="Times New Roman" w:eastAsia="Times New Roman" w:hAnsi="Times New Roman"/>
                <w:sz w:val="16"/>
                <w:szCs w:val="16"/>
                <w:color w:val="0000EE"/>
                <w:w w:val="95"/>
              </w:rPr>
            </w:pPr>
            <w:hyperlink r:id="rId263">
              <w:r>
                <w:rPr>
                  <w:rFonts w:ascii="Times New Roman" w:cs="Times New Roman" w:eastAsia="Times New Roman" w:hAnsi="Times New Roman"/>
                  <w:sz w:val="16"/>
                  <w:szCs w:val="16"/>
                  <w:color w:val="0000EE"/>
                  <w:w w:val="95"/>
                </w:rPr>
                <w:t>Form of May 2024 Penny Warrant.</w:t>
              </w:r>
            </w:hyperlink>
          </w:p>
        </w:tc>
        <w:tc>
          <w:tcPr>
            <w:tcW w:w="6060" w:type="dxa"/>
            <w:vAlign w:val="bottom"/>
            <w:gridSpan w:val="24"/>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7"/>
              </w:rPr>
              <w:t>10-Q</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4.3</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05/14/2024</w:t>
            </w: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4.13</w:t>
            </w:r>
          </w:p>
        </w:tc>
        <w:tc>
          <w:tcPr>
            <w:tcW w:w="160" w:type="dxa"/>
            <w:vAlign w:val="bottom"/>
          </w:tcPr>
          <w:p>
            <w:pPr>
              <w:spacing w:after="0"/>
              <w:rPr>
                <w:sz w:val="14"/>
                <w:szCs w:val="14"/>
                <w:color w:val="auto"/>
              </w:rPr>
            </w:pPr>
          </w:p>
        </w:tc>
        <w:tc>
          <w:tcPr>
            <w:tcW w:w="2180" w:type="dxa"/>
            <w:vAlign w:val="bottom"/>
            <w:tcBorders>
              <w:bottom w:val="single" w:sz="8" w:color="0000EE"/>
            </w:tcBorders>
            <w:gridSpan w:val="8"/>
          </w:tcPr>
          <w:p>
            <w:pPr>
              <w:spacing w:after="0" w:line="167" w:lineRule="exact"/>
              <w:rPr>
                <w:rFonts w:ascii="Times New Roman" w:cs="Times New Roman" w:eastAsia="Times New Roman" w:hAnsi="Times New Roman"/>
                <w:sz w:val="16"/>
                <w:szCs w:val="16"/>
                <w:color w:val="0000EE"/>
                <w:w w:val="95"/>
              </w:rPr>
            </w:pPr>
            <w:hyperlink r:id="rId264">
              <w:r>
                <w:rPr>
                  <w:rFonts w:ascii="Times New Roman" w:cs="Times New Roman" w:eastAsia="Times New Roman" w:hAnsi="Times New Roman"/>
                  <w:sz w:val="16"/>
                  <w:szCs w:val="16"/>
                  <w:color w:val="0000EE"/>
                  <w:w w:val="95"/>
                </w:rPr>
                <w:t>Form of June 2024 Penny Warrant.</w:t>
              </w:r>
            </w:hyperlink>
          </w:p>
        </w:tc>
        <w:tc>
          <w:tcPr>
            <w:tcW w:w="6060" w:type="dxa"/>
            <w:vAlign w:val="bottom"/>
            <w:gridSpan w:val="24"/>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06/28/2024</w:t>
            </w: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4.14</w:t>
            </w:r>
          </w:p>
        </w:tc>
        <w:tc>
          <w:tcPr>
            <w:tcW w:w="160" w:type="dxa"/>
            <w:vAlign w:val="bottom"/>
          </w:tcPr>
          <w:p>
            <w:pPr>
              <w:spacing w:after="0"/>
              <w:rPr>
                <w:sz w:val="14"/>
                <w:szCs w:val="14"/>
                <w:color w:val="auto"/>
              </w:rPr>
            </w:pPr>
          </w:p>
        </w:tc>
        <w:tc>
          <w:tcPr>
            <w:tcW w:w="2560" w:type="dxa"/>
            <w:vAlign w:val="bottom"/>
            <w:tcBorders>
              <w:bottom w:val="single" w:sz="8" w:color="0000EE"/>
            </w:tcBorders>
            <w:gridSpan w:val="13"/>
          </w:tcPr>
          <w:p>
            <w:pPr>
              <w:spacing w:after="0" w:line="167" w:lineRule="exact"/>
              <w:rPr>
                <w:rFonts w:ascii="Times New Roman" w:cs="Times New Roman" w:eastAsia="Times New Roman" w:hAnsi="Times New Roman"/>
                <w:sz w:val="16"/>
                <w:szCs w:val="16"/>
                <w:color w:val="0000EE"/>
                <w:w w:val="95"/>
              </w:rPr>
            </w:pPr>
            <w:hyperlink r:id="rId265">
              <w:r>
                <w:rPr>
                  <w:rFonts w:ascii="Times New Roman" w:cs="Times New Roman" w:eastAsia="Times New Roman" w:hAnsi="Times New Roman"/>
                  <w:sz w:val="16"/>
                  <w:szCs w:val="16"/>
                  <w:color w:val="0000EE"/>
                  <w:w w:val="95"/>
                </w:rPr>
                <w:t>Form of September 2024 Penny Warrant.</w:t>
              </w:r>
            </w:hyperlink>
          </w:p>
        </w:tc>
        <w:tc>
          <w:tcPr>
            <w:tcW w:w="5680" w:type="dxa"/>
            <w:vAlign w:val="bottom"/>
            <w:gridSpan w:val="19"/>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10/07/2024</w:t>
            </w: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4.15</w:t>
            </w:r>
          </w:p>
        </w:tc>
        <w:tc>
          <w:tcPr>
            <w:tcW w:w="160" w:type="dxa"/>
            <w:vAlign w:val="bottom"/>
          </w:tcPr>
          <w:p>
            <w:pPr>
              <w:spacing w:after="0"/>
              <w:rPr>
                <w:sz w:val="14"/>
                <w:szCs w:val="14"/>
                <w:color w:val="auto"/>
              </w:rPr>
            </w:pPr>
          </w:p>
        </w:tc>
        <w:tc>
          <w:tcPr>
            <w:tcW w:w="2540" w:type="dxa"/>
            <w:vAlign w:val="bottom"/>
            <w:tcBorders>
              <w:bottom w:val="single" w:sz="8" w:color="0000EE"/>
            </w:tcBorders>
            <w:gridSpan w:val="12"/>
          </w:tcPr>
          <w:p>
            <w:pPr>
              <w:spacing w:after="0" w:line="167" w:lineRule="exact"/>
              <w:rPr>
                <w:rFonts w:ascii="Times New Roman" w:cs="Times New Roman" w:eastAsia="Times New Roman" w:hAnsi="Times New Roman"/>
                <w:sz w:val="16"/>
                <w:szCs w:val="16"/>
                <w:color w:val="0000EE"/>
                <w:w w:val="96"/>
              </w:rPr>
            </w:pPr>
            <w:hyperlink r:id="rId266">
              <w:r>
                <w:rPr>
                  <w:rFonts w:ascii="Times New Roman" w:cs="Times New Roman" w:eastAsia="Times New Roman" w:hAnsi="Times New Roman"/>
                  <w:sz w:val="16"/>
                  <w:szCs w:val="16"/>
                  <w:color w:val="0000EE"/>
                  <w:w w:val="96"/>
                </w:rPr>
                <w:t>Form of December 2024 Penny Warrant.</w:t>
              </w:r>
            </w:hyperlink>
          </w:p>
        </w:tc>
        <w:tc>
          <w:tcPr>
            <w:tcW w:w="5700" w:type="dxa"/>
            <w:vAlign w:val="bottom"/>
            <w:gridSpan w:val="20"/>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01/03/2025</w:t>
            </w: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4.16</w:t>
            </w:r>
          </w:p>
        </w:tc>
        <w:tc>
          <w:tcPr>
            <w:tcW w:w="160" w:type="dxa"/>
            <w:vAlign w:val="bottom"/>
          </w:tcPr>
          <w:p>
            <w:pPr>
              <w:spacing w:after="0"/>
              <w:rPr>
                <w:sz w:val="14"/>
                <w:szCs w:val="14"/>
                <w:color w:val="auto"/>
              </w:rPr>
            </w:pPr>
          </w:p>
        </w:tc>
        <w:tc>
          <w:tcPr>
            <w:tcW w:w="8240" w:type="dxa"/>
            <w:vAlign w:val="bottom"/>
            <w:gridSpan w:val="32"/>
          </w:tcPr>
          <w:p>
            <w:pPr>
              <w:spacing w:after="0" w:line="167" w:lineRule="exact"/>
              <w:rPr>
                <w:rFonts w:ascii="Times New Roman" w:cs="Times New Roman" w:eastAsia="Times New Roman" w:hAnsi="Times New Roman"/>
                <w:sz w:val="16"/>
                <w:szCs w:val="16"/>
                <w:color w:val="0000EE"/>
              </w:rPr>
            </w:pPr>
            <w:hyperlink r:id="rId267">
              <w:r>
                <w:rPr>
                  <w:rFonts w:ascii="Times New Roman" w:cs="Times New Roman" w:eastAsia="Times New Roman" w:hAnsi="Times New Roman"/>
                  <w:sz w:val="16"/>
                  <w:szCs w:val="16"/>
                  <w:color w:val="0000EE"/>
                </w:rPr>
                <w:t>Form of Private Placement Warrant.</w:t>
              </w:r>
            </w:hyperlink>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4.1</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02/27/2025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60" w:type="dxa"/>
            <w:vAlign w:val="bottom"/>
            <w:gridSpan w:val="1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4.17</w:t>
            </w:r>
          </w:p>
        </w:tc>
        <w:tc>
          <w:tcPr>
            <w:tcW w:w="160" w:type="dxa"/>
            <w:vAlign w:val="bottom"/>
          </w:tcPr>
          <w:p>
            <w:pPr>
              <w:spacing w:after="0"/>
              <w:rPr>
                <w:sz w:val="14"/>
                <w:szCs w:val="14"/>
                <w:color w:val="auto"/>
              </w:rPr>
            </w:pPr>
          </w:p>
        </w:tc>
        <w:tc>
          <w:tcPr>
            <w:tcW w:w="2460" w:type="dxa"/>
            <w:vAlign w:val="bottom"/>
            <w:tcBorders>
              <w:bottom w:val="single" w:sz="8" w:color="0000EE"/>
            </w:tcBorders>
            <w:gridSpan w:val="11"/>
          </w:tcPr>
          <w:p>
            <w:pPr>
              <w:spacing w:after="0" w:line="167" w:lineRule="exact"/>
              <w:rPr>
                <w:rFonts w:ascii="Times New Roman" w:cs="Times New Roman" w:eastAsia="Times New Roman" w:hAnsi="Times New Roman"/>
                <w:sz w:val="16"/>
                <w:szCs w:val="16"/>
                <w:color w:val="0000EE"/>
                <w:w w:val="95"/>
              </w:rPr>
            </w:pPr>
            <w:hyperlink r:id="rId268">
              <w:r>
                <w:rPr>
                  <w:rFonts w:ascii="Times New Roman" w:cs="Times New Roman" w:eastAsia="Times New Roman" w:hAnsi="Times New Roman"/>
                  <w:sz w:val="16"/>
                  <w:szCs w:val="16"/>
                  <w:color w:val="0000EE"/>
                  <w:w w:val="95"/>
                </w:rPr>
                <w:t>Form of February 2025 Penny Warrant.</w:t>
              </w:r>
            </w:hyperlink>
          </w:p>
        </w:tc>
        <w:tc>
          <w:tcPr>
            <w:tcW w:w="5780" w:type="dxa"/>
            <w:vAlign w:val="bottom"/>
            <w:gridSpan w:val="21"/>
          </w:tcPr>
          <w:p>
            <w:pPr>
              <w:spacing w:after="0"/>
              <w:rPr>
                <w:sz w:val="14"/>
                <w:szCs w:val="14"/>
                <w:color w:val="auto"/>
              </w:rPr>
            </w:pPr>
          </w:p>
        </w:tc>
        <w:tc>
          <w:tcPr>
            <w:tcW w:w="74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89"/>
              </w:rPr>
              <w:t>4.2</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02/27/2025</w:t>
            </w: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5.1*</w:t>
            </w:r>
          </w:p>
        </w:tc>
        <w:tc>
          <w:tcPr>
            <w:tcW w:w="160" w:type="dxa"/>
            <w:vAlign w:val="bottom"/>
          </w:tcPr>
          <w:p>
            <w:pPr>
              <w:spacing w:after="0"/>
              <w:rPr>
                <w:sz w:val="14"/>
                <w:szCs w:val="14"/>
                <w:color w:val="auto"/>
              </w:rPr>
            </w:pPr>
          </w:p>
        </w:tc>
        <w:tc>
          <w:tcPr>
            <w:tcW w:w="2300" w:type="dxa"/>
            <w:vAlign w:val="bottom"/>
            <w:tcBorders>
              <w:bottom w:val="single" w:sz="8" w:color="0000EE"/>
            </w:tcBorders>
            <w:gridSpan w:val="10"/>
          </w:tcPr>
          <w:p>
            <w:pPr>
              <w:spacing w:after="0" w:line="167" w:lineRule="exact"/>
              <w:rPr>
                <w:sz w:val="20"/>
                <w:szCs w:val="20"/>
                <w:color w:val="auto"/>
              </w:rPr>
            </w:pPr>
            <w:r>
              <w:rPr>
                <w:rFonts w:ascii="Times New Roman" w:cs="Times New Roman" w:eastAsia="Times New Roman" w:hAnsi="Times New Roman"/>
                <w:sz w:val="16"/>
                <w:szCs w:val="16"/>
                <w:color w:val="0000EE"/>
                <w:w w:val="96"/>
              </w:rPr>
              <w:t>Opinion of Parsons Behle &amp; Latimer</w:t>
            </w:r>
          </w:p>
        </w:tc>
        <w:tc>
          <w:tcPr>
            <w:tcW w:w="5940" w:type="dxa"/>
            <w:vAlign w:val="bottom"/>
            <w:gridSpan w:val="22"/>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10.1</w:t>
            </w:r>
          </w:p>
        </w:tc>
        <w:tc>
          <w:tcPr>
            <w:tcW w:w="160" w:type="dxa"/>
            <w:vAlign w:val="bottom"/>
          </w:tcPr>
          <w:p>
            <w:pPr>
              <w:spacing w:after="0"/>
              <w:rPr>
                <w:sz w:val="14"/>
                <w:szCs w:val="14"/>
                <w:color w:val="auto"/>
              </w:rPr>
            </w:pPr>
          </w:p>
        </w:tc>
        <w:tc>
          <w:tcPr>
            <w:tcW w:w="8080" w:type="dxa"/>
            <w:vAlign w:val="bottom"/>
            <w:tcBorders>
              <w:bottom w:val="single" w:sz="8" w:color="0000EE"/>
            </w:tcBorders>
            <w:gridSpan w:val="27"/>
          </w:tcPr>
          <w:p>
            <w:pPr>
              <w:spacing w:after="0" w:line="167" w:lineRule="exact"/>
              <w:rPr>
                <w:rFonts w:ascii="Times New Roman" w:cs="Times New Roman" w:eastAsia="Times New Roman" w:hAnsi="Times New Roman"/>
                <w:sz w:val="16"/>
                <w:szCs w:val="16"/>
                <w:color w:val="0000EE"/>
                <w:w w:val="97"/>
              </w:rPr>
            </w:pPr>
            <w:hyperlink r:id="rId269">
              <w:r>
                <w:rPr>
                  <w:rFonts w:ascii="Times New Roman" w:cs="Times New Roman" w:eastAsia="Times New Roman" w:hAnsi="Times New Roman"/>
                  <w:sz w:val="16"/>
                  <w:szCs w:val="16"/>
                  <w:color w:val="0000EE"/>
                  <w:w w:val="97"/>
                </w:rPr>
                <w:t>Sponsor Support Agreement, dated as of May 15, 2022, by and among Chardan NexTech Investments 2 LLC, Dragonfly Energy</w:t>
              </w:r>
            </w:hyperlink>
          </w:p>
        </w:tc>
        <w:tc>
          <w:tcPr>
            <w:tcW w:w="160" w:type="dxa"/>
            <w:vAlign w:val="bottom"/>
            <w:gridSpan w:val="5"/>
          </w:tcPr>
          <w:p>
            <w:pPr>
              <w:spacing w:after="0"/>
              <w:rPr>
                <w:sz w:val="14"/>
                <w:szCs w:val="14"/>
                <w:color w:val="auto"/>
              </w:rPr>
            </w:pPr>
          </w:p>
        </w:tc>
        <w:tc>
          <w:tcPr>
            <w:tcW w:w="740" w:type="dxa"/>
            <w:vAlign w:val="bottom"/>
            <w:gridSpan w:val="2"/>
          </w:tcPr>
          <w:p>
            <w:pPr>
              <w:jc w:val="center"/>
              <w:ind w:right="160"/>
              <w:spacing w:after="0" w:line="167" w:lineRule="exact"/>
              <w:rPr>
                <w:sz w:val="20"/>
                <w:szCs w:val="20"/>
                <w:color w:val="auto"/>
              </w:rPr>
            </w:pPr>
            <w:r>
              <w:rPr>
                <w:rFonts w:ascii="Times New Roman" w:cs="Times New Roman" w:eastAsia="Times New Roman" w:hAnsi="Times New Roman"/>
                <w:sz w:val="16"/>
                <w:szCs w:val="16"/>
                <w:color w:val="auto"/>
                <w:w w:val="98"/>
              </w:rPr>
              <w:t>S-4</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2"/>
              </w:rPr>
              <w:t>10.4</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07/22/2022</w:t>
            </w: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40" w:type="dxa"/>
            <w:vAlign w:val="bottom"/>
            <w:gridSpan w:val="32"/>
          </w:tcPr>
          <w:p>
            <w:pPr>
              <w:spacing w:after="0" w:line="167" w:lineRule="exact"/>
              <w:rPr>
                <w:rFonts w:ascii="Times New Roman" w:cs="Times New Roman" w:eastAsia="Times New Roman" w:hAnsi="Times New Roman"/>
                <w:sz w:val="16"/>
                <w:szCs w:val="16"/>
                <w:color w:val="0000EE"/>
              </w:rPr>
            </w:pPr>
            <w:hyperlink r:id="rId269">
              <w:r>
                <w:rPr>
                  <w:rFonts w:ascii="Times New Roman" w:cs="Times New Roman" w:eastAsia="Times New Roman" w:hAnsi="Times New Roman"/>
                  <w:sz w:val="16"/>
                  <w:szCs w:val="16"/>
                  <w:color w:val="0000EE"/>
                </w:rPr>
                <w:t>Corp. and Chardan NexTech Investments 2 LLC (included as Annex E to the proxy statement/prospectus).</w:t>
              </w:r>
            </w:hyperlink>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20" w:type="dxa"/>
            <w:vAlign w:val="bottom"/>
            <w:gridSpan w:val="25"/>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10.2</w:t>
            </w:r>
          </w:p>
        </w:tc>
        <w:tc>
          <w:tcPr>
            <w:tcW w:w="160" w:type="dxa"/>
            <w:vAlign w:val="bottom"/>
          </w:tcPr>
          <w:p>
            <w:pPr>
              <w:spacing w:after="0"/>
              <w:rPr>
                <w:sz w:val="14"/>
                <w:szCs w:val="14"/>
                <w:color w:val="auto"/>
              </w:rPr>
            </w:pPr>
          </w:p>
        </w:tc>
        <w:tc>
          <w:tcPr>
            <w:tcW w:w="8100" w:type="dxa"/>
            <w:vAlign w:val="bottom"/>
            <w:tcBorders>
              <w:bottom w:val="single" w:sz="8" w:color="0000EE"/>
            </w:tcBorders>
            <w:gridSpan w:val="28"/>
          </w:tcPr>
          <w:p>
            <w:pPr>
              <w:spacing w:after="0" w:line="167" w:lineRule="exact"/>
              <w:rPr>
                <w:rFonts w:ascii="Times New Roman" w:cs="Times New Roman" w:eastAsia="Times New Roman" w:hAnsi="Times New Roman"/>
                <w:sz w:val="16"/>
                <w:szCs w:val="16"/>
                <w:color w:val="0000EE"/>
              </w:rPr>
            </w:pPr>
            <w:hyperlink r:id="rId270">
              <w:r>
                <w:rPr>
                  <w:rFonts w:ascii="Times New Roman" w:cs="Times New Roman" w:eastAsia="Times New Roman" w:hAnsi="Times New Roman"/>
                  <w:sz w:val="16"/>
                  <w:szCs w:val="16"/>
                  <w:color w:val="0000EE"/>
                </w:rPr>
                <w:t>Commitment Letter, dated as of May 15, 2022, by and among Dragonfly Energy Holdings Corp. (f/k/a Chardan NexTech</w:t>
              </w:r>
            </w:hyperlink>
          </w:p>
        </w:tc>
        <w:tc>
          <w:tcPr>
            <w:tcW w:w="140" w:type="dxa"/>
            <w:vAlign w:val="bottom"/>
            <w:gridSpan w:val="4"/>
          </w:tcPr>
          <w:p>
            <w:pPr>
              <w:spacing w:after="0"/>
              <w:rPr>
                <w:sz w:val="14"/>
                <w:szCs w:val="14"/>
                <w:color w:val="auto"/>
              </w:rPr>
            </w:pPr>
          </w:p>
        </w:tc>
        <w:tc>
          <w:tcPr>
            <w:tcW w:w="740" w:type="dxa"/>
            <w:vAlign w:val="bottom"/>
            <w:gridSpan w:val="2"/>
          </w:tcPr>
          <w:p>
            <w:pPr>
              <w:jc w:val="center"/>
              <w:ind w:right="160"/>
              <w:spacing w:after="0" w:line="167" w:lineRule="exact"/>
              <w:rPr>
                <w:sz w:val="20"/>
                <w:szCs w:val="20"/>
                <w:color w:val="auto"/>
              </w:rPr>
            </w:pPr>
            <w:r>
              <w:rPr>
                <w:rFonts w:ascii="Times New Roman" w:cs="Times New Roman" w:eastAsia="Times New Roman" w:hAnsi="Times New Roman"/>
                <w:sz w:val="16"/>
                <w:szCs w:val="16"/>
                <w:color w:val="auto"/>
                <w:w w:val="98"/>
              </w:rPr>
              <w:t>S-4</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2"/>
              </w:rPr>
              <w:t>10.5</w:t>
            </w:r>
          </w:p>
        </w:tc>
        <w:tc>
          <w:tcPr>
            <w:tcW w:w="16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07/22/2022</w:t>
            </w: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80" w:type="dxa"/>
            <w:vAlign w:val="bottom"/>
            <w:tcBorders>
              <w:bottom w:val="single" w:sz="8" w:color="0000EE"/>
            </w:tcBorders>
            <w:gridSpan w:val="27"/>
          </w:tcPr>
          <w:p>
            <w:pPr>
              <w:spacing w:after="0" w:line="167" w:lineRule="exact"/>
              <w:rPr>
                <w:rFonts w:ascii="Times New Roman" w:cs="Times New Roman" w:eastAsia="Times New Roman" w:hAnsi="Times New Roman"/>
                <w:sz w:val="16"/>
                <w:szCs w:val="16"/>
                <w:color w:val="0000EE"/>
                <w:w w:val="97"/>
              </w:rPr>
            </w:pPr>
            <w:hyperlink r:id="rId270">
              <w:r>
                <w:rPr>
                  <w:rFonts w:ascii="Times New Roman" w:cs="Times New Roman" w:eastAsia="Times New Roman" w:hAnsi="Times New Roman"/>
                  <w:sz w:val="16"/>
                  <w:szCs w:val="16"/>
                  <w:color w:val="0000EE"/>
                  <w:w w:val="97"/>
                </w:rPr>
                <w:t>Acquisition 2 Corp.), Dragonfly Energy Corp., CCM Investments 5 LLC and EICF Agent LLC (included as Annex J to the proxy</w:t>
              </w:r>
            </w:hyperlink>
          </w:p>
        </w:tc>
        <w:tc>
          <w:tcPr>
            <w:tcW w:w="160" w:type="dxa"/>
            <w:vAlign w:val="bottom"/>
            <w:gridSpan w:val="5"/>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bottom w:val="single" w:sz="8" w:color="0000EE"/>
            </w:tcBorders>
            <w:gridSpan w:val="4"/>
          </w:tcPr>
          <w:p>
            <w:pPr>
              <w:spacing w:after="0" w:line="167" w:lineRule="exact"/>
              <w:rPr>
                <w:rFonts w:ascii="Times New Roman" w:cs="Times New Roman" w:eastAsia="Times New Roman" w:hAnsi="Times New Roman"/>
                <w:sz w:val="16"/>
                <w:szCs w:val="16"/>
                <w:color w:val="0000EE"/>
                <w:w w:val="96"/>
              </w:rPr>
            </w:pPr>
            <w:hyperlink r:id="rId270">
              <w:r>
                <w:rPr>
                  <w:rFonts w:ascii="Times New Roman" w:cs="Times New Roman" w:eastAsia="Times New Roman" w:hAnsi="Times New Roman"/>
                  <w:sz w:val="16"/>
                  <w:szCs w:val="16"/>
                  <w:color w:val="0000EE"/>
                  <w:w w:val="96"/>
                </w:rPr>
                <w:t>statement/prospectus).</w:t>
              </w:r>
            </w:hyperlink>
          </w:p>
        </w:tc>
        <w:tc>
          <w:tcPr>
            <w:tcW w:w="6840" w:type="dxa"/>
            <w:vAlign w:val="bottom"/>
            <w:gridSpan w:val="28"/>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61" w:name="page162"/>
    <w:bookmarkEnd w:id="161"/>
    <w:p>
      <w:pPr>
        <w:jc w:val="both"/>
        <w:ind w:left="720" w:hanging="722"/>
        <w:spacing w:after="0" w:line="250"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w:t>
      </w:r>
      <w:r>
        <w:rPr>
          <w:sz w:val="20"/>
          <w:szCs w:val="20"/>
          <w:color w:val="auto"/>
        </w:rPr>
        <w:tab/>
      </w:r>
      <w:hyperlink r:id="rId272">
        <w:r>
          <w:rPr>
            <w:rFonts w:ascii="Times New Roman" w:cs="Times New Roman" w:eastAsia="Times New Roman" w:hAnsi="Times New Roman"/>
            <w:sz w:val="16"/>
            <w:szCs w:val="16"/>
            <w:u w:val="single" w:color="auto"/>
            <w:color w:val="0000EE"/>
          </w:rPr>
          <w:t>Equity Facility Letter Agreement, dated as of May 15, 2022, by and among Dragonfly Energy Corp., Dragonfly Energy Holdings</w:t>
        </w:r>
      </w:hyperlink>
      <w:r>
        <w:rPr>
          <w:rFonts w:ascii="Times New Roman" w:cs="Times New Roman" w:eastAsia="Times New Roman" w:hAnsi="Times New Roman"/>
          <w:sz w:val="16"/>
          <w:szCs w:val="16"/>
          <w:u w:val="single" w:color="auto"/>
          <w:color w:val="0000EE"/>
        </w:rPr>
        <w:t xml:space="preserve"> </w:t>
      </w:r>
      <w:hyperlink r:id="rId272">
        <w:r>
          <w:rPr>
            <w:rFonts w:ascii="Times New Roman" w:cs="Times New Roman" w:eastAsia="Times New Roman" w:hAnsi="Times New Roman"/>
            <w:sz w:val="16"/>
            <w:szCs w:val="16"/>
            <w:u w:val="single" w:color="auto"/>
            <w:color w:val="0000EE"/>
          </w:rPr>
          <w:t>Corp. (f/k/a Chardan NexTech Acquisition 2 Corp.) and CCM Investments 5 LLC (included as Annex K to the proxy</w:t>
        </w:r>
      </w:hyperlink>
      <w:r>
        <w:rPr>
          <w:rFonts w:ascii="Times New Roman" w:cs="Times New Roman" w:eastAsia="Times New Roman" w:hAnsi="Times New Roman"/>
          <w:sz w:val="16"/>
          <w:szCs w:val="16"/>
          <w:u w:val="single" w:color="auto"/>
          <w:color w:val="0000EE"/>
        </w:rPr>
        <w:t xml:space="preserve"> </w:t>
      </w:r>
      <w:hyperlink r:id="rId272">
        <w:r>
          <w:rPr>
            <w:rFonts w:ascii="Times New Roman" w:cs="Times New Roman" w:eastAsia="Times New Roman" w:hAnsi="Times New Roman"/>
            <w:sz w:val="16"/>
            <w:szCs w:val="16"/>
            <w:u w:val="single" w:color="auto"/>
            <w:color w:val="0000EE"/>
          </w:rPr>
          <w:t>statement/prospectus).</w:t>
        </w:r>
      </w:hyperlink>
    </w:p>
    <w:p>
      <w:pPr>
        <w:spacing w:after="0" w:line="1" w:lineRule="exact"/>
        <w:rPr>
          <w:rFonts w:ascii="Times New Roman" w:cs="Times New Roman" w:eastAsia="Times New Roman" w:hAnsi="Times New Roman"/>
          <w:sz w:val="16"/>
          <w:szCs w:val="16"/>
          <w:u w:val="single" w:color="auto"/>
          <w:color w:val="0000EE"/>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w:t>
      </w:r>
      <w:r>
        <w:rPr>
          <w:sz w:val="20"/>
          <w:szCs w:val="20"/>
          <w:color w:val="auto"/>
        </w:rPr>
        <w:tab/>
      </w:r>
      <w:hyperlink r:id="rId273">
        <w:r>
          <w:rPr>
            <w:rFonts w:ascii="Times New Roman" w:cs="Times New Roman" w:eastAsia="Times New Roman" w:hAnsi="Times New Roman"/>
            <w:sz w:val="16"/>
            <w:szCs w:val="16"/>
            <w:u w:val="single" w:color="auto"/>
            <w:color w:val="0000EE"/>
          </w:rPr>
          <w:t>Subscription Agreement, dated as of May 15, 2022, between Dragonfly Energy Holdings Corp. (f/k/a Chardan NexTech</w:t>
        </w:r>
      </w:hyperlink>
      <w:r>
        <w:rPr>
          <w:rFonts w:ascii="Times New Roman" w:cs="Times New Roman" w:eastAsia="Times New Roman" w:hAnsi="Times New Roman"/>
          <w:sz w:val="16"/>
          <w:szCs w:val="16"/>
          <w:u w:val="single" w:color="auto"/>
          <w:color w:val="0000EE"/>
        </w:rPr>
        <w:t xml:space="preserve"> </w:t>
      </w:r>
      <w:hyperlink r:id="rId273">
        <w:r>
          <w:rPr>
            <w:rFonts w:ascii="Times New Roman" w:cs="Times New Roman" w:eastAsia="Times New Roman" w:hAnsi="Times New Roman"/>
            <w:sz w:val="16"/>
            <w:szCs w:val="16"/>
            <w:u w:val="single" w:color="auto"/>
            <w:color w:val="0000EE"/>
          </w:rPr>
          <w:t>Acquisition 2 Corp.) and Chardan NexTech Investments 2 LLC (included as Annex F to the proxy statement/prospectus).</w:t>
        </w:r>
      </w:hyperlink>
    </w:p>
    <w:p>
      <w:pPr>
        <w:spacing w:after="0" w:line="1"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10.5++</w:t>
      </w:r>
      <w:r>
        <w:rPr>
          <w:sz w:val="20"/>
          <w:szCs w:val="20"/>
          <w:color w:val="auto"/>
        </w:rPr>
        <w:tab/>
      </w:r>
      <w:hyperlink r:id="rId274">
        <w:r>
          <w:rPr>
            <w:rFonts w:ascii="Times New Roman" w:cs="Times New Roman" w:eastAsia="Times New Roman" w:hAnsi="Times New Roman"/>
            <w:sz w:val="14"/>
            <w:szCs w:val="14"/>
            <w:u w:val="single" w:color="auto"/>
            <w:color w:val="0000EE"/>
          </w:rPr>
          <w:t>Dragonfly Energy Holdings Corp. 2022 Equity Incentive Plan.</w:t>
        </w:r>
      </w:hyperlink>
    </w:p>
    <w:p>
      <w:pPr>
        <w:spacing w:after="0" w:line="3"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10.6++</w:t>
      </w:r>
      <w:r>
        <w:rPr>
          <w:sz w:val="20"/>
          <w:szCs w:val="20"/>
          <w:color w:val="auto"/>
        </w:rPr>
        <w:tab/>
      </w:r>
      <w:hyperlink r:id="rId275">
        <w:r>
          <w:rPr>
            <w:rFonts w:ascii="Times New Roman" w:cs="Times New Roman" w:eastAsia="Times New Roman" w:hAnsi="Times New Roman"/>
            <w:sz w:val="14"/>
            <w:szCs w:val="14"/>
            <w:u w:val="single" w:color="auto"/>
            <w:color w:val="0000EE"/>
          </w:rPr>
          <w:t>Dragonfly Energy Holdings Corp. Employee Stock Purchase Plan.</w:t>
        </w:r>
      </w:hyperlink>
    </w:p>
    <w:p>
      <w:pPr>
        <w:spacing w:after="0" w:line="3" w:lineRule="exact"/>
        <w:rPr>
          <w:sz w:val="20"/>
          <w:szCs w:val="20"/>
          <w:color w:val="auto"/>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10.7</w:t>
      </w:r>
      <w:r>
        <w:rPr>
          <w:sz w:val="20"/>
          <w:szCs w:val="20"/>
          <w:color w:val="auto"/>
        </w:rPr>
        <w:tab/>
      </w:r>
      <w:hyperlink r:id="rId276">
        <w:r>
          <w:rPr>
            <w:rFonts w:ascii="Times New Roman" w:cs="Times New Roman" w:eastAsia="Times New Roman" w:hAnsi="Times New Roman"/>
            <w:sz w:val="16"/>
            <w:szCs w:val="16"/>
            <w:u w:val="single" w:color="auto"/>
            <w:color w:val="0000EE"/>
          </w:rPr>
          <w:t>Multi-tenant Industrial Triple Net Lease, dated as of March 1, 2021, between Dragonfly Energy Corp. and Icon Reno Property</w:t>
        </w:r>
      </w:hyperlink>
      <w:r>
        <w:rPr>
          <w:rFonts w:ascii="Times New Roman" w:cs="Times New Roman" w:eastAsia="Times New Roman" w:hAnsi="Times New Roman"/>
          <w:sz w:val="16"/>
          <w:szCs w:val="16"/>
          <w:u w:val="single" w:color="auto"/>
          <w:color w:val="0000EE"/>
        </w:rPr>
        <w:t xml:space="preserve"> </w:t>
      </w:r>
      <w:hyperlink r:id="rId276">
        <w:r>
          <w:rPr>
            <w:rFonts w:ascii="Times New Roman" w:cs="Times New Roman" w:eastAsia="Times New Roman" w:hAnsi="Times New Roman"/>
            <w:sz w:val="16"/>
            <w:szCs w:val="16"/>
            <w:u w:val="single" w:color="auto"/>
            <w:color w:val="0000EE"/>
          </w:rPr>
          <w:t>Owner Pool 3 Nevada, LLC.</w:t>
        </w:r>
      </w:hyperlink>
    </w:p>
    <w:p>
      <w:pPr>
        <w:spacing w:after="0" w:line="1"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10.8</w:t>
      </w:r>
      <w:r>
        <w:rPr>
          <w:sz w:val="20"/>
          <w:szCs w:val="20"/>
          <w:color w:val="auto"/>
        </w:rPr>
        <w:tab/>
      </w:r>
      <w:hyperlink r:id="rId277">
        <w:r>
          <w:rPr>
            <w:rFonts w:ascii="Times New Roman" w:cs="Times New Roman" w:eastAsia="Times New Roman" w:hAnsi="Times New Roman"/>
            <w:sz w:val="14"/>
            <w:szCs w:val="14"/>
            <w:u w:val="single" w:color="auto"/>
            <w:color w:val="0000EE"/>
          </w:rPr>
          <w:t>Lease, dated as of February 8, 2022, between Dragonfly Energy Corp. and Prologis, L.P.</w:t>
        </w:r>
      </w:hyperlink>
    </w:p>
    <w:p>
      <w:pPr>
        <w:spacing w:after="0" w:line="3"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10.9#</w:t>
      </w:r>
      <w:r>
        <w:rPr>
          <w:sz w:val="20"/>
          <w:szCs w:val="20"/>
          <w:color w:val="auto"/>
        </w:rPr>
        <w:tab/>
      </w:r>
      <w:hyperlink r:id="rId278">
        <w:r>
          <w:rPr>
            <w:rFonts w:ascii="Times New Roman" w:cs="Times New Roman" w:eastAsia="Times New Roman" w:hAnsi="Times New Roman"/>
            <w:sz w:val="14"/>
            <w:szCs w:val="14"/>
            <w:u w:val="single" w:color="auto"/>
            <w:color w:val="0000EE"/>
          </w:rPr>
          <w:t>Purchase Agreement, dated as of October 7, 2022, between Dragonfly Energy Holdings Corp. and Chardan Capital Markets LLC.</w:t>
        </w:r>
      </w:hyperlink>
    </w:p>
    <w:p>
      <w:pPr>
        <w:spacing w:after="0" w:line="3" w:lineRule="exact"/>
        <w:rPr>
          <w:sz w:val="20"/>
          <w:szCs w:val="20"/>
          <w:color w:val="auto"/>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10.10</w:t>
      </w:r>
      <w:r>
        <w:rPr>
          <w:sz w:val="20"/>
          <w:szCs w:val="20"/>
          <w:color w:val="auto"/>
        </w:rPr>
        <w:tab/>
      </w:r>
      <w:hyperlink r:id="rId279">
        <w:r>
          <w:rPr>
            <w:rFonts w:ascii="Times New Roman" w:cs="Times New Roman" w:eastAsia="Times New Roman" w:hAnsi="Times New Roman"/>
            <w:sz w:val="16"/>
            <w:szCs w:val="16"/>
            <w:u w:val="single" w:color="auto"/>
            <w:color w:val="0000EE"/>
          </w:rPr>
          <w:t>Registration Rights Agreement, dated as of October 7, 2022, between Dragonfly Energy Holdings Corp. and Chardan Capital</w:t>
        </w:r>
      </w:hyperlink>
      <w:r>
        <w:rPr>
          <w:rFonts w:ascii="Times New Roman" w:cs="Times New Roman" w:eastAsia="Times New Roman" w:hAnsi="Times New Roman"/>
          <w:sz w:val="16"/>
          <w:szCs w:val="16"/>
          <w:u w:val="single" w:color="auto"/>
          <w:color w:val="0000EE"/>
        </w:rPr>
        <w:t xml:space="preserve"> </w:t>
      </w:r>
      <w:hyperlink r:id="rId279">
        <w:r>
          <w:rPr>
            <w:rFonts w:ascii="Times New Roman" w:cs="Times New Roman" w:eastAsia="Times New Roman" w:hAnsi="Times New Roman"/>
            <w:sz w:val="16"/>
            <w:szCs w:val="16"/>
            <w:u w:val="single" w:color="auto"/>
            <w:color w:val="0000EE"/>
          </w:rPr>
          <w:t>Markets LLC.</w:t>
        </w:r>
      </w:hyperlink>
    </w:p>
    <w:p>
      <w:pPr>
        <w:spacing w:after="0" w:line="1" w:lineRule="exact"/>
        <w:rPr>
          <w:sz w:val="20"/>
          <w:szCs w:val="20"/>
          <w:color w:val="auto"/>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10.11</w:t>
      </w:r>
      <w:r>
        <w:rPr>
          <w:sz w:val="20"/>
          <w:szCs w:val="20"/>
          <w:color w:val="auto"/>
        </w:rPr>
        <w:tab/>
      </w:r>
      <w:hyperlink r:id="rId280">
        <w:r>
          <w:rPr>
            <w:rFonts w:ascii="Times New Roman" w:cs="Times New Roman" w:eastAsia="Times New Roman" w:hAnsi="Times New Roman"/>
            <w:sz w:val="16"/>
            <w:szCs w:val="16"/>
            <w:u w:val="single" w:color="auto"/>
            <w:color w:val="0000EE"/>
          </w:rPr>
          <w:t>Term Loan Agreement, dated as of October 7, 2022, by and among the Dragonfly Energy Holdings Corp., Dragonfly Energy</w:t>
        </w:r>
      </w:hyperlink>
      <w:r>
        <w:rPr>
          <w:rFonts w:ascii="Times New Roman" w:cs="Times New Roman" w:eastAsia="Times New Roman" w:hAnsi="Times New Roman"/>
          <w:sz w:val="16"/>
          <w:szCs w:val="16"/>
          <w:u w:val="single" w:color="auto"/>
          <w:color w:val="0000EE"/>
        </w:rPr>
        <w:t xml:space="preserve"> </w:t>
      </w:r>
      <w:hyperlink r:id="rId280">
        <w:r>
          <w:rPr>
            <w:rFonts w:ascii="Times New Roman" w:cs="Times New Roman" w:eastAsia="Times New Roman" w:hAnsi="Times New Roman"/>
            <w:sz w:val="16"/>
            <w:szCs w:val="16"/>
            <w:u w:val="single" w:color="auto"/>
            <w:color w:val="0000EE"/>
          </w:rPr>
          <w:t>Corp., the lenders from time to time party thereto and Alter Domus (US) LLC.</w:t>
        </w:r>
      </w:hyperlink>
    </w:p>
    <w:p>
      <w:pPr>
        <w:spacing w:after="0" w:line="1"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10.12</w:t>
      </w:r>
      <w:r>
        <w:rPr>
          <w:sz w:val="20"/>
          <w:szCs w:val="20"/>
          <w:color w:val="auto"/>
        </w:rPr>
        <w:tab/>
      </w:r>
      <w:hyperlink r:id="rId281">
        <w:r>
          <w:rPr>
            <w:rFonts w:ascii="Times New Roman" w:cs="Times New Roman" w:eastAsia="Times New Roman" w:hAnsi="Times New Roman"/>
            <w:sz w:val="14"/>
            <w:szCs w:val="14"/>
            <w:u w:val="single" w:color="auto"/>
            <w:color w:val="0000EE"/>
          </w:rPr>
          <w:t>Pledge Agreement, dated as of October 7, 2022, by and among Dragonfly Energy Holdings Corp. and Alter Domus (US) LLC.</w:t>
        </w:r>
      </w:hyperlink>
    </w:p>
    <w:p>
      <w:pPr>
        <w:spacing w:after="0" w:line="3"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10.13++</w:t>
      </w:r>
      <w:r>
        <w:rPr>
          <w:sz w:val="20"/>
          <w:szCs w:val="20"/>
          <w:color w:val="auto"/>
        </w:rPr>
        <w:tab/>
      </w:r>
      <w:hyperlink r:id="rId282">
        <w:r>
          <w:rPr>
            <w:rFonts w:ascii="Times New Roman" w:cs="Times New Roman" w:eastAsia="Times New Roman" w:hAnsi="Times New Roman"/>
            <w:sz w:val="14"/>
            <w:szCs w:val="14"/>
            <w:u w:val="single" w:color="auto"/>
            <w:color w:val="0000EE"/>
          </w:rPr>
          <w:t>Employment Agreement, dated as of January 1, 2022, by and between Dragonfly Energy Corp. and Denis Phares.</w:t>
        </w:r>
      </w:hyperlink>
    </w:p>
    <w:p>
      <w:pPr>
        <w:spacing w:after="0" w:line="3"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10.14++</w:t>
      </w:r>
      <w:r>
        <w:rPr>
          <w:sz w:val="20"/>
          <w:szCs w:val="20"/>
          <w:color w:val="auto"/>
        </w:rPr>
        <w:tab/>
      </w:r>
      <w:hyperlink r:id="rId283">
        <w:r>
          <w:rPr>
            <w:rFonts w:ascii="Times New Roman" w:cs="Times New Roman" w:eastAsia="Times New Roman" w:hAnsi="Times New Roman"/>
            <w:sz w:val="14"/>
            <w:szCs w:val="14"/>
            <w:u w:val="single" w:color="auto"/>
            <w:color w:val="0000EE"/>
          </w:rPr>
          <w:t>Amendment to Employment Agreement, dated as of May 15, 2022, by and between Dragonfly Energy Corp. and Denis Phares.</w:t>
        </w:r>
      </w:hyperlink>
    </w:p>
    <w:p>
      <w:pPr>
        <w:spacing w:after="0" w:line="3"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10.15++</w:t>
      </w:r>
      <w:r>
        <w:rPr>
          <w:sz w:val="20"/>
          <w:szCs w:val="20"/>
          <w:color w:val="auto"/>
        </w:rPr>
        <w:tab/>
      </w:r>
      <w:hyperlink r:id="rId284">
        <w:r>
          <w:rPr>
            <w:rFonts w:ascii="Times New Roman" w:cs="Times New Roman" w:eastAsia="Times New Roman" w:hAnsi="Times New Roman"/>
            <w:sz w:val="14"/>
            <w:szCs w:val="14"/>
            <w:u w:val="single" w:color="auto"/>
            <w:color w:val="0000EE"/>
          </w:rPr>
          <w:t>Employment Agreement, dated as of August 17, 2021, by and between Dragonfly Energy Corp. and John Marchetti.</w:t>
        </w:r>
      </w:hyperlink>
    </w:p>
    <w:p>
      <w:pPr>
        <w:spacing w:after="0" w:line="3"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10.16++</w:t>
      </w:r>
      <w:r>
        <w:rPr>
          <w:sz w:val="20"/>
          <w:szCs w:val="20"/>
          <w:color w:val="auto"/>
        </w:rPr>
        <w:tab/>
      </w:r>
      <w:hyperlink r:id="rId285">
        <w:r>
          <w:rPr>
            <w:rFonts w:ascii="Times New Roman" w:cs="Times New Roman" w:eastAsia="Times New Roman" w:hAnsi="Times New Roman"/>
            <w:sz w:val="14"/>
            <w:szCs w:val="14"/>
            <w:u w:val="single" w:color="auto"/>
            <w:color w:val="0000EE"/>
          </w:rPr>
          <w:t>Dragonfly Energy Corp. 2019 Stock Incentive Plan.</w:t>
        </w:r>
      </w:hyperlink>
    </w:p>
    <w:p>
      <w:pPr>
        <w:spacing w:after="0" w:line="3"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10.17++</w:t>
      </w:r>
      <w:r>
        <w:rPr>
          <w:sz w:val="20"/>
          <w:szCs w:val="20"/>
          <w:color w:val="auto"/>
        </w:rPr>
        <w:tab/>
      </w:r>
      <w:hyperlink r:id="rId286">
        <w:r>
          <w:rPr>
            <w:rFonts w:ascii="Times New Roman" w:cs="Times New Roman" w:eastAsia="Times New Roman" w:hAnsi="Times New Roman"/>
            <w:sz w:val="14"/>
            <w:szCs w:val="14"/>
            <w:u w:val="single" w:color="auto"/>
            <w:color w:val="0000EE"/>
          </w:rPr>
          <w:t>Dragonfly Energy Corp. 2021 Stock Incentive Plan.</w:t>
        </w:r>
      </w:hyperlink>
    </w:p>
    <w:p>
      <w:pPr>
        <w:spacing w:after="0" w:line="3" w:lineRule="exact"/>
        <w:rPr>
          <w:sz w:val="20"/>
          <w:szCs w:val="20"/>
          <w:color w:val="auto"/>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10.18</w:t>
      </w:r>
      <w:r>
        <w:rPr>
          <w:sz w:val="20"/>
          <w:szCs w:val="20"/>
          <w:color w:val="auto"/>
        </w:rPr>
        <w:tab/>
      </w:r>
      <w:hyperlink r:id="rId287">
        <w:r>
          <w:rPr>
            <w:rFonts w:ascii="Times New Roman" w:cs="Times New Roman" w:eastAsia="Times New Roman" w:hAnsi="Times New Roman"/>
            <w:sz w:val="16"/>
            <w:szCs w:val="16"/>
            <w:u w:val="single" w:color="auto"/>
            <w:color w:val="0000EE"/>
          </w:rPr>
          <w:t>Amended and Restated Registration Rights Agreement, dated as of October 7, 2022, by and among Dragonfly Energy Holdings</w:t>
        </w:r>
      </w:hyperlink>
      <w:r>
        <w:rPr>
          <w:rFonts w:ascii="Times New Roman" w:cs="Times New Roman" w:eastAsia="Times New Roman" w:hAnsi="Times New Roman"/>
          <w:sz w:val="16"/>
          <w:szCs w:val="16"/>
          <w:u w:val="single" w:color="auto"/>
          <w:color w:val="0000EE"/>
        </w:rPr>
        <w:t xml:space="preserve"> </w:t>
      </w:r>
      <w:hyperlink r:id="rId287">
        <w:r>
          <w:rPr>
            <w:rFonts w:ascii="Times New Roman" w:cs="Times New Roman" w:eastAsia="Times New Roman" w:hAnsi="Times New Roman"/>
            <w:sz w:val="16"/>
            <w:szCs w:val="16"/>
            <w:u w:val="single" w:color="auto"/>
            <w:color w:val="0000EE"/>
          </w:rPr>
          <w:t>Corp. and each of the stockholders thereto.</w:t>
        </w:r>
      </w:hyperlink>
    </w:p>
    <w:p>
      <w:pPr>
        <w:spacing w:after="0" w:line="1"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10.19++</w:t>
      </w:r>
      <w:r>
        <w:rPr>
          <w:sz w:val="20"/>
          <w:szCs w:val="20"/>
          <w:color w:val="auto"/>
        </w:rPr>
        <w:tab/>
      </w:r>
      <w:hyperlink r:id="rId288">
        <w:r>
          <w:rPr>
            <w:rFonts w:ascii="Times New Roman" w:cs="Times New Roman" w:eastAsia="Times New Roman" w:hAnsi="Times New Roman"/>
            <w:sz w:val="14"/>
            <w:szCs w:val="14"/>
            <w:u w:val="single" w:color="auto"/>
            <w:color w:val="0000EE"/>
          </w:rPr>
          <w:t>Revised Director Compensation Policy.</w:t>
        </w:r>
      </w:hyperlink>
    </w:p>
    <w:p>
      <w:pPr>
        <w:spacing w:after="0" w:line="3"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10.20++</w:t>
      </w:r>
      <w:r>
        <w:rPr>
          <w:sz w:val="20"/>
          <w:szCs w:val="20"/>
          <w:color w:val="auto"/>
        </w:rPr>
        <w:tab/>
      </w:r>
      <w:hyperlink r:id="rId289">
        <w:r>
          <w:rPr>
            <w:rFonts w:ascii="Times New Roman" w:cs="Times New Roman" w:eastAsia="Times New Roman" w:hAnsi="Times New Roman"/>
            <w:sz w:val="14"/>
            <w:szCs w:val="14"/>
            <w:u w:val="single" w:color="auto"/>
            <w:color w:val="0000EE"/>
          </w:rPr>
          <w:t>Employment Agreement, dated as of October 11, 2022, by and between Dragonfly Energy Holdings Corp. and Denis Phares.</w:t>
        </w:r>
      </w:hyperlink>
    </w:p>
    <w:p>
      <w:pPr>
        <w:spacing w:after="0" w:line="3"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10.21++</w:t>
      </w:r>
      <w:r>
        <w:rPr>
          <w:sz w:val="20"/>
          <w:szCs w:val="20"/>
          <w:color w:val="auto"/>
        </w:rPr>
        <w:tab/>
      </w:r>
      <w:hyperlink r:id="rId290">
        <w:r>
          <w:rPr>
            <w:rFonts w:ascii="Times New Roman" w:cs="Times New Roman" w:eastAsia="Times New Roman" w:hAnsi="Times New Roman"/>
            <w:sz w:val="14"/>
            <w:szCs w:val="14"/>
            <w:u w:val="single" w:color="auto"/>
            <w:color w:val="0000EE"/>
          </w:rPr>
          <w:t>Employment Agreement, dated as of October 11, 2022, by and between Dragonfly Energy Holdings Corp. and John Marchetti.</w:t>
        </w:r>
      </w:hyperlink>
    </w:p>
    <w:p>
      <w:pPr>
        <w:spacing w:after="0" w:line="3" w:lineRule="exact"/>
        <w:rPr>
          <w:sz w:val="20"/>
          <w:szCs w:val="20"/>
          <w:color w:val="auto"/>
        </w:rPr>
      </w:pPr>
    </w:p>
    <w:p>
      <w:pPr>
        <w:jc w:val="both"/>
        <w:ind w:left="720" w:hanging="722"/>
        <w:spacing w:after="0" w:line="247"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10.22++</w:t>
      </w:r>
      <w:r>
        <w:rPr>
          <w:sz w:val="20"/>
          <w:szCs w:val="20"/>
          <w:color w:val="auto"/>
        </w:rPr>
        <w:tab/>
      </w:r>
      <w:hyperlink r:id="rId291">
        <w:r>
          <w:rPr>
            <w:rFonts w:ascii="Times New Roman" w:cs="Times New Roman" w:eastAsia="Times New Roman" w:hAnsi="Times New Roman"/>
            <w:sz w:val="16"/>
            <w:szCs w:val="16"/>
            <w:u w:val="single" w:color="auto"/>
            <w:color w:val="0000EE"/>
          </w:rPr>
          <w:t>First Amended and Restated Employment Agreement, dated February 24, 2023, by and between Dragonfly Energy Holdings</w:t>
        </w:r>
      </w:hyperlink>
      <w:r>
        <w:rPr>
          <w:rFonts w:ascii="Times New Roman" w:cs="Times New Roman" w:eastAsia="Times New Roman" w:hAnsi="Times New Roman"/>
          <w:sz w:val="16"/>
          <w:szCs w:val="16"/>
          <w:u w:val="single" w:color="auto"/>
          <w:color w:val="0000EE"/>
        </w:rPr>
        <w:t xml:space="preserve"> </w:t>
      </w:r>
      <w:hyperlink r:id="rId291">
        <w:r>
          <w:rPr>
            <w:rFonts w:ascii="Times New Roman" w:cs="Times New Roman" w:eastAsia="Times New Roman" w:hAnsi="Times New Roman"/>
            <w:sz w:val="16"/>
            <w:szCs w:val="16"/>
            <w:u w:val="single" w:color="auto"/>
            <w:color w:val="0000EE"/>
          </w:rPr>
          <w:t>Corp. and John Marchetti.</w:t>
        </w:r>
      </w:hyperlink>
    </w:p>
    <w:p>
      <w:pPr>
        <w:spacing w:after="0" w:line="1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52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8"/>
              </w:rPr>
              <w:t>S-4</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10.6</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07/22/2022</w:t>
            </w:r>
          </w:p>
        </w:tc>
      </w:tr>
      <w:tr>
        <w:trPr>
          <w:trHeight w:val="560"/>
        </w:trPr>
        <w:tc>
          <w:tcPr>
            <w:tcW w:w="52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8"/>
              </w:rPr>
              <w:t>S-4</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10.7</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07/22/2022</w:t>
            </w:r>
          </w:p>
        </w:tc>
      </w:tr>
      <w:tr>
        <w:trPr>
          <w:trHeight w:val="358"/>
        </w:trPr>
        <w:tc>
          <w:tcPr>
            <w:tcW w:w="5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10.5</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10/11/2022</w:t>
            </w:r>
          </w:p>
        </w:tc>
      </w:tr>
      <w:tr>
        <w:trPr>
          <w:trHeight w:val="187"/>
        </w:trPr>
        <w:tc>
          <w:tcPr>
            <w:tcW w:w="5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10.6</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10/11/2022</w:t>
            </w:r>
          </w:p>
        </w:tc>
      </w:tr>
      <w:tr>
        <w:trPr>
          <w:trHeight w:val="203"/>
        </w:trPr>
        <w:tc>
          <w:tcPr>
            <w:tcW w:w="52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8"/>
              </w:rPr>
              <w:t>S-4</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10.11</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07/22/2022</w:t>
            </w:r>
          </w:p>
        </w:tc>
      </w:tr>
      <w:tr>
        <w:trPr>
          <w:trHeight w:val="358"/>
        </w:trPr>
        <w:tc>
          <w:tcPr>
            <w:tcW w:w="52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8"/>
              </w:rPr>
              <w:t>S-4</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10.12</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07/22/2022</w:t>
            </w:r>
          </w:p>
        </w:tc>
      </w:tr>
      <w:tr>
        <w:trPr>
          <w:trHeight w:val="187"/>
        </w:trPr>
        <w:tc>
          <w:tcPr>
            <w:tcW w:w="5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10.10</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10/11/2022</w:t>
            </w:r>
          </w:p>
        </w:tc>
      </w:tr>
      <w:tr>
        <w:trPr>
          <w:trHeight w:val="203"/>
        </w:trPr>
        <w:tc>
          <w:tcPr>
            <w:tcW w:w="5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10.11</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10/11/2022</w:t>
            </w:r>
          </w:p>
        </w:tc>
      </w:tr>
      <w:tr>
        <w:trPr>
          <w:trHeight w:val="373"/>
        </w:trPr>
        <w:tc>
          <w:tcPr>
            <w:tcW w:w="5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10.12</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10/11/2022</w:t>
            </w:r>
          </w:p>
        </w:tc>
      </w:tr>
      <w:tr>
        <w:trPr>
          <w:trHeight w:val="358"/>
        </w:trPr>
        <w:tc>
          <w:tcPr>
            <w:tcW w:w="5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10.13</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10/11/2022</w:t>
            </w:r>
          </w:p>
        </w:tc>
      </w:tr>
      <w:tr>
        <w:trPr>
          <w:trHeight w:val="187"/>
        </w:trPr>
        <w:tc>
          <w:tcPr>
            <w:tcW w:w="5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10.14</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10/11/2022</w:t>
            </w:r>
          </w:p>
        </w:tc>
      </w:tr>
      <w:tr>
        <w:trPr>
          <w:trHeight w:val="187"/>
        </w:trPr>
        <w:tc>
          <w:tcPr>
            <w:tcW w:w="5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10.15</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10/11/2022</w:t>
            </w:r>
          </w:p>
        </w:tc>
      </w:tr>
      <w:tr>
        <w:trPr>
          <w:trHeight w:val="187"/>
        </w:trPr>
        <w:tc>
          <w:tcPr>
            <w:tcW w:w="5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10.18</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10/11/2022</w:t>
            </w:r>
          </w:p>
        </w:tc>
      </w:tr>
      <w:tr>
        <w:trPr>
          <w:trHeight w:val="187"/>
        </w:trPr>
        <w:tc>
          <w:tcPr>
            <w:tcW w:w="5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10.19</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10/11/2022</w:t>
            </w:r>
          </w:p>
        </w:tc>
      </w:tr>
      <w:tr>
        <w:trPr>
          <w:trHeight w:val="187"/>
        </w:trPr>
        <w:tc>
          <w:tcPr>
            <w:tcW w:w="5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10.20</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10/11/2022</w:t>
            </w:r>
          </w:p>
        </w:tc>
      </w:tr>
      <w:tr>
        <w:trPr>
          <w:trHeight w:val="203"/>
        </w:trPr>
        <w:tc>
          <w:tcPr>
            <w:tcW w:w="5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10.21</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10/11/2022</w:t>
            </w:r>
          </w:p>
        </w:tc>
      </w:tr>
      <w:tr>
        <w:trPr>
          <w:trHeight w:val="358"/>
        </w:trPr>
        <w:tc>
          <w:tcPr>
            <w:tcW w:w="5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10.19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03/31/2025</w:t>
            </w:r>
          </w:p>
        </w:tc>
      </w:tr>
      <w:tr>
        <w:trPr>
          <w:trHeight w:val="187"/>
        </w:trPr>
        <w:tc>
          <w:tcPr>
            <w:tcW w:w="52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8"/>
              </w:rPr>
              <w:t>S-1</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10.23</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11/4/2022</w:t>
            </w:r>
          </w:p>
        </w:tc>
      </w:tr>
      <w:tr>
        <w:trPr>
          <w:trHeight w:val="187"/>
        </w:trPr>
        <w:tc>
          <w:tcPr>
            <w:tcW w:w="52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8"/>
              </w:rPr>
              <w:t>S-1</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10.24</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11/4/2022</w:t>
            </w:r>
          </w:p>
        </w:tc>
      </w:tr>
      <w:tr>
        <w:trPr>
          <w:trHeight w:val="203"/>
        </w:trPr>
        <w:tc>
          <w:tcPr>
            <w:tcW w:w="5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10.1</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5"/>
              </w:rPr>
              <w:t>03/02/2023</w:t>
            </w:r>
          </w:p>
        </w:tc>
      </w:tr>
    </w:tbl>
    <w:p>
      <w:pPr>
        <w:sectPr>
          <w:pgSz w:w="11900" w:h="16838" w:orient="portrait"/>
          <w:cols w:equalWidth="0" w:num="2">
            <w:col w:w="8800" w:space="280"/>
            <w:col w:w="2100"/>
          </w:cols>
          <w:pgMar w:left="320" w:top="613" w:right="399" w:bottom="144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808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rPr>
            </w:pPr>
            <w:hyperlink r:id="rId293">
              <w:r>
                <w:rPr>
                  <w:rFonts w:ascii="Times New Roman" w:cs="Times New Roman" w:eastAsia="Times New Roman" w:hAnsi="Times New Roman"/>
                  <w:sz w:val="16"/>
                  <w:szCs w:val="16"/>
                  <w:color w:val="0000EE"/>
                </w:rPr>
                <w:t>Asset Purchase Agreement, dated April 22, 2022, by and among Dragonfly Energy Corp., Thomason Jones Company, LLC,</w:t>
              </w:r>
            </w:hyperlink>
          </w:p>
        </w:tc>
        <w:tc>
          <w:tcPr>
            <w:tcW w:w="140" w:type="dxa"/>
            <w:vAlign w:val="bottom"/>
            <w:gridSpan w:val="5"/>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10.28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04/17/2023</w:t>
            </w:r>
          </w:p>
        </w:tc>
      </w:tr>
      <w:tr>
        <w:trPr>
          <w:trHeight w:val="167"/>
        </w:trPr>
        <w:tc>
          <w:tcPr>
            <w:tcW w:w="720" w:type="dxa"/>
            <w:vAlign w:val="bottom"/>
          </w:tcPr>
          <w:p>
            <w:pPr>
              <w:spacing w:after="0"/>
              <w:rPr>
                <w:sz w:val="14"/>
                <w:szCs w:val="14"/>
                <w:color w:val="auto"/>
              </w:rPr>
            </w:pPr>
          </w:p>
        </w:tc>
        <w:tc>
          <w:tcPr>
            <w:tcW w:w="2420" w:type="dxa"/>
            <w:vAlign w:val="bottom"/>
            <w:tcBorders>
              <w:bottom w:val="single" w:sz="8" w:color="0000EE"/>
            </w:tcBorders>
            <w:gridSpan w:val="9"/>
          </w:tcPr>
          <w:p>
            <w:pPr>
              <w:spacing w:after="0" w:line="167" w:lineRule="exact"/>
              <w:rPr>
                <w:rFonts w:ascii="Times New Roman" w:cs="Times New Roman" w:eastAsia="Times New Roman" w:hAnsi="Times New Roman"/>
                <w:sz w:val="16"/>
                <w:szCs w:val="16"/>
                <w:color w:val="0000EE"/>
                <w:w w:val="96"/>
              </w:rPr>
            </w:pPr>
            <w:hyperlink r:id="rId293">
              <w:r>
                <w:rPr>
                  <w:rFonts w:ascii="Times New Roman" w:cs="Times New Roman" w:eastAsia="Times New Roman" w:hAnsi="Times New Roman"/>
                  <w:sz w:val="16"/>
                  <w:szCs w:val="16"/>
                  <w:color w:val="0000EE"/>
                  <w:w w:val="96"/>
                </w:rPr>
                <w:t>William Thomason and Richard Jones.</w:t>
              </w:r>
            </w:hyperlink>
          </w:p>
        </w:tc>
        <w:tc>
          <w:tcPr>
            <w:tcW w:w="5800" w:type="dxa"/>
            <w:vAlign w:val="bottom"/>
            <w:gridSpan w:val="10"/>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10.24</w:t>
            </w:r>
          </w:p>
        </w:tc>
        <w:tc>
          <w:tcPr>
            <w:tcW w:w="8100" w:type="dxa"/>
            <w:vAlign w:val="bottom"/>
            <w:tcBorders>
              <w:bottom w:val="single" w:sz="8" w:color="0000EE"/>
            </w:tcBorders>
            <w:gridSpan w:val="15"/>
          </w:tcPr>
          <w:p>
            <w:pPr>
              <w:spacing w:after="0" w:line="167" w:lineRule="exact"/>
              <w:rPr>
                <w:rFonts w:ascii="Times New Roman" w:cs="Times New Roman" w:eastAsia="Times New Roman" w:hAnsi="Times New Roman"/>
                <w:sz w:val="16"/>
                <w:szCs w:val="16"/>
                <w:color w:val="0000EE"/>
                <w:w w:val="98"/>
              </w:rPr>
            </w:pPr>
            <w:hyperlink r:id="rId294">
              <w:r>
                <w:rPr>
                  <w:rFonts w:ascii="Times New Roman" w:cs="Times New Roman" w:eastAsia="Times New Roman" w:hAnsi="Times New Roman"/>
                  <w:sz w:val="16"/>
                  <w:szCs w:val="16"/>
                  <w:color w:val="0000EE"/>
                  <w:w w:val="98"/>
                </w:rPr>
                <w:t>Manufacturing Supply Agreement, dated November 19, 2021, by and between Dragonfly Energy Holdings Corp. and Keystone</w:t>
              </w:r>
            </w:hyperlink>
          </w:p>
        </w:tc>
        <w:tc>
          <w:tcPr>
            <w:tcW w:w="120" w:type="dxa"/>
            <w:vAlign w:val="bottom"/>
            <w:gridSpan w:val="4"/>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4"/>
              </w:rPr>
              <w:t>10.29</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04/17/2023</w:t>
            </w:r>
          </w:p>
        </w:tc>
      </w:tr>
      <w:tr>
        <w:trPr>
          <w:trHeight w:val="167"/>
        </w:trPr>
        <w:tc>
          <w:tcPr>
            <w:tcW w:w="720" w:type="dxa"/>
            <w:vAlign w:val="bottom"/>
          </w:tcPr>
          <w:p>
            <w:pPr>
              <w:spacing w:after="0"/>
              <w:rPr>
                <w:sz w:val="14"/>
                <w:szCs w:val="14"/>
                <w:color w:val="auto"/>
              </w:rPr>
            </w:pPr>
          </w:p>
        </w:tc>
        <w:tc>
          <w:tcPr>
            <w:tcW w:w="880" w:type="dxa"/>
            <w:vAlign w:val="bottom"/>
            <w:tcBorders>
              <w:bottom w:val="single" w:sz="8" w:color="0000EE"/>
            </w:tcBorders>
            <w:gridSpan w:val="3"/>
          </w:tcPr>
          <w:p>
            <w:pPr>
              <w:spacing w:after="0" w:line="167" w:lineRule="exact"/>
              <w:rPr>
                <w:rFonts w:ascii="Times New Roman" w:cs="Times New Roman" w:eastAsia="Times New Roman" w:hAnsi="Times New Roman"/>
                <w:sz w:val="16"/>
                <w:szCs w:val="16"/>
                <w:color w:val="0000EE"/>
                <w:w w:val="92"/>
              </w:rPr>
            </w:pPr>
            <w:hyperlink r:id="rId294">
              <w:r>
                <w:rPr>
                  <w:rFonts w:ascii="Times New Roman" w:cs="Times New Roman" w:eastAsia="Times New Roman" w:hAnsi="Times New Roman"/>
                  <w:sz w:val="16"/>
                  <w:szCs w:val="16"/>
                  <w:color w:val="0000EE"/>
                  <w:w w:val="92"/>
                </w:rPr>
                <w:t>RV Company.</w:t>
              </w:r>
            </w:hyperlink>
          </w:p>
        </w:tc>
        <w:tc>
          <w:tcPr>
            <w:tcW w:w="7340" w:type="dxa"/>
            <w:vAlign w:val="bottom"/>
            <w:gridSpan w:val="16"/>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10.25</w:t>
            </w:r>
          </w:p>
        </w:tc>
        <w:tc>
          <w:tcPr>
            <w:tcW w:w="8100" w:type="dxa"/>
            <w:vAlign w:val="bottom"/>
            <w:tcBorders>
              <w:bottom w:val="single" w:sz="8" w:color="0000EE"/>
            </w:tcBorders>
            <w:gridSpan w:val="15"/>
          </w:tcPr>
          <w:p>
            <w:pPr>
              <w:spacing w:after="0" w:line="167" w:lineRule="exact"/>
              <w:rPr>
                <w:rFonts w:ascii="Times New Roman" w:cs="Times New Roman" w:eastAsia="Times New Roman" w:hAnsi="Times New Roman"/>
                <w:sz w:val="16"/>
                <w:szCs w:val="16"/>
                <w:color w:val="0000EE"/>
                <w:w w:val="99"/>
              </w:rPr>
            </w:pPr>
            <w:hyperlink r:id="rId295">
              <w:r>
                <w:rPr>
                  <w:rFonts w:ascii="Times New Roman" w:cs="Times New Roman" w:eastAsia="Times New Roman" w:hAnsi="Times New Roman"/>
                  <w:sz w:val="16"/>
                  <w:szCs w:val="16"/>
                  <w:color w:val="0000EE"/>
                  <w:w w:val="99"/>
                </w:rPr>
                <w:t>Asset Purchase Agreement, dated January 1, 2022, by and between Dragonfly Energy Holdings Corp. and Bourns Productions,</w:t>
              </w:r>
            </w:hyperlink>
          </w:p>
        </w:tc>
        <w:tc>
          <w:tcPr>
            <w:tcW w:w="120" w:type="dxa"/>
            <w:vAlign w:val="bottom"/>
            <w:gridSpan w:val="4"/>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4"/>
              </w:rPr>
              <w:t>10.30</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04/17/2023</w:t>
            </w:r>
          </w:p>
        </w:tc>
      </w:tr>
      <w:tr>
        <w:trPr>
          <w:trHeight w:val="167"/>
        </w:trPr>
        <w:tc>
          <w:tcPr>
            <w:tcW w:w="720" w:type="dxa"/>
            <w:vAlign w:val="bottom"/>
          </w:tcPr>
          <w:p>
            <w:pPr>
              <w:spacing w:after="0"/>
              <w:rPr>
                <w:sz w:val="14"/>
                <w:szCs w:val="14"/>
                <w:color w:val="auto"/>
              </w:rPr>
            </w:pPr>
          </w:p>
        </w:tc>
        <w:tc>
          <w:tcPr>
            <w:tcW w:w="240" w:type="dxa"/>
            <w:vAlign w:val="bottom"/>
            <w:tcBorders>
              <w:bottom w:val="single" w:sz="8" w:color="0000EE"/>
            </w:tcBorders>
          </w:tcPr>
          <w:p>
            <w:pPr>
              <w:spacing w:after="0" w:line="167" w:lineRule="exact"/>
              <w:rPr>
                <w:rFonts w:ascii="Times New Roman" w:cs="Times New Roman" w:eastAsia="Times New Roman" w:hAnsi="Times New Roman"/>
                <w:sz w:val="16"/>
                <w:szCs w:val="16"/>
                <w:color w:val="0000EE"/>
                <w:w w:val="89"/>
              </w:rPr>
            </w:pPr>
            <w:hyperlink r:id="rId295">
              <w:r>
                <w:rPr>
                  <w:rFonts w:ascii="Times New Roman" w:cs="Times New Roman" w:eastAsia="Times New Roman" w:hAnsi="Times New Roman"/>
                  <w:sz w:val="16"/>
                  <w:szCs w:val="16"/>
                  <w:color w:val="0000EE"/>
                  <w:w w:val="89"/>
                </w:rPr>
                <w:t>Inc.</w:t>
              </w:r>
            </w:hyperlink>
          </w:p>
        </w:tc>
        <w:tc>
          <w:tcPr>
            <w:tcW w:w="7980" w:type="dxa"/>
            <w:vAlign w:val="bottom"/>
            <w:gridSpan w:val="18"/>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10.26</w:t>
            </w:r>
          </w:p>
        </w:tc>
        <w:tc>
          <w:tcPr>
            <w:tcW w:w="8160" w:type="dxa"/>
            <w:vAlign w:val="bottom"/>
            <w:tcBorders>
              <w:bottom w:val="single" w:sz="8" w:color="0000EE"/>
            </w:tcBorders>
            <w:gridSpan w:val="18"/>
          </w:tcPr>
          <w:p>
            <w:pPr>
              <w:spacing w:after="0" w:line="167" w:lineRule="exact"/>
              <w:rPr>
                <w:rFonts w:ascii="Times New Roman" w:cs="Times New Roman" w:eastAsia="Times New Roman" w:hAnsi="Times New Roman"/>
                <w:sz w:val="16"/>
                <w:szCs w:val="16"/>
                <w:color w:val="0000EE"/>
              </w:rPr>
            </w:pPr>
            <w:hyperlink r:id="rId296">
              <w:r>
                <w:rPr>
                  <w:rFonts w:ascii="Times New Roman" w:cs="Times New Roman" w:eastAsia="Times New Roman" w:hAnsi="Times New Roman"/>
                  <w:sz w:val="16"/>
                  <w:szCs w:val="16"/>
                  <w:color w:val="0000EE"/>
                </w:rPr>
                <w:t>Assignment and Assumption Agreement, dated January 1, 2022, by and between Dragonfly Energy Corp. and Bourns</w:t>
              </w:r>
            </w:hyperlink>
          </w:p>
        </w:tc>
        <w:tc>
          <w:tcPr>
            <w:tcW w:w="60" w:type="dxa"/>
            <w:vAlign w:val="bottom"/>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4"/>
              </w:rPr>
              <w:t>10.31</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04/17/2023</w:t>
            </w:r>
          </w:p>
        </w:tc>
      </w:tr>
      <w:tr>
        <w:trPr>
          <w:trHeight w:val="167"/>
        </w:trPr>
        <w:tc>
          <w:tcPr>
            <w:tcW w:w="720" w:type="dxa"/>
            <w:vAlign w:val="bottom"/>
          </w:tcPr>
          <w:p>
            <w:pPr>
              <w:spacing w:after="0"/>
              <w:rPr>
                <w:sz w:val="14"/>
                <w:szCs w:val="14"/>
                <w:color w:val="auto"/>
              </w:rPr>
            </w:pPr>
          </w:p>
        </w:tc>
        <w:tc>
          <w:tcPr>
            <w:tcW w:w="1060" w:type="dxa"/>
            <w:vAlign w:val="bottom"/>
            <w:tcBorders>
              <w:bottom w:val="single" w:sz="8" w:color="0000EE"/>
            </w:tcBorders>
            <w:gridSpan w:val="4"/>
          </w:tcPr>
          <w:p>
            <w:pPr>
              <w:spacing w:after="0" w:line="167" w:lineRule="exact"/>
              <w:rPr>
                <w:rFonts w:ascii="Times New Roman" w:cs="Times New Roman" w:eastAsia="Times New Roman" w:hAnsi="Times New Roman"/>
                <w:sz w:val="16"/>
                <w:szCs w:val="16"/>
                <w:color w:val="0000EE"/>
                <w:w w:val="95"/>
              </w:rPr>
            </w:pPr>
            <w:hyperlink r:id="rId296">
              <w:r>
                <w:rPr>
                  <w:rFonts w:ascii="Times New Roman" w:cs="Times New Roman" w:eastAsia="Times New Roman" w:hAnsi="Times New Roman"/>
                  <w:sz w:val="16"/>
                  <w:szCs w:val="16"/>
                  <w:color w:val="0000EE"/>
                  <w:w w:val="95"/>
                </w:rPr>
                <w:t>Productions, Inc.</w:t>
              </w:r>
            </w:hyperlink>
          </w:p>
        </w:tc>
        <w:tc>
          <w:tcPr>
            <w:tcW w:w="7160" w:type="dxa"/>
            <w:vAlign w:val="bottom"/>
            <w:gridSpan w:val="15"/>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10.27</w:t>
            </w:r>
          </w:p>
        </w:tc>
        <w:tc>
          <w:tcPr>
            <w:tcW w:w="8100" w:type="dxa"/>
            <w:vAlign w:val="bottom"/>
            <w:tcBorders>
              <w:bottom w:val="single" w:sz="8" w:color="0000EE"/>
            </w:tcBorders>
            <w:gridSpan w:val="15"/>
          </w:tcPr>
          <w:p>
            <w:pPr>
              <w:spacing w:after="0" w:line="167" w:lineRule="exact"/>
              <w:rPr>
                <w:rFonts w:ascii="Times New Roman" w:cs="Times New Roman" w:eastAsia="Times New Roman" w:hAnsi="Times New Roman"/>
                <w:sz w:val="16"/>
                <w:szCs w:val="16"/>
                <w:color w:val="0000EE"/>
              </w:rPr>
            </w:pPr>
            <w:hyperlink r:id="rId296">
              <w:r>
                <w:rPr>
                  <w:rFonts w:ascii="Times New Roman" w:cs="Times New Roman" w:eastAsia="Times New Roman" w:hAnsi="Times New Roman"/>
                  <w:sz w:val="16"/>
                  <w:szCs w:val="16"/>
                  <w:color w:val="0000EE"/>
                </w:rPr>
                <w:t>Assignment and Assumption of Lease Agreement, dated January 1, 2022, by and among Dragonfly Energy Corp., Bourns</w:t>
              </w:r>
            </w:hyperlink>
          </w:p>
        </w:tc>
        <w:tc>
          <w:tcPr>
            <w:tcW w:w="120" w:type="dxa"/>
            <w:vAlign w:val="bottom"/>
            <w:gridSpan w:val="4"/>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4"/>
              </w:rPr>
              <w:t>10.32</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04/17/2023</w:t>
            </w:r>
          </w:p>
        </w:tc>
      </w:tr>
      <w:tr>
        <w:trPr>
          <w:trHeight w:val="167"/>
        </w:trPr>
        <w:tc>
          <w:tcPr>
            <w:tcW w:w="720" w:type="dxa"/>
            <w:vAlign w:val="bottom"/>
          </w:tcPr>
          <w:p>
            <w:pPr>
              <w:spacing w:after="0"/>
              <w:rPr>
                <w:sz w:val="14"/>
                <w:szCs w:val="14"/>
                <w:color w:val="auto"/>
              </w:rPr>
            </w:pPr>
          </w:p>
        </w:tc>
        <w:tc>
          <w:tcPr>
            <w:tcW w:w="8220" w:type="dxa"/>
            <w:vAlign w:val="bottom"/>
            <w:gridSpan w:val="19"/>
          </w:tcPr>
          <w:p>
            <w:pPr>
              <w:spacing w:after="0" w:line="167" w:lineRule="exact"/>
              <w:rPr>
                <w:rFonts w:ascii="Times New Roman" w:cs="Times New Roman" w:eastAsia="Times New Roman" w:hAnsi="Times New Roman"/>
                <w:sz w:val="16"/>
                <w:szCs w:val="16"/>
                <w:color w:val="0000EE"/>
              </w:rPr>
            </w:pPr>
            <w:hyperlink r:id="rId296">
              <w:r>
                <w:rPr>
                  <w:rFonts w:ascii="Times New Roman" w:cs="Times New Roman" w:eastAsia="Times New Roman" w:hAnsi="Times New Roman"/>
                  <w:sz w:val="16"/>
                  <w:szCs w:val="16"/>
                  <w:color w:val="0000EE"/>
                </w:rPr>
                <w:t>Productions, Inc. and Los Angeles &amp; Steel Co.</w:t>
              </w:r>
            </w:hyperlink>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10.28</w:t>
            </w:r>
          </w:p>
        </w:tc>
        <w:tc>
          <w:tcPr>
            <w:tcW w:w="8100" w:type="dxa"/>
            <w:vAlign w:val="bottom"/>
            <w:tcBorders>
              <w:bottom w:val="single" w:sz="8" w:color="0000EE"/>
            </w:tcBorders>
            <w:gridSpan w:val="15"/>
          </w:tcPr>
          <w:p>
            <w:pPr>
              <w:spacing w:after="0" w:line="167" w:lineRule="exact"/>
              <w:rPr>
                <w:rFonts w:ascii="Times New Roman" w:cs="Times New Roman" w:eastAsia="Times New Roman" w:hAnsi="Times New Roman"/>
                <w:sz w:val="16"/>
                <w:szCs w:val="16"/>
                <w:color w:val="0000EE"/>
                <w:w w:val="99"/>
              </w:rPr>
            </w:pPr>
            <w:hyperlink r:id="rId297">
              <w:r>
                <w:rPr>
                  <w:rFonts w:ascii="Times New Roman" w:cs="Times New Roman" w:eastAsia="Times New Roman" w:hAnsi="Times New Roman"/>
                  <w:sz w:val="16"/>
                  <w:szCs w:val="16"/>
                  <w:color w:val="0000EE"/>
                  <w:w w:val="99"/>
                </w:rPr>
                <w:t>Research and Development Lab Lease, dated April 25, 2019, by and between Dragonfly Energy Corp. and BRE RS Greg Park</w:t>
              </w:r>
            </w:hyperlink>
          </w:p>
        </w:tc>
        <w:tc>
          <w:tcPr>
            <w:tcW w:w="120" w:type="dxa"/>
            <w:vAlign w:val="bottom"/>
            <w:gridSpan w:val="4"/>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4"/>
              </w:rPr>
              <w:t>10.33</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04/17/2023</w:t>
            </w:r>
          </w:p>
        </w:tc>
      </w:tr>
      <w:tr>
        <w:trPr>
          <w:trHeight w:val="167"/>
        </w:trPr>
        <w:tc>
          <w:tcPr>
            <w:tcW w:w="720" w:type="dxa"/>
            <w:vAlign w:val="bottom"/>
          </w:tcPr>
          <w:p>
            <w:pPr>
              <w:spacing w:after="0"/>
              <w:rPr>
                <w:sz w:val="14"/>
                <w:szCs w:val="14"/>
                <w:color w:val="auto"/>
              </w:rPr>
            </w:pPr>
          </w:p>
        </w:tc>
        <w:tc>
          <w:tcPr>
            <w:tcW w:w="800" w:type="dxa"/>
            <w:vAlign w:val="bottom"/>
            <w:tcBorders>
              <w:bottom w:val="single" w:sz="8" w:color="0000EE"/>
            </w:tcBorders>
            <w:gridSpan w:val="2"/>
          </w:tcPr>
          <w:p>
            <w:pPr>
              <w:spacing w:after="0" w:line="167" w:lineRule="exact"/>
              <w:rPr>
                <w:rFonts w:ascii="Times New Roman" w:cs="Times New Roman" w:eastAsia="Times New Roman" w:hAnsi="Times New Roman"/>
                <w:sz w:val="16"/>
                <w:szCs w:val="16"/>
                <w:color w:val="0000EE"/>
                <w:w w:val="95"/>
              </w:rPr>
            </w:pPr>
            <w:hyperlink r:id="rId297">
              <w:r>
                <w:rPr>
                  <w:rFonts w:ascii="Times New Roman" w:cs="Times New Roman" w:eastAsia="Times New Roman" w:hAnsi="Times New Roman"/>
                  <w:sz w:val="16"/>
                  <w:szCs w:val="16"/>
                  <w:color w:val="0000EE"/>
                  <w:w w:val="95"/>
                </w:rPr>
                <w:t>Owner LLC.</w:t>
              </w:r>
            </w:hyperlink>
          </w:p>
        </w:tc>
        <w:tc>
          <w:tcPr>
            <w:tcW w:w="7420" w:type="dxa"/>
            <w:vAlign w:val="bottom"/>
            <w:gridSpan w:val="17"/>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10.29</w:t>
            </w:r>
          </w:p>
        </w:tc>
        <w:tc>
          <w:tcPr>
            <w:tcW w:w="8140" w:type="dxa"/>
            <w:vAlign w:val="bottom"/>
            <w:tcBorders>
              <w:bottom w:val="single" w:sz="8" w:color="0000EE"/>
            </w:tcBorders>
            <w:gridSpan w:val="17"/>
          </w:tcPr>
          <w:p>
            <w:pPr>
              <w:spacing w:after="0" w:line="167" w:lineRule="exact"/>
              <w:rPr>
                <w:rFonts w:ascii="Times New Roman" w:cs="Times New Roman" w:eastAsia="Times New Roman" w:hAnsi="Times New Roman"/>
                <w:sz w:val="16"/>
                <w:szCs w:val="16"/>
                <w:color w:val="0000EE"/>
              </w:rPr>
            </w:pPr>
            <w:hyperlink r:id="rId298">
              <w:r>
                <w:rPr>
                  <w:rFonts w:ascii="Times New Roman" w:cs="Times New Roman" w:eastAsia="Times New Roman" w:hAnsi="Times New Roman"/>
                  <w:sz w:val="16"/>
                  <w:szCs w:val="16"/>
                  <w:color w:val="0000EE"/>
                </w:rPr>
                <w:t>Amendment No. 1 to Research and Lab Lease, dated March 12, 2020, by and between Dragonfly Energy Corp. and DRE RS</w:t>
              </w:r>
            </w:hyperlink>
          </w:p>
        </w:tc>
        <w:tc>
          <w:tcPr>
            <w:tcW w:w="80" w:type="dxa"/>
            <w:vAlign w:val="bottom"/>
            <w:gridSpan w:val="2"/>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4"/>
              </w:rPr>
              <w:t>10.34</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04/17/2023</w:t>
            </w:r>
          </w:p>
        </w:tc>
      </w:tr>
      <w:tr>
        <w:trPr>
          <w:trHeight w:val="167"/>
        </w:trPr>
        <w:tc>
          <w:tcPr>
            <w:tcW w:w="720" w:type="dxa"/>
            <w:vAlign w:val="bottom"/>
          </w:tcPr>
          <w:p>
            <w:pPr>
              <w:spacing w:after="0"/>
              <w:rPr>
                <w:sz w:val="14"/>
                <w:szCs w:val="14"/>
                <w:color w:val="auto"/>
              </w:rPr>
            </w:pPr>
          </w:p>
        </w:tc>
        <w:tc>
          <w:tcPr>
            <w:tcW w:w="8220" w:type="dxa"/>
            <w:vAlign w:val="bottom"/>
            <w:gridSpan w:val="19"/>
          </w:tcPr>
          <w:p>
            <w:pPr>
              <w:spacing w:after="0" w:line="167" w:lineRule="exact"/>
              <w:rPr>
                <w:rFonts w:ascii="Times New Roman" w:cs="Times New Roman" w:eastAsia="Times New Roman" w:hAnsi="Times New Roman"/>
                <w:sz w:val="16"/>
                <w:szCs w:val="16"/>
                <w:color w:val="0000EE"/>
              </w:rPr>
            </w:pPr>
            <w:hyperlink r:id="rId298">
              <w:r>
                <w:rPr>
                  <w:rFonts w:ascii="Times New Roman" w:cs="Times New Roman" w:eastAsia="Times New Roman" w:hAnsi="Times New Roman"/>
                  <w:sz w:val="16"/>
                  <w:szCs w:val="16"/>
                  <w:color w:val="0000EE"/>
                </w:rPr>
                <w:t>Greg Park Owner LLC.</w:t>
              </w:r>
            </w:hyperlink>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10.30</w:t>
            </w:r>
          </w:p>
        </w:tc>
        <w:tc>
          <w:tcPr>
            <w:tcW w:w="8100" w:type="dxa"/>
            <w:vAlign w:val="bottom"/>
            <w:tcBorders>
              <w:bottom w:val="single" w:sz="8" w:color="0000EE"/>
            </w:tcBorders>
            <w:gridSpan w:val="15"/>
          </w:tcPr>
          <w:p>
            <w:pPr>
              <w:spacing w:after="0" w:line="167" w:lineRule="exact"/>
              <w:rPr>
                <w:rFonts w:ascii="Times New Roman" w:cs="Times New Roman" w:eastAsia="Times New Roman" w:hAnsi="Times New Roman"/>
                <w:sz w:val="16"/>
                <w:szCs w:val="16"/>
                <w:color w:val="0000EE"/>
                <w:w w:val="98"/>
              </w:rPr>
            </w:pPr>
            <w:hyperlink r:id="rId299">
              <w:r>
                <w:rPr>
                  <w:rFonts w:ascii="Times New Roman" w:cs="Times New Roman" w:eastAsia="Times New Roman" w:hAnsi="Times New Roman"/>
                  <w:sz w:val="16"/>
                  <w:szCs w:val="16"/>
                  <w:color w:val="0000EE"/>
                  <w:w w:val="98"/>
                </w:rPr>
                <w:t>Amendment No. 2 to Research and Lab Lease, dated July 27, 2020, by and between Dragonfly Energy Corp. and DRE RS Greg</w:t>
              </w:r>
            </w:hyperlink>
          </w:p>
        </w:tc>
        <w:tc>
          <w:tcPr>
            <w:tcW w:w="120" w:type="dxa"/>
            <w:vAlign w:val="bottom"/>
            <w:gridSpan w:val="4"/>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4"/>
              </w:rPr>
              <w:t>10.35</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04/17/2023</w:t>
            </w:r>
          </w:p>
        </w:tc>
      </w:tr>
      <w:tr>
        <w:trPr>
          <w:trHeight w:val="167"/>
        </w:trPr>
        <w:tc>
          <w:tcPr>
            <w:tcW w:w="720" w:type="dxa"/>
            <w:vAlign w:val="bottom"/>
          </w:tcPr>
          <w:p>
            <w:pPr>
              <w:spacing w:after="0"/>
              <w:rPr>
                <w:sz w:val="14"/>
                <w:szCs w:val="14"/>
                <w:color w:val="auto"/>
              </w:rPr>
            </w:pPr>
          </w:p>
        </w:tc>
        <w:tc>
          <w:tcPr>
            <w:tcW w:w="1120" w:type="dxa"/>
            <w:vAlign w:val="bottom"/>
            <w:tcBorders>
              <w:bottom w:val="single" w:sz="8" w:color="0000EE"/>
            </w:tcBorders>
            <w:gridSpan w:val="5"/>
          </w:tcPr>
          <w:p>
            <w:pPr>
              <w:spacing w:after="0" w:line="167" w:lineRule="exact"/>
              <w:rPr>
                <w:rFonts w:ascii="Times New Roman" w:cs="Times New Roman" w:eastAsia="Times New Roman" w:hAnsi="Times New Roman"/>
                <w:sz w:val="16"/>
                <w:szCs w:val="16"/>
                <w:color w:val="0000EE"/>
                <w:w w:val="95"/>
              </w:rPr>
            </w:pPr>
            <w:hyperlink r:id="rId299">
              <w:r>
                <w:rPr>
                  <w:rFonts w:ascii="Times New Roman" w:cs="Times New Roman" w:eastAsia="Times New Roman" w:hAnsi="Times New Roman"/>
                  <w:sz w:val="16"/>
                  <w:szCs w:val="16"/>
                  <w:color w:val="0000EE"/>
                  <w:w w:val="95"/>
                </w:rPr>
                <w:t>Park Owner LLC.</w:t>
              </w:r>
            </w:hyperlink>
          </w:p>
        </w:tc>
        <w:tc>
          <w:tcPr>
            <w:tcW w:w="7100" w:type="dxa"/>
            <w:vAlign w:val="bottom"/>
            <w:gridSpan w:val="14"/>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10.31</w:t>
            </w:r>
          </w:p>
        </w:tc>
        <w:tc>
          <w:tcPr>
            <w:tcW w:w="8100" w:type="dxa"/>
            <w:vAlign w:val="bottom"/>
            <w:tcBorders>
              <w:bottom w:val="single" w:sz="8" w:color="0000EE"/>
            </w:tcBorders>
            <w:gridSpan w:val="15"/>
          </w:tcPr>
          <w:p>
            <w:pPr>
              <w:spacing w:after="0" w:line="167" w:lineRule="exact"/>
              <w:rPr>
                <w:rFonts w:ascii="Times New Roman" w:cs="Times New Roman" w:eastAsia="Times New Roman" w:hAnsi="Times New Roman"/>
                <w:sz w:val="16"/>
                <w:szCs w:val="16"/>
                <w:color w:val="0000EE"/>
              </w:rPr>
            </w:pPr>
            <w:hyperlink r:id="rId300">
              <w:r>
                <w:rPr>
                  <w:rFonts w:ascii="Times New Roman" w:cs="Times New Roman" w:eastAsia="Times New Roman" w:hAnsi="Times New Roman"/>
                  <w:sz w:val="16"/>
                  <w:szCs w:val="16"/>
                  <w:color w:val="0000EE"/>
                </w:rPr>
                <w:t>Amendment No. 3 to Research and Lab Lease, dated August 26, 2020, by and between Dragonfly Energy Corp. and DRE RS</w:t>
              </w:r>
            </w:hyperlink>
          </w:p>
        </w:tc>
        <w:tc>
          <w:tcPr>
            <w:tcW w:w="120" w:type="dxa"/>
            <w:vAlign w:val="bottom"/>
            <w:gridSpan w:val="4"/>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4"/>
              </w:rPr>
              <w:t>10.36</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04/17/2023</w:t>
            </w:r>
          </w:p>
        </w:tc>
      </w:tr>
      <w:tr>
        <w:trPr>
          <w:trHeight w:val="167"/>
        </w:trPr>
        <w:tc>
          <w:tcPr>
            <w:tcW w:w="720" w:type="dxa"/>
            <w:vAlign w:val="bottom"/>
          </w:tcPr>
          <w:p>
            <w:pPr>
              <w:spacing w:after="0"/>
              <w:rPr>
                <w:sz w:val="14"/>
                <w:szCs w:val="14"/>
                <w:color w:val="auto"/>
              </w:rPr>
            </w:pPr>
          </w:p>
        </w:tc>
        <w:tc>
          <w:tcPr>
            <w:tcW w:w="8220" w:type="dxa"/>
            <w:vAlign w:val="bottom"/>
            <w:gridSpan w:val="19"/>
          </w:tcPr>
          <w:p>
            <w:pPr>
              <w:spacing w:after="0" w:line="167" w:lineRule="exact"/>
              <w:rPr>
                <w:rFonts w:ascii="Times New Roman" w:cs="Times New Roman" w:eastAsia="Times New Roman" w:hAnsi="Times New Roman"/>
                <w:sz w:val="16"/>
                <w:szCs w:val="16"/>
                <w:color w:val="0000EE"/>
              </w:rPr>
            </w:pPr>
            <w:hyperlink r:id="rId300">
              <w:r>
                <w:rPr>
                  <w:rFonts w:ascii="Times New Roman" w:cs="Times New Roman" w:eastAsia="Times New Roman" w:hAnsi="Times New Roman"/>
                  <w:sz w:val="16"/>
                  <w:szCs w:val="16"/>
                  <w:color w:val="0000EE"/>
                </w:rPr>
                <w:t>Greg Park Owner LLC.</w:t>
              </w:r>
            </w:hyperlink>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10.32</w:t>
            </w:r>
          </w:p>
        </w:tc>
        <w:tc>
          <w:tcPr>
            <w:tcW w:w="8100" w:type="dxa"/>
            <w:vAlign w:val="bottom"/>
            <w:tcBorders>
              <w:bottom w:val="single" w:sz="8" w:color="0000EE"/>
            </w:tcBorders>
            <w:gridSpan w:val="15"/>
          </w:tcPr>
          <w:p>
            <w:pPr>
              <w:spacing w:after="0" w:line="167" w:lineRule="exact"/>
              <w:rPr>
                <w:rFonts w:ascii="Times New Roman" w:cs="Times New Roman" w:eastAsia="Times New Roman" w:hAnsi="Times New Roman"/>
                <w:sz w:val="16"/>
                <w:szCs w:val="16"/>
                <w:color w:val="0000EE"/>
                <w:w w:val="98"/>
              </w:rPr>
            </w:pPr>
            <w:hyperlink r:id="rId301">
              <w:r>
                <w:rPr>
                  <w:rFonts w:ascii="Times New Roman" w:cs="Times New Roman" w:eastAsia="Times New Roman" w:hAnsi="Times New Roman"/>
                  <w:sz w:val="16"/>
                  <w:szCs w:val="16"/>
                  <w:color w:val="0000EE"/>
                  <w:w w:val="98"/>
                </w:rPr>
                <w:t>Amendment No. 4 to Research and Lab Lease, dated December 16, 2020, by and between Dragonfly Energy Corp. and BRS RS</w:t>
              </w:r>
            </w:hyperlink>
          </w:p>
        </w:tc>
        <w:tc>
          <w:tcPr>
            <w:tcW w:w="120" w:type="dxa"/>
            <w:vAlign w:val="bottom"/>
            <w:gridSpan w:val="4"/>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4"/>
              </w:rPr>
              <w:t>10.37</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04/17/2023</w:t>
            </w:r>
          </w:p>
        </w:tc>
      </w:tr>
      <w:tr>
        <w:trPr>
          <w:trHeight w:val="167"/>
        </w:trPr>
        <w:tc>
          <w:tcPr>
            <w:tcW w:w="720" w:type="dxa"/>
            <w:vAlign w:val="bottom"/>
          </w:tcPr>
          <w:p>
            <w:pPr>
              <w:spacing w:after="0"/>
              <w:rPr>
                <w:sz w:val="14"/>
                <w:szCs w:val="14"/>
                <w:color w:val="auto"/>
              </w:rPr>
            </w:pPr>
          </w:p>
        </w:tc>
        <w:tc>
          <w:tcPr>
            <w:tcW w:w="8220" w:type="dxa"/>
            <w:vAlign w:val="bottom"/>
            <w:gridSpan w:val="19"/>
          </w:tcPr>
          <w:p>
            <w:pPr>
              <w:spacing w:after="0" w:line="167" w:lineRule="exact"/>
              <w:rPr>
                <w:rFonts w:ascii="Times New Roman" w:cs="Times New Roman" w:eastAsia="Times New Roman" w:hAnsi="Times New Roman"/>
                <w:sz w:val="16"/>
                <w:szCs w:val="16"/>
                <w:color w:val="0000EE"/>
              </w:rPr>
            </w:pPr>
            <w:hyperlink r:id="rId301">
              <w:r>
                <w:rPr>
                  <w:rFonts w:ascii="Times New Roman" w:cs="Times New Roman" w:eastAsia="Times New Roman" w:hAnsi="Times New Roman"/>
                  <w:sz w:val="16"/>
                  <w:szCs w:val="16"/>
                  <w:color w:val="0000EE"/>
                </w:rPr>
                <w:t>Greg Park Owner LLC.</w:t>
              </w:r>
            </w:hyperlink>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10.33</w:t>
            </w:r>
          </w:p>
        </w:tc>
        <w:tc>
          <w:tcPr>
            <w:tcW w:w="8080" w:type="dxa"/>
            <w:vAlign w:val="bottom"/>
            <w:tcBorders>
              <w:bottom w:val="single" w:sz="8" w:color="0000EE"/>
            </w:tcBorders>
            <w:gridSpan w:val="14"/>
          </w:tcPr>
          <w:p>
            <w:pPr>
              <w:spacing w:after="0" w:line="167" w:lineRule="exact"/>
              <w:rPr>
                <w:rFonts w:ascii="Times New Roman" w:cs="Times New Roman" w:eastAsia="Times New Roman" w:hAnsi="Times New Roman"/>
                <w:sz w:val="16"/>
                <w:szCs w:val="16"/>
                <w:color w:val="0000EE"/>
              </w:rPr>
            </w:pPr>
            <w:hyperlink r:id="rId302">
              <w:r>
                <w:rPr>
                  <w:rFonts w:ascii="Times New Roman" w:cs="Times New Roman" w:eastAsia="Times New Roman" w:hAnsi="Times New Roman"/>
                  <w:sz w:val="16"/>
                  <w:szCs w:val="16"/>
                  <w:color w:val="0000EE"/>
                </w:rPr>
                <w:t>Amendment No. 5 to Research and Lab Lease, dated January 28, 2022, by and between Dragonfly Energy Corp. and BRS RS</w:t>
              </w:r>
            </w:hyperlink>
          </w:p>
        </w:tc>
        <w:tc>
          <w:tcPr>
            <w:tcW w:w="140" w:type="dxa"/>
            <w:vAlign w:val="bottom"/>
            <w:gridSpan w:val="5"/>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4"/>
              </w:rPr>
              <w:t>10.38</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04/17/2023</w:t>
            </w:r>
          </w:p>
        </w:tc>
      </w:tr>
      <w:tr>
        <w:trPr>
          <w:trHeight w:val="167"/>
        </w:trPr>
        <w:tc>
          <w:tcPr>
            <w:tcW w:w="720" w:type="dxa"/>
            <w:vAlign w:val="bottom"/>
          </w:tcPr>
          <w:p>
            <w:pPr>
              <w:spacing w:after="0"/>
              <w:rPr>
                <w:sz w:val="14"/>
                <w:szCs w:val="14"/>
                <w:color w:val="auto"/>
              </w:rPr>
            </w:pPr>
          </w:p>
        </w:tc>
        <w:tc>
          <w:tcPr>
            <w:tcW w:w="8220" w:type="dxa"/>
            <w:vAlign w:val="bottom"/>
            <w:gridSpan w:val="19"/>
          </w:tcPr>
          <w:p>
            <w:pPr>
              <w:spacing w:after="0" w:line="167" w:lineRule="exact"/>
              <w:rPr>
                <w:rFonts w:ascii="Times New Roman" w:cs="Times New Roman" w:eastAsia="Times New Roman" w:hAnsi="Times New Roman"/>
                <w:sz w:val="16"/>
                <w:szCs w:val="16"/>
                <w:color w:val="0000EE"/>
              </w:rPr>
            </w:pPr>
            <w:hyperlink r:id="rId302">
              <w:r>
                <w:rPr>
                  <w:rFonts w:ascii="Times New Roman" w:cs="Times New Roman" w:eastAsia="Times New Roman" w:hAnsi="Times New Roman"/>
                  <w:sz w:val="16"/>
                  <w:szCs w:val="16"/>
                  <w:color w:val="0000EE"/>
                </w:rPr>
                <w:t>Greg Park Owner LLC.</w:t>
              </w:r>
            </w:hyperlink>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10.34</w:t>
            </w:r>
          </w:p>
        </w:tc>
        <w:tc>
          <w:tcPr>
            <w:tcW w:w="8120" w:type="dxa"/>
            <w:vAlign w:val="bottom"/>
            <w:tcBorders>
              <w:bottom w:val="single" w:sz="8" w:color="0000EE"/>
            </w:tcBorders>
            <w:gridSpan w:val="16"/>
          </w:tcPr>
          <w:p>
            <w:pPr>
              <w:spacing w:after="0" w:line="167" w:lineRule="exact"/>
              <w:rPr>
                <w:rFonts w:ascii="Times New Roman" w:cs="Times New Roman" w:eastAsia="Times New Roman" w:hAnsi="Times New Roman"/>
                <w:sz w:val="16"/>
                <w:szCs w:val="16"/>
                <w:color w:val="0000EE"/>
                <w:w w:val="97"/>
              </w:rPr>
            </w:pPr>
            <w:hyperlink r:id="rId303">
              <w:r>
                <w:rPr>
                  <w:rFonts w:ascii="Times New Roman" w:cs="Times New Roman" w:eastAsia="Times New Roman" w:hAnsi="Times New Roman"/>
                  <w:sz w:val="16"/>
                  <w:szCs w:val="16"/>
                  <w:color w:val="0000EE"/>
                  <w:w w:val="97"/>
                </w:rPr>
                <w:t>Limited Waiver, dated as of March 29, 2023, to the Term Loan, Guarantee and Security Agreement, dated as of October 7, 2022,</w:t>
              </w:r>
            </w:hyperlink>
          </w:p>
        </w:tc>
        <w:tc>
          <w:tcPr>
            <w:tcW w:w="100" w:type="dxa"/>
            <w:vAlign w:val="bottom"/>
            <w:gridSpan w:val="3"/>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2"/>
              </w:rPr>
              <w:t>10.1</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03/29/2023</w:t>
            </w:r>
          </w:p>
        </w:tc>
      </w:tr>
      <w:tr>
        <w:trPr>
          <w:trHeight w:val="167"/>
        </w:trPr>
        <w:tc>
          <w:tcPr>
            <w:tcW w:w="720" w:type="dxa"/>
            <w:vAlign w:val="bottom"/>
          </w:tcPr>
          <w:p>
            <w:pPr>
              <w:spacing w:after="0"/>
              <w:rPr>
                <w:sz w:val="14"/>
                <w:szCs w:val="14"/>
                <w:color w:val="auto"/>
              </w:rPr>
            </w:pPr>
          </w:p>
        </w:tc>
        <w:tc>
          <w:tcPr>
            <w:tcW w:w="8100" w:type="dxa"/>
            <w:vAlign w:val="bottom"/>
            <w:tcBorders>
              <w:bottom w:val="single" w:sz="8" w:color="0000EE"/>
            </w:tcBorders>
            <w:gridSpan w:val="15"/>
          </w:tcPr>
          <w:p>
            <w:pPr>
              <w:spacing w:after="0" w:line="167" w:lineRule="exact"/>
              <w:rPr>
                <w:rFonts w:ascii="Times New Roman" w:cs="Times New Roman" w:eastAsia="Times New Roman" w:hAnsi="Times New Roman"/>
                <w:sz w:val="16"/>
                <w:szCs w:val="16"/>
                <w:color w:val="0000EE"/>
                <w:w w:val="98"/>
              </w:rPr>
            </w:pPr>
            <w:hyperlink r:id="rId303">
              <w:r>
                <w:rPr>
                  <w:rFonts w:ascii="Times New Roman" w:cs="Times New Roman" w:eastAsia="Times New Roman" w:hAnsi="Times New Roman"/>
                  <w:sz w:val="16"/>
                  <w:szCs w:val="16"/>
                  <w:color w:val="0000EE"/>
                  <w:w w:val="98"/>
                </w:rPr>
                <w:t>by and among Dragonfly Energy Holdings Corp., Dragonfly Energy Corp., the lenders from time to time party thereto and Alter</w:t>
              </w:r>
            </w:hyperlink>
          </w:p>
        </w:tc>
        <w:tc>
          <w:tcPr>
            <w:tcW w:w="12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20" w:type="dxa"/>
            <w:vAlign w:val="bottom"/>
          </w:tcPr>
          <w:p>
            <w:pPr>
              <w:spacing w:after="0"/>
              <w:rPr>
                <w:sz w:val="14"/>
                <w:szCs w:val="14"/>
                <w:color w:val="auto"/>
              </w:rPr>
            </w:pPr>
          </w:p>
        </w:tc>
        <w:tc>
          <w:tcPr>
            <w:tcW w:w="1160" w:type="dxa"/>
            <w:vAlign w:val="bottom"/>
            <w:tcBorders>
              <w:bottom w:val="single" w:sz="8" w:color="0000EE"/>
            </w:tcBorders>
            <w:gridSpan w:val="6"/>
          </w:tcPr>
          <w:p>
            <w:pPr>
              <w:spacing w:after="0" w:line="167" w:lineRule="exact"/>
              <w:rPr>
                <w:rFonts w:ascii="Times New Roman" w:cs="Times New Roman" w:eastAsia="Times New Roman" w:hAnsi="Times New Roman"/>
                <w:sz w:val="16"/>
                <w:szCs w:val="16"/>
                <w:color w:val="0000EE"/>
                <w:w w:val="95"/>
              </w:rPr>
            </w:pPr>
            <w:hyperlink r:id="rId303">
              <w:r>
                <w:rPr>
                  <w:rFonts w:ascii="Times New Roman" w:cs="Times New Roman" w:eastAsia="Times New Roman" w:hAnsi="Times New Roman"/>
                  <w:sz w:val="16"/>
                  <w:szCs w:val="16"/>
                  <w:color w:val="0000EE"/>
                  <w:w w:val="95"/>
                </w:rPr>
                <w:t>Domus (US) LLC.</w:t>
              </w:r>
            </w:hyperlink>
          </w:p>
        </w:tc>
        <w:tc>
          <w:tcPr>
            <w:tcW w:w="7060" w:type="dxa"/>
            <w:vAlign w:val="bottom"/>
            <w:gridSpan w:val="13"/>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10.35</w:t>
            </w:r>
          </w:p>
        </w:tc>
        <w:tc>
          <w:tcPr>
            <w:tcW w:w="8100" w:type="dxa"/>
            <w:vAlign w:val="bottom"/>
            <w:tcBorders>
              <w:bottom w:val="single" w:sz="8" w:color="0000EE"/>
            </w:tcBorders>
            <w:gridSpan w:val="15"/>
          </w:tcPr>
          <w:p>
            <w:pPr>
              <w:spacing w:after="0" w:line="167" w:lineRule="exact"/>
              <w:rPr>
                <w:rFonts w:ascii="Times New Roman" w:cs="Times New Roman" w:eastAsia="Times New Roman" w:hAnsi="Times New Roman"/>
                <w:sz w:val="16"/>
                <w:szCs w:val="16"/>
                <w:color w:val="0000EE"/>
                <w:w w:val="99"/>
              </w:rPr>
            </w:pPr>
            <w:hyperlink r:id="rId304">
              <w:r>
                <w:rPr>
                  <w:rFonts w:ascii="Times New Roman" w:cs="Times New Roman" w:eastAsia="Times New Roman" w:hAnsi="Times New Roman"/>
                  <w:sz w:val="16"/>
                  <w:szCs w:val="16"/>
                  <w:color w:val="0000EE"/>
                  <w:w w:val="99"/>
                </w:rPr>
                <w:t>Limited Waiver, dated as of December 29, 2023, to the Term Loan, Guarantee and Security Agreement, dated as of October 7,</w:t>
              </w:r>
            </w:hyperlink>
          </w:p>
        </w:tc>
        <w:tc>
          <w:tcPr>
            <w:tcW w:w="120" w:type="dxa"/>
            <w:vAlign w:val="bottom"/>
            <w:gridSpan w:val="4"/>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2"/>
              </w:rPr>
              <w:t>10.1</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12/29/2023</w:t>
            </w:r>
          </w:p>
        </w:tc>
      </w:tr>
      <w:tr>
        <w:trPr>
          <w:trHeight w:val="167"/>
        </w:trPr>
        <w:tc>
          <w:tcPr>
            <w:tcW w:w="720" w:type="dxa"/>
            <w:vAlign w:val="bottom"/>
          </w:tcPr>
          <w:p>
            <w:pPr>
              <w:spacing w:after="0"/>
              <w:rPr>
                <w:sz w:val="14"/>
                <w:szCs w:val="14"/>
                <w:color w:val="auto"/>
              </w:rPr>
            </w:pPr>
          </w:p>
        </w:tc>
        <w:tc>
          <w:tcPr>
            <w:tcW w:w="8100" w:type="dxa"/>
            <w:vAlign w:val="bottom"/>
            <w:tcBorders>
              <w:bottom w:val="single" w:sz="8" w:color="0000EE"/>
            </w:tcBorders>
            <w:gridSpan w:val="15"/>
          </w:tcPr>
          <w:p>
            <w:pPr>
              <w:spacing w:after="0" w:line="167" w:lineRule="exact"/>
              <w:rPr>
                <w:rFonts w:ascii="Times New Roman" w:cs="Times New Roman" w:eastAsia="Times New Roman" w:hAnsi="Times New Roman"/>
                <w:sz w:val="16"/>
                <w:szCs w:val="16"/>
                <w:color w:val="0000EE"/>
                <w:w w:val="98"/>
              </w:rPr>
            </w:pPr>
            <w:hyperlink r:id="rId304">
              <w:r>
                <w:rPr>
                  <w:rFonts w:ascii="Times New Roman" w:cs="Times New Roman" w:eastAsia="Times New Roman" w:hAnsi="Times New Roman"/>
                  <w:sz w:val="16"/>
                  <w:szCs w:val="16"/>
                  <w:color w:val="0000EE"/>
                  <w:w w:val="98"/>
                </w:rPr>
                <w:t>2022, by and among Dragonfly Energy Holdings Corp., Dragonfly Energy Corp., the lenders from time to time party thereto and</w:t>
              </w:r>
            </w:hyperlink>
          </w:p>
        </w:tc>
        <w:tc>
          <w:tcPr>
            <w:tcW w:w="12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20" w:type="dxa"/>
            <w:vAlign w:val="bottom"/>
          </w:tcPr>
          <w:p>
            <w:pPr>
              <w:spacing w:after="0"/>
              <w:rPr>
                <w:sz w:val="14"/>
                <w:szCs w:val="14"/>
                <w:color w:val="auto"/>
              </w:rPr>
            </w:pPr>
          </w:p>
        </w:tc>
        <w:tc>
          <w:tcPr>
            <w:tcW w:w="1520" w:type="dxa"/>
            <w:vAlign w:val="bottom"/>
            <w:tcBorders>
              <w:bottom w:val="single" w:sz="8" w:color="0000EE"/>
            </w:tcBorders>
            <w:gridSpan w:val="8"/>
          </w:tcPr>
          <w:p>
            <w:pPr>
              <w:spacing w:after="0" w:line="167" w:lineRule="exact"/>
              <w:rPr>
                <w:rFonts w:ascii="Times New Roman" w:cs="Times New Roman" w:eastAsia="Times New Roman" w:hAnsi="Times New Roman"/>
                <w:sz w:val="16"/>
                <w:szCs w:val="16"/>
                <w:color w:val="0000EE"/>
                <w:w w:val="95"/>
              </w:rPr>
            </w:pPr>
            <w:hyperlink r:id="rId304">
              <w:r>
                <w:rPr>
                  <w:rFonts w:ascii="Times New Roman" w:cs="Times New Roman" w:eastAsia="Times New Roman" w:hAnsi="Times New Roman"/>
                  <w:sz w:val="16"/>
                  <w:szCs w:val="16"/>
                  <w:color w:val="0000EE"/>
                  <w:w w:val="95"/>
                </w:rPr>
                <w:t>Alter Domus (US) LLC.</w:t>
              </w:r>
            </w:hyperlink>
          </w:p>
        </w:tc>
        <w:tc>
          <w:tcPr>
            <w:tcW w:w="6700" w:type="dxa"/>
            <w:vAlign w:val="bottom"/>
            <w:gridSpan w:val="11"/>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10.36++</w:t>
            </w:r>
          </w:p>
        </w:tc>
        <w:tc>
          <w:tcPr>
            <w:tcW w:w="7940" w:type="dxa"/>
            <w:vAlign w:val="bottom"/>
            <w:tcBorders>
              <w:bottom w:val="single" w:sz="8" w:color="0000EE"/>
            </w:tcBorders>
            <w:gridSpan w:val="13"/>
          </w:tcPr>
          <w:p>
            <w:pPr>
              <w:spacing w:after="0" w:line="167" w:lineRule="exact"/>
              <w:rPr>
                <w:rFonts w:ascii="Times New Roman" w:cs="Times New Roman" w:eastAsia="Times New Roman" w:hAnsi="Times New Roman"/>
                <w:sz w:val="16"/>
                <w:szCs w:val="16"/>
                <w:color w:val="0000EE"/>
                <w:w w:val="96"/>
              </w:rPr>
            </w:pPr>
            <w:hyperlink r:id="rId305">
              <w:r>
                <w:rPr>
                  <w:rFonts w:ascii="Times New Roman" w:cs="Times New Roman" w:eastAsia="Times New Roman" w:hAnsi="Times New Roman"/>
                  <w:sz w:val="16"/>
                  <w:szCs w:val="16"/>
                  <w:color w:val="0000EE"/>
                  <w:w w:val="96"/>
                </w:rPr>
                <w:t>Employment Agreement, dated as of November 7, 2022, by and between Dragonfly Energy Holdings Corp. and Wade Seaburg.</w:t>
              </w:r>
            </w:hyperlink>
          </w:p>
        </w:tc>
        <w:tc>
          <w:tcPr>
            <w:tcW w:w="280" w:type="dxa"/>
            <w:vAlign w:val="bottom"/>
            <w:gridSpan w:val="6"/>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4"/>
              </w:rPr>
              <w:t>10.42</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04/16/2024</w:t>
            </w: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10.37++</w:t>
            </w:r>
          </w:p>
        </w:tc>
        <w:tc>
          <w:tcPr>
            <w:tcW w:w="7860" w:type="dxa"/>
            <w:vAlign w:val="bottom"/>
            <w:tcBorders>
              <w:bottom w:val="single" w:sz="8" w:color="0000EE"/>
            </w:tcBorders>
            <w:gridSpan w:val="11"/>
          </w:tcPr>
          <w:p>
            <w:pPr>
              <w:spacing w:after="0" w:line="167" w:lineRule="exact"/>
              <w:rPr>
                <w:rFonts w:ascii="Times New Roman" w:cs="Times New Roman" w:eastAsia="Times New Roman" w:hAnsi="Times New Roman"/>
                <w:sz w:val="16"/>
                <w:szCs w:val="16"/>
                <w:color w:val="0000EE"/>
                <w:w w:val="96"/>
              </w:rPr>
            </w:pPr>
            <w:hyperlink r:id="rId306">
              <w:r>
                <w:rPr>
                  <w:rFonts w:ascii="Times New Roman" w:cs="Times New Roman" w:eastAsia="Times New Roman" w:hAnsi="Times New Roman"/>
                  <w:sz w:val="16"/>
                  <w:szCs w:val="16"/>
                  <w:color w:val="0000EE"/>
                  <w:w w:val="96"/>
                </w:rPr>
                <w:t>Employment Agreement, dated as of November 7, 2022, by and between Dragonfly Energy Holdings Corp. and Tyler Bourns.</w:t>
              </w:r>
            </w:hyperlink>
          </w:p>
        </w:tc>
        <w:tc>
          <w:tcPr>
            <w:tcW w:w="360" w:type="dxa"/>
            <w:vAlign w:val="bottom"/>
            <w:gridSpan w:val="8"/>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4"/>
              </w:rPr>
              <w:t>10.43</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04/16/2024</w:t>
            </w: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10.38</w:t>
            </w:r>
          </w:p>
        </w:tc>
        <w:tc>
          <w:tcPr>
            <w:tcW w:w="8220" w:type="dxa"/>
            <w:vAlign w:val="bottom"/>
            <w:gridSpan w:val="19"/>
          </w:tcPr>
          <w:p>
            <w:pPr>
              <w:spacing w:after="0" w:line="167" w:lineRule="exact"/>
              <w:rPr>
                <w:rFonts w:ascii="Times New Roman" w:cs="Times New Roman" w:eastAsia="Times New Roman" w:hAnsi="Times New Roman"/>
                <w:sz w:val="16"/>
                <w:szCs w:val="16"/>
                <w:color w:val="0000EE"/>
              </w:rPr>
            </w:pPr>
            <w:hyperlink r:id="rId307">
              <w:r>
                <w:rPr>
                  <w:rFonts w:ascii="Times New Roman" w:cs="Times New Roman" w:eastAsia="Times New Roman" w:hAnsi="Times New Roman"/>
                  <w:sz w:val="16"/>
                  <w:szCs w:val="16"/>
                  <w:color w:val="0000EE"/>
                </w:rPr>
                <w:t>Fernley Lease, dated April 12, 2024, by and between Dragonfly Energy Corp., Cottonmill Properties, LLC, and Marlene Thier.</w:t>
              </w:r>
            </w:hyperlink>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4"/>
              </w:rPr>
              <w:t>10.44</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04/16/2024</w:t>
            </w:r>
          </w:p>
        </w:tc>
      </w:tr>
      <w:tr>
        <w:trPr>
          <w:trHeight w:val="20"/>
        </w:trPr>
        <w:tc>
          <w:tcPr>
            <w:tcW w:w="720" w:type="dxa"/>
            <w:vAlign w:val="bottom"/>
          </w:tcPr>
          <w:p>
            <w:pPr>
              <w:spacing w:after="0" w:line="20" w:lineRule="exact"/>
              <w:rPr>
                <w:sz w:val="1"/>
                <w:szCs w:val="1"/>
                <w:color w:val="auto"/>
              </w:rPr>
            </w:pPr>
          </w:p>
        </w:tc>
        <w:tc>
          <w:tcPr>
            <w:tcW w:w="7900" w:type="dxa"/>
            <w:vAlign w:val="bottom"/>
            <w:gridSpan w:val="1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10.39++</w:t>
            </w:r>
          </w:p>
        </w:tc>
        <w:tc>
          <w:tcPr>
            <w:tcW w:w="8080" w:type="dxa"/>
            <w:vAlign w:val="bottom"/>
            <w:tcBorders>
              <w:bottom w:val="single" w:sz="8" w:color="0000EE"/>
            </w:tcBorders>
            <w:gridSpan w:val="14"/>
          </w:tcPr>
          <w:p>
            <w:pPr>
              <w:spacing w:after="0" w:line="167" w:lineRule="exact"/>
              <w:rPr>
                <w:rFonts w:ascii="Times New Roman" w:cs="Times New Roman" w:eastAsia="Times New Roman" w:hAnsi="Times New Roman"/>
                <w:sz w:val="16"/>
                <w:szCs w:val="16"/>
                <w:color w:val="0000EE"/>
                <w:w w:val="97"/>
              </w:rPr>
            </w:pPr>
            <w:hyperlink r:id="rId308">
              <w:r>
                <w:rPr>
                  <w:rFonts w:ascii="Times New Roman" w:cs="Times New Roman" w:eastAsia="Times New Roman" w:hAnsi="Times New Roman"/>
                  <w:sz w:val="16"/>
                  <w:szCs w:val="16"/>
                  <w:color w:val="0000EE"/>
                  <w:w w:val="97"/>
                </w:rPr>
                <w:t>Amendment No. 1 to Employment Agreement, effective as of April 12, 2024, by and between Dragonfly Energy Holdings Corp.</w:t>
              </w:r>
            </w:hyperlink>
          </w:p>
        </w:tc>
        <w:tc>
          <w:tcPr>
            <w:tcW w:w="140" w:type="dxa"/>
            <w:vAlign w:val="bottom"/>
            <w:gridSpan w:val="5"/>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4"/>
              </w:rPr>
              <w:t>10.45</w:t>
            </w: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04/16/2024</w:t>
            </w:r>
          </w:p>
        </w:tc>
      </w:tr>
      <w:tr>
        <w:trPr>
          <w:trHeight w:val="167"/>
        </w:trPr>
        <w:tc>
          <w:tcPr>
            <w:tcW w:w="720" w:type="dxa"/>
            <w:vAlign w:val="bottom"/>
          </w:tcPr>
          <w:p>
            <w:pPr>
              <w:spacing w:after="0"/>
              <w:rPr>
                <w:sz w:val="14"/>
                <w:szCs w:val="14"/>
                <w:color w:val="auto"/>
              </w:rPr>
            </w:pPr>
          </w:p>
        </w:tc>
        <w:tc>
          <w:tcPr>
            <w:tcW w:w="1120" w:type="dxa"/>
            <w:vAlign w:val="bottom"/>
            <w:tcBorders>
              <w:bottom w:val="single" w:sz="8" w:color="0000EE"/>
            </w:tcBorders>
            <w:gridSpan w:val="5"/>
          </w:tcPr>
          <w:p>
            <w:pPr>
              <w:spacing w:after="0" w:line="167" w:lineRule="exact"/>
              <w:rPr>
                <w:rFonts w:ascii="Times New Roman" w:cs="Times New Roman" w:eastAsia="Times New Roman" w:hAnsi="Times New Roman"/>
                <w:sz w:val="16"/>
                <w:szCs w:val="16"/>
                <w:color w:val="0000EE"/>
                <w:w w:val="95"/>
              </w:rPr>
            </w:pPr>
            <w:hyperlink r:id="rId308">
              <w:r>
                <w:rPr>
                  <w:rFonts w:ascii="Times New Roman" w:cs="Times New Roman" w:eastAsia="Times New Roman" w:hAnsi="Times New Roman"/>
                  <w:sz w:val="16"/>
                  <w:szCs w:val="16"/>
                  <w:color w:val="0000EE"/>
                  <w:w w:val="95"/>
                </w:rPr>
                <w:t>and Denis Phares.</w:t>
              </w:r>
            </w:hyperlink>
          </w:p>
        </w:tc>
        <w:tc>
          <w:tcPr>
            <w:tcW w:w="7100" w:type="dxa"/>
            <w:vAlign w:val="bottom"/>
            <w:gridSpan w:val="14"/>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163" w:name="page164"/>
    <w:bookmarkEnd w:id="163"/>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10.40++</w:t>
      </w:r>
      <w:r>
        <w:rPr>
          <w:sz w:val="20"/>
          <w:szCs w:val="20"/>
          <w:color w:val="auto"/>
        </w:rPr>
        <w:tab/>
      </w:r>
      <w:hyperlink r:id="rId310">
        <w:r>
          <w:rPr>
            <w:rFonts w:ascii="Times New Roman" w:cs="Times New Roman" w:eastAsia="Times New Roman" w:hAnsi="Times New Roman"/>
            <w:sz w:val="14"/>
            <w:szCs w:val="14"/>
            <w:u w:val="single" w:color="auto"/>
            <w:color w:val="0000EE"/>
          </w:rPr>
          <w:t>Amendment No. 1 to Employment Agreement, effective as of April 12, 2024, by and between Dragonfly Energy Holdings Corp.</w:t>
        </w:r>
      </w:hyperlink>
    </w:p>
    <w:p>
      <w:pPr>
        <w:spacing w:after="0" w:line="19" w:lineRule="exact"/>
        <w:rPr>
          <w:sz w:val="20"/>
          <w:szCs w:val="20"/>
          <w:color w:val="auto"/>
        </w:rPr>
      </w:pPr>
    </w:p>
    <w:p>
      <w:pPr>
        <w:ind w:left="720"/>
        <w:spacing w:after="0"/>
        <w:rPr>
          <w:rFonts w:ascii="Times New Roman" w:cs="Times New Roman" w:eastAsia="Times New Roman" w:hAnsi="Times New Roman"/>
          <w:sz w:val="16"/>
          <w:szCs w:val="16"/>
          <w:u w:val="single" w:color="auto"/>
          <w:color w:val="0000EE"/>
        </w:rPr>
      </w:pPr>
      <w:hyperlink r:id="rId310">
        <w:r>
          <w:rPr>
            <w:rFonts w:ascii="Times New Roman" w:cs="Times New Roman" w:eastAsia="Times New Roman" w:hAnsi="Times New Roman"/>
            <w:sz w:val="16"/>
            <w:szCs w:val="16"/>
            <w:u w:val="single" w:color="auto"/>
            <w:color w:val="0000EE"/>
          </w:rPr>
          <w:t>and Wade Seaburg.</w:t>
        </w:r>
      </w:hyperlink>
    </w:p>
    <w:p>
      <w:pPr>
        <w:spacing w:after="0" w:line="3"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10.41++</w:t>
      </w:r>
      <w:r>
        <w:rPr>
          <w:sz w:val="20"/>
          <w:szCs w:val="20"/>
          <w:color w:val="auto"/>
        </w:rPr>
        <w:tab/>
      </w:r>
      <w:hyperlink r:id="rId311">
        <w:r>
          <w:rPr>
            <w:rFonts w:ascii="Times New Roman" w:cs="Times New Roman" w:eastAsia="Times New Roman" w:hAnsi="Times New Roman"/>
            <w:sz w:val="14"/>
            <w:szCs w:val="14"/>
            <w:u w:val="single" w:color="auto"/>
            <w:color w:val="0000EE"/>
          </w:rPr>
          <w:t>Amendment No. 1 to Employment Agreement, effective as of April 12, 2024, by and between Dragonfly Energy Holdings Corp.</w:t>
        </w:r>
      </w:hyperlink>
    </w:p>
    <w:p>
      <w:pPr>
        <w:spacing w:after="0" w:line="3" w:lineRule="exact"/>
        <w:rPr>
          <w:sz w:val="20"/>
          <w:szCs w:val="20"/>
          <w:color w:val="auto"/>
        </w:rPr>
      </w:pPr>
    </w:p>
    <w:p>
      <w:pPr>
        <w:ind w:left="720"/>
        <w:spacing w:after="0"/>
        <w:rPr>
          <w:rFonts w:ascii="Times New Roman" w:cs="Times New Roman" w:eastAsia="Times New Roman" w:hAnsi="Times New Roman"/>
          <w:sz w:val="16"/>
          <w:szCs w:val="16"/>
          <w:u w:val="single" w:color="auto"/>
          <w:color w:val="0000EE"/>
        </w:rPr>
      </w:pPr>
      <w:hyperlink r:id="rId311">
        <w:r>
          <w:rPr>
            <w:rFonts w:ascii="Times New Roman" w:cs="Times New Roman" w:eastAsia="Times New Roman" w:hAnsi="Times New Roman"/>
            <w:sz w:val="16"/>
            <w:szCs w:val="16"/>
            <w:u w:val="single" w:color="auto"/>
            <w:color w:val="0000EE"/>
          </w:rPr>
          <w:t>and Tyler Bourns.</w:t>
        </w:r>
      </w:hyperlink>
    </w:p>
    <w:p>
      <w:pPr>
        <w:spacing w:after="0" w:line="3" w:lineRule="exact"/>
        <w:rPr>
          <w:sz w:val="20"/>
          <w:szCs w:val="20"/>
          <w:color w:val="auto"/>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10.42</w:t>
      </w:r>
      <w:r>
        <w:rPr>
          <w:sz w:val="20"/>
          <w:szCs w:val="20"/>
          <w:color w:val="auto"/>
        </w:rPr>
        <w:tab/>
      </w:r>
      <w:hyperlink r:id="rId312">
        <w:r>
          <w:rPr>
            <w:rFonts w:ascii="Times New Roman" w:cs="Times New Roman" w:eastAsia="Times New Roman" w:hAnsi="Times New Roman"/>
            <w:sz w:val="16"/>
            <w:szCs w:val="16"/>
            <w:u w:val="single" w:color="auto"/>
            <w:color w:val="0000EE"/>
          </w:rPr>
          <w:t>Limited Waiver, dated as of May 13, 2024, to the Term Loan, Guarantee and Security Agreement, dated as of October 7, 2022, by</w:t>
        </w:r>
      </w:hyperlink>
      <w:r>
        <w:rPr>
          <w:rFonts w:ascii="Times New Roman" w:cs="Times New Roman" w:eastAsia="Times New Roman" w:hAnsi="Times New Roman"/>
          <w:sz w:val="16"/>
          <w:szCs w:val="16"/>
          <w:u w:val="single" w:color="auto"/>
          <w:color w:val="0000EE"/>
        </w:rPr>
        <w:t xml:space="preserve"> </w:t>
      </w:r>
      <w:hyperlink r:id="rId312">
        <w:r>
          <w:rPr>
            <w:rFonts w:ascii="Times New Roman" w:cs="Times New Roman" w:eastAsia="Times New Roman" w:hAnsi="Times New Roman"/>
            <w:sz w:val="16"/>
            <w:szCs w:val="16"/>
            <w:u w:val="single" w:color="auto"/>
            <w:color w:val="0000EE"/>
          </w:rPr>
          <w:t>and among Dragonfly Energy Holdings Corp., Dragonfly Energy Corp., the lenders from time to time party thereto and Alter</w:t>
        </w:r>
      </w:hyperlink>
      <w:r>
        <w:rPr>
          <w:rFonts w:ascii="Times New Roman" w:cs="Times New Roman" w:eastAsia="Times New Roman" w:hAnsi="Times New Roman"/>
          <w:sz w:val="16"/>
          <w:szCs w:val="16"/>
          <w:u w:val="single" w:color="auto"/>
          <w:color w:val="0000EE"/>
        </w:rPr>
        <w:t xml:space="preserve"> </w:t>
      </w:r>
      <w:hyperlink r:id="rId312">
        <w:r>
          <w:rPr>
            <w:rFonts w:ascii="Times New Roman" w:cs="Times New Roman" w:eastAsia="Times New Roman" w:hAnsi="Times New Roman"/>
            <w:sz w:val="16"/>
            <w:szCs w:val="16"/>
            <w:u w:val="single" w:color="auto"/>
            <w:color w:val="0000EE"/>
          </w:rPr>
          <w:t>Domus (US) LLC.</w:t>
        </w:r>
      </w:hyperlink>
    </w:p>
    <w:p>
      <w:pPr>
        <w:spacing w:after="0" w:line="1" w:lineRule="exact"/>
        <w:rPr>
          <w:rFonts w:ascii="Times New Roman" w:cs="Times New Roman" w:eastAsia="Times New Roman" w:hAnsi="Times New Roman"/>
          <w:sz w:val="16"/>
          <w:szCs w:val="16"/>
          <w:u w:val="single" w:color="auto"/>
          <w:color w:val="0000EE"/>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10.43</w:t>
      </w:r>
      <w:r>
        <w:rPr>
          <w:sz w:val="20"/>
          <w:szCs w:val="20"/>
          <w:color w:val="auto"/>
        </w:rPr>
        <w:tab/>
      </w:r>
      <w:hyperlink r:id="rId313">
        <w:r>
          <w:rPr>
            <w:rFonts w:ascii="Times New Roman" w:cs="Times New Roman" w:eastAsia="Times New Roman" w:hAnsi="Times New Roman"/>
            <w:sz w:val="16"/>
            <w:szCs w:val="16"/>
            <w:u w:val="single" w:color="auto"/>
            <w:color w:val="0000EE"/>
          </w:rPr>
          <w:t>Amended and Restated ChEF Purchase Agreement, by and between Chardan Capital Markets LLC and Dragonfly Energy</w:t>
        </w:r>
      </w:hyperlink>
      <w:r>
        <w:rPr>
          <w:rFonts w:ascii="Times New Roman" w:cs="Times New Roman" w:eastAsia="Times New Roman" w:hAnsi="Times New Roman"/>
          <w:sz w:val="16"/>
          <w:szCs w:val="16"/>
          <w:u w:val="single" w:color="auto"/>
          <w:color w:val="0000EE"/>
        </w:rPr>
        <w:t xml:space="preserve"> </w:t>
      </w:r>
      <w:hyperlink r:id="rId313">
        <w:r>
          <w:rPr>
            <w:rFonts w:ascii="Times New Roman" w:cs="Times New Roman" w:eastAsia="Times New Roman" w:hAnsi="Times New Roman"/>
            <w:sz w:val="16"/>
            <w:szCs w:val="16"/>
            <w:u w:val="single" w:color="auto"/>
            <w:color w:val="0000EE"/>
          </w:rPr>
          <w:t>Holdings Corp., dated May 20, 2024.</w:t>
        </w:r>
      </w:hyperlink>
    </w:p>
    <w:p>
      <w:pPr>
        <w:spacing w:after="0" w:line="1" w:lineRule="exact"/>
        <w:rPr>
          <w:sz w:val="20"/>
          <w:szCs w:val="20"/>
          <w:color w:val="auto"/>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10.44</w:t>
      </w:r>
      <w:r>
        <w:rPr>
          <w:sz w:val="20"/>
          <w:szCs w:val="20"/>
          <w:color w:val="auto"/>
        </w:rPr>
        <w:tab/>
      </w:r>
      <w:hyperlink r:id="rId314">
        <w:r>
          <w:rPr>
            <w:rFonts w:ascii="Times New Roman" w:cs="Times New Roman" w:eastAsia="Times New Roman" w:hAnsi="Times New Roman"/>
            <w:sz w:val="16"/>
            <w:szCs w:val="16"/>
            <w:u w:val="single" w:color="auto"/>
            <w:color w:val="0000EE"/>
          </w:rPr>
          <w:t>Limited Waiver and First Amendment to Term Loan, Guarantee and Security Agreement, dated as of June 28, 2024, by and</w:t>
        </w:r>
      </w:hyperlink>
      <w:r>
        <w:rPr>
          <w:rFonts w:ascii="Times New Roman" w:cs="Times New Roman" w:eastAsia="Times New Roman" w:hAnsi="Times New Roman"/>
          <w:sz w:val="16"/>
          <w:szCs w:val="16"/>
          <w:u w:val="single" w:color="auto"/>
          <w:color w:val="0000EE"/>
        </w:rPr>
        <w:t xml:space="preserve"> </w:t>
      </w:r>
      <w:hyperlink r:id="rId314">
        <w:r>
          <w:rPr>
            <w:rFonts w:ascii="Times New Roman" w:cs="Times New Roman" w:eastAsia="Times New Roman" w:hAnsi="Times New Roman"/>
            <w:sz w:val="16"/>
            <w:szCs w:val="16"/>
            <w:u w:val="single" w:color="auto"/>
            <w:color w:val="0000EE"/>
          </w:rPr>
          <w:t>among Dragonfly Energy Holdings Corp., Dragonfly Energy Corp., the lenders from time to time party thereto and Alter Domus</w:t>
        </w:r>
      </w:hyperlink>
      <w:r>
        <w:rPr>
          <w:rFonts w:ascii="Times New Roman" w:cs="Times New Roman" w:eastAsia="Times New Roman" w:hAnsi="Times New Roman"/>
          <w:sz w:val="16"/>
          <w:szCs w:val="16"/>
          <w:u w:val="single" w:color="auto"/>
          <w:color w:val="0000EE"/>
        </w:rPr>
        <w:t xml:space="preserve"> </w:t>
      </w:r>
      <w:hyperlink r:id="rId314">
        <w:r>
          <w:rPr>
            <w:rFonts w:ascii="Times New Roman" w:cs="Times New Roman" w:eastAsia="Times New Roman" w:hAnsi="Times New Roman"/>
            <w:sz w:val="16"/>
            <w:szCs w:val="16"/>
            <w:u w:val="single" w:color="auto"/>
            <w:color w:val="0000EE"/>
          </w:rPr>
          <w:t>(US) LLC.</w:t>
        </w:r>
      </w:hyperlink>
    </w:p>
    <w:p>
      <w:pPr>
        <w:spacing w:after="0" w:line="1" w:lineRule="exact"/>
        <w:rPr>
          <w:rFonts w:ascii="Times New Roman" w:cs="Times New Roman" w:eastAsia="Times New Roman" w:hAnsi="Times New Roman"/>
          <w:sz w:val="16"/>
          <w:szCs w:val="16"/>
          <w:u w:val="single" w:color="auto"/>
          <w:color w:val="0000EE"/>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10.45#</w:t>
      </w:r>
      <w:r>
        <w:rPr>
          <w:sz w:val="20"/>
          <w:szCs w:val="20"/>
          <w:color w:val="auto"/>
        </w:rPr>
        <w:tab/>
      </w:r>
      <w:hyperlink r:id="rId315">
        <w:r>
          <w:rPr>
            <w:rFonts w:ascii="Times New Roman" w:cs="Times New Roman" w:eastAsia="Times New Roman" w:hAnsi="Times New Roman"/>
            <w:sz w:val="16"/>
            <w:szCs w:val="16"/>
            <w:u w:val="single" w:color="auto"/>
            <w:color w:val="0000EE"/>
          </w:rPr>
          <w:t>Trademark License Agreement, by and among Dragonfly Energy Corp., Battle Born Battery Products, LLC, and Stryten Energy</w:t>
        </w:r>
      </w:hyperlink>
      <w:r>
        <w:rPr>
          <w:rFonts w:ascii="Times New Roman" w:cs="Times New Roman" w:eastAsia="Times New Roman" w:hAnsi="Times New Roman"/>
          <w:sz w:val="16"/>
          <w:szCs w:val="16"/>
          <w:u w:val="single" w:color="auto"/>
          <w:color w:val="0000EE"/>
        </w:rPr>
        <w:t xml:space="preserve"> </w:t>
      </w:r>
      <w:hyperlink r:id="rId315">
        <w:r>
          <w:rPr>
            <w:rFonts w:ascii="Times New Roman" w:cs="Times New Roman" w:eastAsia="Times New Roman" w:hAnsi="Times New Roman"/>
            <w:sz w:val="16"/>
            <w:szCs w:val="16"/>
            <w:u w:val="single" w:color="auto"/>
            <w:color w:val="0000EE"/>
          </w:rPr>
          <w:t>LLC, dated as of July 29, 2024.</w:t>
        </w:r>
      </w:hyperlink>
    </w:p>
    <w:p>
      <w:pPr>
        <w:spacing w:after="0" w:line="1" w:lineRule="exact"/>
        <w:rPr>
          <w:sz w:val="20"/>
          <w:szCs w:val="20"/>
          <w:color w:val="auto"/>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10.46#</w:t>
      </w:r>
      <w:r>
        <w:rPr>
          <w:sz w:val="20"/>
          <w:szCs w:val="20"/>
          <w:color w:val="auto"/>
        </w:rPr>
        <w:tab/>
      </w:r>
      <w:hyperlink r:id="rId316">
        <w:r>
          <w:rPr>
            <w:rFonts w:ascii="Times New Roman" w:cs="Times New Roman" w:eastAsia="Times New Roman" w:hAnsi="Times New Roman"/>
            <w:sz w:val="16"/>
            <w:szCs w:val="16"/>
            <w:u w:val="single" w:color="auto"/>
            <w:color w:val="0000EE"/>
          </w:rPr>
          <w:t>Trademark Transfer and License-Back Agreement, by and between Dragonfly Energy Corp. and Battle Born Battery Products,</w:t>
        </w:r>
      </w:hyperlink>
      <w:r>
        <w:rPr>
          <w:rFonts w:ascii="Times New Roman" w:cs="Times New Roman" w:eastAsia="Times New Roman" w:hAnsi="Times New Roman"/>
          <w:sz w:val="16"/>
          <w:szCs w:val="16"/>
          <w:u w:val="single" w:color="auto"/>
          <w:color w:val="0000EE"/>
        </w:rPr>
        <w:t xml:space="preserve"> </w:t>
      </w:r>
      <w:hyperlink r:id="rId316">
        <w:r>
          <w:rPr>
            <w:rFonts w:ascii="Times New Roman" w:cs="Times New Roman" w:eastAsia="Times New Roman" w:hAnsi="Times New Roman"/>
            <w:sz w:val="16"/>
            <w:szCs w:val="16"/>
            <w:u w:val="single" w:color="auto"/>
            <w:color w:val="0000EE"/>
          </w:rPr>
          <w:t>LLC, dated as of July 29, 2024.</w:t>
        </w:r>
      </w:hyperlink>
    </w:p>
    <w:p>
      <w:pPr>
        <w:spacing w:after="0" w:line="1" w:lineRule="exact"/>
        <w:rPr>
          <w:sz w:val="20"/>
          <w:szCs w:val="20"/>
          <w:color w:val="auto"/>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10.47#</w:t>
      </w:r>
      <w:r>
        <w:rPr>
          <w:sz w:val="20"/>
          <w:szCs w:val="20"/>
          <w:color w:val="auto"/>
        </w:rPr>
        <w:tab/>
      </w:r>
      <w:hyperlink r:id="rId317">
        <w:r>
          <w:rPr>
            <w:rFonts w:ascii="Times New Roman" w:cs="Times New Roman" w:eastAsia="Times New Roman" w:hAnsi="Times New Roman"/>
            <w:sz w:val="16"/>
            <w:szCs w:val="16"/>
            <w:u w:val="single" w:color="auto"/>
            <w:color w:val="0000EE"/>
          </w:rPr>
          <w:t>Limited Waiver, Consent and Second Amendment to Term Loan, Guarantee and Security Agreement, dated as of July 29, 2024,</w:t>
        </w:r>
      </w:hyperlink>
      <w:r>
        <w:rPr>
          <w:rFonts w:ascii="Times New Roman" w:cs="Times New Roman" w:eastAsia="Times New Roman" w:hAnsi="Times New Roman"/>
          <w:sz w:val="16"/>
          <w:szCs w:val="16"/>
          <w:u w:val="single" w:color="auto"/>
          <w:color w:val="0000EE"/>
        </w:rPr>
        <w:t xml:space="preserve"> </w:t>
      </w:r>
      <w:hyperlink r:id="rId317">
        <w:r>
          <w:rPr>
            <w:rFonts w:ascii="Times New Roman" w:cs="Times New Roman" w:eastAsia="Times New Roman" w:hAnsi="Times New Roman"/>
            <w:sz w:val="16"/>
            <w:szCs w:val="16"/>
            <w:u w:val="single" w:color="auto"/>
            <w:color w:val="0000EE"/>
          </w:rPr>
          <w:t>by and among Dragonfly Energy Corp., Dragonfly Energy Holdings Corp., Battle Born Battery Products, LLC, the lenders from</w:t>
        </w:r>
      </w:hyperlink>
      <w:r>
        <w:rPr>
          <w:rFonts w:ascii="Times New Roman" w:cs="Times New Roman" w:eastAsia="Times New Roman" w:hAnsi="Times New Roman"/>
          <w:sz w:val="16"/>
          <w:szCs w:val="16"/>
          <w:u w:val="single" w:color="auto"/>
          <w:color w:val="0000EE"/>
        </w:rPr>
        <w:t xml:space="preserve"> </w:t>
      </w:r>
      <w:hyperlink r:id="rId317">
        <w:r>
          <w:rPr>
            <w:rFonts w:ascii="Times New Roman" w:cs="Times New Roman" w:eastAsia="Times New Roman" w:hAnsi="Times New Roman"/>
            <w:sz w:val="16"/>
            <w:szCs w:val="16"/>
            <w:u w:val="single" w:color="auto"/>
            <w:color w:val="0000EE"/>
          </w:rPr>
          <w:t>time-to-time party thereto and Alter Domus (US) LLC.</w:t>
        </w:r>
      </w:hyperlink>
    </w:p>
    <w:p>
      <w:pPr>
        <w:spacing w:after="0" w:line="1" w:lineRule="exact"/>
        <w:rPr>
          <w:rFonts w:ascii="Times New Roman" w:cs="Times New Roman" w:eastAsia="Times New Roman" w:hAnsi="Times New Roman"/>
          <w:sz w:val="16"/>
          <w:szCs w:val="16"/>
          <w:u w:val="single" w:color="auto"/>
          <w:color w:val="0000EE"/>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10.48</w:t>
      </w:r>
      <w:r>
        <w:rPr>
          <w:sz w:val="20"/>
          <w:szCs w:val="20"/>
          <w:color w:val="auto"/>
        </w:rPr>
        <w:tab/>
      </w:r>
      <w:hyperlink r:id="rId318">
        <w:r>
          <w:rPr>
            <w:rFonts w:ascii="Times New Roman" w:cs="Times New Roman" w:eastAsia="Times New Roman" w:hAnsi="Times New Roman"/>
            <w:sz w:val="16"/>
            <w:szCs w:val="16"/>
            <w:u w:val="single" w:color="auto"/>
            <w:color w:val="0000EE"/>
          </w:rPr>
          <w:t>Joinder Agreement, by Battle Born Battery Products, LLC and acknowledged by Dragonfly Energy Corp., and Dragonfly Energy</w:t>
        </w:r>
      </w:hyperlink>
      <w:r>
        <w:rPr>
          <w:rFonts w:ascii="Times New Roman" w:cs="Times New Roman" w:eastAsia="Times New Roman" w:hAnsi="Times New Roman"/>
          <w:sz w:val="16"/>
          <w:szCs w:val="16"/>
          <w:u w:val="single" w:color="auto"/>
          <w:color w:val="0000EE"/>
        </w:rPr>
        <w:t xml:space="preserve"> </w:t>
      </w:r>
      <w:hyperlink r:id="rId318">
        <w:r>
          <w:rPr>
            <w:rFonts w:ascii="Times New Roman" w:cs="Times New Roman" w:eastAsia="Times New Roman" w:hAnsi="Times New Roman"/>
            <w:sz w:val="16"/>
            <w:szCs w:val="16"/>
            <w:u w:val="single" w:color="auto"/>
            <w:color w:val="0000EE"/>
          </w:rPr>
          <w:t>Holdings Corp., dated as of July 29, 2024.</w:t>
        </w:r>
      </w:hyperlink>
    </w:p>
    <w:p>
      <w:pPr>
        <w:spacing w:after="0" w:line="1" w:lineRule="exact"/>
        <w:rPr>
          <w:sz w:val="20"/>
          <w:szCs w:val="20"/>
          <w:color w:val="auto"/>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10.49</w:t>
      </w:r>
      <w:r>
        <w:rPr>
          <w:sz w:val="20"/>
          <w:szCs w:val="20"/>
          <w:color w:val="auto"/>
        </w:rPr>
        <w:tab/>
      </w:r>
      <w:hyperlink r:id="rId319">
        <w:r>
          <w:rPr>
            <w:rFonts w:ascii="Times New Roman" w:cs="Times New Roman" w:eastAsia="Times New Roman" w:hAnsi="Times New Roman"/>
            <w:sz w:val="16"/>
            <w:szCs w:val="16"/>
            <w:u w:val="single" w:color="auto"/>
            <w:color w:val="0000EE"/>
          </w:rPr>
          <w:t>Limited Waiver and Third Amendment to Term Loan, Guarantee and Security Agreement, dated as of September 30, 2024, by</w:t>
        </w:r>
      </w:hyperlink>
      <w:r>
        <w:rPr>
          <w:rFonts w:ascii="Times New Roman" w:cs="Times New Roman" w:eastAsia="Times New Roman" w:hAnsi="Times New Roman"/>
          <w:sz w:val="16"/>
          <w:szCs w:val="16"/>
          <w:u w:val="single" w:color="auto"/>
          <w:color w:val="0000EE"/>
        </w:rPr>
        <w:t xml:space="preserve"> </w:t>
      </w:r>
      <w:hyperlink r:id="rId319">
        <w:r>
          <w:rPr>
            <w:rFonts w:ascii="Times New Roman" w:cs="Times New Roman" w:eastAsia="Times New Roman" w:hAnsi="Times New Roman"/>
            <w:sz w:val="16"/>
            <w:szCs w:val="16"/>
            <w:u w:val="single" w:color="auto"/>
            <w:color w:val="0000EE"/>
          </w:rPr>
          <w:t>and among Dragonfly Energy Holdings Corp., Dragonfly Energy Corp., the lenders from time to time party thereto and Alter</w:t>
        </w:r>
      </w:hyperlink>
      <w:r>
        <w:rPr>
          <w:rFonts w:ascii="Times New Roman" w:cs="Times New Roman" w:eastAsia="Times New Roman" w:hAnsi="Times New Roman"/>
          <w:sz w:val="16"/>
          <w:szCs w:val="16"/>
          <w:u w:val="single" w:color="auto"/>
          <w:color w:val="0000EE"/>
        </w:rPr>
        <w:t xml:space="preserve"> </w:t>
      </w:r>
      <w:hyperlink r:id="rId319">
        <w:r>
          <w:rPr>
            <w:rFonts w:ascii="Times New Roman" w:cs="Times New Roman" w:eastAsia="Times New Roman" w:hAnsi="Times New Roman"/>
            <w:sz w:val="16"/>
            <w:szCs w:val="16"/>
            <w:u w:val="single" w:color="auto"/>
            <w:color w:val="0000EE"/>
          </w:rPr>
          <w:t>Domus (US) LLC.</w:t>
        </w:r>
      </w:hyperlink>
    </w:p>
    <w:p>
      <w:pPr>
        <w:spacing w:after="0" w:line="1" w:lineRule="exact"/>
        <w:rPr>
          <w:rFonts w:ascii="Times New Roman" w:cs="Times New Roman" w:eastAsia="Times New Roman" w:hAnsi="Times New Roman"/>
          <w:sz w:val="16"/>
          <w:szCs w:val="16"/>
          <w:u w:val="single" w:color="auto"/>
          <w:color w:val="0000EE"/>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10.50</w:t>
      </w:r>
      <w:r>
        <w:rPr>
          <w:sz w:val="20"/>
          <w:szCs w:val="20"/>
          <w:color w:val="auto"/>
        </w:rPr>
        <w:tab/>
      </w:r>
      <w:hyperlink r:id="rId320">
        <w:r>
          <w:rPr>
            <w:rFonts w:ascii="Times New Roman" w:cs="Times New Roman" w:eastAsia="Times New Roman" w:hAnsi="Times New Roman"/>
            <w:sz w:val="16"/>
            <w:szCs w:val="16"/>
            <w:u w:val="single" w:color="auto"/>
            <w:color w:val="0000EE"/>
          </w:rPr>
          <w:t>Limited Waiver and Fourth Amendment to Term Loan, Guarantee and Security Agreement, dated as of December 31, 2024, by</w:t>
        </w:r>
      </w:hyperlink>
      <w:r>
        <w:rPr>
          <w:rFonts w:ascii="Times New Roman" w:cs="Times New Roman" w:eastAsia="Times New Roman" w:hAnsi="Times New Roman"/>
          <w:sz w:val="16"/>
          <w:szCs w:val="16"/>
          <w:u w:val="single" w:color="auto"/>
          <w:color w:val="0000EE"/>
        </w:rPr>
        <w:t xml:space="preserve"> </w:t>
      </w:r>
      <w:hyperlink r:id="rId320">
        <w:r>
          <w:rPr>
            <w:rFonts w:ascii="Times New Roman" w:cs="Times New Roman" w:eastAsia="Times New Roman" w:hAnsi="Times New Roman"/>
            <w:sz w:val="16"/>
            <w:szCs w:val="16"/>
            <w:u w:val="single" w:color="auto"/>
            <w:color w:val="0000EE"/>
          </w:rPr>
          <w:t>and among Dragonfly Energy Holdings Corp., Dragonfly Energy Corp., Battle Born Battery Products, LLC, the lenders from</w:t>
        </w:r>
      </w:hyperlink>
      <w:r>
        <w:rPr>
          <w:rFonts w:ascii="Times New Roman" w:cs="Times New Roman" w:eastAsia="Times New Roman" w:hAnsi="Times New Roman"/>
          <w:sz w:val="16"/>
          <w:szCs w:val="16"/>
          <w:u w:val="single" w:color="auto"/>
          <w:color w:val="0000EE"/>
        </w:rPr>
        <w:t xml:space="preserve"> </w:t>
      </w:r>
      <w:hyperlink r:id="rId320">
        <w:r>
          <w:rPr>
            <w:rFonts w:ascii="Times New Roman" w:cs="Times New Roman" w:eastAsia="Times New Roman" w:hAnsi="Times New Roman"/>
            <w:sz w:val="16"/>
            <w:szCs w:val="16"/>
            <w:u w:val="single" w:color="auto"/>
            <w:color w:val="0000EE"/>
          </w:rPr>
          <w:t>time to time party thereto and Alter Domus (US) LLC.</w:t>
        </w:r>
      </w:hyperlink>
    </w:p>
    <w:p>
      <w:pPr>
        <w:spacing w:after="0" w:line="1" w:lineRule="exact"/>
        <w:rPr>
          <w:rFonts w:ascii="Times New Roman" w:cs="Times New Roman" w:eastAsia="Times New Roman" w:hAnsi="Times New Roman"/>
          <w:sz w:val="16"/>
          <w:szCs w:val="16"/>
          <w:u w:val="single" w:color="auto"/>
          <w:color w:val="0000EE"/>
        </w:rPr>
      </w:pPr>
    </w:p>
    <w:p>
      <w:pPr>
        <w:jc w:val="both"/>
        <w:ind w:left="720" w:hanging="722"/>
        <w:spacing w:after="0" w:line="243" w:lineRule="auto"/>
        <w:tabs>
          <w:tab w:leader="none" w:pos="7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10.51</w:t>
      </w:r>
      <w:r>
        <w:rPr>
          <w:sz w:val="20"/>
          <w:szCs w:val="20"/>
          <w:color w:val="auto"/>
        </w:rPr>
        <w:tab/>
      </w:r>
      <w:hyperlink r:id="rId321">
        <w:r>
          <w:rPr>
            <w:rFonts w:ascii="Times New Roman" w:cs="Times New Roman" w:eastAsia="Times New Roman" w:hAnsi="Times New Roman"/>
            <w:sz w:val="16"/>
            <w:szCs w:val="16"/>
            <w:u w:val="single" w:color="auto"/>
            <w:color w:val="0000EE"/>
          </w:rPr>
          <w:t>Support Agreement, dated as of December 31, 2024, by and among Dragonfly Energy Holdings Corp. and the shareholder</w:t>
        </w:r>
      </w:hyperlink>
      <w:r>
        <w:rPr>
          <w:rFonts w:ascii="Times New Roman" w:cs="Times New Roman" w:eastAsia="Times New Roman" w:hAnsi="Times New Roman"/>
          <w:sz w:val="16"/>
          <w:szCs w:val="16"/>
          <w:u w:val="single" w:color="auto"/>
          <w:color w:val="0000EE"/>
        </w:rPr>
        <w:t xml:space="preserve"> </w:t>
      </w:r>
      <w:hyperlink r:id="rId321">
        <w:r>
          <w:rPr>
            <w:rFonts w:ascii="Times New Roman" w:cs="Times New Roman" w:eastAsia="Times New Roman" w:hAnsi="Times New Roman"/>
            <w:sz w:val="16"/>
            <w:szCs w:val="16"/>
            <w:u w:val="single" w:color="auto"/>
            <w:color w:val="0000EE"/>
          </w:rPr>
          <w:t>identified on the signature pages thereto.</w:t>
        </w:r>
      </w:hyperlink>
    </w:p>
    <w:p>
      <w:pPr>
        <w:spacing w:after="0" w:line="1" w:lineRule="exact"/>
        <w:rPr>
          <w:sz w:val="20"/>
          <w:szCs w:val="20"/>
          <w:color w:val="auto"/>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10.52++</w:t>
      </w:r>
      <w:r>
        <w:rPr>
          <w:sz w:val="20"/>
          <w:szCs w:val="20"/>
          <w:color w:val="auto"/>
        </w:rPr>
        <w:tab/>
      </w:r>
      <w:hyperlink r:id="rId322">
        <w:r>
          <w:rPr>
            <w:rFonts w:ascii="Times New Roman" w:cs="Times New Roman" w:eastAsia="Times New Roman" w:hAnsi="Times New Roman"/>
            <w:sz w:val="14"/>
            <w:szCs w:val="14"/>
            <w:u w:val="single" w:color="auto"/>
            <w:color w:val="0000EE"/>
          </w:rPr>
          <w:t>Employment Agreement by and between Vickram Singh and Dragonfly Energy Holdings Corp, dated February 1, 2025.</w:t>
        </w:r>
      </w:hyperlink>
    </w:p>
    <w:p>
      <w:pPr>
        <w:spacing w:after="0" w:line="1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10.46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04/16/2024</w:t>
            </w:r>
          </w:p>
        </w:tc>
      </w:tr>
      <w:tr>
        <w:trPr>
          <w:trHeight w:val="373"/>
        </w:trPr>
        <w:tc>
          <w:tcPr>
            <w:tcW w:w="5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10.47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04/16/2024</w:t>
            </w:r>
          </w:p>
        </w:tc>
      </w:tr>
      <w:tr>
        <w:trPr>
          <w:trHeight w:val="373"/>
        </w:trPr>
        <w:tc>
          <w:tcPr>
            <w:tcW w:w="5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05/14/2024</w:t>
            </w:r>
          </w:p>
        </w:tc>
      </w:tr>
      <w:tr>
        <w:trPr>
          <w:trHeight w:val="560"/>
        </w:trPr>
        <w:tc>
          <w:tcPr>
            <w:tcW w:w="5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6"/>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05/20/2024</w:t>
            </w:r>
          </w:p>
        </w:tc>
      </w:tr>
      <w:tr>
        <w:trPr>
          <w:trHeight w:val="373"/>
        </w:trPr>
        <w:tc>
          <w:tcPr>
            <w:tcW w:w="5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6"/>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07/01/2024</w:t>
            </w:r>
          </w:p>
        </w:tc>
      </w:tr>
      <w:tr>
        <w:trPr>
          <w:trHeight w:val="560"/>
        </w:trPr>
        <w:tc>
          <w:tcPr>
            <w:tcW w:w="5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8-K/A</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08/01/2024</w:t>
            </w:r>
          </w:p>
        </w:tc>
      </w:tr>
      <w:tr>
        <w:trPr>
          <w:trHeight w:val="373"/>
        </w:trPr>
        <w:tc>
          <w:tcPr>
            <w:tcW w:w="5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8-K/A</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08/01/2024</w:t>
            </w:r>
          </w:p>
        </w:tc>
      </w:tr>
      <w:tr>
        <w:trPr>
          <w:trHeight w:val="373"/>
        </w:trPr>
        <w:tc>
          <w:tcPr>
            <w:tcW w:w="5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8-K/A</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08/01/2024</w:t>
            </w:r>
          </w:p>
        </w:tc>
      </w:tr>
      <w:tr>
        <w:trPr>
          <w:trHeight w:val="560"/>
        </w:trPr>
        <w:tc>
          <w:tcPr>
            <w:tcW w:w="5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8-K/A</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08/01/2024</w:t>
            </w:r>
          </w:p>
        </w:tc>
      </w:tr>
      <w:tr>
        <w:trPr>
          <w:trHeight w:val="373"/>
        </w:trPr>
        <w:tc>
          <w:tcPr>
            <w:tcW w:w="5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6"/>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10/07/2024</w:t>
            </w:r>
          </w:p>
        </w:tc>
      </w:tr>
      <w:tr>
        <w:trPr>
          <w:trHeight w:val="560"/>
        </w:trPr>
        <w:tc>
          <w:tcPr>
            <w:tcW w:w="5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6"/>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01/03/2025</w:t>
            </w:r>
          </w:p>
        </w:tc>
      </w:tr>
      <w:tr>
        <w:trPr>
          <w:trHeight w:val="560"/>
        </w:trPr>
        <w:tc>
          <w:tcPr>
            <w:tcW w:w="5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6"/>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01/03/2025</w:t>
            </w:r>
          </w:p>
        </w:tc>
      </w:tr>
      <w:tr>
        <w:trPr>
          <w:trHeight w:val="373"/>
        </w:trPr>
        <w:tc>
          <w:tcPr>
            <w:tcW w:w="5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6"/>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02/05/2025</w:t>
            </w:r>
          </w:p>
        </w:tc>
      </w:tr>
    </w:tbl>
    <w:p>
      <w:pPr>
        <w:sectPr>
          <w:pgSz w:w="11900" w:h="16838" w:orient="portrait"/>
          <w:cols w:equalWidth="0" w:num="2">
            <w:col w:w="8800" w:space="240"/>
            <w:col w:w="2140"/>
          </w:cols>
          <w:pgMar w:left="320" w:top="613" w:right="399" w:bottom="1440" w:gutter="0" w:footer="0" w:header="0"/>
        </w:sectPr>
      </w:pPr>
    </w:p>
    <w:bookmarkStart w:id="164" w:name="page165"/>
    <w:bookmarkEnd w:id="164"/>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10.53#</w:t>
            </w:r>
          </w:p>
        </w:tc>
        <w:tc>
          <w:tcPr>
            <w:tcW w:w="800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w w:val="99"/>
              </w:rPr>
            </w:pPr>
            <w:hyperlink r:id="rId324">
              <w:r>
                <w:rPr>
                  <w:rFonts w:ascii="Times New Roman" w:cs="Times New Roman" w:eastAsia="Times New Roman" w:hAnsi="Times New Roman"/>
                  <w:sz w:val="16"/>
                  <w:szCs w:val="16"/>
                  <w:color w:val="0000EE"/>
                  <w:w w:val="99"/>
                </w:rPr>
                <w:t>Form of Securities Purchase Agreement, dated February 26, 2025, by and between Dragonfly Energy Holdings Corp. and the</w:t>
              </w:r>
            </w:hyperlink>
          </w:p>
        </w:tc>
        <w:tc>
          <w:tcPr>
            <w:tcW w:w="120" w:type="dxa"/>
            <w:vAlign w:val="bottom"/>
          </w:tcPr>
          <w:p>
            <w:pPr>
              <w:spacing w:after="0"/>
              <w:rPr>
                <w:sz w:val="16"/>
                <w:szCs w:val="16"/>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6"/>
              </w:rPr>
              <w:t>8-K</w:t>
            </w:r>
          </w:p>
        </w:tc>
        <w:tc>
          <w:tcPr>
            <w:tcW w:w="6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02/27/2025</w:t>
            </w:r>
          </w:p>
        </w:tc>
      </w:tr>
      <w:tr>
        <w:trPr>
          <w:trHeight w:val="167"/>
        </w:trPr>
        <w:tc>
          <w:tcPr>
            <w:tcW w:w="820" w:type="dxa"/>
            <w:vAlign w:val="bottom"/>
          </w:tcPr>
          <w:p>
            <w:pPr>
              <w:spacing w:after="0"/>
              <w:rPr>
                <w:sz w:val="14"/>
                <w:szCs w:val="14"/>
                <w:color w:val="auto"/>
              </w:rPr>
            </w:pPr>
          </w:p>
        </w:tc>
        <w:tc>
          <w:tcPr>
            <w:tcW w:w="8120" w:type="dxa"/>
            <w:vAlign w:val="bottom"/>
            <w:gridSpan w:val="12"/>
          </w:tcPr>
          <w:p>
            <w:pPr>
              <w:spacing w:after="0" w:line="167" w:lineRule="exact"/>
              <w:rPr>
                <w:rFonts w:ascii="Times New Roman" w:cs="Times New Roman" w:eastAsia="Times New Roman" w:hAnsi="Times New Roman"/>
                <w:sz w:val="16"/>
                <w:szCs w:val="16"/>
                <w:color w:val="0000EE"/>
              </w:rPr>
            </w:pPr>
            <w:hyperlink r:id="rId324">
              <w:r>
                <w:rPr>
                  <w:rFonts w:ascii="Times New Roman" w:cs="Times New Roman" w:eastAsia="Times New Roman" w:hAnsi="Times New Roman"/>
                  <w:sz w:val="16"/>
                  <w:szCs w:val="16"/>
                  <w:color w:val="0000EE"/>
                </w:rPr>
                <w:t>investor listed on the Schedule of Buyers thereto.</w:t>
              </w:r>
            </w:hyperlink>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7"/>
        </w:trPr>
        <w:tc>
          <w:tcPr>
            <w:tcW w:w="8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10.54</w:t>
            </w:r>
          </w:p>
        </w:tc>
        <w:tc>
          <w:tcPr>
            <w:tcW w:w="7980" w:type="dxa"/>
            <w:vAlign w:val="bottom"/>
            <w:tcBorders>
              <w:bottom w:val="single" w:sz="8" w:color="0000EE"/>
            </w:tcBorders>
            <w:gridSpan w:val="10"/>
          </w:tcPr>
          <w:p>
            <w:pPr>
              <w:spacing w:after="0" w:line="167" w:lineRule="exact"/>
              <w:rPr>
                <w:rFonts w:ascii="Times New Roman" w:cs="Times New Roman" w:eastAsia="Times New Roman" w:hAnsi="Times New Roman"/>
                <w:sz w:val="16"/>
                <w:szCs w:val="16"/>
                <w:color w:val="0000EE"/>
                <w:w w:val="99"/>
              </w:rPr>
            </w:pPr>
            <w:hyperlink r:id="rId325">
              <w:r>
                <w:rPr>
                  <w:rFonts w:ascii="Times New Roman" w:cs="Times New Roman" w:eastAsia="Times New Roman" w:hAnsi="Times New Roman"/>
                  <w:sz w:val="16"/>
                  <w:szCs w:val="16"/>
                  <w:color w:val="0000EE"/>
                  <w:w w:val="99"/>
                </w:rPr>
                <w:t>Form of Registration Rights Agreement, dated February 26, 2025, by and between Dragonfly Energy Holdings Corp. and the</w:t>
              </w:r>
            </w:hyperlink>
          </w:p>
        </w:tc>
        <w:tc>
          <w:tcPr>
            <w:tcW w:w="140" w:type="dxa"/>
            <w:vAlign w:val="bottom"/>
            <w:gridSpan w:val="2"/>
          </w:tcPr>
          <w:p>
            <w:pPr>
              <w:spacing w:after="0"/>
              <w:rPr>
                <w:sz w:val="14"/>
                <w:szCs w:val="14"/>
                <w:color w:val="auto"/>
              </w:rPr>
            </w:pPr>
          </w:p>
        </w:tc>
        <w:tc>
          <w:tcPr>
            <w:tcW w:w="680" w:type="dxa"/>
            <w:vAlign w:val="bottom"/>
          </w:tcPr>
          <w:p>
            <w:pPr>
              <w:jc w:val="center"/>
              <w:ind w:right="2"/>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680" w:type="dxa"/>
            <w:vAlign w:val="bottom"/>
          </w:tcPr>
          <w:p>
            <w:pPr>
              <w:jc w:val="right"/>
              <w:ind w:right="122"/>
              <w:spacing w:after="0" w:line="167" w:lineRule="exact"/>
              <w:rPr>
                <w:sz w:val="20"/>
                <w:szCs w:val="20"/>
                <w:color w:val="auto"/>
              </w:rPr>
            </w:pPr>
            <w:r>
              <w:rPr>
                <w:rFonts w:ascii="Times New Roman" w:cs="Times New Roman" w:eastAsia="Times New Roman" w:hAnsi="Times New Roman"/>
                <w:sz w:val="16"/>
                <w:szCs w:val="16"/>
                <w:color w:val="auto"/>
              </w:rPr>
              <w:t>10.2</w:t>
            </w:r>
          </w:p>
        </w:tc>
        <w:tc>
          <w:tcPr>
            <w:tcW w:w="88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02/27/2025</w:t>
            </w:r>
          </w:p>
        </w:tc>
      </w:tr>
      <w:tr>
        <w:trPr>
          <w:trHeight w:val="167"/>
        </w:trPr>
        <w:tc>
          <w:tcPr>
            <w:tcW w:w="820" w:type="dxa"/>
            <w:vAlign w:val="bottom"/>
          </w:tcPr>
          <w:p>
            <w:pPr>
              <w:spacing w:after="0"/>
              <w:rPr>
                <w:sz w:val="14"/>
                <w:szCs w:val="14"/>
                <w:color w:val="auto"/>
              </w:rPr>
            </w:pPr>
          </w:p>
        </w:tc>
        <w:tc>
          <w:tcPr>
            <w:tcW w:w="8120" w:type="dxa"/>
            <w:vAlign w:val="bottom"/>
            <w:gridSpan w:val="12"/>
          </w:tcPr>
          <w:p>
            <w:pPr>
              <w:spacing w:after="0" w:line="167" w:lineRule="exact"/>
              <w:rPr>
                <w:rFonts w:ascii="Times New Roman" w:cs="Times New Roman" w:eastAsia="Times New Roman" w:hAnsi="Times New Roman"/>
                <w:sz w:val="16"/>
                <w:szCs w:val="16"/>
                <w:color w:val="0000EE"/>
              </w:rPr>
            </w:pPr>
            <w:hyperlink r:id="rId325">
              <w:r>
                <w:rPr>
                  <w:rFonts w:ascii="Times New Roman" w:cs="Times New Roman" w:eastAsia="Times New Roman" w:hAnsi="Times New Roman"/>
                  <w:sz w:val="16"/>
                  <w:szCs w:val="16"/>
                  <w:color w:val="0000EE"/>
                </w:rPr>
                <w:t>investor listed on the Schedule of Buyers thereto.</w:t>
              </w:r>
            </w:hyperlink>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7"/>
        </w:trPr>
        <w:tc>
          <w:tcPr>
            <w:tcW w:w="8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10.55</w:t>
            </w:r>
          </w:p>
        </w:tc>
        <w:tc>
          <w:tcPr>
            <w:tcW w:w="8000" w:type="dxa"/>
            <w:vAlign w:val="bottom"/>
            <w:tcBorders>
              <w:bottom w:val="single" w:sz="8" w:color="0000EE"/>
            </w:tcBorders>
            <w:gridSpan w:val="11"/>
          </w:tcPr>
          <w:p>
            <w:pPr>
              <w:spacing w:after="0" w:line="167" w:lineRule="exact"/>
              <w:rPr>
                <w:rFonts w:ascii="Times New Roman" w:cs="Times New Roman" w:eastAsia="Times New Roman" w:hAnsi="Times New Roman"/>
                <w:sz w:val="16"/>
                <w:szCs w:val="16"/>
                <w:color w:val="0000EE"/>
                <w:w w:val="98"/>
              </w:rPr>
            </w:pPr>
            <w:hyperlink r:id="rId326">
              <w:r>
                <w:rPr>
                  <w:rFonts w:ascii="Times New Roman" w:cs="Times New Roman" w:eastAsia="Times New Roman" w:hAnsi="Times New Roman"/>
                  <w:sz w:val="16"/>
                  <w:szCs w:val="16"/>
                  <w:color w:val="0000EE"/>
                  <w:w w:val="98"/>
                </w:rPr>
                <w:t>Support Agreement, dated February 26, 2025, by and between Dragonfly Energy Holdings Corp. and the stockholder signatory</w:t>
              </w:r>
            </w:hyperlink>
          </w:p>
        </w:tc>
        <w:tc>
          <w:tcPr>
            <w:tcW w:w="120" w:type="dxa"/>
            <w:vAlign w:val="bottom"/>
          </w:tcPr>
          <w:p>
            <w:pPr>
              <w:spacing w:after="0"/>
              <w:rPr>
                <w:sz w:val="14"/>
                <w:szCs w:val="14"/>
                <w:color w:val="auto"/>
              </w:rPr>
            </w:pPr>
          </w:p>
        </w:tc>
        <w:tc>
          <w:tcPr>
            <w:tcW w:w="680" w:type="dxa"/>
            <w:vAlign w:val="bottom"/>
          </w:tcPr>
          <w:p>
            <w:pPr>
              <w:jc w:val="center"/>
              <w:ind w:right="2"/>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680" w:type="dxa"/>
            <w:vAlign w:val="bottom"/>
          </w:tcPr>
          <w:p>
            <w:pPr>
              <w:jc w:val="right"/>
              <w:ind w:right="122"/>
              <w:spacing w:after="0" w:line="167" w:lineRule="exact"/>
              <w:rPr>
                <w:sz w:val="20"/>
                <w:szCs w:val="20"/>
                <w:color w:val="auto"/>
              </w:rPr>
            </w:pPr>
            <w:r>
              <w:rPr>
                <w:rFonts w:ascii="Times New Roman" w:cs="Times New Roman" w:eastAsia="Times New Roman" w:hAnsi="Times New Roman"/>
                <w:sz w:val="16"/>
                <w:szCs w:val="16"/>
                <w:color w:val="auto"/>
              </w:rPr>
              <w:t>10.3</w:t>
            </w:r>
          </w:p>
        </w:tc>
        <w:tc>
          <w:tcPr>
            <w:tcW w:w="88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02/27/2025</w:t>
            </w:r>
          </w:p>
        </w:tc>
      </w:tr>
      <w:tr>
        <w:trPr>
          <w:trHeight w:val="167"/>
        </w:trPr>
        <w:tc>
          <w:tcPr>
            <w:tcW w:w="820" w:type="dxa"/>
            <w:vAlign w:val="bottom"/>
          </w:tcPr>
          <w:p>
            <w:pPr>
              <w:spacing w:after="0"/>
              <w:rPr>
                <w:sz w:val="14"/>
                <w:szCs w:val="14"/>
                <w:color w:val="auto"/>
              </w:rPr>
            </w:pPr>
          </w:p>
        </w:tc>
        <w:tc>
          <w:tcPr>
            <w:tcW w:w="480" w:type="dxa"/>
            <w:vAlign w:val="bottom"/>
            <w:tcBorders>
              <w:bottom w:val="single" w:sz="8" w:color="0000EE"/>
            </w:tcBorders>
          </w:tcPr>
          <w:p>
            <w:pPr>
              <w:spacing w:after="0" w:line="167" w:lineRule="exact"/>
              <w:rPr>
                <w:rFonts w:ascii="Times New Roman" w:cs="Times New Roman" w:eastAsia="Times New Roman" w:hAnsi="Times New Roman"/>
                <w:sz w:val="16"/>
                <w:szCs w:val="16"/>
                <w:color w:val="0000EE"/>
                <w:w w:val="94"/>
              </w:rPr>
            </w:pPr>
            <w:hyperlink r:id="rId326">
              <w:r>
                <w:rPr>
                  <w:rFonts w:ascii="Times New Roman" w:cs="Times New Roman" w:eastAsia="Times New Roman" w:hAnsi="Times New Roman"/>
                  <w:sz w:val="16"/>
                  <w:szCs w:val="16"/>
                  <w:color w:val="0000EE"/>
                  <w:w w:val="94"/>
                </w:rPr>
                <w:t>thereto.</w:t>
              </w:r>
            </w:hyperlink>
          </w:p>
        </w:tc>
        <w:tc>
          <w:tcPr>
            <w:tcW w:w="7640" w:type="dxa"/>
            <w:vAlign w:val="bottom"/>
            <w:gridSpan w:val="11"/>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8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10.56#</w:t>
            </w:r>
          </w:p>
        </w:tc>
        <w:tc>
          <w:tcPr>
            <w:tcW w:w="7980" w:type="dxa"/>
            <w:vAlign w:val="bottom"/>
            <w:tcBorders>
              <w:bottom w:val="single" w:sz="8" w:color="0000EE"/>
            </w:tcBorders>
            <w:gridSpan w:val="10"/>
          </w:tcPr>
          <w:p>
            <w:pPr>
              <w:spacing w:after="0" w:line="167" w:lineRule="exact"/>
              <w:rPr>
                <w:rFonts w:ascii="Times New Roman" w:cs="Times New Roman" w:eastAsia="Times New Roman" w:hAnsi="Times New Roman"/>
                <w:sz w:val="16"/>
                <w:szCs w:val="16"/>
                <w:color w:val="0000EE"/>
                <w:w w:val="98"/>
              </w:rPr>
            </w:pPr>
            <w:hyperlink r:id="rId327">
              <w:r>
                <w:rPr>
                  <w:rFonts w:ascii="Times New Roman" w:cs="Times New Roman" w:eastAsia="Times New Roman" w:hAnsi="Times New Roman"/>
                  <w:sz w:val="16"/>
                  <w:szCs w:val="16"/>
                  <w:color w:val="0000EE"/>
                  <w:w w:val="98"/>
                </w:rPr>
                <w:t>Fifth Amendment to Term Loan, Guarantee and Security Agreement, dated as of February 26, 2025, by and among Dragonfly</w:t>
              </w:r>
            </w:hyperlink>
          </w:p>
        </w:tc>
        <w:tc>
          <w:tcPr>
            <w:tcW w:w="140" w:type="dxa"/>
            <w:vAlign w:val="bottom"/>
            <w:gridSpan w:val="2"/>
          </w:tcPr>
          <w:p>
            <w:pPr>
              <w:spacing w:after="0"/>
              <w:rPr>
                <w:sz w:val="14"/>
                <w:szCs w:val="14"/>
                <w:color w:val="auto"/>
              </w:rPr>
            </w:pPr>
          </w:p>
        </w:tc>
        <w:tc>
          <w:tcPr>
            <w:tcW w:w="680" w:type="dxa"/>
            <w:vAlign w:val="bottom"/>
          </w:tcPr>
          <w:p>
            <w:pPr>
              <w:jc w:val="center"/>
              <w:ind w:right="2"/>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680" w:type="dxa"/>
            <w:vAlign w:val="bottom"/>
          </w:tcPr>
          <w:p>
            <w:pPr>
              <w:jc w:val="right"/>
              <w:ind w:right="122"/>
              <w:spacing w:after="0" w:line="167" w:lineRule="exact"/>
              <w:rPr>
                <w:sz w:val="20"/>
                <w:szCs w:val="20"/>
                <w:color w:val="auto"/>
              </w:rPr>
            </w:pPr>
            <w:r>
              <w:rPr>
                <w:rFonts w:ascii="Times New Roman" w:cs="Times New Roman" w:eastAsia="Times New Roman" w:hAnsi="Times New Roman"/>
                <w:sz w:val="16"/>
                <w:szCs w:val="16"/>
                <w:color w:val="auto"/>
              </w:rPr>
              <w:t>10.4</w:t>
            </w:r>
          </w:p>
        </w:tc>
        <w:tc>
          <w:tcPr>
            <w:tcW w:w="88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02/27/2025</w:t>
            </w:r>
          </w:p>
        </w:tc>
      </w:tr>
      <w:tr>
        <w:trPr>
          <w:trHeight w:val="167"/>
        </w:trPr>
        <w:tc>
          <w:tcPr>
            <w:tcW w:w="820" w:type="dxa"/>
            <w:vAlign w:val="bottom"/>
          </w:tcPr>
          <w:p>
            <w:pPr>
              <w:spacing w:after="0"/>
              <w:rPr>
                <w:sz w:val="14"/>
                <w:szCs w:val="14"/>
                <w:color w:val="auto"/>
              </w:rPr>
            </w:pPr>
          </w:p>
        </w:tc>
        <w:tc>
          <w:tcPr>
            <w:tcW w:w="7980" w:type="dxa"/>
            <w:vAlign w:val="bottom"/>
            <w:tcBorders>
              <w:bottom w:val="single" w:sz="8" w:color="0000EE"/>
            </w:tcBorders>
            <w:gridSpan w:val="10"/>
          </w:tcPr>
          <w:p>
            <w:pPr>
              <w:spacing w:after="0" w:line="167" w:lineRule="exact"/>
              <w:rPr>
                <w:rFonts w:ascii="Times New Roman" w:cs="Times New Roman" w:eastAsia="Times New Roman" w:hAnsi="Times New Roman"/>
                <w:sz w:val="16"/>
                <w:szCs w:val="16"/>
                <w:color w:val="0000EE"/>
              </w:rPr>
            </w:pPr>
            <w:hyperlink r:id="rId327">
              <w:r>
                <w:rPr>
                  <w:rFonts w:ascii="Times New Roman" w:cs="Times New Roman" w:eastAsia="Times New Roman" w:hAnsi="Times New Roman"/>
                  <w:sz w:val="16"/>
                  <w:szCs w:val="16"/>
                  <w:color w:val="0000EE"/>
                </w:rPr>
                <w:t>Energy Holdings Corp., Dragonfly Energy Corp., Battle Born Battery Products, LLC, the lenders from time to time party</w:t>
              </w:r>
            </w:hyperlink>
          </w:p>
        </w:tc>
        <w:tc>
          <w:tcPr>
            <w:tcW w:w="14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260" w:type="dxa"/>
            <w:vAlign w:val="bottom"/>
            <w:tcBorders>
              <w:bottom w:val="single" w:sz="8" w:color="0000EE"/>
            </w:tcBorders>
            <w:gridSpan w:val="5"/>
          </w:tcPr>
          <w:p>
            <w:pPr>
              <w:spacing w:after="0" w:line="167" w:lineRule="exact"/>
              <w:rPr>
                <w:rFonts w:ascii="Times New Roman" w:cs="Times New Roman" w:eastAsia="Times New Roman" w:hAnsi="Times New Roman"/>
                <w:sz w:val="16"/>
                <w:szCs w:val="16"/>
                <w:color w:val="0000EE"/>
                <w:w w:val="96"/>
              </w:rPr>
            </w:pPr>
            <w:hyperlink r:id="rId327">
              <w:r>
                <w:rPr>
                  <w:rFonts w:ascii="Times New Roman" w:cs="Times New Roman" w:eastAsia="Times New Roman" w:hAnsi="Times New Roman"/>
                  <w:sz w:val="16"/>
                  <w:szCs w:val="16"/>
                  <w:color w:val="0000EE"/>
                  <w:w w:val="96"/>
                </w:rPr>
                <w:t>thereto and Alter Domus (US) LLC.</w:t>
              </w:r>
            </w:hyperlink>
          </w:p>
        </w:tc>
        <w:tc>
          <w:tcPr>
            <w:tcW w:w="5860" w:type="dxa"/>
            <w:vAlign w:val="bottom"/>
            <w:gridSpan w:val="7"/>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8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16.1</w:t>
            </w:r>
          </w:p>
        </w:tc>
        <w:tc>
          <w:tcPr>
            <w:tcW w:w="5820" w:type="dxa"/>
            <w:vAlign w:val="bottom"/>
            <w:tcBorders>
              <w:bottom w:val="single" w:sz="8" w:color="0000EE"/>
            </w:tcBorders>
            <w:gridSpan w:val="9"/>
          </w:tcPr>
          <w:p>
            <w:pPr>
              <w:spacing w:after="0" w:line="167" w:lineRule="exact"/>
              <w:rPr>
                <w:rFonts w:ascii="Times New Roman" w:cs="Times New Roman" w:eastAsia="Times New Roman" w:hAnsi="Times New Roman"/>
                <w:sz w:val="16"/>
                <w:szCs w:val="16"/>
                <w:color w:val="0000EE"/>
                <w:w w:val="96"/>
              </w:rPr>
            </w:pPr>
            <w:hyperlink r:id="rId328">
              <w:r>
                <w:rPr>
                  <w:rFonts w:ascii="Times New Roman" w:cs="Times New Roman" w:eastAsia="Times New Roman" w:hAnsi="Times New Roman"/>
                  <w:sz w:val="16"/>
                  <w:szCs w:val="16"/>
                  <w:color w:val="0000EE"/>
                  <w:w w:val="96"/>
                </w:rPr>
                <w:t>Letter dated March 24, 2025 from Marcum LLP to the Securities and Exchange Commission.</w:t>
              </w:r>
            </w:hyperlink>
          </w:p>
        </w:tc>
        <w:tc>
          <w:tcPr>
            <w:tcW w:w="2300" w:type="dxa"/>
            <w:vAlign w:val="bottom"/>
            <w:gridSpan w:val="3"/>
          </w:tcPr>
          <w:p>
            <w:pPr>
              <w:spacing w:after="0"/>
              <w:rPr>
                <w:sz w:val="14"/>
                <w:szCs w:val="14"/>
                <w:color w:val="auto"/>
              </w:rPr>
            </w:pPr>
          </w:p>
        </w:tc>
        <w:tc>
          <w:tcPr>
            <w:tcW w:w="680" w:type="dxa"/>
            <w:vAlign w:val="bottom"/>
          </w:tcPr>
          <w:p>
            <w:pPr>
              <w:jc w:val="center"/>
              <w:ind w:right="2"/>
              <w:spacing w:after="0" w:line="167" w:lineRule="exact"/>
              <w:rPr>
                <w:sz w:val="20"/>
                <w:szCs w:val="20"/>
                <w:color w:val="auto"/>
              </w:rPr>
            </w:pPr>
            <w:r>
              <w:rPr>
                <w:rFonts w:ascii="Times New Roman" w:cs="Times New Roman" w:eastAsia="Times New Roman" w:hAnsi="Times New Roman"/>
                <w:sz w:val="16"/>
                <w:szCs w:val="16"/>
                <w:color w:val="auto"/>
                <w:w w:val="96"/>
              </w:rPr>
              <w:t>8-K</w:t>
            </w:r>
          </w:p>
        </w:tc>
        <w:tc>
          <w:tcPr>
            <w:tcW w:w="680" w:type="dxa"/>
            <w:vAlign w:val="bottom"/>
          </w:tcPr>
          <w:p>
            <w:pPr>
              <w:jc w:val="right"/>
              <w:ind w:right="122"/>
              <w:spacing w:after="0" w:line="167" w:lineRule="exact"/>
              <w:rPr>
                <w:sz w:val="20"/>
                <w:szCs w:val="20"/>
                <w:color w:val="auto"/>
              </w:rPr>
            </w:pPr>
            <w:r>
              <w:rPr>
                <w:rFonts w:ascii="Times New Roman" w:cs="Times New Roman" w:eastAsia="Times New Roman" w:hAnsi="Times New Roman"/>
                <w:sz w:val="16"/>
                <w:szCs w:val="16"/>
                <w:color w:val="auto"/>
              </w:rPr>
              <w:t>16.1</w:t>
            </w:r>
          </w:p>
        </w:tc>
        <w:tc>
          <w:tcPr>
            <w:tcW w:w="88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03/24/2025</w:t>
            </w:r>
          </w:p>
        </w:tc>
      </w:tr>
      <w:tr>
        <w:trPr>
          <w:trHeight w:val="167"/>
        </w:trPr>
        <w:tc>
          <w:tcPr>
            <w:tcW w:w="8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21.1</w:t>
            </w:r>
          </w:p>
        </w:tc>
        <w:tc>
          <w:tcPr>
            <w:tcW w:w="1260" w:type="dxa"/>
            <w:vAlign w:val="bottom"/>
            <w:tcBorders>
              <w:bottom w:val="single" w:sz="8" w:color="0000EE"/>
            </w:tcBorders>
            <w:gridSpan w:val="3"/>
          </w:tcPr>
          <w:p>
            <w:pPr>
              <w:spacing w:after="0" w:line="167" w:lineRule="exact"/>
              <w:rPr>
                <w:rFonts w:ascii="Times New Roman" w:cs="Times New Roman" w:eastAsia="Times New Roman" w:hAnsi="Times New Roman"/>
                <w:sz w:val="16"/>
                <w:szCs w:val="16"/>
                <w:color w:val="0000EE"/>
                <w:w w:val="96"/>
              </w:rPr>
            </w:pPr>
            <w:hyperlink r:id="rId329">
              <w:r>
                <w:rPr>
                  <w:rFonts w:ascii="Times New Roman" w:cs="Times New Roman" w:eastAsia="Times New Roman" w:hAnsi="Times New Roman"/>
                  <w:sz w:val="16"/>
                  <w:szCs w:val="16"/>
                  <w:color w:val="0000EE"/>
                  <w:w w:val="96"/>
                </w:rPr>
                <w:t>List of Subsidiaries.</w:t>
              </w:r>
            </w:hyperlink>
          </w:p>
        </w:tc>
        <w:tc>
          <w:tcPr>
            <w:tcW w:w="6860" w:type="dxa"/>
            <w:vAlign w:val="bottom"/>
            <w:gridSpan w:val="9"/>
          </w:tcPr>
          <w:p>
            <w:pPr>
              <w:spacing w:after="0"/>
              <w:rPr>
                <w:sz w:val="14"/>
                <w:szCs w:val="14"/>
                <w:color w:val="auto"/>
              </w:rPr>
            </w:pPr>
          </w:p>
        </w:tc>
        <w:tc>
          <w:tcPr>
            <w:tcW w:w="680" w:type="dxa"/>
            <w:vAlign w:val="bottom"/>
          </w:tcPr>
          <w:p>
            <w:pPr>
              <w:jc w:val="center"/>
              <w:ind w:right="2"/>
              <w:spacing w:after="0" w:line="167" w:lineRule="exact"/>
              <w:rPr>
                <w:sz w:val="20"/>
                <w:szCs w:val="20"/>
                <w:color w:val="auto"/>
              </w:rPr>
            </w:pPr>
            <w:r>
              <w:rPr>
                <w:rFonts w:ascii="Times New Roman" w:cs="Times New Roman" w:eastAsia="Times New Roman" w:hAnsi="Times New Roman"/>
                <w:sz w:val="16"/>
                <w:szCs w:val="16"/>
                <w:color w:val="auto"/>
                <w:w w:val="97"/>
              </w:rPr>
              <w:t>10-K</w:t>
            </w:r>
          </w:p>
        </w:tc>
        <w:tc>
          <w:tcPr>
            <w:tcW w:w="680" w:type="dxa"/>
            <w:vAlign w:val="bottom"/>
          </w:tcPr>
          <w:p>
            <w:pPr>
              <w:jc w:val="right"/>
              <w:ind w:right="122"/>
              <w:spacing w:after="0" w:line="167" w:lineRule="exact"/>
              <w:rPr>
                <w:sz w:val="20"/>
                <w:szCs w:val="20"/>
                <w:color w:val="auto"/>
              </w:rPr>
            </w:pPr>
            <w:r>
              <w:rPr>
                <w:rFonts w:ascii="Times New Roman" w:cs="Times New Roman" w:eastAsia="Times New Roman" w:hAnsi="Times New Roman"/>
                <w:sz w:val="16"/>
                <w:szCs w:val="16"/>
                <w:color w:val="auto"/>
              </w:rPr>
              <w:t>21.1</w:t>
            </w:r>
          </w:p>
        </w:tc>
        <w:tc>
          <w:tcPr>
            <w:tcW w:w="88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03/31/2025</w:t>
            </w:r>
          </w:p>
        </w:tc>
      </w:tr>
      <w:tr>
        <w:trPr>
          <w:trHeight w:val="167"/>
        </w:trPr>
        <w:tc>
          <w:tcPr>
            <w:tcW w:w="8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23.1*</w:t>
            </w:r>
          </w:p>
        </w:tc>
        <w:tc>
          <w:tcPr>
            <w:tcW w:w="8120" w:type="dxa"/>
            <w:vAlign w:val="bottom"/>
            <w:gridSpan w:val="12"/>
          </w:tcPr>
          <w:p>
            <w:pPr>
              <w:spacing w:after="0" w:line="167" w:lineRule="exact"/>
              <w:rPr>
                <w:sz w:val="20"/>
                <w:szCs w:val="20"/>
                <w:color w:val="auto"/>
              </w:rPr>
            </w:pPr>
            <w:r>
              <w:rPr>
                <w:rFonts w:ascii="Times New Roman" w:cs="Times New Roman" w:eastAsia="Times New Roman" w:hAnsi="Times New Roman"/>
                <w:sz w:val="16"/>
                <w:szCs w:val="16"/>
                <w:color w:val="0000EE"/>
              </w:rPr>
              <w:t>Consent of Marcum LLP.</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7"/>
        </w:trPr>
        <w:tc>
          <w:tcPr>
            <w:tcW w:w="8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23.2*</w:t>
            </w:r>
          </w:p>
        </w:tc>
        <w:tc>
          <w:tcPr>
            <w:tcW w:w="4300" w:type="dxa"/>
            <w:vAlign w:val="bottom"/>
            <w:tcBorders>
              <w:bottom w:val="single" w:sz="8" w:color="0000EE"/>
            </w:tcBorders>
            <w:gridSpan w:val="8"/>
          </w:tcPr>
          <w:p>
            <w:pPr>
              <w:spacing w:after="0" w:line="167" w:lineRule="exact"/>
              <w:rPr>
                <w:sz w:val="20"/>
                <w:szCs w:val="20"/>
                <w:color w:val="auto"/>
              </w:rPr>
            </w:pPr>
            <w:r>
              <w:rPr>
                <w:rFonts w:ascii="Times New Roman" w:cs="Times New Roman" w:eastAsia="Times New Roman" w:hAnsi="Times New Roman"/>
                <w:sz w:val="16"/>
                <w:szCs w:val="16"/>
                <w:color w:val="0000EE"/>
                <w:w w:val="96"/>
              </w:rPr>
              <w:t>Consent of Parsons Behle &amp; Latimer (included in Exhibit 5.1 hereto)</w:t>
            </w:r>
          </w:p>
        </w:tc>
        <w:tc>
          <w:tcPr>
            <w:tcW w:w="382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8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24.1*</w:t>
            </w:r>
          </w:p>
        </w:tc>
        <w:tc>
          <w:tcPr>
            <w:tcW w:w="2980" w:type="dxa"/>
            <w:vAlign w:val="bottom"/>
            <w:tcBorders>
              <w:bottom w:val="single" w:sz="8" w:color="0000EE"/>
            </w:tcBorders>
            <w:gridSpan w:val="6"/>
          </w:tcPr>
          <w:p>
            <w:pPr>
              <w:spacing w:after="0" w:line="167" w:lineRule="exact"/>
              <w:rPr>
                <w:sz w:val="20"/>
                <w:szCs w:val="20"/>
                <w:color w:val="auto"/>
              </w:rPr>
            </w:pPr>
            <w:r>
              <w:rPr>
                <w:rFonts w:ascii="Times New Roman" w:cs="Times New Roman" w:eastAsia="Times New Roman" w:hAnsi="Times New Roman"/>
                <w:sz w:val="16"/>
                <w:szCs w:val="16"/>
                <w:color w:val="0000EE"/>
                <w:w w:val="96"/>
              </w:rPr>
              <w:t>Power of Attorney (included on signature page)</w:t>
            </w:r>
          </w:p>
        </w:tc>
        <w:tc>
          <w:tcPr>
            <w:tcW w:w="5140" w:type="dxa"/>
            <w:vAlign w:val="bottom"/>
            <w:gridSpan w:val="6"/>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81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7"/>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81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7"/>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81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7"/>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81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7"/>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81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7"/>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81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7"/>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81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8"/>
        </w:trPr>
        <w:tc>
          <w:tcPr>
            <w:tcW w:w="8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107*</w:t>
            </w:r>
          </w:p>
        </w:tc>
        <w:tc>
          <w:tcPr>
            <w:tcW w:w="1020" w:type="dxa"/>
            <w:vAlign w:val="bottom"/>
            <w:tcBorders>
              <w:bottom w:val="single" w:sz="8" w:color="0000EE"/>
            </w:tcBorders>
            <w:gridSpan w:val="2"/>
          </w:tcPr>
          <w:p>
            <w:pPr>
              <w:spacing w:after="0" w:line="168" w:lineRule="exact"/>
              <w:rPr>
                <w:sz w:val="20"/>
                <w:szCs w:val="20"/>
                <w:color w:val="auto"/>
              </w:rPr>
            </w:pPr>
            <w:r>
              <w:rPr>
                <w:rFonts w:ascii="Times New Roman" w:cs="Times New Roman" w:eastAsia="Times New Roman" w:hAnsi="Times New Roman"/>
                <w:sz w:val="16"/>
                <w:szCs w:val="16"/>
                <w:color w:val="0000EE"/>
                <w:w w:val="94"/>
              </w:rPr>
              <w:t>Filing Fee Table</w:t>
            </w:r>
          </w:p>
        </w:tc>
        <w:tc>
          <w:tcPr>
            <w:tcW w:w="7100" w:type="dxa"/>
            <w:vAlign w:val="bottom"/>
            <w:gridSpan w:val="10"/>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9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 Filed herewith.</w:t>
      </w:r>
    </w:p>
    <w:p>
      <w:pPr>
        <w:spacing w:after="0" w:line="19" w:lineRule="exact"/>
        <w:rPr>
          <w:sz w:val="20"/>
          <w:szCs w:val="20"/>
          <w:color w:val="auto"/>
        </w:rPr>
      </w:pPr>
    </w:p>
    <w:p>
      <w:pPr>
        <w:ind w:left="7" w:hanging="7"/>
        <w:spacing w:after="0" w:line="243" w:lineRule="auto"/>
        <w:tabs>
          <w:tab w:leader="none" w:pos="13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schedules and exhibits to the agreement have been omitted pursuant to Item 601(b)(2) of Regulation S-K. A copy of any omitted schedule and/or exhibit will be furnished to the Securities and Exchange Commission upon request.</w:t>
      </w:r>
    </w:p>
    <w:p>
      <w:pPr>
        <w:ind w:left="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Indicates a management contract or compensatory plan.</w:t>
      </w:r>
    </w:p>
    <w:p>
      <w:pPr>
        <w:spacing w:after="0" w:line="1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Item 17. Undertakings</w:t>
      </w:r>
    </w:p>
    <w:p>
      <w:pPr>
        <w:spacing w:after="0" w:line="1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The undersigned registrant, hereby undertakes:</w:t>
      </w:r>
    </w:p>
    <w:p>
      <w:pPr>
        <w:spacing w:after="0" w:line="189" w:lineRule="exact"/>
        <w:rPr>
          <w:sz w:val="20"/>
          <w:szCs w:val="20"/>
          <w:color w:val="auto"/>
        </w:rPr>
      </w:pPr>
    </w:p>
    <w:p>
      <w:pPr>
        <w:ind w:left="287" w:hanging="287"/>
        <w:spacing w:after="0"/>
        <w:tabs>
          <w:tab w:leader="none" w:pos="287"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189" w:lineRule="exact"/>
        <w:rPr>
          <w:rFonts w:ascii="Times New Roman" w:cs="Times New Roman" w:eastAsia="Times New Roman" w:hAnsi="Times New Roman"/>
          <w:sz w:val="16"/>
          <w:szCs w:val="16"/>
          <w:color w:val="auto"/>
        </w:rPr>
      </w:pPr>
    </w:p>
    <w:p>
      <w:pPr>
        <w:ind w:left="5467" w:right="3200" w:hanging="5187"/>
        <w:spacing w:after="0" w:line="511" w:lineRule="auto"/>
        <w:tabs>
          <w:tab w:leader="none" w:pos="552"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 of 1933, as amended (the “Securities Act”); 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15073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597" w:right="319" w:bottom="1440" w:gutter="0" w:footer="0" w:header="0"/>
        </w:sectPr>
      </w:pPr>
    </w:p>
    <w:bookmarkStart w:id="165" w:name="page166"/>
    <w:bookmarkEnd w:id="165"/>
    <w:p>
      <w:pPr>
        <w:jc w:val="both"/>
        <w:ind w:left="567" w:hanging="287"/>
        <w:spacing w:after="0" w:line="248" w:lineRule="auto"/>
        <w:tabs>
          <w:tab w:leader="none" w:pos="567"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6" w:lineRule="exact"/>
        <w:rPr>
          <w:rFonts w:ascii="Times New Roman" w:cs="Times New Roman" w:eastAsia="Times New Roman" w:hAnsi="Times New Roman"/>
          <w:sz w:val="16"/>
          <w:szCs w:val="16"/>
          <w:color w:val="auto"/>
        </w:rPr>
      </w:pPr>
    </w:p>
    <w:p>
      <w:pPr>
        <w:ind w:left="567" w:hanging="287"/>
        <w:spacing w:after="0" w:line="267" w:lineRule="auto"/>
        <w:tabs>
          <w:tab w:leader="none" w:pos="567"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49" w:lineRule="exact"/>
        <w:rPr>
          <w:sz w:val="20"/>
          <w:szCs w:val="20"/>
          <w:color w:val="auto"/>
        </w:rPr>
      </w:pPr>
    </w:p>
    <w:p>
      <w:pPr>
        <w:jc w:val="both"/>
        <w:ind w:left="287"/>
        <w:spacing w:after="0" w:line="257" w:lineRule="auto"/>
        <w:rPr>
          <w:sz w:val="20"/>
          <w:szCs w:val="20"/>
          <w:color w:val="auto"/>
        </w:rPr>
      </w:pP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paragraphs (1)(i), (ii), and (iii) above do not apply if the information required to be included in a post-effective amendment by those paragraphs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58" w:lineRule="exact"/>
        <w:rPr>
          <w:sz w:val="20"/>
          <w:szCs w:val="20"/>
          <w:color w:val="auto"/>
        </w:rPr>
      </w:pPr>
    </w:p>
    <w:p>
      <w:pPr>
        <w:ind w:left="287" w:right="20" w:hanging="287"/>
        <w:spacing w:after="0" w:line="267" w:lineRule="auto"/>
        <w:tabs>
          <w:tab w:leader="none" w:pos="28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5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189" w:lineRule="exact"/>
        <w:rPr>
          <w:rFonts w:ascii="Times New Roman" w:cs="Times New Roman" w:eastAsia="Times New Roman" w:hAnsi="Times New Roman"/>
          <w:sz w:val="16"/>
          <w:szCs w:val="16"/>
          <w:color w:val="auto"/>
        </w:rPr>
      </w:pPr>
    </w:p>
    <w:p>
      <w:pPr>
        <w:jc w:val="both"/>
        <w:ind w:left="287" w:hanging="287"/>
        <w:spacing w:after="0" w:line="248" w:lineRule="auto"/>
        <w:tabs>
          <w:tab w:leader="none" w:pos="28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6" w:lineRule="exact"/>
        <w:rPr>
          <w:rFonts w:ascii="Times New Roman" w:cs="Times New Roman" w:eastAsia="Times New Roman" w:hAnsi="Times New Roman"/>
          <w:sz w:val="16"/>
          <w:szCs w:val="16"/>
          <w:color w:val="auto"/>
        </w:rPr>
      </w:pPr>
    </w:p>
    <w:p>
      <w:pPr>
        <w:jc w:val="both"/>
        <w:ind w:left="287" w:hanging="287"/>
        <w:spacing w:after="0" w:line="251" w:lineRule="auto"/>
        <w:tabs>
          <w:tab w:leader="none" w:pos="28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3" w:lineRule="exact"/>
        <w:rPr>
          <w:rFonts w:ascii="Times New Roman" w:cs="Times New Roman" w:eastAsia="Times New Roman" w:hAnsi="Times New Roman"/>
          <w:sz w:val="16"/>
          <w:szCs w:val="16"/>
          <w:color w:val="auto"/>
        </w:rPr>
      </w:pPr>
    </w:p>
    <w:p>
      <w:pPr>
        <w:ind w:left="567" w:hanging="287"/>
        <w:spacing w:after="0"/>
        <w:tabs>
          <w:tab w:leader="none" w:pos="567"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preliminary prospectus or prospectus of the undersigned registrant relating to the offering required to be filed pursuant to Rule 424;</w:t>
      </w:r>
    </w:p>
    <w:p>
      <w:pPr>
        <w:spacing w:after="0" w:line="189" w:lineRule="exact"/>
        <w:rPr>
          <w:rFonts w:ascii="Times New Roman" w:cs="Times New Roman" w:eastAsia="Times New Roman" w:hAnsi="Times New Roman"/>
          <w:sz w:val="16"/>
          <w:szCs w:val="16"/>
          <w:color w:val="auto"/>
        </w:rPr>
      </w:pPr>
    </w:p>
    <w:p>
      <w:pPr>
        <w:ind w:left="567" w:hanging="287"/>
        <w:spacing w:after="0"/>
        <w:tabs>
          <w:tab w:leader="none" w:pos="567"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free writing prospectus relating to the offering prepared by or on behalf of the undersigned registrant or used or referred to by the undersigned registrant;</w:t>
      </w:r>
    </w:p>
    <w:p>
      <w:pPr>
        <w:spacing w:after="0" w:line="189" w:lineRule="exact"/>
        <w:rPr>
          <w:rFonts w:ascii="Times New Roman" w:cs="Times New Roman" w:eastAsia="Times New Roman" w:hAnsi="Times New Roman"/>
          <w:sz w:val="16"/>
          <w:szCs w:val="16"/>
          <w:color w:val="auto"/>
        </w:rPr>
      </w:pPr>
    </w:p>
    <w:p>
      <w:pPr>
        <w:ind w:left="567" w:hanging="287"/>
        <w:spacing w:after="0" w:line="267" w:lineRule="auto"/>
        <w:tabs>
          <w:tab w:leader="none" w:pos="567"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0" w:lineRule="exact"/>
        <w:rPr>
          <w:rFonts w:ascii="Times New Roman" w:cs="Times New Roman" w:eastAsia="Times New Roman" w:hAnsi="Times New Roman"/>
          <w:sz w:val="16"/>
          <w:szCs w:val="16"/>
          <w:color w:val="auto"/>
        </w:rPr>
      </w:pPr>
    </w:p>
    <w:p>
      <w:pPr>
        <w:ind w:left="567" w:hanging="287"/>
        <w:spacing w:after="0"/>
        <w:tabs>
          <w:tab w:leader="none" w:pos="567"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communication that is an offer in the offering made by the undersigned registrant to the purchaser.</w:t>
      </w:r>
    </w:p>
    <w:p>
      <w:pPr>
        <w:spacing w:after="0" w:line="189" w:lineRule="exact"/>
        <w:rPr>
          <w:rFonts w:ascii="Times New Roman" w:cs="Times New Roman" w:eastAsia="Times New Roman" w:hAnsi="Times New Roman"/>
          <w:sz w:val="16"/>
          <w:szCs w:val="16"/>
          <w:color w:val="auto"/>
        </w:rPr>
      </w:pPr>
    </w:p>
    <w:p>
      <w:pPr>
        <w:jc w:val="both"/>
        <w:ind w:left="287" w:hanging="287"/>
        <w:spacing w:after="0" w:line="248" w:lineRule="auto"/>
        <w:tabs>
          <w:tab w:leader="none" w:pos="28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offering thereof.</w:t>
      </w:r>
    </w:p>
    <w:p>
      <w:pPr>
        <w:spacing w:after="0" w:line="2" w:lineRule="exact"/>
        <w:rPr>
          <w:rFonts w:ascii="Times New Roman" w:cs="Times New Roman" w:eastAsia="Times New Roman" w:hAnsi="Times New Roman"/>
          <w:sz w:val="16"/>
          <w:szCs w:val="16"/>
          <w:color w:val="auto"/>
        </w:rPr>
      </w:pPr>
    </w:p>
    <w:p>
      <w:pPr>
        <w:jc w:val="both"/>
        <w:ind w:left="287" w:hanging="287"/>
        <w:spacing w:after="0" w:line="244" w:lineRule="auto"/>
        <w:tabs>
          <w:tab w:leader="none" w:pos="28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5073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613" w:right="31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1"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has duly caused this Registration Statement to be signed on its behalf by the undersigned, thereunto duly authorized, in the City of Reno, State of Nevada, on April 4,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DRAGONFLY ENERGY HOLDINGS CORP.</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/s/ Denis Phares</w:t>
            </w:r>
          </w:p>
        </w:tc>
      </w:tr>
      <w:tr>
        <w:trPr>
          <w:trHeight w:val="162"/>
        </w:trPr>
        <w:tc>
          <w:tcPr>
            <w:tcW w:w="5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Name:</w:t>
            </w:r>
          </w:p>
        </w:tc>
        <w:tc>
          <w:tcPr>
            <w:tcW w:w="506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6"/>
                <w:szCs w:val="16"/>
                <w:color w:val="auto"/>
              </w:rPr>
              <w:t>Denis Phares</w:t>
            </w:r>
          </w:p>
        </w:tc>
        <w:tc>
          <w:tcPr>
            <w:tcW w:w="880" w:type="dxa"/>
            <w:vAlign w:val="bottom"/>
          </w:tcPr>
          <w:p>
            <w:pPr>
              <w:spacing w:after="0"/>
              <w:rPr>
                <w:sz w:val="14"/>
                <w:szCs w:val="14"/>
                <w:color w:val="auto"/>
              </w:rPr>
            </w:pPr>
          </w:p>
        </w:tc>
      </w:tr>
      <w:tr>
        <w:trPr>
          <w:trHeight w:val="187"/>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Chairman, President, Chief Executive Officer and Interim Chief Financial</w:t>
            </w:r>
          </w:p>
        </w:tc>
      </w:tr>
      <w:tr>
        <w:trPr>
          <w:trHeight w:val="203"/>
        </w:trPr>
        <w:tc>
          <w:tcPr>
            <w:tcW w:w="56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Officer</w:t>
            </w:r>
          </w:p>
        </w:tc>
      </w:tr>
      <w:tr>
        <w:trPr>
          <w:trHeight w:val="373"/>
        </w:trPr>
        <w:tc>
          <w:tcPr>
            <w:tcW w:w="560" w:type="dxa"/>
            <w:vAlign w:val="bottom"/>
          </w:tcPr>
          <w:p>
            <w:pPr>
              <w:spacing w:after="0"/>
              <w:rPr>
                <w:sz w:val="24"/>
                <w:szCs w:val="24"/>
                <w:color w:val="auto"/>
              </w:rPr>
            </w:pPr>
          </w:p>
        </w:tc>
        <w:tc>
          <w:tcPr>
            <w:tcW w:w="5940" w:type="dxa"/>
            <w:vAlign w:val="bottom"/>
            <w:gridSpan w:val="2"/>
          </w:tcPr>
          <w:p>
            <w:pPr>
              <w:ind w:left="4180"/>
              <w:spacing w:after="0"/>
              <w:rPr>
                <w:sz w:val="20"/>
                <w:szCs w:val="20"/>
                <w:color w:val="auto"/>
              </w:rPr>
            </w:pPr>
            <w:r>
              <w:rPr>
                <w:rFonts w:ascii="Times New Roman" w:cs="Times New Roman" w:eastAsia="Times New Roman" w:hAnsi="Times New Roman"/>
                <w:sz w:val="16"/>
                <w:szCs w:val="16"/>
                <w:b w:val="1"/>
                <w:bCs w:val="1"/>
                <w:color w:val="auto"/>
                <w:w w:val="95"/>
              </w:rPr>
              <w:t>POWER OF ATTORNEY</w:t>
            </w:r>
          </w:p>
        </w:tc>
      </w:tr>
    </w:tbl>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KNOW ALL PERSONS BY THESE PRESENTS, that each of the individuals whose signature appears below constitutes and appoints Denis Phares, as his or her true and lawful attorney-in-fact and agent,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ratifying and confirming all that said attorney-in-fact and agent, or his or her substitute or substitutes, may lawfully do or cause to be done by virtue hereof.</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requirements of the Securities Act of 1933, this Registration Statement has been signed by the following persons in the capacities and on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Signature</w:t>
            </w:r>
          </w:p>
        </w:tc>
        <w:tc>
          <w:tcPr>
            <w:tcW w:w="240" w:type="dxa"/>
            <w:vAlign w:val="bottom"/>
          </w:tcPr>
          <w:p>
            <w:pPr>
              <w:spacing w:after="0"/>
              <w:rPr>
                <w:sz w:val="18"/>
                <w:szCs w:val="18"/>
                <w:color w:val="auto"/>
              </w:rPr>
            </w:pPr>
          </w:p>
        </w:tc>
        <w:tc>
          <w:tcPr>
            <w:tcW w:w="6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r>
      <w:tr>
        <w:trPr>
          <w:trHeight w:val="371"/>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/s/ Denis Phares</w:t>
            </w:r>
          </w:p>
        </w:tc>
        <w:tc>
          <w:tcPr>
            <w:tcW w:w="240" w:type="dxa"/>
            <w:vAlign w:val="bottom"/>
          </w:tcPr>
          <w:p>
            <w:pPr>
              <w:spacing w:after="0"/>
              <w:rPr>
                <w:sz w:val="24"/>
                <w:szCs w:val="24"/>
                <w:color w:val="auto"/>
              </w:rPr>
            </w:pPr>
          </w:p>
        </w:tc>
        <w:tc>
          <w:tcPr>
            <w:tcW w:w="6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Chairman, President, Chief Executive Officer and Interim 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4, 2025</w:t>
            </w:r>
          </w:p>
        </w:tc>
      </w:tr>
      <w:tr>
        <w:trPr>
          <w:trHeight w:val="149"/>
        </w:trPr>
        <w:tc>
          <w:tcPr>
            <w:tcW w:w="2820" w:type="dxa"/>
            <w:vAlign w:val="bottom"/>
          </w:tcPr>
          <w:p>
            <w:pPr>
              <w:jc w:val="center"/>
              <w:spacing w:after="0" w:line="149" w:lineRule="exact"/>
              <w:rPr>
                <w:sz w:val="20"/>
                <w:szCs w:val="20"/>
                <w:color w:val="auto"/>
              </w:rPr>
            </w:pPr>
            <w:r>
              <w:rPr>
                <w:rFonts w:ascii="Times New Roman" w:cs="Times New Roman" w:eastAsia="Times New Roman" w:hAnsi="Times New Roman"/>
                <w:sz w:val="16"/>
                <w:szCs w:val="16"/>
                <w:color w:val="auto"/>
                <w:w w:val="97"/>
              </w:rPr>
              <w:t>Denis Phares</w:t>
            </w:r>
          </w:p>
        </w:tc>
        <w:tc>
          <w:tcPr>
            <w:tcW w:w="240" w:type="dxa"/>
            <w:vAlign w:val="bottom"/>
          </w:tcPr>
          <w:p>
            <w:pPr>
              <w:spacing w:after="0"/>
              <w:rPr>
                <w:sz w:val="12"/>
                <w:szCs w:val="12"/>
                <w:color w:val="auto"/>
              </w:rPr>
            </w:pPr>
          </w:p>
        </w:tc>
        <w:tc>
          <w:tcPr>
            <w:tcW w:w="6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6"/>
                <w:szCs w:val="16"/>
                <w:i w:val="1"/>
                <w:iCs w:val="1"/>
                <w:color w:val="auto"/>
                <w:w w:val="96"/>
              </w:rPr>
              <w:t>(Principal Executive Officer)</w:t>
            </w:r>
          </w:p>
        </w:tc>
        <w:tc>
          <w:tcPr>
            <w:tcW w:w="1680" w:type="dxa"/>
            <w:vAlign w:val="bottom"/>
          </w:tcPr>
          <w:p>
            <w:pPr>
              <w:spacing w:after="0"/>
              <w:rPr>
                <w:sz w:val="12"/>
                <w:szCs w:val="12"/>
                <w:color w:val="auto"/>
              </w:rPr>
            </w:pPr>
          </w:p>
        </w:tc>
      </w:tr>
      <w:tr>
        <w:trPr>
          <w:trHeight w:val="205"/>
        </w:trPr>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i w:val="1"/>
                <w:iCs w:val="1"/>
                <w:color w:val="auto"/>
                <w:w w:val="97"/>
              </w:rPr>
              <w:t>(Principal Financial and Accounting Officer)</w:t>
            </w:r>
          </w:p>
        </w:tc>
        <w:tc>
          <w:tcPr>
            <w:tcW w:w="1680" w:type="dxa"/>
            <w:vAlign w:val="bottom"/>
          </w:tcPr>
          <w:p>
            <w:pPr>
              <w:spacing w:after="0"/>
              <w:rPr>
                <w:sz w:val="17"/>
                <w:szCs w:val="17"/>
                <w:color w:val="auto"/>
              </w:rPr>
            </w:pPr>
          </w:p>
        </w:tc>
      </w:tr>
      <w:tr>
        <w:trPr>
          <w:trHeight w:val="37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/s/ Luisa Ingargiola</w:t>
            </w:r>
          </w:p>
        </w:tc>
        <w:tc>
          <w:tcPr>
            <w:tcW w:w="240" w:type="dxa"/>
            <w:vAlign w:val="bottom"/>
          </w:tcPr>
          <w:p>
            <w:pPr>
              <w:spacing w:after="0"/>
              <w:rPr>
                <w:sz w:val="24"/>
                <w:szCs w:val="24"/>
                <w:color w:val="auto"/>
              </w:rPr>
            </w:pPr>
          </w:p>
        </w:tc>
        <w:tc>
          <w:tcPr>
            <w:tcW w:w="6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4, 2025</w:t>
            </w:r>
          </w:p>
        </w:tc>
      </w:tr>
      <w:tr>
        <w:trPr>
          <w:trHeight w:val="195"/>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Luisa Ingargiola</w:t>
            </w:r>
          </w:p>
        </w:tc>
        <w:tc>
          <w:tcPr>
            <w:tcW w:w="24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57"/>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/s/ Brian Nelson</w:t>
            </w:r>
          </w:p>
        </w:tc>
        <w:tc>
          <w:tcPr>
            <w:tcW w:w="240" w:type="dxa"/>
            <w:vAlign w:val="bottom"/>
          </w:tcPr>
          <w:p>
            <w:pPr>
              <w:spacing w:after="0"/>
              <w:rPr>
                <w:sz w:val="24"/>
                <w:szCs w:val="24"/>
                <w:color w:val="auto"/>
              </w:rPr>
            </w:pPr>
          </w:p>
        </w:tc>
        <w:tc>
          <w:tcPr>
            <w:tcW w:w="6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4, 2025</w:t>
            </w:r>
          </w:p>
        </w:tc>
      </w:tr>
      <w:tr>
        <w:trPr>
          <w:trHeight w:val="195"/>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Brian Nelson</w:t>
            </w:r>
          </w:p>
        </w:tc>
        <w:tc>
          <w:tcPr>
            <w:tcW w:w="24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57"/>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/s/ Perry Boyle</w:t>
            </w:r>
          </w:p>
        </w:tc>
        <w:tc>
          <w:tcPr>
            <w:tcW w:w="240" w:type="dxa"/>
            <w:vAlign w:val="bottom"/>
          </w:tcPr>
          <w:p>
            <w:pPr>
              <w:spacing w:after="0"/>
              <w:rPr>
                <w:sz w:val="24"/>
                <w:szCs w:val="24"/>
                <w:color w:val="auto"/>
              </w:rPr>
            </w:pPr>
          </w:p>
        </w:tc>
        <w:tc>
          <w:tcPr>
            <w:tcW w:w="6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4, 2025</w:t>
            </w:r>
          </w:p>
        </w:tc>
      </w:tr>
      <w:tr>
        <w:trPr>
          <w:trHeight w:val="195"/>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Perry Boyle</w:t>
            </w:r>
          </w:p>
        </w:tc>
        <w:tc>
          <w:tcPr>
            <w:tcW w:w="24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57"/>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/s/ Jonathon Bellows</w:t>
            </w:r>
          </w:p>
        </w:tc>
        <w:tc>
          <w:tcPr>
            <w:tcW w:w="240" w:type="dxa"/>
            <w:vAlign w:val="bottom"/>
          </w:tcPr>
          <w:p>
            <w:pPr>
              <w:spacing w:after="0"/>
              <w:rPr>
                <w:sz w:val="24"/>
                <w:szCs w:val="24"/>
                <w:color w:val="auto"/>
              </w:rPr>
            </w:pPr>
          </w:p>
        </w:tc>
        <w:tc>
          <w:tcPr>
            <w:tcW w:w="6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4, 2025</w:t>
            </w:r>
          </w:p>
        </w:tc>
      </w:tr>
      <w:tr>
        <w:trPr>
          <w:trHeight w:val="195"/>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Jonathan Bellows</w:t>
            </w:r>
          </w:p>
        </w:tc>
        <w:tc>
          <w:tcPr>
            <w:tcW w:w="24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57"/>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/s/ Rick Parod</w:t>
            </w:r>
          </w:p>
        </w:tc>
        <w:tc>
          <w:tcPr>
            <w:tcW w:w="240" w:type="dxa"/>
            <w:vAlign w:val="bottom"/>
          </w:tcPr>
          <w:p>
            <w:pPr>
              <w:spacing w:after="0"/>
              <w:rPr>
                <w:sz w:val="24"/>
                <w:szCs w:val="24"/>
                <w:color w:val="auto"/>
              </w:rPr>
            </w:pPr>
          </w:p>
        </w:tc>
        <w:tc>
          <w:tcPr>
            <w:tcW w:w="6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4, 2025</w:t>
            </w:r>
          </w:p>
        </w:tc>
      </w:tr>
      <w:tr>
        <w:trPr>
          <w:trHeight w:val="195"/>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Rick Parod</w:t>
            </w:r>
          </w:p>
        </w:tc>
        <w:tc>
          <w:tcPr>
            <w:tcW w:w="24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46"/>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 xml:space="preserve">/s/ </w:t>
            </w:r>
            <w:r>
              <w:rPr>
                <w:rFonts w:ascii="Times New Roman" w:cs="Times New Roman" w:eastAsia="Times New Roman" w:hAnsi="Times New Roman"/>
                <w:sz w:val="16"/>
                <w:szCs w:val="16"/>
                <w:i w:val="1"/>
                <w:iCs w:val="1"/>
                <w:color w:val="auto"/>
                <w:w w:val="97"/>
              </w:rPr>
              <w:t>Karina Montilla Edmonds</w:t>
            </w:r>
          </w:p>
        </w:tc>
        <w:tc>
          <w:tcPr>
            <w:tcW w:w="240" w:type="dxa"/>
            <w:vAlign w:val="bottom"/>
          </w:tcPr>
          <w:p>
            <w:pPr>
              <w:spacing w:after="0"/>
              <w:rPr>
                <w:sz w:val="24"/>
                <w:szCs w:val="24"/>
                <w:color w:val="auto"/>
              </w:rPr>
            </w:pPr>
          </w:p>
        </w:tc>
        <w:tc>
          <w:tcPr>
            <w:tcW w:w="6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4, 2025</w:t>
            </w:r>
          </w:p>
        </w:tc>
      </w:tr>
      <w:tr>
        <w:trPr>
          <w:trHeight w:val="195"/>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Karina Montilla Edmonds</w:t>
            </w:r>
          </w:p>
        </w:tc>
        <w:tc>
          <w:tcPr>
            <w:tcW w:w="24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57"/>
        </w:trPr>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2"/>
          </w:tcPr>
          <w:p>
            <w:pPr>
              <w:ind w:left="2400"/>
              <w:spacing w:after="0"/>
              <w:rPr>
                <w:sz w:val="20"/>
                <w:szCs w:val="20"/>
                <w:color w:val="auto"/>
              </w:rPr>
            </w:pPr>
            <w:r>
              <w:rPr>
                <w:rFonts w:ascii="Times New Roman" w:cs="Times New Roman" w:eastAsia="Times New Roman" w:hAnsi="Times New Roman"/>
                <w:sz w:val="16"/>
                <w:szCs w:val="16"/>
                <w:color w:val="auto"/>
              </w:rPr>
              <w:t>II-12</w:t>
            </w: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11" w:right="31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April 4, 2025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of Directors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Dragonfly Energy Holdings Corp.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12915 Old Virginia Road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Reno, NV 89521</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Re: Dragonfly Energy Holdings Corp. – Registration Statement on Form S-1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87" w:lineRule="exact"/>
        <w:rPr>
          <w:sz w:val="20"/>
          <w:szCs w:val="20"/>
          <w:color w:val="auto"/>
        </w:rPr>
      </w:pPr>
    </w:p>
    <w:p>
      <w:pPr>
        <w:jc w:val="both"/>
        <w:ind w:firstLine="560"/>
        <w:spacing w:after="0" w:line="257" w:lineRule="auto"/>
        <w:rPr>
          <w:sz w:val="20"/>
          <w:szCs w:val="20"/>
          <w:color w:val="auto"/>
        </w:rPr>
      </w:pPr>
      <w:r>
        <w:rPr>
          <w:rFonts w:ascii="Times New Roman" w:cs="Times New Roman" w:eastAsia="Times New Roman" w:hAnsi="Times New Roman"/>
          <w:sz w:val="16"/>
          <w:szCs w:val="16"/>
          <w:color w:val="auto"/>
        </w:rPr>
        <w:t>We have acted as special Nevada counsel to Dragonfly Energy Holdings Corp., a Nevada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in connection with the Registration Statement on Form S-1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initially filed on April 4, 2025 by the Company with the Securities and Exchange Commission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and the related prospectus contained in the Registration Statement (the “</w:t>
      </w:r>
      <w:r>
        <w:rPr>
          <w:rFonts w:ascii="Times New Roman" w:cs="Times New Roman" w:eastAsia="Times New Roman" w:hAnsi="Times New Roman"/>
          <w:sz w:val="16"/>
          <w:szCs w:val="16"/>
          <w:b w:val="1"/>
          <w:bCs w:val="1"/>
          <w:color w:val="auto"/>
        </w:rPr>
        <w:t>Prospectus</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ind w:firstLine="560"/>
        <w:spacing w:after="0" w:line="245" w:lineRule="auto"/>
        <w:rPr>
          <w:sz w:val="20"/>
          <w:szCs w:val="20"/>
          <w:color w:val="auto"/>
        </w:rPr>
      </w:pPr>
      <w:r>
        <w:rPr>
          <w:rFonts w:ascii="Times New Roman" w:cs="Times New Roman" w:eastAsia="Times New Roman" w:hAnsi="Times New Roman"/>
          <w:sz w:val="16"/>
          <w:szCs w:val="16"/>
          <w:color w:val="auto"/>
        </w:rPr>
        <w:t>We are rendering this opinion letter in connection with the Registration Statement relating to the offer and resale by certain selling stockholder named in the Registration Statement or its permitted transferees (the “</w:t>
      </w:r>
      <w:r>
        <w:rPr>
          <w:rFonts w:ascii="Times New Roman" w:cs="Times New Roman" w:eastAsia="Times New Roman" w:hAnsi="Times New Roman"/>
          <w:sz w:val="16"/>
          <w:szCs w:val="16"/>
          <w:b w:val="1"/>
          <w:bCs w:val="1"/>
          <w:color w:val="auto"/>
        </w:rPr>
        <w:t>Selling Stockholder</w:t>
      </w:r>
      <w:r>
        <w:rPr>
          <w:rFonts w:ascii="Times New Roman" w:cs="Times New Roman" w:eastAsia="Times New Roman" w:hAnsi="Times New Roman"/>
          <w:sz w:val="16"/>
          <w:szCs w:val="16"/>
          <w:color w:val="auto"/>
        </w:rPr>
        <w:t>”) of up to 36,901,132 shares of common stock, par value $0.0001 per share, of the Company (the “</w:t>
      </w:r>
      <w:r>
        <w:rPr>
          <w:rFonts w:ascii="Times New Roman" w:cs="Times New Roman" w:eastAsia="Times New Roman" w:hAnsi="Times New Roman"/>
          <w:sz w:val="16"/>
          <w:szCs w:val="16"/>
          <w:b w:val="1"/>
          <w:bCs w:val="1"/>
          <w:color w:val="auto"/>
        </w:rPr>
        <w:t>Common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Stock</w:t>
      </w:r>
      <w:r>
        <w:rPr>
          <w:rFonts w:ascii="Times New Roman" w:cs="Times New Roman" w:eastAsia="Times New Roman" w:hAnsi="Times New Roman"/>
          <w:sz w:val="16"/>
          <w:szCs w:val="16"/>
          <w:color w:val="auto"/>
        </w:rPr>
        <w:t>”), issuable to the Selling Stockholder pursuant to the terms of a Securities Purchase Agreement by and between the Company and Buyer, dated as of February 26, 2025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Purchase Agreement</w:t>
      </w:r>
      <w:r>
        <w:rPr>
          <w:rFonts w:ascii="Times New Roman" w:cs="Times New Roman" w:eastAsia="Times New Roman" w:hAnsi="Times New Roman"/>
          <w:sz w:val="16"/>
          <w:szCs w:val="16"/>
          <w:color w:val="auto"/>
        </w:rPr>
        <w:t>”) and in accordance with the terms of the Certificate of Designation of Rights and Preferences of Series A Convertible Preferred Stock (the “</w:t>
      </w:r>
      <w:r>
        <w:rPr>
          <w:rFonts w:ascii="Times New Roman" w:cs="Times New Roman" w:eastAsia="Times New Roman" w:hAnsi="Times New Roman"/>
          <w:sz w:val="16"/>
          <w:szCs w:val="16"/>
          <w:b w:val="1"/>
          <w:bCs w:val="1"/>
          <w:color w:val="auto"/>
        </w:rPr>
        <w:t>COD</w:t>
      </w:r>
      <w:r>
        <w:rPr>
          <w:rFonts w:ascii="Times New Roman" w:cs="Times New Roman" w:eastAsia="Times New Roman" w:hAnsi="Times New Roman"/>
          <w:sz w:val="16"/>
          <w:szCs w:val="16"/>
          <w:color w:val="auto"/>
        </w:rPr>
        <w:t>”), consisting of: (1) up to 4,811,321 shares of common stock issuable upon the conversion of Series A Preferred Stock issued to the Selling Stockholder on February 27, 2025 in the first closing of the private placement, based on the floor price of $0.424 (the “</w:t>
      </w:r>
      <w:r>
        <w:rPr>
          <w:rFonts w:ascii="Times New Roman" w:cs="Times New Roman" w:eastAsia="Times New Roman" w:hAnsi="Times New Roman"/>
          <w:sz w:val="16"/>
          <w:szCs w:val="16"/>
          <w:b w:val="1"/>
          <w:bCs w:val="1"/>
          <w:color w:val="auto"/>
        </w:rPr>
        <w:t>First Closing Shares</w:t>
      </w:r>
      <w:r>
        <w:rPr>
          <w:rFonts w:ascii="Times New Roman" w:cs="Times New Roman" w:eastAsia="Times New Roman" w:hAnsi="Times New Roman"/>
          <w:sz w:val="16"/>
          <w:szCs w:val="16"/>
          <w:color w:val="auto"/>
        </w:rPr>
        <w:t>”); (2) up to 27,000,000 shares of common stock issuable upon the conversion of our Series A Preferred Stock to be issued to the Selling Stockholder in the second closing of the private placement that will occur automatically upon receipt of such approval as may be required from the stockholders of the Company pursuant to the rules of Nasdaq and the effectiveness of the Registration Statement of which the Prospectus forms a part, based on an assumed floor price of $0.20 (the “</w:t>
      </w:r>
      <w:r>
        <w:rPr>
          <w:rFonts w:ascii="Times New Roman" w:cs="Times New Roman" w:eastAsia="Times New Roman" w:hAnsi="Times New Roman"/>
          <w:sz w:val="16"/>
          <w:szCs w:val="16"/>
          <w:b w:val="1"/>
          <w:bCs w:val="1"/>
          <w:color w:val="auto"/>
        </w:rPr>
        <w:t>Second Closing Shares</w:t>
      </w:r>
      <w:r>
        <w:rPr>
          <w:rFonts w:ascii="Times New Roman" w:cs="Times New Roman" w:eastAsia="Times New Roman" w:hAnsi="Times New Roman"/>
          <w:sz w:val="16"/>
          <w:szCs w:val="16"/>
          <w:color w:val="auto"/>
        </w:rPr>
        <w:t>”); and (3) up to 5,089,811 shares of common stock potentially issuable upon conversion of additional shares of Series A Preferred Stock to be issued as PIK Dividends on the Series A Preferred Stock issued or to be issued in private placement, assuming that such cash dividends are not paid in cash per the terms of the Series A Preferred Stock (the “</w:t>
      </w:r>
      <w:r>
        <w:rPr>
          <w:rFonts w:ascii="Times New Roman" w:cs="Times New Roman" w:eastAsia="Times New Roman" w:hAnsi="Times New Roman"/>
          <w:sz w:val="16"/>
          <w:szCs w:val="16"/>
          <w:b w:val="1"/>
          <w:bCs w:val="1"/>
          <w:color w:val="auto"/>
        </w:rPr>
        <w:t>PIK Dividends Shares</w:t>
      </w:r>
      <w:r>
        <w:rPr>
          <w:rFonts w:ascii="Times New Roman" w:cs="Times New Roman" w:eastAsia="Times New Roman" w:hAnsi="Times New Roman"/>
          <w:sz w:val="16"/>
          <w:szCs w:val="16"/>
          <w:color w:val="auto"/>
        </w:rPr>
        <w:t>”) (collectively, the First Closing Shares, Second Closing Shares, and PIK Dividends Shares shall be referred to herein as the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715073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168" w:name="page169"/>
    <w:bookmarkEnd w:id="168"/>
    <w:p>
      <w:pPr>
        <w:jc w:val="both"/>
        <w:ind w:firstLine="560"/>
        <w:spacing w:after="0" w:line="288" w:lineRule="auto"/>
        <w:rPr>
          <w:sz w:val="20"/>
          <w:szCs w:val="20"/>
          <w:color w:val="auto"/>
        </w:rPr>
      </w:pPr>
      <w:r>
        <w:rPr>
          <w:rFonts w:ascii="Times New Roman" w:cs="Times New Roman" w:eastAsia="Times New Roman" w:hAnsi="Times New Roman"/>
          <w:sz w:val="14"/>
          <w:szCs w:val="14"/>
          <w:color w:val="auto"/>
        </w:rPr>
        <w:t>As counsel to the Company, we have examined such matters of fact and questions of law as we have considered appropriate for purposes of rendering this opinion letter. With your consent, we have relied upon certificates and other assurances of officers of the Company and others as to factual matters without having independently verified such factual matters. In rendering this opinion letter, we have assumed that the issuance of the Shares will not exceed the number of authorized shares and that the Company will take such actions as required by the Securities Purchase Agreement, subject at all times to restrictions to conversion, including but not limited to obtaining Stockholder Approval (as defined in the Securities Purchase Agreement). We have assumed that, prior to conversion of the Series A Preferred Stock into First Closing Shares, Second Closing Shares, and PIK Dividends Shares, shares of Common Stock sufficient to meet the Company’s obligations to issue such shares have been and will remain reserved for issuance upon conversion.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328"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We have assumed that the investments described in the Securities Purchase Agreement will not violate or constitute a default or breach under (a) any agreement or instrument to which the Company is subject, (b) any law, rule or regulation to which the Company is subject other than the NRS, (c) any judicial or regulatory order or decree of any governmental authority, or (d) any consent, approval, license, authorization or validation of, or filing, recording or registration with any governmental authority.</w:t>
      </w:r>
    </w:p>
    <w:p>
      <w:pPr>
        <w:spacing w:after="0" w:line="160"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In connection with this opinion letter, we have relied on oral or written statements and representations and warranties of officers or other representatives of the Company and others.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spacing w:after="0" w:line="164" w:lineRule="exact"/>
        <w:rPr>
          <w:sz w:val="20"/>
          <w:szCs w:val="20"/>
          <w:color w:val="auto"/>
        </w:rPr>
      </w:pPr>
    </w:p>
    <w:p>
      <w:pPr>
        <w:jc w:val="both"/>
        <w:ind w:firstLine="560"/>
        <w:spacing w:after="0" w:line="246" w:lineRule="auto"/>
        <w:rPr>
          <w:sz w:val="20"/>
          <w:szCs w:val="20"/>
          <w:color w:val="auto"/>
        </w:rPr>
      </w:pPr>
      <w:r>
        <w:rPr>
          <w:rFonts w:ascii="Times New Roman" w:cs="Times New Roman" w:eastAsia="Times New Roman" w:hAnsi="Times New Roman"/>
          <w:sz w:val="16"/>
          <w:szCs w:val="16"/>
          <w:color w:val="auto"/>
        </w:rPr>
        <w:t>In our examination of the foregoing, we have assumed, without independent investigation or verification: (i) the genuineness of all signatures on all agreements, instruments and other documents submitted to us; (ii) the legal capacity and authority of all persons or entities executing all agreements, instruments and other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authentic originals thereof, and that such originals are authentic and complete; (v) the due authorization, execution and delivery of all instruments, agreements, and other documents by the parties thereto; (vi) that the statements contained in the certificates and comparable documents of public officials, officers and representatives of the Company and other persons on which we have relied for the purposes of this letter are true and correct; and (vii) that the officers and directors of the Company have properly exercised their fiduciary duties. We have assumed that the issuance and sale of the Shares by the Company will not, in each case, violate or constitute a default or breach under (A) any agreement or instrument to which the Company is subject, (B) any law, rule or regulation to which the Company is subject, (C) any judicial or regulatory order or decree of any governmental authority, or (D) any consent, approval, license, authorization or validation of, or filing, recording or registration with any governmental authority.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169" w:name="page170"/>
    <w:bookmarkEnd w:id="169"/>
    <w:p>
      <w:pPr>
        <w:jc w:val="both"/>
        <w:ind w:firstLine="560"/>
        <w:spacing w:after="0" w:line="247" w:lineRule="auto"/>
        <w:rPr>
          <w:sz w:val="20"/>
          <w:szCs w:val="20"/>
          <w:color w:val="auto"/>
        </w:rPr>
      </w:pPr>
      <w:r>
        <w:rPr>
          <w:rFonts w:ascii="Times New Roman" w:cs="Times New Roman" w:eastAsia="Times New Roman" w:hAnsi="Times New Roman"/>
          <w:sz w:val="16"/>
          <w:szCs w:val="16"/>
          <w:color w:val="auto"/>
        </w:rPr>
        <w:t>We have further assumed that: (i) the Registration Statement and any amendments thereto will have become effective under the Securities Act and comply with all applicable laws at the time the Shares are offered or issued as contemplated by the Registration Statement; (ii) all Shares will be issued and sold in compliance with the applicable provisions of the Securities Act and the securities laws of various states and in the manner stated in the Registration Statement and any applicable prospectus supplement; (iii) there has not occurred any change in law or further action by the Company’s board of directors, in any case affecting the validity of such Shares or enforceability of the Securities Purchase Agreement; and (iv) the number of shares of Common Stock offered pursuant to the Registration Statement does not exceed, at the time of issuance, the authorized but unissued shares of Common Stock. We have also assumed that neither the issuance, sale and delivery of such Shares nor the compliance by the Company with the terms of the Securities Purchase Agreement will violate any applicable law or public policy or result in a violation of any provision of any instrument or agreement then binding upon the Company or any restriction imposed by any court or governmental body having jurisdiction over the Company.</w:t>
      </w:r>
    </w:p>
    <w:p>
      <w:pPr>
        <w:spacing w:after="0" w:line="166" w:lineRule="exact"/>
        <w:rPr>
          <w:sz w:val="20"/>
          <w:szCs w:val="20"/>
          <w:color w:val="auto"/>
        </w:rPr>
      </w:pPr>
    </w:p>
    <w:p>
      <w:pPr>
        <w:jc w:val="both"/>
        <w:ind w:right="20" w:firstLine="560"/>
        <w:spacing w:after="0" w:line="255" w:lineRule="auto"/>
        <w:rPr>
          <w:sz w:val="20"/>
          <w:szCs w:val="20"/>
          <w:color w:val="auto"/>
        </w:rPr>
      </w:pPr>
      <w:r>
        <w:rPr>
          <w:rFonts w:ascii="Times New Roman" w:cs="Times New Roman" w:eastAsia="Times New Roman" w:hAnsi="Times New Roman"/>
          <w:sz w:val="16"/>
          <w:szCs w:val="16"/>
          <w:color w:val="auto"/>
        </w:rPr>
        <w:t>No opinion is expressed herein as to any matter pertaining to the contents of the Registration Statement and the related Prospectus, securities laws and regulations administered by the SEC, state “Blue Sky” laws and regulations, laws and regulations relating to commodity (and other) futures and indices and other similar instruments, banking and lending laws and regulations, compliance with fiduciary duty requirements, lien or security interest laws, and tax laws and regulations.</w:t>
      </w:r>
    </w:p>
    <w:p>
      <w:pPr>
        <w:spacing w:after="0" w:line="160"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Subject to the foregoing and the other matters set forth herein, as of the date hereof, we are of the opinion that the Shares have been duly authorized for issuance by the Company and, when the Series A Preferred Stock are converted into the Shares in accordance with the terms the Securities Purchase Agreement and COD, and in the manner described in the Registration Statement, the Shares will be validly issued, fully paid and non-assessable.</w:t>
      </w:r>
    </w:p>
    <w:p>
      <w:pPr>
        <w:spacing w:after="0" w:line="160"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This opinion letter is given as of the date hereof. We assume no obligation to advise you of changes that may hereafter be brought to our attention. This opinion letter is for your benefit in connection with the Registration Statement and may be relied upon by you and by persons entitled to rely upon it pursuant to the applicable provisions of the Securities Act. We consent to your filing this opinion letter as an exhibit to the Registration Statement and to the reference to our firm contained in each of the Prospectus under the heading “Legal Matters.” In giving such consent, we do not thereby admit that we are in the category of persons whose consent is required under Section 7 of the Securities Act or the rules and regulations of the SEC thereunder.</w:t>
      </w:r>
    </w:p>
    <w:p>
      <w:pPr>
        <w:spacing w:after="0" w:line="1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PARSONS BEHLE &amp; LATIMER</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PARSONS BEHLE &amp; LATIMER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5073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Independent Registered Public Accounting Firm’s Consent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consent to the use in this Registration Statement on Form S-1 of our report dated March 31, 2025 relating to the financial statements of Dragonfly Energy Holdings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appearing in this Registration Statement. We also consent to the reference to us under the heading “Experts” in such Registration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 Marcum </w:t>
      </w:r>
      <w:r>
        <w:rPr>
          <w:rFonts w:ascii="Times New Roman" w:cs="Times New Roman" w:eastAsia="Times New Roman" w:hAnsi="Times New Roman"/>
          <w:sz w:val="10"/>
          <w:szCs w:val="10"/>
          <w:color w:val="auto"/>
        </w:rPr>
        <w:t>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715073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171" w:name="page172"/>
    <w:bookmarkEnd w:id="171"/>
    <w:p>
      <w:pPr>
        <w:ind w:left="10487"/>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44" w:lineRule="exact"/>
        <w:rPr>
          <w:sz w:val="20"/>
          <w:szCs w:val="20"/>
          <w:color w:val="auto"/>
        </w:rPr>
      </w:pPr>
    </w:p>
    <w:tbl>
      <w:tblPr>
        <w:tblLayout w:type="fixed"/>
        <w:tblInd w:w="7" w:type="dxa"/>
        <w:tblCellMar>
          <w:top w:w="0" w:type="dxa"/>
          <w:left w:w="0" w:type="dxa"/>
          <w:bottom w:w="0" w:type="dxa"/>
          <w:right w:w="0" w:type="dxa"/>
        </w:tblCellMar>
      </w:tblPr>
      <w:tr>
        <w:trPr>
          <w:trHeight w:val="205"/>
        </w:trPr>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gridSpan w:val="7"/>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6"/>
              </w:rPr>
              <w:t>Calculation of Filing Fee Tables</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6"/>
              </w:rPr>
              <w:t>Form S-1</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w w:val="94"/>
              </w:rPr>
              <w:t>(Form Type)</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gridSpan w:val="7"/>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7"/>
              </w:rPr>
              <w:t>Dragonfly Energy Holdings Corp.</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80" w:type="dxa"/>
            <w:vAlign w:val="bottom"/>
            <w:gridSpan w:val="8"/>
          </w:tcPr>
          <w:p>
            <w:pPr>
              <w:jc w:val="center"/>
              <w:ind w:right="320"/>
              <w:spacing w:after="0"/>
              <w:rPr>
                <w:sz w:val="20"/>
                <w:szCs w:val="20"/>
                <w:color w:val="auto"/>
              </w:rPr>
            </w:pPr>
            <w:r>
              <w:rPr>
                <w:rFonts w:ascii="Times New Roman" w:cs="Times New Roman" w:eastAsia="Times New Roman" w:hAnsi="Times New Roman"/>
                <w:sz w:val="16"/>
                <w:szCs w:val="16"/>
                <w:color w:val="auto"/>
                <w:w w:val="97"/>
              </w:rPr>
              <w:t>(Exact Name of Registrant as Specified in its Charter)</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7"/>
              </w:rPr>
              <w:t>Proposed</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7"/>
              </w:rPr>
              <w:t>Fee Calculation</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8"/>
              </w:rPr>
              <w:t>Maximum</w:t>
            </w: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5"/>
              </w:rPr>
              <w:t>Maximum</w:t>
            </w: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or</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7"/>
              </w:rPr>
              <w:t>Offering</w:t>
            </w: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5"/>
              </w:rPr>
              <w:t>Aggregate</w:t>
            </w: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Amount of</w:t>
            </w:r>
          </w:p>
        </w:tc>
        <w:tc>
          <w:tcPr>
            <w:tcW w:w="0" w:type="dxa"/>
            <w:vAlign w:val="bottom"/>
          </w:tcPr>
          <w:p>
            <w:pPr>
              <w:spacing w:after="0"/>
              <w:rPr>
                <w:sz w:val="1"/>
                <w:szCs w:val="1"/>
                <w:color w:val="auto"/>
              </w:rPr>
            </w:pPr>
          </w:p>
        </w:tc>
      </w:tr>
      <w:tr>
        <w:trPr>
          <w:trHeight w:val="187"/>
        </w:trPr>
        <w:tc>
          <w:tcPr>
            <w:tcW w:w="13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Security</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Security Class</w:t>
            </w:r>
          </w:p>
        </w:tc>
        <w:tc>
          <w:tcPr>
            <w:tcW w:w="220" w:type="dxa"/>
            <w:vAlign w:val="bottom"/>
          </w:tcPr>
          <w:p>
            <w:pPr>
              <w:spacing w:after="0"/>
              <w:rPr>
                <w:sz w:val="16"/>
                <w:szCs w:val="16"/>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7"/>
              </w:rPr>
              <w:t>Carry Forward</w:t>
            </w:r>
          </w:p>
        </w:tc>
        <w:tc>
          <w:tcPr>
            <w:tcW w:w="20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Amount</w:t>
            </w: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9"/>
              </w:rPr>
              <w:t>Price Per</w:t>
            </w: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4"/>
              </w:rPr>
              <w:t>Offering</w:t>
            </w: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7"/>
              </w:rPr>
              <w:t>Registration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Type</w:t>
            </w: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Title</w:t>
            </w:r>
          </w:p>
        </w:tc>
        <w:tc>
          <w:tcPr>
            <w:tcW w:w="220" w:type="dxa"/>
            <w:vAlign w:val="bottom"/>
          </w:tcPr>
          <w:p>
            <w:pPr>
              <w:spacing w:after="0"/>
              <w:rPr>
                <w:sz w:val="17"/>
                <w:szCs w:val="17"/>
                <w:color w:val="auto"/>
              </w:rPr>
            </w:pP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Rule</w:t>
            </w:r>
          </w:p>
        </w:tc>
        <w:tc>
          <w:tcPr>
            <w:tcW w:w="200" w:type="dxa"/>
            <w:vAlign w:val="bottom"/>
          </w:tcPr>
          <w:p>
            <w:pPr>
              <w:spacing w:after="0"/>
              <w:rPr>
                <w:sz w:val="17"/>
                <w:szCs w:val="17"/>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4"/>
              </w:rPr>
              <w:t>Registered (1)</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Unit (2)</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Price</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Fee Rate</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5"/>
              </w:rPr>
              <w:t>Fee</w:t>
            </w:r>
          </w:p>
        </w:tc>
        <w:tc>
          <w:tcPr>
            <w:tcW w:w="0" w:type="dxa"/>
            <w:vAlign w:val="bottom"/>
          </w:tcPr>
          <w:p>
            <w:pPr>
              <w:spacing w:after="0"/>
              <w:rPr>
                <w:sz w:val="1"/>
                <w:szCs w:val="1"/>
                <w:color w:val="auto"/>
              </w:rPr>
            </w:pPr>
          </w:p>
        </w:tc>
      </w:tr>
      <w:tr>
        <w:trPr>
          <w:trHeight w:val="162"/>
        </w:trPr>
        <w:tc>
          <w:tcPr>
            <w:tcW w:w="13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2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3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Fees to Be Paid</w:t>
            </w:r>
          </w:p>
        </w:tc>
        <w:tc>
          <w:tcPr>
            <w:tcW w:w="1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5"/>
              </w:rPr>
              <w:t>par value $0.0001</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vMerge w:val="continue"/>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 share</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8"/>
              </w:rPr>
              <w:t>Other</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36,901,132</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0.95</w:t>
            </w:r>
          </w:p>
        </w:tc>
        <w:tc>
          <w:tcPr>
            <w:tcW w:w="13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6"/>
              </w:rPr>
              <w:t>$ 35,056,075.40</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0.00015310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5,367.09</w:t>
            </w:r>
          </w:p>
        </w:tc>
        <w:tc>
          <w:tcPr>
            <w:tcW w:w="0" w:type="dxa"/>
            <w:vAlign w:val="bottom"/>
          </w:tcPr>
          <w:p>
            <w:pPr>
              <w:spacing w:after="0"/>
              <w:rPr>
                <w:sz w:val="1"/>
                <w:szCs w:val="1"/>
                <w:color w:val="auto"/>
              </w:rPr>
            </w:pPr>
          </w:p>
        </w:tc>
      </w:tr>
      <w:tr>
        <w:trPr>
          <w:trHeight w:val="187"/>
        </w:trPr>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color w:val="auto"/>
              </w:rPr>
              <w:t>Total Offering Amounts</w:t>
            </w: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6"/>
              </w:rPr>
              <w:t>$ 35,056,075.40</w:t>
            </w: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5,367.09</w:t>
            </w:r>
          </w:p>
        </w:tc>
        <w:tc>
          <w:tcPr>
            <w:tcW w:w="0" w:type="dxa"/>
            <w:vAlign w:val="bottom"/>
          </w:tcPr>
          <w:p>
            <w:pPr>
              <w:spacing w:after="0"/>
              <w:rPr>
                <w:sz w:val="1"/>
                <w:szCs w:val="1"/>
                <w:color w:val="auto"/>
              </w:rPr>
            </w:pPr>
          </w:p>
        </w:tc>
      </w:tr>
      <w:tr>
        <w:trPr>
          <w:trHeight w:val="187"/>
        </w:trPr>
        <w:tc>
          <w:tcPr>
            <w:tcW w:w="1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Total Fees Previously Paid</w:t>
            </w: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w w:val="95"/>
              </w:rPr>
              <w:t>Total Fee Offsets</w:t>
            </w: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Net Fee Due</w:t>
            </w: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5,367.09</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67" w:right="20" w:hanging="567"/>
        <w:spacing w:after="0" w:line="253" w:lineRule="auto"/>
        <w:tabs>
          <w:tab w:leader="none" w:pos="567"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 under the Securities Act of 1933, as amended (the “Securities Act”), there is also being registered hereby such indeterminate number of additional shares of common stock as may be issued or issuable because of stock splits, stock dividends stock distributions, and similar transactions.</w:t>
      </w:r>
    </w:p>
    <w:p>
      <w:pPr>
        <w:spacing w:after="0" w:line="1" w:lineRule="exact"/>
        <w:rPr>
          <w:rFonts w:ascii="Times New Roman" w:cs="Times New Roman" w:eastAsia="Times New Roman" w:hAnsi="Times New Roman"/>
          <w:sz w:val="16"/>
          <w:szCs w:val="16"/>
          <w:color w:val="auto"/>
        </w:rPr>
      </w:pPr>
    </w:p>
    <w:p>
      <w:pPr>
        <w:ind w:left="567" w:right="20" w:hanging="567"/>
        <w:spacing w:after="0" w:line="247" w:lineRule="auto"/>
        <w:tabs>
          <w:tab w:leader="none" w:pos="567"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pursuant to Rule 457(c) under the Securities Act based on a per share price of $0.95, the average of the high $1.00 and low $0.89 reported sales prices of the registrant’s common stock on the Nasdaq Capital Market on April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715073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sectPr>
      <w:pgSz w:w="11900" w:h="16838" w:orient="portrait"/>
      <w:cols w:equalWidth="0" w:num="1">
        <w:col w:w="11267"/>
      </w:cols>
      <w:pgMar w:left="313" w:top="30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1)"/>
      <w:numFmt w:val="lowerRoman"/>
      <w:start w:val="2"/>
    </w:lvl>
  </w:abstractNum>
  <w:abstractNum w:abstractNumId="27">
    <w:nsid w:val="741226BB"/>
    <w:multiLevelType w:val="hybridMultilevel"/>
    <w:lvl w:ilvl="0">
      <w:lvlJc w:val="left"/>
      <w:lvlText w:val="(%1)"/>
      <w:numFmt w:val="decimal"/>
      <w:start w:val="30"/>
    </w:lvl>
  </w:abstractNum>
  <w:abstractNum w:abstractNumId="28">
    <w:nsid w:val="D34B6A8"/>
    <w:multiLevelType w:val="hybridMultilevel"/>
    <w:lvl w:ilvl="0">
      <w:lvlJc w:val="left"/>
      <w:lvlText w:val="%1."/>
      <w:numFmt w:val="decimal"/>
      <w:start w:val="1"/>
    </w:lvl>
  </w:abstractNum>
  <w:abstractNum w:abstractNumId="29">
    <w:nsid w:val="10233C99"/>
    <w:multiLevelType w:val="hybridMultilevel"/>
    <w:lvl w:ilvl="0">
      <w:lvlJc w:val="left"/>
      <w:lvlText w:val="(%1)"/>
      <w:numFmt w:val="lowerRoman"/>
      <w:start w:val="2"/>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1)"/>
      <w:numFmt w:val="decimal"/>
      <w:start w:val="2"/>
    </w:lvl>
  </w:abstractNum>
  <w:abstractNum w:abstractNumId="32">
    <w:nsid w:val="7E0C57B1"/>
    <w:multiLevelType w:val="hybridMultilevel"/>
    <w:lvl w:ilvl="0">
      <w:lvlJc w:val="left"/>
      <w:lvlText w:val="(%1)"/>
      <w:numFmt w:val="lowerRoman"/>
      <w:start w:val="2"/>
    </w:lvl>
  </w:abstractNum>
  <w:abstractNum w:abstractNumId="33">
    <w:nsid w:val="77AE35EB"/>
    <w:multiLevelType w:val="hybridMultilevel"/>
    <w:lvl w:ilvl="0">
      <w:lvlJc w:val="left"/>
      <w:lvlText w:val="(%1)"/>
      <w:numFmt w:val="lowerRoman"/>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1)"/>
      <w:numFmt w:val="decimal"/>
      <w:start w:val="1"/>
    </w:lvl>
  </w:abstractNum>
  <w:abstractNum w:abstractNumId="53">
    <w:nsid w:val="1EBA5D23"/>
    <w:multiLevelType w:val="hybridMultilevel"/>
    <w:lvl w:ilvl="0">
      <w:lvlJc w:val="left"/>
      <w:lvlText w:val="(%1)"/>
      <w:numFmt w:val="decimal"/>
      <w:start w:val="2"/>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1)"/>
      <w:numFmt w:val="decimal"/>
      <w:start w:val="1"/>
    </w:lvl>
  </w:abstractNum>
  <w:abstractNum w:abstractNumId="61">
    <w:nsid w:val="11447B73"/>
    <w:multiLevelType w:val="hybridMultilevel"/>
    <w:lvl w:ilvl="0">
      <w:lvlJc w:val="left"/>
      <w:lvlText w:val="(%1)"/>
      <w:numFmt w:val="decimal"/>
      <w:start w:val="2"/>
    </w:lvl>
  </w:abstractNum>
  <w:abstractNum w:abstractNumId="62">
    <w:nsid w:val="42963E5A"/>
    <w:multiLevelType w:val="hybridMultilevel"/>
    <w:lvl w:ilvl="0">
      <w:lvlJc w:val="left"/>
      <w:lvlText w:val="(%1)"/>
      <w:numFmt w:val="decimal"/>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1)"/>
      <w:numFmt w:val="lowerLetter"/>
      <w:start w:val="1"/>
    </w:lvl>
  </w:abstractNum>
  <w:abstractNum w:abstractNumId="66">
    <w:nsid w:val="3B0FD379"/>
    <w:multiLevelType w:val="hybridMultilevel"/>
    <w:lvl w:ilvl="0">
      <w:lvlJc w:val="left"/>
      <w:lvlText w:val="(%1)"/>
      <w:numFmt w:val="decimal"/>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1)"/>
      <w:numFmt w:val="decimal"/>
      <w:start w:val="1"/>
    </w:lvl>
  </w:abstractNum>
  <w:abstractNum w:abstractNumId="76">
    <w:nsid w:val="7FB7E0AA"/>
    <w:multiLevelType w:val="hybridMultilevel"/>
    <w:lvl w:ilvl="0">
      <w:lvlJc w:val="left"/>
      <w:lvlText w:val="(%1)"/>
      <w:numFmt w:val="lowerRoman"/>
      <w:start w:val="2"/>
    </w:lvl>
  </w:abstractNum>
  <w:abstractNum w:abstractNumId="77">
    <w:nsid w:val="6EB5BD4"/>
    <w:multiLevelType w:val="hybridMultilevel"/>
    <w:lvl w:ilvl="0">
      <w:lvlJc w:val="left"/>
      <w:lvlText w:val="(%1)"/>
      <w:numFmt w:val="lowerRoman"/>
      <w:start w:val="2"/>
    </w:lvl>
  </w:abstractNum>
  <w:abstractNum w:abstractNumId="78">
    <w:nsid w:val="6F6DD9AC"/>
    <w:multiLevelType w:val="hybridMultilevel"/>
    <w:lvl w:ilvl="0">
      <w:lvlJc w:val="left"/>
      <w:lvlText w:val="(%1)"/>
      <w:numFmt w:val="decimal"/>
      <w:start w:val="180"/>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1)"/>
      <w:numFmt w:val="decimal"/>
      <w:start w:val="1"/>
    </w:lvl>
  </w:abstractNum>
  <w:abstractNum w:abstractNumId="86">
    <w:nsid w:val="74DE0EE3"/>
    <w:multiLevelType w:val="hybridMultilevel"/>
    <w:lvl w:ilvl="0">
      <w:lvlJc w:val="left"/>
      <w:lvlText w:val="(%1)"/>
      <w:numFmt w:val="lowerLetter"/>
      <w:start w:val="1"/>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1)"/>
      <w:numFmt w:val="decimal"/>
      <w:start w:val="1"/>
    </w:lvl>
    <w:lvl w:ilvl="1">
      <w:lvlJc w:val="left"/>
      <w:lvlText w:val="(%2)"/>
      <w:numFmt w:val="lowerRoman"/>
      <w:start w:val="1"/>
    </w:lvl>
  </w:abstractNum>
  <w:abstractNum w:abstractNumId="89">
    <w:nsid w:val="46B7D447"/>
    <w:multiLevelType w:val="hybridMultilevel"/>
    <w:lvl w:ilvl="0">
      <w:lvlJc w:val="left"/>
      <w:lvlText w:val="(%1)"/>
      <w:numFmt w:val="lowerRoman"/>
      <w:start w:val="2"/>
    </w:lvl>
  </w:abstractNum>
  <w:abstractNum w:abstractNumId="90">
    <w:nsid w:val="4A2AC315"/>
    <w:multiLevelType w:val="hybridMultilevel"/>
    <w:lvl w:ilvl="0">
      <w:lvlJc w:val="left"/>
      <w:lvlText w:val="(%1)"/>
      <w:numFmt w:val="decimal"/>
      <w:start w:val="2"/>
    </w:lvl>
    <w:lvl w:ilvl="1">
      <w:lvlJc w:val="left"/>
      <w:lvlText w:val="(%2)"/>
      <w:numFmt w:val="lowerRoman"/>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71" Type="http://schemas.openxmlformats.org/officeDocument/2006/relationships/image" Target="media/image237.png"/><Relationship Id="rId292" Type="http://schemas.openxmlformats.org/officeDocument/2006/relationships/image" Target="media/image238.png"/><Relationship Id="rId309" Type="http://schemas.openxmlformats.org/officeDocument/2006/relationships/image" Target="media/image239.png"/><Relationship Id="rId323" Type="http://schemas.openxmlformats.org/officeDocument/2006/relationships/image" Target="media/image240.png"/><Relationship Id="rId330" Type="http://schemas.openxmlformats.org/officeDocument/2006/relationships/image" Target="media/image241.png"/><Relationship Id="rId331" Type="http://schemas.openxmlformats.org/officeDocument/2006/relationships/image" Target="media/image242.png"/><Relationship Id="rId332" Type="http://schemas.openxmlformats.org/officeDocument/2006/relationships/image" Target="media/image243.png"/><Relationship Id="rId333" Type="http://schemas.openxmlformats.org/officeDocument/2006/relationships/image" Target="media/image244.png"/><Relationship Id="rId334" Type="http://schemas.openxmlformats.org/officeDocument/2006/relationships/image" Target="media/image245.png"/><Relationship Id="rId335" Type="http://schemas.openxmlformats.org/officeDocument/2006/relationships/image" Target="media/image246.png"/><Relationship Id="rId336" Type="http://schemas.openxmlformats.org/officeDocument/2006/relationships/image" Target="media/image247.png"/><Relationship Id="rId244" Type="http://schemas.openxmlformats.org/officeDocument/2006/relationships/hyperlink" Target="https://www.sec.gov/Archives/edgar/data/1847986/000110465922081684/cntq-20210630xs4.htm#AnnexA_168524" TargetMode="External"/><Relationship Id="rId245" Type="http://schemas.openxmlformats.org/officeDocument/2006/relationships/hyperlink" Target="https://www.sec.gov/Archives/edgar/data/1847986/000110465922081684/cntq-20210630xex2d1a.htm" TargetMode="External"/><Relationship Id="rId246" Type="http://schemas.openxmlformats.org/officeDocument/2006/relationships/hyperlink" Target="https://www.sec.gov/Archives/edgar/data/1847986/000149315223010262/ex2-1.htm" TargetMode="External"/><Relationship Id="rId247" Type="http://schemas.openxmlformats.org/officeDocument/2006/relationships/hyperlink" Target="https://www.sec.gov/Archives/edgar/data/1847986/000149315223010262/ex3-1.htm" TargetMode="External"/><Relationship Id="rId248" Type="http://schemas.openxmlformats.org/officeDocument/2006/relationships/hyperlink" Target="https://www.sec.gov/Archives/edgar/data/1847986/000149315223043109/ex3-1.htm" TargetMode="External"/><Relationship Id="rId249" Type="http://schemas.openxmlformats.org/officeDocument/2006/relationships/hyperlink" Target="https://www.sec.gov/Archives/edgar/data/1847986/000149315224047295/ex3-1.htm" TargetMode="External"/><Relationship Id="rId250" Type="http://schemas.openxmlformats.org/officeDocument/2006/relationships/hyperlink" Target="https://www.sec.gov/Archives/edgar/data/1847986/000149315223010262/ex3-2.htm" TargetMode="External"/><Relationship Id="rId251" Type="http://schemas.openxmlformats.org/officeDocument/2006/relationships/hyperlink" Target="https://www.sec.gov/Archives/edgar/data/1847986/000149315225008445/ex3-1.htm" TargetMode="External"/><Relationship Id="rId252" Type="http://schemas.openxmlformats.org/officeDocument/2006/relationships/hyperlink" Target="https://www.sec.gov/Archives/edgar/data/1847986/000110465922107212/tm2222125d3_ex4-1.htm" TargetMode="External"/><Relationship Id="rId253" Type="http://schemas.openxmlformats.org/officeDocument/2006/relationships/hyperlink" Target="https://www.sec.gov/Archives/edgar/data/1847986/000110465922107212/tm2222125d3_ex4-2.htm" TargetMode="External"/><Relationship Id="rId254" Type="http://schemas.openxmlformats.org/officeDocument/2006/relationships/hyperlink" Target="https://www.sec.gov/Archives/edgar/data/1847986/000110465922107212/tm2222125d3_ex4-3.htm" TargetMode="External"/><Relationship Id="rId255" Type="http://schemas.openxmlformats.org/officeDocument/2006/relationships/hyperlink" Target="https://www.sec.gov/Archives/edgar/data/1847986/000110465922110688/dfli-20220630xex4d4.htm" TargetMode="External"/><Relationship Id="rId256" Type="http://schemas.openxmlformats.org/officeDocument/2006/relationships/hyperlink" Target="https://www.sec.gov/Archives/edgar/data/1847986/000149315223012533/ex4-5.htm" TargetMode="External"/><Relationship Id="rId257" Type="http://schemas.openxmlformats.org/officeDocument/2006/relationships/hyperlink" Target="https://www.sec.gov/Archives/edgar/data/1847986/000149315223007147/ex4-1.htm" TargetMode="External"/><Relationship Id="rId258" Type="http://schemas.openxmlformats.org/officeDocument/2006/relationships/hyperlink" Target="https://www.sec.gov/Archives/edgar/data/1847986/000149315223021997/ex4-1.htm" TargetMode="External"/><Relationship Id="rId259" Type="http://schemas.openxmlformats.org/officeDocument/2006/relationships/hyperlink" Target="https://www.sec.gov/Archives/edgar/data/1847986/000149315223021293/ex4-8.htm" TargetMode="External"/><Relationship Id="rId260" Type="http://schemas.openxmlformats.org/officeDocument/2006/relationships/hyperlink" Target="https://www.sec.gov/Archives/edgar/data/1847986/000149315223046623/ex4-1.htm" TargetMode="External"/><Relationship Id="rId261" Type="http://schemas.openxmlformats.org/officeDocument/2006/relationships/hyperlink" Target="https://www.sec.gov/Archives/edgar/data/1847986/000149315224008733/ex4-1.htm" TargetMode="External"/><Relationship Id="rId262" Type="http://schemas.openxmlformats.org/officeDocument/2006/relationships/hyperlink" Target="https://www.sec.gov/Archives/edgar/data/1847986/000149315224008722/ex4-1.htm" TargetMode="External"/><Relationship Id="rId263" Type="http://schemas.openxmlformats.org/officeDocument/2006/relationships/hyperlink" Target="https://www.sec.gov/Archives/edgar/data/1847986/000149315224019360/ex4-3.htm" TargetMode="External"/><Relationship Id="rId264" Type="http://schemas.openxmlformats.org/officeDocument/2006/relationships/hyperlink" Target="https://www.sec.gov/Archives/edgar/data/1847986/000149315224025664/ex4-1.htm" TargetMode="External"/><Relationship Id="rId265" Type="http://schemas.openxmlformats.org/officeDocument/2006/relationships/hyperlink" Target="https://www.sec.gov/Archives/edgar/data/1847986/000149315224040278/ex4-1.htm" TargetMode="External"/><Relationship Id="rId266" Type="http://schemas.openxmlformats.org/officeDocument/2006/relationships/hyperlink" Target="https://www.sec.gov/Archives/edgar/data/1847986/000149315225000307/ex4-1.htm" TargetMode="External"/><Relationship Id="rId267" Type="http://schemas.openxmlformats.org/officeDocument/2006/relationships/hyperlink" Target="https://www.sec.gov/Archives/edgar/data/1847986/000149315225008445/ex4-1.htm" TargetMode="External"/><Relationship Id="rId268" Type="http://schemas.openxmlformats.org/officeDocument/2006/relationships/hyperlink" Target="https://www.sec.gov/Archives/edgar/data/1847986/000149315225008445/ex4-2.htm" TargetMode="External"/><Relationship Id="rId269" Type="http://schemas.openxmlformats.org/officeDocument/2006/relationships/hyperlink" Target="https://www.sec.gov/Archives/edgar/data/1847986/000110465922081684/cntq-20210630xs4.htm#AnnexE_715156" TargetMode="External"/><Relationship Id="rId270" Type="http://schemas.openxmlformats.org/officeDocument/2006/relationships/hyperlink" Target="https://www.sec.gov/Archives/edgar/data/1847986/000110465922081684/cntq-20210630xs4.htm#AnnexJ_927754" TargetMode="External"/><Relationship Id="rId272" Type="http://schemas.openxmlformats.org/officeDocument/2006/relationships/hyperlink" Target="https://www.sec.gov/Archives/edgar/data/1847986/000110465922100022/tm2218377-26_s4a.htm#tANNK" TargetMode="External"/><Relationship Id="rId273" Type="http://schemas.openxmlformats.org/officeDocument/2006/relationships/hyperlink" Target="https://www.sec.gov/Archives/edgar/data/1847986/000110465922100022/tm2218377-26_s4a.htm#tANNF" TargetMode="External"/><Relationship Id="rId274" Type="http://schemas.openxmlformats.org/officeDocument/2006/relationships/hyperlink" Target="https://www.sec.gov/Archives/edgar/data/1847986/000110465922107212/tm2222125d3_ex10-5.htm" TargetMode="External"/><Relationship Id="rId275" Type="http://schemas.openxmlformats.org/officeDocument/2006/relationships/hyperlink" Target="https://www.sec.gov/Archives/edgar/data/1847986/000110465922107212/tm2222125d3_ex10-6.htm" TargetMode="External"/><Relationship Id="rId276" Type="http://schemas.openxmlformats.org/officeDocument/2006/relationships/hyperlink" Target="https://www.sec.gov/Archives/edgar/data/1847986/000110465922081684/cntq-20210630xex10d11.htm" TargetMode="External"/><Relationship Id="rId277" Type="http://schemas.openxmlformats.org/officeDocument/2006/relationships/hyperlink" Target="https://www.sec.gov/Archives/edgar/data/1847986/000110465922081684/cntq-20210630xex10d12.htm" TargetMode="External"/><Relationship Id="rId278" Type="http://schemas.openxmlformats.org/officeDocument/2006/relationships/hyperlink" Target="https://www.sec.gov/Archives/edgar/data/1847986/000110465922107212/tm2222125d3_ex10-10.htm" TargetMode="External"/><Relationship Id="rId279" Type="http://schemas.openxmlformats.org/officeDocument/2006/relationships/hyperlink" Target="https://www.sec.gov/Archives/edgar/data/1847986/000110465922107212/tm2222125d3_ex10-11.htm" TargetMode="External"/><Relationship Id="rId280" Type="http://schemas.openxmlformats.org/officeDocument/2006/relationships/hyperlink" Target="https://www.sec.gov/Archives/edgar/data/1847986/000110465922107212/tm2222125d3_ex10-12.htm" TargetMode="External"/><Relationship Id="rId281" Type="http://schemas.openxmlformats.org/officeDocument/2006/relationships/hyperlink" Target="https://www.sec.gov/Archives/edgar/data/1847986/000110465922107212/tm2222125d3_ex10-13.htm" TargetMode="External"/><Relationship Id="rId282" Type="http://schemas.openxmlformats.org/officeDocument/2006/relationships/hyperlink" Target="https://www.sec.gov/Archives/edgar/data/1847986/000110465922107212/tm2222125d3_ex10-14.htm" TargetMode="External"/><Relationship Id="rId283" Type="http://schemas.openxmlformats.org/officeDocument/2006/relationships/hyperlink" Target="https://www.sec.gov/Archives/edgar/data/1847986/000110465922107212/tm2222125d3_ex10-15.htm" TargetMode="External"/><Relationship Id="rId284" Type="http://schemas.openxmlformats.org/officeDocument/2006/relationships/hyperlink" Target="https://www.sec.gov/Archives/edgar/data/1847986/000110465922107212/tm2222125d3_ex10-17.htm" TargetMode="External"/><Relationship Id="rId285" Type="http://schemas.openxmlformats.org/officeDocument/2006/relationships/hyperlink" Target="https://www.sec.gov/Archives/edgar/data/1847986/000110465922107212/tm2222125d3_ex10-19.htm" TargetMode="External"/><Relationship Id="rId286" Type="http://schemas.openxmlformats.org/officeDocument/2006/relationships/hyperlink" Target="https://www.sec.gov/Archives/edgar/data/1847986/000110465922107212/tm2222125d3_ex10-20.htm" TargetMode="External"/><Relationship Id="rId287" Type="http://schemas.openxmlformats.org/officeDocument/2006/relationships/hyperlink" Target="https://www.sec.gov/Archives/edgar/data/1847986/000110465922107212/tm2222125d3_ex10-21.htm" TargetMode="External"/><Relationship Id="rId288" Type="http://schemas.openxmlformats.org/officeDocument/2006/relationships/hyperlink" Target="https://www.sec.gov/Archives/edgar/data/1847986/000164117225001755/ex10-19.htm" TargetMode="External"/><Relationship Id="rId289" Type="http://schemas.openxmlformats.org/officeDocument/2006/relationships/hyperlink" Target="https://www.sec.gov/Archives/edgar/data/1847986/000110465922114961/dfli-20220630xex10d23.htm" TargetMode="External"/><Relationship Id="rId290" Type="http://schemas.openxmlformats.org/officeDocument/2006/relationships/hyperlink" Target="https://www.sec.gov/Archives/edgar/data/1847986/000110465922114961/dfli-20220630xex10d24.htm" TargetMode="External"/><Relationship Id="rId291" Type="http://schemas.openxmlformats.org/officeDocument/2006/relationships/hyperlink" Target="https://www.sec.gov/Archives/edgar/data/1847986/000149315223006564/ex10-1.htm" TargetMode="External"/><Relationship Id="rId293" Type="http://schemas.openxmlformats.org/officeDocument/2006/relationships/hyperlink" Target="https://www.sec.gov/Archives/edgar/data/1847986/000149315223012533/ex10-28.htm" TargetMode="External"/><Relationship Id="rId294" Type="http://schemas.openxmlformats.org/officeDocument/2006/relationships/hyperlink" Target="https://www.sec.gov/Archives/edgar/data/1847986/000149315223012533/ex10-29.htm" TargetMode="External"/><Relationship Id="rId295" Type="http://schemas.openxmlformats.org/officeDocument/2006/relationships/hyperlink" Target="https://www.sec.gov/Archives/edgar/data/1847986/000149315223012533/ex10-30.htm" TargetMode="External"/><Relationship Id="rId296" Type="http://schemas.openxmlformats.org/officeDocument/2006/relationships/hyperlink" Target="https://www.sec.gov/Archives/edgar/data/1847986/000149315223012533/ex10-31.htm" TargetMode="External"/><Relationship Id="rId297" Type="http://schemas.openxmlformats.org/officeDocument/2006/relationships/hyperlink" Target="https://www.sec.gov/Archives/edgar/data/1847986/000149315223012533/ex10-33.htm" TargetMode="External"/><Relationship Id="rId298" Type="http://schemas.openxmlformats.org/officeDocument/2006/relationships/hyperlink" Target="https://www.sec.gov/Archives/edgar/data/1847986/000149315223012533/ex10-34.htm" TargetMode="External"/><Relationship Id="rId299" Type="http://schemas.openxmlformats.org/officeDocument/2006/relationships/hyperlink" Target="https://www.sec.gov/Archives/edgar/data/1847986/000149315223012533/ex10-35.htm" TargetMode="External"/><Relationship Id="rId300" Type="http://schemas.openxmlformats.org/officeDocument/2006/relationships/hyperlink" Target="https://www.sec.gov/Archives/edgar/data/1847986/000149315223012533/ex10-36.htm" TargetMode="External"/><Relationship Id="rId301" Type="http://schemas.openxmlformats.org/officeDocument/2006/relationships/hyperlink" Target="https://www.sec.gov/Archives/edgar/data/1847986/000149315223012533/ex10-37.htm" TargetMode="External"/><Relationship Id="rId302" Type="http://schemas.openxmlformats.org/officeDocument/2006/relationships/hyperlink" Target="https://www.sec.gov/Archives/edgar/data/1847986/000149315223012533/ex10-38.htm" TargetMode="External"/><Relationship Id="rId303" Type="http://schemas.openxmlformats.org/officeDocument/2006/relationships/hyperlink" Target="https://www.sec.gov/Archives/edgar/data/1847986/000149315223009479/ex10-1.htm" TargetMode="External"/><Relationship Id="rId304" Type="http://schemas.openxmlformats.org/officeDocument/2006/relationships/hyperlink" Target="https://www.sec.gov/Archives/edgar/data/1847986/000149315223046623/ex10-1.htm" TargetMode="External"/><Relationship Id="rId305" Type="http://schemas.openxmlformats.org/officeDocument/2006/relationships/hyperlink" Target="https://www.sec.gov/Archives/edgar/data/1847986/000149315224014831/ex10-42.htm" TargetMode="External"/><Relationship Id="rId306" Type="http://schemas.openxmlformats.org/officeDocument/2006/relationships/hyperlink" Target="https://www.sec.gov/Archives/edgar/data/1847986/000149315224014831/ex10-43.htm" TargetMode="External"/><Relationship Id="rId307" Type="http://schemas.openxmlformats.org/officeDocument/2006/relationships/hyperlink" Target="https://www.sec.gov/Archives/edgar/data/1847986/000149315224014831/ex10-44.htm" TargetMode="External"/><Relationship Id="rId308" Type="http://schemas.openxmlformats.org/officeDocument/2006/relationships/hyperlink" Target="https://www.sec.gov/Archives/edgar/data/1847986/000149315224014831/ex10-45.htm" TargetMode="External"/><Relationship Id="rId310" Type="http://schemas.openxmlformats.org/officeDocument/2006/relationships/hyperlink" Target="https://www.sec.gov/Archives/edgar/data/1847986/000149315224014831/ex10-46.htm" TargetMode="External"/><Relationship Id="rId311" Type="http://schemas.openxmlformats.org/officeDocument/2006/relationships/hyperlink" Target="https://www.sec.gov/Archives/edgar/data/1847986/000149315224014831/ex10-47.htm" TargetMode="External"/><Relationship Id="rId312" Type="http://schemas.openxmlformats.org/officeDocument/2006/relationships/hyperlink" Target="https://www.sec.gov/Archives/edgar/data/1847986/000149315224019360/ex10-1.htm" TargetMode="External"/><Relationship Id="rId313" Type="http://schemas.openxmlformats.org/officeDocument/2006/relationships/hyperlink" Target="https://www.sec.gov/Archives/edgar/data/1847986/000149315224020704/ex10-1.htm" TargetMode="External"/><Relationship Id="rId314" Type="http://schemas.openxmlformats.org/officeDocument/2006/relationships/hyperlink" Target="https://www.sec.gov/Archives/edgar/data/1847986/000149315224025664/ex10-1.htm" TargetMode="External"/><Relationship Id="rId315" Type="http://schemas.openxmlformats.org/officeDocument/2006/relationships/hyperlink" Target="https://www.sec.gov/Archives/edgar/data/1847986/000149315224029924/ex10-1.htm" TargetMode="External"/><Relationship Id="rId316" Type="http://schemas.openxmlformats.org/officeDocument/2006/relationships/hyperlink" Target="https://www.sec.gov/Archives/edgar/data/1847986/000149315224029924/ex10-2.htm" TargetMode="External"/><Relationship Id="rId317" Type="http://schemas.openxmlformats.org/officeDocument/2006/relationships/hyperlink" Target="https://www.sec.gov/Archives/edgar/data/1847986/000149315224029924/ex10-3.htm" TargetMode="External"/><Relationship Id="rId318" Type="http://schemas.openxmlformats.org/officeDocument/2006/relationships/hyperlink" Target="https://www.sec.gov/Archives/edgar/data/1847986/000149315224029924/ex10-4.htm" TargetMode="External"/><Relationship Id="rId319" Type="http://schemas.openxmlformats.org/officeDocument/2006/relationships/hyperlink" Target="https://www.sec.gov/Archives/edgar/data/1847986/000149315224040278/ex10-1.htm" TargetMode="External"/><Relationship Id="rId320" Type="http://schemas.openxmlformats.org/officeDocument/2006/relationships/hyperlink" Target="https://www.sec.gov/Archives/edgar/data/1847986/000149315225000307/ex10-1.htm" TargetMode="External"/><Relationship Id="rId321" Type="http://schemas.openxmlformats.org/officeDocument/2006/relationships/hyperlink" Target="https://www.sec.gov/Archives/edgar/data/1847986/000149315225000307/ex10-2.htm" TargetMode="External"/><Relationship Id="rId322" Type="http://schemas.openxmlformats.org/officeDocument/2006/relationships/hyperlink" Target="https://www.sec.gov/Archives/edgar/data/1847986/000149315225005013/ex10-1.htm" TargetMode="External"/><Relationship Id="rId324" Type="http://schemas.openxmlformats.org/officeDocument/2006/relationships/hyperlink" Target="https://www.sec.gov/Archives/edgar/data/1847986/000149315225008445/ex10-1.htm" TargetMode="External"/><Relationship Id="rId325" Type="http://schemas.openxmlformats.org/officeDocument/2006/relationships/hyperlink" Target="https://www.sec.gov/Archives/edgar/data/1847986/000149315225008445/ex10-2.htm" TargetMode="External"/><Relationship Id="rId326" Type="http://schemas.openxmlformats.org/officeDocument/2006/relationships/hyperlink" Target="https://www.sec.gov/Archives/edgar/data/1847986/000149315225008445/ex10-3.htm" TargetMode="External"/><Relationship Id="rId327" Type="http://schemas.openxmlformats.org/officeDocument/2006/relationships/hyperlink" Target="https://www.sec.gov/Archives/edgar/data/1847986/000149315225008445/ex10-4.htm" TargetMode="External"/><Relationship Id="rId328" Type="http://schemas.openxmlformats.org/officeDocument/2006/relationships/hyperlink" Target="https://www.sec.gov/Archives/edgar/data/1847986/000164117225000298/ex16-1.htm" TargetMode="External"/><Relationship Id="rId329" Type="http://schemas.openxmlformats.org/officeDocument/2006/relationships/hyperlink" Target="https://www.sec.gov/Archives/edgar/data/1847986/000164117225001755/ex1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2025-04-07T05:27:07Z</dcterms:created>
  <dcterms:modified xsi:type="dcterms:W3CDTF">2025-04-07T05:27:07Z</dcterms:modified>
</cp:coreProperties>
</file>