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23,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r>
        <w:rPr>
          <w:rFonts w:ascii="Arial" w:cs="Arial" w:eastAsia="Arial" w:hAnsi="Arial"/>
          <w:sz w:val="17"/>
          <w:szCs w:val="17"/>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right="1010"/>
              <w:spacing w:after="0"/>
              <w:rPr>
                <w:sz w:val="20"/>
                <w:szCs w:val="20"/>
                <w:color w:val="auto"/>
              </w:rPr>
            </w:pPr>
            <w:r>
              <w:rPr>
                <w:rFonts w:ascii="Arial" w:cs="Arial" w:eastAsia="Arial" w:hAnsi="Arial"/>
                <w:sz w:val="18"/>
                <w:szCs w:val="18"/>
                <w:color w:val="auto"/>
                <w:w w:val="90"/>
              </w:rPr>
              <w:t>001-40730</w:t>
            </w:r>
          </w:p>
        </w:tc>
        <w:tc>
          <w:tcPr>
            <w:tcW w:w="3900" w:type="dxa"/>
            <w:vAlign w:val="bottom"/>
            <w:gridSpan w:val="4"/>
          </w:tcPr>
          <w:p>
            <w:pPr>
              <w:jc w:val="center"/>
              <w:ind w:left="490"/>
              <w:spacing w:after="0"/>
              <w:rPr>
                <w:sz w:val="20"/>
                <w:szCs w:val="20"/>
                <w:color w:val="auto"/>
              </w:rPr>
            </w:pPr>
            <w:r>
              <w:rPr>
                <w:rFonts w:ascii="Arial" w:cs="Arial" w:eastAsia="Arial" w:hAnsi="Arial"/>
                <w:sz w:val="18"/>
                <w:szCs w:val="18"/>
                <w:color w:val="auto"/>
                <w:w w:val="91"/>
              </w:rPr>
              <w:t>85-1873463</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jc w:val="center"/>
              <w:ind w:right="99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jc w:val="center"/>
              <w:ind w:right="47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502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89"/>
              </w:rPr>
              <w:t>17 State Street, 21st Floor</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New York, NY</w:t>
            </w:r>
          </w:p>
        </w:tc>
        <w:tc>
          <w:tcPr>
            <w:tcW w:w="2280" w:type="dxa"/>
            <w:vAlign w:val="bottom"/>
          </w:tcPr>
          <w:p>
            <w:pPr>
              <w:spacing w:after="0"/>
              <w:rPr>
                <w:sz w:val="20"/>
                <w:szCs w:val="20"/>
                <w:color w:val="auto"/>
              </w:rPr>
            </w:pPr>
          </w:p>
        </w:tc>
        <w:tc>
          <w:tcPr>
            <w:tcW w:w="390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10004</w:t>
            </w:r>
          </w:p>
        </w:tc>
        <w:tc>
          <w:tcPr>
            <w:tcW w:w="20" w:type="dxa"/>
            <w:vAlign w:val="bottom"/>
          </w:tcPr>
          <w:p>
            <w:pPr>
              <w:spacing w:after="0"/>
              <w:rPr>
                <w:sz w:val="20"/>
                <w:szCs w:val="20"/>
                <w:color w:val="auto"/>
              </w:rPr>
            </w:pPr>
          </w:p>
        </w:tc>
      </w:tr>
      <w:tr>
        <w:trPr>
          <w:trHeight w:val="224"/>
        </w:trPr>
        <w:tc>
          <w:tcPr>
            <w:tcW w:w="20" w:type="dxa"/>
            <w:vAlign w:val="bottom"/>
            <w:tcBorders>
              <w:top w:val="single" w:sz="8" w:color="auto"/>
            </w:tcBorders>
          </w:tcPr>
          <w:p>
            <w:pPr>
              <w:spacing w:after="0"/>
              <w:rPr>
                <w:sz w:val="19"/>
                <w:szCs w:val="19"/>
                <w:color w:val="auto"/>
              </w:rPr>
            </w:pPr>
          </w:p>
        </w:tc>
        <w:tc>
          <w:tcPr>
            <w:tcW w:w="7300" w:type="dxa"/>
            <w:vAlign w:val="bottom"/>
            <w:tcBorders>
              <w:top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20" w:type="dxa"/>
            <w:vAlign w:val="bottom"/>
            <w:tcBorders>
              <w:top w:val="single" w:sz="8" w:color="auto"/>
            </w:tcBorders>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324"/>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324"/>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480" w:firstLine="89"/>
        <w:spacing w:after="0" w:line="498" w:lineRule="auto"/>
        <w:tabs>
          <w:tab w:leader="none" w:pos="40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6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6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Units, consisting of one share of Common Stock, par value $0.0001 per share, and three-</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quarters of one Redeemable Warrant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CNTQU</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6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par value $0.0001 per share, included as part of the Units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CNTQ</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66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Redeemable Warrants included as part of the Units, each exercisable for one share of</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Stock for $11.50 per share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CNTQW</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23, 2021, Chardan NexTech Acquisition 2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announced that, commencing on August 24, 2021, the holders of units issued in its initial public offering (the “</w:t>
      </w:r>
      <w:r>
        <w:rPr>
          <w:rFonts w:ascii="Arial" w:cs="Arial" w:eastAsia="Arial" w:hAnsi="Arial"/>
          <w:sz w:val="16"/>
          <w:szCs w:val="16"/>
          <w:b w:val="1"/>
          <w:bCs w:val="1"/>
          <w:color w:val="auto"/>
        </w:rPr>
        <w:t>Units</w:t>
      </w:r>
      <w:r>
        <w:rPr>
          <w:rFonts w:ascii="Arial" w:cs="Arial" w:eastAsia="Arial" w:hAnsi="Arial"/>
          <w:sz w:val="16"/>
          <w:szCs w:val="16"/>
          <w:color w:val="auto"/>
        </w:rPr>
        <w:t>”), each consisting of one share of common stock of the Company,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three-quarters of one warrant of the Company (“</w:t>
      </w:r>
      <w:r>
        <w:rPr>
          <w:rFonts w:ascii="Arial" w:cs="Arial" w:eastAsia="Arial" w:hAnsi="Arial"/>
          <w:sz w:val="16"/>
          <w:szCs w:val="16"/>
          <w:b w:val="1"/>
          <w:bCs w:val="1"/>
          <w:color w:val="auto"/>
        </w:rPr>
        <w:t>Warrant</w:t>
      </w:r>
      <w:r>
        <w:rPr>
          <w:rFonts w:ascii="Arial" w:cs="Arial" w:eastAsia="Arial" w:hAnsi="Arial"/>
          <w:sz w:val="16"/>
          <w:szCs w:val="16"/>
          <w:color w:val="auto"/>
        </w:rPr>
        <w:t>”), with each whole Warrant entitling the holder thereof to purchase one share Common Stock for $11.50 per share, may elect to separately trade the shares of Common Stock and Warrants included in the Units. No fractional Warrants will be issued upon separation of the Units and only whole Warrants will trade. The shares of Common Stock and the Warrants are expected to trade on the Nasdaq Capital Market under the symbol “CNTQ” and “CNTQW,” respectively. The Units not separated will continue to trade on the Nasdaq Capital Market under the symbol “CNTQU.” Holders of Units will need to have their brokers contact Continental Stock Transfer &amp; Trust Company, the Company’s transfer agent, in order to separate the Units into shares of Common Stock and Warrants.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No.</w:t>
            </w:r>
          </w:p>
        </w:tc>
        <w:tc>
          <w:tcPr>
            <w:tcW w:w="1044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169"/>
        </w:trPr>
        <w:tc>
          <w:tcPr>
            <w:tcW w:w="8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102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23, 2021</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left="10000"/>
        <w:spacing w:after="0"/>
        <w:rPr>
          <w:sz w:val="20"/>
          <w:szCs w:val="20"/>
          <w:color w:val="auto"/>
        </w:rPr>
      </w:pPr>
      <w:r>
        <w:rPr>
          <w:rFonts w:ascii="Arial" w:cs="Arial" w:eastAsia="Arial" w:hAnsi="Arial"/>
          <w:sz w:val="18"/>
          <w:szCs w:val="18"/>
          <w:b w:val="1"/>
          <w:bCs w:val="1"/>
          <w:color w:val="auto"/>
        </w:rPr>
        <w:t>Exhibit 99.1</w:t>
      </w:r>
    </w:p>
    <w:p>
      <w:pPr>
        <w:spacing w:after="0" w:line="226" w:lineRule="exact"/>
        <w:rPr>
          <w:sz w:val="20"/>
          <w:szCs w:val="20"/>
          <w:color w:val="auto"/>
        </w:rPr>
      </w:pPr>
    </w:p>
    <w:p>
      <w:pPr>
        <w:jc w:val="both"/>
        <w:ind w:right="60"/>
        <w:spacing w:after="0" w:line="277" w:lineRule="auto"/>
        <w:rPr>
          <w:sz w:val="20"/>
          <w:szCs w:val="20"/>
          <w:color w:val="auto"/>
        </w:rPr>
      </w:pPr>
      <w:r>
        <w:rPr>
          <w:rFonts w:ascii="Arial" w:cs="Arial" w:eastAsia="Arial" w:hAnsi="Arial"/>
          <w:sz w:val="25"/>
          <w:szCs w:val="25"/>
          <w:color w:val="auto"/>
        </w:rPr>
        <w:t>Chardan NexTech Acquisition 2 Corp. Announces the Separate Trading of its Common Stock and Warrants, Commencing August 24, 2021</w:t>
      </w:r>
    </w:p>
    <w:p>
      <w:pPr>
        <w:spacing w:after="0" w:line="14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New York, NY, August 23, 2021 (PR Newswire) – Chardan NexTech Acquisition 2 Corp. (the “Company”) (NASDAQ: CNTQU) announced today that, commencing August 24, 2021, holders of the units sold in the Company’s initial public offering may elect to separately trade the Company’s shares of common stock and warrants included in the units. No fractional warrants will be issued upon separation of the units and only whole warrants will trade. The shares of common stock and the warrants that are separated will trade on the Nasdaq Capital Market (“Nasdaq”) under the ticker symbols “CNTQ” and “CNTQW,” respectively. Those units not separated will continue to trade on Nasdaq under the symbol “CNTQU.” Holders of the units will need to have their brokers contact Continental Stock Transfer &amp; Trust Company, the Company’s transfer agent, to separate the units into shares of common stock and warrants.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Chardan NexTech Acquisition 2 Corp.</w:t>
      </w:r>
    </w:p>
    <w:p>
      <w:pPr>
        <w:spacing w:after="0" w:line="225"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Company is a blank check company formed for the purpose of effecting a merger, share exchange, asset acquisition, stock purchase, recapitalization, reorganization or similar business combination with one or more businesses. While the Company may pursue an initial business combination target in any industry, it currently intends to concentrate its search for a target business operating in disruptive technologies. The Company is led by its Chairman of the Board of Directors, Kerry Propper, its Chief Executive Officer, Jonas Grossman, and its Chief Financial Officer, Alex Weil.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i w:val="1"/>
          <w:iCs w:val="1"/>
          <w:color w:val="auto"/>
        </w:rPr>
        <w:t xml:space="preserve">This press release contains statements that constitute “forward-looking statements,” including with respect to the anticipated use of the net proceeds of the initial public offering. No assurance can be given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Company’s offering filed with the SEC. Copies of these documents are available on the SEC’s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The Company undertakes no obligation to update these statements for revisions or changes after the date of this release, except as required by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jgrossman@cnaq.com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40"/>
      </w:cols>
      <w:pgMar w:left="42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2021-08-23T15:31:06Z</dcterms:created>
  <dcterms:modified xsi:type="dcterms:W3CDTF">2021-08-23T15:31:06Z</dcterms:modified>
</cp:coreProperties>
</file>