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Reno, Nevada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89521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30, 2025,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Canaccord Genuity LLC, as the underwriter (the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relating to an underwritten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21,980,000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to the public of $0.25 per share. All of the Shares in the Offering are being sold by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proceeds to the Company from the Offering are expected to be approximately $4.9 million, after deducting underwriting discounts and commissions and other estimated offering expenses payable by the Company. The Offering is expected to close on or about July 31, 2025, subject to customary closing conditions.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are being offered and sold pursuant to a prospectus supplement, dated July 30,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30, 2025, and an accompanying base prospectus that forms a part of the Company’s Registration Statement on Form S-3 (File No. 333-275559), which was previously filed with the SEC on November 15, 2023 and declared effective on November 24, 2023.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Underwriting Agreement, the Company has agreed to certain restrictions on the issuance and sale of its Common Stock and securities convertible into shares of Common Stock during the 90 day period following the date of the Underwriting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of the Company, conditions to closing, and indemnification obligations of the Company and the Underwriter, including for liabilities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the Underwriting Agreement, a copy of which is filed as Exhibit 1.1 to this Current Report on Form 8-K and is incorporated herein by reference. A copy of the opinion of Parsons Behle &amp; Latimer relating to the legality of the issuance and sale of the Shares in the Offering is filed as Exhibit 5.1 to this Current Report on Form 8-K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29, 2025, the Company issued a press release regarding the launch of the Offering (the “</w:t>
      </w:r>
      <w:r>
        <w:rPr>
          <w:rFonts w:ascii="Times New Roman" w:cs="Times New Roman" w:eastAsia="Times New Roman" w:hAnsi="Times New Roman"/>
          <w:sz w:val="18"/>
          <w:szCs w:val="18"/>
          <w:u w:val="single" w:color="auto"/>
          <w:color w:val="auto"/>
        </w:rPr>
        <w:t>Launch Press Release</w:t>
      </w:r>
      <w:r>
        <w:rPr>
          <w:rFonts w:ascii="Times New Roman" w:cs="Times New Roman" w:eastAsia="Times New Roman" w:hAnsi="Times New Roman"/>
          <w:sz w:val="18"/>
          <w:szCs w:val="18"/>
          <w:color w:val="auto"/>
        </w:rPr>
        <w:t>”). On July 30, 2025, the Company issued a press release announcing that it had priced the Offering (the “</w:t>
      </w:r>
      <w:r>
        <w:rPr>
          <w:rFonts w:ascii="Times New Roman" w:cs="Times New Roman" w:eastAsia="Times New Roman" w:hAnsi="Times New Roman"/>
          <w:sz w:val="18"/>
          <w:szCs w:val="18"/>
          <w:u w:val="single" w:color="auto"/>
          <w:color w:val="auto"/>
        </w:rPr>
        <w:t>Pricing Press Release</w:t>
      </w:r>
      <w:r>
        <w:rPr>
          <w:rFonts w:ascii="Times New Roman" w:cs="Times New Roman" w:eastAsia="Times New Roman" w:hAnsi="Times New Roman"/>
          <w:sz w:val="18"/>
          <w:szCs w:val="18"/>
          <w:color w:val="auto"/>
        </w:rPr>
        <w:t>”). Copies of the Launch Press Release and the Pricing Press Release are furnished hereto as Exhibits 99.1 and Exhibit 99.2,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 7.01, including the information contained in Exhibits 99.1 and 99.2, is being furnished to the SEC and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under the Securities Act or the Exchange Act, except as shall be expressly set forth by a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estimates, assumptions, risks and uncertainties. Forward-looking statements include, but are not limited to, statements related to the amount of proceeds expected from the Offering, and the timing and certainty of completion of the Offering. The risks and uncertainties relating to the Company and the Offering include general market conditions, the Company’s ability to complete the Offering on favorable terms, or at all, as well as other risks detailed from time to time in the Company’s filings with the SEC, including in its Annual Report on Form 10-K for the year ended December 31, 2024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Underwriting Agreement, dated July 30, 2025, by and between Dragonfly Energy Holdings Corp. and Canaccord Genuity LLC</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Parsons, Behle &amp; Latimer.</w:t>
            </w:r>
          </w:p>
        </w:tc>
        <w:tc>
          <w:tcPr>
            <w:tcW w:w="6420" w:type="dxa"/>
            <w:vAlign w:val="bottom"/>
            <w:tcBorders>
              <w:top w:val="single" w:sz="8" w:color="0000EE"/>
            </w:tcBorders>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Consent of Parsons Behle &amp; Latimer (contained in Exhibit 5.1)</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July 29, 2025</w:t>
            </w:r>
          </w:p>
        </w:tc>
        <w:tc>
          <w:tcPr>
            <w:tcW w:w="560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July 30,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July 30,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00" w:type="dxa"/>
            <w:vAlign w:val="bottom"/>
          </w:tcPr>
          <w:p>
            <w:pPr>
              <w:spacing w:after="0"/>
              <w:rPr>
                <w:sz w:val="16"/>
                <w:szCs w:val="16"/>
                <w:color w:val="auto"/>
              </w:rPr>
            </w:pPr>
          </w:p>
        </w:tc>
        <w:tc>
          <w:tcPr>
            <w:tcW w:w="26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21,980,000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proposes to sell to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are acting as representative, of 21,980,000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of the Company. To the extent there are no additional Underwriters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other than you, the term Representative as used herein shall mean you, as Underwriter, and the term Underwriters shall mean the singular as the context requires. Certain terms used herein are defined in Section 21 hereof. In the event that the Company has no subsidiaries, or only one subsidiary, then all references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“subsidiaries” of the Company shall be deemed to refer to no subsidiary, or such single subsidiary, mutatis mutandis.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referred to in paragraph 1(a) hereof, including the exhibits, schedules and financial statements and any prospectus supplement relating to the Shares that is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deemed part of such registration statement pursuant to Rule 430B under the Securities Act, as amended on each Effective Date, and, in the event any post-effective amendment thereto or any registration statement and any amendments thereto filed pursuant to Rule 462(b) under the Securities Act (a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becomes effective prior to the Closing Date (as defined in Section 3 hereof), shall also mean such registration statement as so amended or such Rule 462(b) Registration Statement, as the case may be;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each date and time that the Registration Statement, any post-effective amendment or amendments thereto or any Rule 462(b) Registration Statement became or becomes effective;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base prospectus referred to in paragraph 1(a) hereof contained in the Registration Statement at the date 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means any preliminary prospectus supplement to the Base Prospectus referred to in paragraph 1(a) hereof which is used prior to the filing of the Final Prospectus Supplement, together with the Base Prospectus; and the “</w:t>
      </w:r>
      <w:r>
        <w:rPr>
          <w:rFonts w:ascii="Times New Roman" w:cs="Times New Roman" w:eastAsia="Times New Roman" w:hAnsi="Times New Roman"/>
          <w:sz w:val="18"/>
          <w:szCs w:val="18"/>
          <w:u w:val="single" w:color="auto"/>
          <w:color w:val="auto"/>
        </w:rPr>
        <w:t>Final Prospectus Supplement</w:t>
      </w:r>
      <w:r>
        <w:rPr>
          <w:rFonts w:ascii="Times New Roman" w:cs="Times New Roman" w:eastAsia="Times New Roman" w:hAnsi="Times New Roman"/>
          <w:sz w:val="18"/>
          <w:szCs w:val="18"/>
          <w:color w:val="auto"/>
        </w:rPr>
        <w:t>” means the prospectus supplement relating to the Shares that is first filed pursuant to Rule 424(b) under the Securities Act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after the Execution Time, together with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Base Prospectus, any Preliminary Prospectus Supplement or the Final Prospectus Supplement shall be deemed to refer to and include the documents incorporated by reference therein pursuant to Item 12 of Form S-3 which were filed under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Effective Date of the Registration Statement or the issue date of the Base Prospectus, any Preliminary Prospectus Supplement or the Final Prospectus Supplement, as the case may be; and any reference herein to the terms “amend,” “amendment” or “supplement” with respect to the Registration Statement, the Base Prospectus, any Preliminary Prospectus Supplement or the Final Prospectus Supplement shall be deemed to refer to and include the filing of any document under the Exchange Act after the Effective Date of the Registration Statement or the issue date of the Base Prospectus, any Preliminary Prospectus Supplement or the Final Prospectus Supplement, as the case may be, deemed to be incorporated therein by reference.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Pricing Disclosure Package</w:t>
      </w:r>
      <w:r>
        <w:rPr>
          <w:rFonts w:ascii="Times New Roman" w:cs="Times New Roman" w:eastAsia="Times New Roman" w:hAnsi="Times New Roman"/>
          <w:sz w:val="18"/>
          <w:szCs w:val="18"/>
          <w:color w:val="auto"/>
        </w:rPr>
        <w:t>” shall mean (i) the Base Prospectus, (ii) the Preliminary Prospectus Supplement used most recently prior to the Execution Time, (iii) any issuer free writing prospectus, as defined in Rule 433 under the Securities Act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identified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(iv) the pricing information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(v) any other free writing prospectus, as defined in Rule 405 under the Securities Act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Pricing Disclosure Package.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Underwriter as set forth below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firstLine="1304"/>
        <w:spacing w:after="0" w:line="252" w:lineRule="auto"/>
        <w:tabs>
          <w:tab w:leader="none" w:pos="15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met the requirements for use of Form S-3 under the Securities Act, including, but not limited to, General Instruction I.B.6 of Form S-3, if applicable, at the time it prepared and filed with the SEC a shelf registration statement, as defined in Rule 405 (file number 333-275559) on Form S-3, including a related Base Prospectus, for registration under the Securities Act of the offering and sale of the Shares. The Company may have filed one or more amendments thereto, and has prepared a Preliminary Prospectus Supplement, each of which has previously been furnished to you and has become effective upon filing. The Company will next file with the SEC a Final Prospectus Supplement relating to the Shares in accordance with Rule 424(b). As filed, such Final Prospectus Supplement shall contain all information required by the Securities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Supplement) as the Company has advised you, prior to the Execution Time, will be included or made therein. The Registration Statement, at the Execution Time, is effective and meets the requirements set forth in Rule 415(a)(1)(x). There is no order preventing or suspending the use of the Registration Statement, the Pricing Disclosure Package or the Final Prospectus Supplement, and, to the knowledge of the Company, no proceeding for that purpose or pursuant to Section 8A of the Securities Act against the Company or related to the offering has been initiated or threatened by the SEC and no notice of objection of the SEC to the use of such Registration Statement pursuant to Rule 401(g)(2) under the Securities Act has been received by the Company. As of the close of trading on Nasdaq on July 29, 2025,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u w:val="single" w:color="auto"/>
          <w:color w:val="auto"/>
        </w:rPr>
        <w:t>Non-Affiliate Shares</w:t>
      </w:r>
      <w:r>
        <w:rPr>
          <w:rFonts w:ascii="Times New Roman" w:cs="Times New Roman" w:eastAsia="Times New Roman" w:hAnsi="Times New Roman"/>
          <w:sz w:val="18"/>
          <w:szCs w:val="18"/>
          <w:color w:val="auto"/>
        </w:rPr>
        <w:t>”), was $19,670,766 (calculated by multiplying (x) the price at which the common equity of the Company was last sold on Nasdaq on July 22, 2025 times (y) the number of Non-Affiliate Shares outstanding on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left="-1120" w:firstLine="1304"/>
        <w:spacing w:after="0" w:line="253" w:lineRule="auto"/>
        <w:tabs>
          <w:tab w:leader="none" w:pos="4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Effective Date, the Registration Statement did, and when the Final Prospectus Supplement is first filed in accordance with Rule 424(b) and on the Closing Date, the Final Prospectus Supplement (and any amendment or supplement thereto) will, comply in all material respects with the applicable requirements of the Securities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the Final Prospectus Supplement (together with any amendment or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Final Prospectus Supplement (or any amendment or supplement thereto) in reliance upon and in conformity with information furnished in writing to the Company by or on behalf of any Underwriter through the Representative specifically for use in the Registration Statement or the Final Prospectus Supplement (or any amendment or supplement thereto), it being understood and agreed that the only such information furnished by the Underwriters consists of the information described as such in Section 8(b) hereof.</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the Pricing Disclosure Package and each electronic road show does not, and as of the Closing Date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Pricing Disclosure Package based upon and in conformity with written information furnished to the Company by any Underwriter through the Representative specifically for use therein, it being understood and agreed that the only such information furnished by or on behalf of the Underwriters consists of the information described as such in Section 8(b) hereof.</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business combination pursuant to that certain agreement and plan of merger, dated as of May 15, 2022, by and among Chardan NexTech 2 Acquisition Corp., a Delaware Corporation and the Company’s predecessor, Dragonfly Energy Corp., a Nevada corporation, and Bronco Merger Sub, Inc., a Nevada corporation, through the Execution Time, the Company has been and is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as defined in Section 2(a) of the Securities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 w:name="page8"/>
    <w:bookmarkEnd w:id="7"/>
    <w:p>
      <w:pPr>
        <w:jc w:val="both"/>
        <w:ind w:left="-1120" w:firstLine="1304"/>
        <w:spacing w:after="0" w:line="254"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alone engaged in any Testing-the-Waters Communication other than Testing-the-Waters Communications with the consent of the Representative with entities that are reasonably believed to be qualified institutional buyers within the meaning of Rule 144A under the Securities Act or institutions that are accredited investors within the meaning of Rule 501 under the Securities Act and (ii) has not authorized anyone other than the Representative to engage in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or Rule 163B of the Securities Act. “</w:t>
      </w:r>
      <w:r>
        <w:rPr>
          <w:rFonts w:ascii="Times New Roman" w:cs="Times New Roman" w:eastAsia="Times New Roman" w:hAnsi="Times New Roman"/>
          <w:sz w:val="18"/>
          <w:szCs w:val="18"/>
          <w:u w:val="single" w:color="auto"/>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including any presentation used in a Testing-the-Waters Communication.</w:t>
      </w:r>
    </w:p>
    <w:p>
      <w:pPr>
        <w:spacing w:after="0" w:line="19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used any Issuer Free Writing Prospectus.</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if any, does not include any information that conflicts with the information contained in the Registration Statement, the Base Prospectus, any Preliminary Prospectus Supplement or the Final Prospectus Supplement. The foregoing sentence does not apply to statements in or omissions from any Issuer Free Writing Prospectus based upon and in conformity with written information furnished to the Company by any Underwriter through the Representative specifically for use therein, it being understood and agreed that the only such information furnished by or on behalf of any Underwriter consists of the information described as such in Section 8(b) hereof.</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and Inline XBRL included as an exhibit to the Registration Statement fairly presents the information called for in all material respects and has been prepared in accordance with the SEC’s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Pricing Disclosure Package and the Final Prospectus Supplement, and is duly qualified to do business as a foreign corporation and is in good standing under the laws of each jurisdiction which requires such qualification, except where the failure to be so qualified or in good standing would not reasonably be expected to have a material adverse effect on the condition (financial or otherwise),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3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each subsidiary of the Company have been duly and validly authorized and issued and are fully paid and non-assessable, and all outstanding shares of capital stock of the subsidiaries are owned by the Company either directly or through wholly owned subsidiaries, and except as set forth in the Pricing Disclosure Package and the Final Prospectus Supplement, are free and clear of any perfected security interest or any other security interests, claims, liens or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jc w:val="both"/>
        <w:ind w:left="-1120" w:firstLine="1304"/>
        <w:spacing w:after="0" w:line="253"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equity capitalization is as set forth in the Pricing Disclosure Package and the Final Prospectus Supplement; the capital stock of the Company conforms in all material respects to the description thereof contained in the Pricing Disclosure Package and the Final Prospectus Supplement; the outstanding shares of Common Stock have been duly and validly authorized and issued and are fully paid and nonassessable; the Shares have been duly and validly authorized and, when issued and delivered to and paid for by the Underwriters pursuant to this Agreement, will be fully paid and nonassessable; the Shares in book-entry form are in valid and sufficient form; and the holders of outstanding shares of capital stock of the Company are not entitled to preemptive or other rights to subscribe for the Shares, except for any such rights as have been effectively waived; and, except as set forth in the Pricing Disclosure Package and the Final Prospectus Supplement, no options, warrants or other rights to purchase, agreements or other obligations to issue, or rights to convert any obligations into or exchange any securities for, shares of capital stock of or ownership interests in the Company are outstanding.. The Company has reserved from its duly authorized capital stock the maximum number of shares of Common Stock issuable pursuant to this Agreement.</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or the Final Prospectus Supplement, or to be filed as an exhibit thereto, which is not described or filed as required (and the Preliminary Prospectus Supplement contains in all material respects the same description of the foregoing matters contained in the Final Prospectus Supplement); and the statements in the Preliminary Prospectus Supplement and the Final Prospectus Supplement insofar as such statements summarize legal matters, agreements, documents or proceedings discussed therein, are accurate and fair summaries of such legal matters, agreements, documents or proceedings in all material respects.</w:t>
      </w:r>
    </w:p>
    <w:p>
      <w:pPr>
        <w:spacing w:after="0" w:line="183"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Pricing Disclosure Package and the Final Prospectus Supplement, will not be an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as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the listing rules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applicable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the blue sky laws of any jurisdiction in connection with the purchase and distribution of the Shares by the Underwriters in the manner contemplated herein and in the Pricing Disclosure Package and the Final Prospectus Supplement.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any such breach, violation or imposition as would not reasonably be expected to have a Material Adverse Effect and which would not reasonably be expected to have a material adverse effect on the performance of this Agreement or the consummation of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1120" w:firstLine="1304"/>
        <w:spacing w:after="0" w:line="258" w:lineRule="auto"/>
        <w:tabs>
          <w:tab w:leader="none" w:pos="4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as applicable, to file a registration statement under the Securities Act with respect to any securities of the Company or to require the Company to include such securities with the Shares registered pursuant to the Registration Statement, except as have been validly waived in connection with the issuance and sale of the Shares contemplated hereby or as have been described in the Preliminary Prospectus Supplement, and the holders of outstanding shares of capital stock of the Company are not entitled to statutory preemptive or other similar contractual rights to subscribe for the Shares.</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Preliminary Prospectus Supplement, the Final Prospectus Supplement and the Registration Statement,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(subject, in the case of unaudited statements, to normal year-end audit adjustments which will not be material, either individually or in the aggregate) and have been prepared in all material respects in compliance with the published requirements of the Securities Act and Exchange Act, as applicable and as in effect at the time of filing, and in conformity with generally accepted accounting principles in the United States (“GAAP”) as in effect at the time of filing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the Subsidiaries contained or incorporated by reference in the Preliminary Prospectus Supplement, the Final Prospectus Supplement and the Registration Statement,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Preliminary Prospectus Supplement, the Final Prospectus Supplement and the Registration Statement that are not included or incorporated by reference as required; the Company and the Subsidiaries do not have any material liabilities or obligations, direct or contingent (including any off balance sheet obligations), not described in the Preliminary Prospectus Supplement, the Final Prospectus Supplement or the Registration Statement which are required to be described in the Preliminary Prospectus Supplement, the Final Prospectus Supplement or the Registration Statement; and all disclosures contained or incorporated by reference in Preliminary Prospectus Supplement, the Final Prospectus Supplement and the Registration Statement,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left="-1120" w:firstLine="1304"/>
        <w:spacing w:after="0" w:line="261" w:lineRule="auto"/>
        <w:tabs>
          <w:tab w:leader="none" w:pos="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120" w:firstLine="1304"/>
        <w:spacing w:after="0" w:line="282" w:lineRule="auto"/>
        <w:tabs>
          <w:tab w:leader="none" w:pos="3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owns or leases all such properties as are necessary to the conduct of its operations as presently conducted in all material respects.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any such violation or default as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CBIZ CPAs P.C., which has certified certain financial statements of the Company and its consolidated subsidiaries and delivered its report with respect to the audited consolidated financial statements and schedules included in the Pricing Disclosure Package and the Final Prospectus Supplement, are independent public accountants with respect to the Company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or the laws of any state, or any political subdivision thereof, required to be paid in connection with the execution and delivery of this Agreement or the issuance by the Company or sale by the Company to the Underwriters of the Shares.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ind w:left="-1120" w:firstLine="1304"/>
        <w:spacing w:after="0" w:line="254"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the Company reasonably believes are prudent and customary in the businesses in which they are engaged;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8" w:lineRule="exact"/>
        <w:rPr>
          <w:sz w:val="20"/>
          <w:szCs w:val="20"/>
          <w:color w:val="auto"/>
        </w:rPr>
      </w:pPr>
    </w:p>
    <w:p>
      <w:pPr>
        <w:jc w:val="both"/>
        <w:ind w:left="-1120" w:firstLine="1304"/>
        <w:spacing w:after="0" w:line="261" w:lineRule="auto"/>
        <w:tabs>
          <w:tab w:leader="none" w:pos="5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set forth in the Pricing Disclosure Package and the Final Prospectus Supplement.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certificates, permits and other authorizations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required to conduct their respective businesses, except for any such failure to possess as would not reasonably be expected to have a Material Adverse Effect, and neither the Company nor any such subsidiary is in violation of, or in default under, any such Permit, except for any such violation as would not reasonably be expected to have a Material Adverse Effect,; neither the Company nor its subsidiaries has received any written notice of proceedings relating to the revocation or modification of any such Permit nor has any reason to believe that any such Permit will not be renewed in the ordinary course.</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5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considered together as one entity, maintain a system of internal accounting controls (as contemplated under Rule 13a-15(f) of the Exchange Act)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in the Registration Statement, the Preliminary Prospectus Supplement and the Final Prospectus Supplement is in compliance with the SEC’s published rules, regulations and guidelines applicable thereto. The Company’s and its subsidiaries’ internal controls over financial reporting are effective and, except as set forth in the Pricing Disclosure Package and the Final Prospectus Supplement, the Company and its subsidiaries are not aware of any material weakness in their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jc w:val="both"/>
        <w:ind w:left="-1120" w:firstLine="1304"/>
        <w:spacing w:after="0" w:line="266" w:lineRule="auto"/>
        <w:tabs>
          <w:tab w:leader="none" w:pos="5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(as such term is defined in Rule 13a-15(e) under the Exchange Act); such disclosure controls and procedures are effective, except as set forth in the Pricing Disclosure Package and the Final Prospectus Supplement.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(without giving effect to the activities of the Underwriters),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reasonably be expected to have a Material Adverse Effect. Neither the Company nor any of its subsidiaries has been named as a “</w:t>
      </w:r>
      <w:r>
        <w:rPr>
          <w:rFonts w:ascii="Times New Roman" w:cs="Times New Roman" w:eastAsia="Times New Roman" w:hAnsi="Times New Roman"/>
          <w:sz w:val="18"/>
          <w:szCs w:val="18"/>
          <w:u w:val="single" w:color="auto"/>
          <w:color w:val="auto"/>
        </w:rPr>
        <w:t>potentially responsible party</w:t>
      </w:r>
      <w:r>
        <w:rPr>
          <w:rFonts w:ascii="Times New Roman" w:cs="Times New Roman" w:eastAsia="Times New Roman" w:hAnsi="Times New Roman"/>
          <w:sz w:val="18"/>
          <w:szCs w:val="18"/>
          <w:color w:val="auto"/>
        </w:rPr>
        <w:t>” under the Comprehensive Environmental Response, Compensation, and Liability Act of 1980, as amended.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5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reasonably be expected to,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the Company that has caused the Company to believe that the statistical and market-related data included in the Registration Statement, the Pricing Disclosure Package and the Final Prospectus Supplement is not based on or derived from sources that are reliable and accurate in all material respects, and, to the extent required by such sources, the Company has obtained the written consent to the use of such data from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8" w:firstLine="1304"/>
        <w:spacing w:after="0" w:line="252" w:lineRule="auto"/>
        <w:tabs>
          <w:tab w:leader="none" w:pos="15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w:t>
      </w:r>
      <w:r>
        <w:rPr>
          <w:rFonts w:ascii="Times New Roman" w:cs="Times New Roman" w:eastAsia="Times New Roman" w:hAnsi="Times New Roman"/>
          <w:sz w:val="18"/>
          <w:szCs w:val="18"/>
          <w:u w:val="single" w:color="auto"/>
          <w:color w:val="auto"/>
        </w:rPr>
        <w:t>accumulated post-retirement benefit obligations</w:t>
      </w:r>
      <w:r>
        <w:rPr>
          <w:rFonts w:ascii="Times New Roman" w:cs="Times New Roman" w:eastAsia="Times New Roman" w:hAnsi="Times New Roman"/>
          <w:sz w:val="18"/>
          <w:szCs w:val="18"/>
          <w:color w:val="auto"/>
        </w:rPr>
        <w:t>” (within the meaning of Statement of Financial Accounting Standards 106) of the Company and its subsidiaries compared to the amount of such obligations in the most recently completed fiscal year of the Company and its subsidiaries;</w:t>
      </w:r>
    </w:p>
    <w:p>
      <w:pPr>
        <w:spacing w:after="0" w:line="2"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89" w:lineRule="exact"/>
        <w:rPr>
          <w:sz w:val="20"/>
          <w:szCs w:val="20"/>
          <w:color w:val="auto"/>
        </w:rPr>
      </w:pPr>
    </w:p>
    <w:p>
      <w:pPr>
        <w:jc w:val="both"/>
        <w:ind w:left="-8" w:firstLine="1304"/>
        <w:spacing w:after="0" w:line="261" w:lineRule="auto"/>
        <w:tabs>
          <w:tab w:leader="none" w:pos="15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that are in effect and with which the Company is required to comply as of the Effective Date, including Section 402 relating to loans and Sections 302 and 906 relating to certifications.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any employee or agent of the Company or any of its subsidiaries has taken any action, directly or indirectly, (i) in furtherance of a corrupt offer, payment, promise to pay, or authorization or approval of the payment, giving or receipt of money, property, gifts or anything else of value,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secure an unlawful business advantage, or (ii) in violation of the U.S. Foreign Corrupt Practices Act of 1977 or the U.K. Bribery Act 2010, each as amended, or similar applicable law of any other relevant jurisdiction, or the rules or regulations thereunder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and its subsidiaries have instituted and maintained policies and procedures reasonably designed to promote and achieve compliance with Anti-Corruption Laws. No part of the proceeds of the offering will be used by the Company, its subsidiaries, or its affiliates, directly or, to the knowledge of the Company, indirectly, in violation of the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4" w:name="page15"/>
    <w:bookmarkEnd w:id="14"/>
    <w:p>
      <w:pPr>
        <w:jc w:val="both"/>
        <w:ind w:left="-1120" w:firstLine="1304"/>
        <w:spacing w:after="0" w:line="255" w:lineRule="auto"/>
        <w:tabs>
          <w:tab w:leader="none" w:pos="4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material compliance with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and the anti-money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6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any employee or agent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applicable sanctions authority where the Company or its subsidiaries operate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ordinarily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currently, Cuba, Iran, North Korea, Syria, Belarus, the so-called Donetsk People’s Republic, the so-called Luhansk People’s Republic, the Crimea region of Ukraine and other Covered Region (as defined in the Executive Order 14065) of Ukraine identified pursuant to the Executive Order 14065) or (iii) will, directly or knowingly indirectly, use the proceeds of this offering, or lend, contribute or otherwise make available such proceeds to any subsidiary, joint venture partner or other individual or entity to fund or facilitate any activities or business of or with a Sanctioned Person or Sanctioned Country, or in any other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knowingly engaged in any dealings or transactions with or for the benefit of a Sanctioned Person, or with or in a Sanctioned Country, in the preceding five (5) years, nor does the Company or any of its subsidiaries have any plans to engage in dealings or transactions with or for the benefit of a Sanctioned Person, or with or in a Sanctioned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jc w:val="both"/>
        <w:ind w:left="-1120" w:firstLine="1304"/>
        <w:spacing w:after="0" w:line="251" w:lineRule="auto"/>
        <w:tabs>
          <w:tab w:leader="none" w:pos="5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Company’s business in all material respects as now conducted or as proposed to be conducted in the Pricing Disclosure Package and the Final Prospectus Supplement, and, to the Company’s knowledge, the conduct of the respective businesses of the Company does not and will not infringe, misappropriate, or otherwise conflict in any material respect with any intellectual property of another. The Company and its subsidiaries have not received any written notice of any claim of infringement, misappropriation or conflict with any intellectual property right of another in connection with its patents, patent applications, patent rights, licenses, inventions, trademarks, service marks, trade names, copyrights and know-how, which could reasonably be expected to result in a Material Adverse Effect, and the Company is unaware of any facts which would form a reasonable basis for any such claim. There are no rights of third parties to any Intellectual Property owned by the Company and its subsidiaries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including no liens, security interests, or other encumbrances. To the Company’s knowledge, (a) there is no material infringement by third parties of any Company Intellectual Property; (b) there is no pending or, to the Company’s knowledge, threatened action, suit, proceeding or claim by others challenging the Company’s rights in or to any such Company Intellectual Property, and the Company is unaware of any facts which would form a reasonable basis for any such action, suit, proceeding, or claim; (c) such Company Intellectual Property has not been adjudged by a court of competent jurisdiction invalid or unenforceable, in whole or in part, there is no pending or, to the Company’s knowledge, threatened action, suit, proceeding or claim by others challenging the validity or scope of any such Company Intellectual Property, including interferences, oppositions, reexaminations, or government proceedings, and the Company is unaware of any facts which would form a reasonable basis for any such action, suit, proceeding, or claim; (d) there is no pending or, to the Company’s knowledge, threatened action, suit, proceeding or claim by others that the Company infringes, misappropriates, or otherwise violates, or would, upon the commercialization of any product or service described in the Pricing Disclosure Package and the Final Prospectus Supplement as under development, infringe, misappropriate, or otherwise violate, any patent, trademark, copyright, trade secret or other proprietary rights of others, and the Company is unaware of any other fact which would form a reasonable basis for any such action, suit, proceeding, or claim; (e) to the Company’s knowledge, the Company and its subsidiaries have taken all reasonable steps to protect, maintain and safeguard their Intellectual Property, including the execution of commercially reasonable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(f) to the Company’s knowledge, there are no material defects in any of the patents or patent applications included in the Intellectual Property; (g) there is no patent or published patent application in the U.S. or other jurisdiction which contains claims that dominate or may dominate any Intellectual Property described in the Pricing Disclosure Package and the Final Prospectus Supplement as being owned by or licensed to the Company or that interferes with the issued or pending claims of any such Intellectual Property; (h) there is no prior art of which the Company is aware that may render any patent held by the Company invalid or any patent application held by the Company unpatentable; and (i) all prior art of which the Company is aware that may be material to the validity of a U.S. patent or to the patentability of a U.S. patent application has been disclosed to the U.S. Patent and Trademark Office, and all such prior art has been disclosed to the patent office of other jurisdictions where required. All licenses to which the Company is a party relating to the Intellectual Property are in full force and effect and the Company is not in violation of any term of such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ind w:left="1640" w:hanging="336"/>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does not have any material lending or other relationship with any bank or lending affiliate of the Underwriters and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intend to use any of the proceeds from the sale of the Shares hereunder to repay any outstanding debt owed to any affiliate of the Underwriters.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of the Company are set forth in the Pricing Disclosure Package and the Final Prospectus Supplement and are the only significant subsidiaries of the Company as defined by Rule 1-02 of Regulation S-X under the Securities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security breach, unauthorized access, use, disclosure, modification, destruction or other incident or compromise of or relating to any of the Company’s or any of its subsidiaries’ information technology and computer systems, networks, hardware, software, data (including all personal information, personal data, personally identifiable information or similar information and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the Company and its subsidiaries have no knowledge of any specific event or condition that would reasonably be expected to result in, any such material security breach, unauthorized access, use, disclosure, modification, destruction or other compromise of their IT Systems and Data. The Company and its subsidiaries employ commercially reasonable physical, technical, and administrative security measures, controls, safeguards, policies and procedures designed to (a) protect all IT Systems and Data from and against material unauthorized access, use and/or disclosure and (b) maintain the integrity, continuous operation, redundancy and security of the IT Systems and Data. The Company and its subsidiaries are presently, and for the past four</w:t>
      </w:r>
    </w:p>
    <w:p>
      <w:pPr>
        <w:spacing w:after="0" w:line="6"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years have been, in compliance with all applicable laws, regulations and statutes, including to the extent applicable, the California Consumer Privacy Act and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(and all other applicable laws and regulations governing the data privacy and security of personal information or personal data), and all judgments, orders, rules, directives and decrees of any court or arbitrator or governmental or regulatory authority, company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and the Company and its subsidiaries have implemented backup and disaster recovery technology consistent with industry standards and practices.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proceeds received by the Company from the issuance, sale and delivery of the Shares as described in the Pricing Disclosure Package and the Final Prospectus Supplement will not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Shares or any transaction contemplated by this Agreement, the Registration Statement, Pricing Disclosure Package or the Final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1304"/>
        <w:spacing w:after="0" w:line="266" w:lineRule="auto"/>
        <w:tabs>
          <w:tab w:leader="none" w:pos="1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contained in either the Pricing Disclosure Package or the Final Prospectus Supplement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Pricing Disclosure Package and the Final Prospectus Supplement, each of the Company and the subsidiaries, and, to the Company’s knowledge, each of their affiliates and any director, officer or employee of, or other person associated with or acting on behalf of, the Company has acted at all times in compliance in all material respects with applicable Export and Import Laws (as defined below) and there are no claims, complaints, charges, investigations or proceedings pending or, to the knowledge of the Company, threatened between the Company or any of the subsidiaries and any governmental authority under any Export or Import Laws. The term “Export and Import Laws”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neither the Company nor any of its affiliates (within the meaning of FINRA Rule 5121(f)(1)) directly or indirectly controls (within the meaning of FINRA Rule 5121(f)(6)), is controlled by, or is under common control with, or is an associated person (within the meaning of Article I, Section 1(ee) of the bylaws of FINRA) of, any member firm of FINRA.</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counsel for the Underwriters in connection with the offering of the Shares shall be deemed a representation and warranty by the Company, as to matters covered thereby, to each Underwriter.</w:t>
      </w:r>
    </w:p>
    <w:p>
      <w:pPr>
        <w:spacing w:after="0" w:line="162" w:lineRule="exact"/>
        <w:rPr>
          <w:sz w:val="20"/>
          <w:szCs w:val="20"/>
          <w:color w:val="auto"/>
        </w:rPr>
      </w:pPr>
    </w:p>
    <w:p>
      <w:pPr>
        <w:jc w:val="both"/>
        <w:ind w:firstLine="656"/>
        <w:spacing w:after="0" w:line="266"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Subject to the terms and conditions and in reliance upon the representations and warranties herein set forth, the Company agrees to sell to each Underwriter, and each Underwriter agrees, severally and not jointly, to purchase from the Company, at a purchase price per share of $0.235, the number of Shares set forth opposite the name of such Underwriter in Schedule I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Shares shall be made at 10:00 AM, New York City time, on July 31, 2025, or at such time on such later date not more than two Business Days after the foregoing date as the Representative shall designate, which date and time may be postponed by agreement between the Representative and the Company or as provided in Section 9 hereof. Such time and date for delivery of the Shares is herein called the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Delivery of the Shares shall be made to the Representative for the respective accounts of the several Underwriters against payment by the several Underwriters through the Representative of the purchase price thereof to or upon the order of the Company by wire transfer payable in same-day funds to an account specified by the Company. Delivery of the Shares shall be made through the facilities of The Depository Trust Company unless the Representative shall otherwise instruct.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56" w:firstLine="656"/>
        <w:spacing w:after="0" w:line="282" w:lineRule="auto"/>
        <w:tabs>
          <w:tab w:leader="none" w:pos="1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Shares for sale to the public as set forth in the Final Prospectus Supplement.</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that: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9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offering of the Shares, the Company will not file any amendment of the Registration Statement or supplement (including any Preliminary Prospectus Supplement or the Final Prospectus Supplement) to the Base Prospectus or any Rule 462(b) Registration Statement unless the Company has furnished you a copy for your review prior to filing and will not file any such proposed amendment or supplement to which you reasonably object. The Company will cause the Final Prospectus Supplement, properly completed, and any supplement thereto to be filed in a form approved by the Representative with the SEC pursuant to the applicable paragraph of Rule 424(b) within the time period prescribed and will provide evidence satisfactory to the Representative of such timely filing. The Company will promptly advise the Representative (i) when the Final Prospectus Supplement, and any supplement thereto, shall have been filed (if required) with the SEC pursuant to Rule 424(b) or when any Rule 462(b) Registration Statement shall have been filed with the SEC, (ii) when, prior to termination of the offering of the Shares, any amendment to the Registration Statement shall have been filed or become effective, (iii) of any request by the SEC or its staff for any amendment of the Registration Statement, or any Rule 462(b) Registration Statement, or for any supplement to the Final Prospectus Supplement or for any additional information, (iv) of the issuance by the SEC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93"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filing of the Final Prospectus Supplement pursuant to Rule 424(b), any event occurs as a result of which the Pricing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any use of the Pricing Disclosure Package may cease until it is amended or supplemented; (ii) amend or supplement the Pricing Disclosure Package to correct such statement or omission; and (iii) supply any amendment or supplement to you in such quantities as you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9" w:name="page20"/>
    <w:bookmarkEnd w:id="19"/>
    <w:p>
      <w:pPr>
        <w:jc w:val="both"/>
        <w:ind w:left="-1120" w:firstLine="1304"/>
        <w:spacing w:after="0" w:line="253" w:lineRule="auto"/>
        <w:tabs>
          <w:tab w:leader="none" w:pos="4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Shares is required to be delivered under the Securities Act (including in circumstances where such requirement may be satisfied pursuant to Rule 172), any event occurs as a result of which the Final Prospectus Supplement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Supplement to comply with the Securities Act or the Exchange Act or the respective rules thereunder, including in connection with use or delivery of the Final Prospectus Supplement, the Company promptly will (i) notify the Representative of any such event, (ii) prepare and file with the SEC, subject to the second sentence of paragraph (a) of this Section 5,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Final Prospectus Supplement and (iv) supply any supplemented Final Prospectus Supplement to you in such quantities as you may reasonably request.</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 an earnings statement or statements of the Company and its subsidiaries which will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Supplement, the Final Prospectus Supplement and each Issuer Free Writing Prospectus and any supplement thereto as the Representative may reasonably request. The Company will pay the expenses of printing or other production of all documents relating to the offering.</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Shares for sale under the laws of such jurisdictions as the Representative may reasonably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 w:name="page21"/>
    <w:bookmarkEnd w:id="20"/>
    <w:p>
      <w:pPr>
        <w:jc w:val="both"/>
        <w:ind w:left="-1120" w:firstLine="1304"/>
        <w:spacing w:after="0" w:line="252" w:lineRule="auto"/>
        <w:tabs>
          <w:tab w:leader="none" w:pos="4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 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90 days after the date of this Agreement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(i) effect the transactions contemplated hereby, (ii) issue and sell Common Stock pursuant to any employee stock option plan, stock incentive plan, stock ownership plan or dividend reinvestment plan of the Company in effect at the Execution Time and as described in the Registration Statement, the Pricing Disclosure Package and the Final Prospectus Supplement (including the issuance of Common Stock issuable upon the exercise of options to purchase shares of Common Stock granted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newly appointed director or executive officer that is appointed during the Restricted Period and that is a recipient of such securities shall execute and deliver to the Representative a lock-up agreement substantially in the form of the lock-up letter described in Section 6(m) hereof covering the remainder of the Restricted Period, (iii) issue Common Stock issuable upon the conversion of securities or the exercise of warrants outstanding at the Execution Time, or (iv) Common Stock, or securities convertible into or exercisable for Common Stock, issued to the Company’s lenders in exchange for outstanding amounts under the Company’s loan agreements which are set forth in the Pricing Disclosure Package and the Final Prospectus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Company’s lenders shall execute and deliver to the Representative a lock-up agreement substantially in the form of the lock-up letter described in Section 6(m) hereof.</w:t>
      </w:r>
    </w:p>
    <w:p>
      <w:pPr>
        <w:spacing w:after="0" w:line="19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the Company will use its best efforts to enforce the terms of all existing agreements, plans and arrangements restricting the transfer by any holder of such holder’s shares of Common Stock or securities convertible into or exercisable or exchangeable for Common Stock. The Company will issue stop-transfer instructions to the transfer agent with respect to any transaction that would constitute a breach of, or default under, such provisions. During the Restricted Period, the Company will use its best efforts to enforce, and not waive or amend, such stop-transfer instructions and any transfer restriction, including any “market standoff,” “holdback” or similar agreement or provision, applicable to any such securities unless the Company shall have obtained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5(h) shall not prohibit the Company from effecting such a waiver or amendment to permit a transfer of securities which is permissible under the terms of the existing agreements, plans and arrangements restricting such transfers.</w:t>
      </w:r>
    </w:p>
    <w:p>
      <w:pPr>
        <w:spacing w:after="0" w:line="19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to maintain the listing for the Shares issued and sold by the Company on Nasdaq.</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3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(without giving effect to activities by the Underwriters),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1" w:name="page22"/>
    <w:bookmarkEnd w:id="21"/>
    <w:p>
      <w:pPr>
        <w:jc w:val="both"/>
        <w:ind w:left="-8" w:firstLine="1304"/>
        <w:spacing w:after="0" w:line="251"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pay the costs and expenses relating to the following matters: (i) the preparation, printing or reproduction and filing with the SEC of the Registration Statement (including financial statements and exhibits thereto), each Preliminary Prospectus Supplement, the Final Prospectus Supplement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Supplement, the Final Prospectus Supplement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to the Underwriters (but not any such stamp or transfer taxes imposed on a subsequent transfer of the Shares, which taxes shall not be subject to indemnification pursuant to this clause);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Underwriters relating to such registration and qualification); (vii) any filings required to be made with FINRA (including filing fees and the reasonable fees and expenses of counsel for the Underwriters relating to such filings); (viii) the reasonable fees and expenses of counsel for the Underwriters relating to the offering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fees and expenses of counsel for the Underwriters with respect to clauses (vi), (vii) and (viii) shall not exceed $110,000 in the aggregate;</w:t>
      </w:r>
    </w:p>
    <w:p>
      <w:pPr>
        <w:spacing w:after="0" w:line="1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and other expenses incurred by or on behalf of Company representatives in connection with presentations to prospective purchasers of the Shares; (x) the fees and expenses of the Company’s accountants and the fees and expenses of counsel (including local and special counsel) for the Company; (xi) certain out of pocket expenses of the Underwriters in an amount not to exceed $20,000; and (xii) all other costs and expenses incident to the performance by the Company of its obligations hereunder.</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required to be filed by the Company with the SEC or retained by the Company under Rule 433 under the 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written consent of the parties hereto shall be deemed to have been given in respect of the Free Writing Prospectuses included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and any electronic road show. Any such free writing prospectus consented to by the Representative or the Company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and Rule 433 applicable to any Permitted Free Writing Prospectus, including in respect of timely filing with the SEC, legending and record keeping.</w:t>
      </w:r>
    </w:p>
    <w:p>
      <w:pPr>
        <w:spacing w:after="0" w:line="194" w:lineRule="exact"/>
        <w:rPr>
          <w:rFonts w:ascii="Times New Roman" w:cs="Times New Roman" w:eastAsia="Times New Roman" w:hAnsi="Times New Roman"/>
          <w:sz w:val="18"/>
          <w:szCs w:val="18"/>
          <w:color w:val="auto"/>
        </w:rPr>
      </w:pPr>
    </w:p>
    <w:p>
      <w:pPr>
        <w:ind w:left="-8" w:firstLine="1304"/>
        <w:spacing w:after="0" w:line="282" w:lineRule="auto"/>
        <w:tabs>
          <w:tab w:leader="none" w:pos="15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 if the Company ceases to be an Emerging Growth Company at any time prior to the later of (a) completion of the distribution of the Shares within the meaning of the Securities Act and (b) completion of the Restricted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2" w:name="page23"/>
    <w:bookmarkEnd w:id="22"/>
    <w:p>
      <w:pPr>
        <w:jc w:val="both"/>
        <w:ind w:left="-656" w:firstLine="1304"/>
        <w:spacing w:after="0" w:line="25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Shares shall be subject to the accuracy of the representations and warranties on the part of the Company contained herein as of the Execution Time and each Time of Delivery, to the accuracy of the statements of the Company made in any certificates pursuant to the provisions hereof, to the performance by the Company of its obligations hereunder and to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Supplement,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(i) Lowenstein Sandler LLP, counsel for the Company, to have furnished to the Representative their opinion and negative assurance letter, dated each Time of Delivery, and addressed to the Representative, in a form reasonably acceptable to the Representative and (ii) Parsons Behle &amp; Latimer, Nevada counsel for the Company, to have furnished to the Representative their opinion, dated each Time of Delivery, and addressed to the Representative, in a form reasonably acceptable to the Representative.</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8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 of the Company shall have delivered to the Representative a certificate, at the Execution Time and at each Time of Delivery, letters, dated respectively as of the Execution Time and as of each Time of Delivery, in a form reasonably acceptable to the Representative.</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from Mintz, Levin, Cohn, Ferris, Glovsky and Popeo, P.C., counsel for the Underwriters, such opinion and negative assurance letter, dated each Time of Delivery and addressed to the Representative, with respect to the issuance and sale of the Shares, the Registration Statement, the Pricing Disclosure Package, the Final Prospectus Supplement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3" w:name="page24"/>
    <w:bookmarkEnd w:id="23"/>
    <w:p>
      <w:pPr>
        <w:jc w:val="both"/>
        <w:ind w:left="-1120" w:firstLine="1304"/>
        <w:spacing w:after="0" w:line="266" w:lineRule="auto"/>
        <w:tabs>
          <w:tab w:leader="none" w:pos="4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Wolf, Greenfield &amp; Sacks, P.C., intellectual property counsel for the Company, to have furnished to the Representative their opinion, dated each Time of Delivery, and addressed to the Representative, in a form reasonably acceptable to the Representative.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a certificate of the Company, signed by the Chief Executive Officer and the Chief Financial Officer of the Company, dated each Time of Delivery, to the effect that the signers of such certificate have carefully examined the Registration Statement, the Pricing Disclosure Package, the Final Prospectus Supplement and any amendment or supplement thereto, as well as each electronic road show used in connection with the offering of the Shares, and this Agreement and that:</w:t>
      </w:r>
    </w:p>
    <w:p>
      <w:pPr>
        <w:spacing w:after="0" w:line="179"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0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on and as of such Time of Delivery with the same effect as if made on such Time of Delivery and the Company has complied with all the agreements and satisfied all the conditions on its part to be performed or satisfied at or prior to such Time of Delivery;</w:t>
      </w:r>
    </w:p>
    <w:p>
      <w:pPr>
        <w:spacing w:after="0" w:line="175" w:lineRule="exact"/>
        <w:rPr>
          <w:rFonts w:ascii="Times New Roman" w:cs="Times New Roman" w:eastAsia="Times New Roman" w:hAnsi="Times New Roman"/>
          <w:sz w:val="18"/>
          <w:szCs w:val="18"/>
          <w:color w:val="auto"/>
        </w:rPr>
      </w:pPr>
    </w:p>
    <w:p>
      <w:pPr>
        <w:ind w:left="-1120" w:firstLine="1952"/>
        <w:spacing w:after="0" w:line="282" w:lineRule="auto"/>
        <w:tabs>
          <w:tab w:leader="none" w:pos="11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ind w:left="-1120" w:right="20" w:firstLine="1952"/>
        <w:spacing w:after="0" w:line="282" w:lineRule="auto"/>
        <w:tabs>
          <w:tab w:leader="none" w:pos="11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Pricing Disclosure Package and the Final Prospectus Supplement (exclusive of any amendment or supplement thereto), there has been no Material Adverse Effect.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CBIZ CPAs P.C. to have furnished to the Representative, at the Execution Time and at each Time of Delivery, letters, dated respectively as of the Execution Time and as of each Time of Delivery, in form and substance reasonably satisfactory to the Representative, containing statements and information of the type ordinarily included in accountants “comfort letters” to underwriters.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Registration Statement (exclusive of any amendment thereof) and the Final Prospectus Supplement (exclusive of any amendment or supplement thereto), there shall not have been (i) any change or decrease specified in the letter or letters referred to in paragraph (e)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the effect of which, in any case referred to in clause (i) or (ii) above, is, in the sole judgment of the Representative, so material and adverse as to make it impractical or inadvisable to proceed with the offering or delivery of the Shares as contemplated by the Registration Statement (exclusive of any amendment thereof), the Pricing Disclosure Package and the Final Prospectus Supplement (exclusive of any amendment or supplement thereto).</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Time of Delivery, the Company shall have furnished to the Representative a Secretary’s Certificate, in form and substance reasonably satisfactory to the Representative and customary for the type of offering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 w:name="page25"/>
    <w:bookmarkEnd w:id="24"/>
    <w:p>
      <w:pPr>
        <w:ind w:firstLine="1304"/>
        <w:spacing w:after="0" w:line="282" w:lineRule="auto"/>
        <w:tabs>
          <w:tab w:leader="none" w:pos="15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Time of Delivery, the Company shall have furnished to the Representative such further information, certificates and documents as the Representative may reasonably request.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(and prior to each Time of Delivery, will be) no debt securities, convertible securities or preferred stock issued or guaranteed by the Company or any of its subsidiaries that are rated by a “nationally recognized statistical rating organization” (as defined for purposes of Rule 3(a)(62) under the Exchange Act).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 listing of additional shares covering the Shares with Nasdaq, and satisfactory evidence of such actions shall have been provided to the Representative.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Execution Time, the Company shall have furnished to the Representative a letter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executive officer and director of the Company and certain stockholders of the Company identified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addressed to the Representative.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respective Time of Delivery by the Representative. Notice of such cancellation shall be given to the Company in writing or by telephone or facsimile confirmed in writing.</w:t>
      </w:r>
    </w:p>
    <w:p>
      <w:pPr>
        <w:spacing w:after="0" w:line="183" w:lineRule="exact"/>
        <w:rPr>
          <w:sz w:val="20"/>
          <w:szCs w:val="20"/>
          <w:color w:val="auto"/>
        </w:rPr>
      </w:pPr>
    </w:p>
    <w:p>
      <w:pPr>
        <w:jc w:val="both"/>
        <w:ind w:firstLine="656"/>
        <w:spacing w:after="0" w:line="256" w:lineRule="auto"/>
        <w:tabs>
          <w:tab w:leader="none" w:pos="8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Shares provided for herein is not consummated because any condition to the obligations of the Underwriters set forth in Section 6 hereof is not satisfied, because of any termination pursuant to Section 9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and documented expenses (including reasonable fees and disbursements of counsel for the Underwriters) that shall have been incurred by them in connection with the proposed purchase and sale of the Shares, subject to the limitations set forth in Section 5(k).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any Preliminary Prospectus Supplement, the Pricing Disclosure Package or the Final Prospectus Supplement, any Issuer Free Writing Prospectus (including, for the avoidance of doubt, in any road show as defined in Rule 433(h) under the Securities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documented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This indemnity agreement will be in addition to any liability which the Company may otherwise have.</w:t>
      </w:r>
    </w:p>
    <w:p>
      <w:pPr>
        <w:spacing w:after="0" w:line="19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9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in the paragraphs under the headings “– Discretionary Accounts,” “– Stabilization,” “– Passive Market Making,” and “– Electronic Offer, Sale and Distribution of Securities” in the “Underwriting” section of the Preliminary Prospectus Supplement and the Final Prospectus Supplement constitute the only information furnished in writing by or on behalf of the several Underwriters for inclusion in the Preliminary Prospectus Supplement, the Pricing Disclosure Package, the Final Prospectus Supplement or any Issuer Free Writing Prospectus or any Written Testing-the-Waters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6" w:name="page27"/>
    <w:bookmarkEnd w:id="26"/>
    <w:p>
      <w:pPr>
        <w:jc w:val="both"/>
        <w:ind w:left="-8" w:firstLine="1304"/>
        <w:spacing w:after="0" w:line="255" w:lineRule="auto"/>
        <w:tabs>
          <w:tab w:leader="none" w:pos="15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(it being understood, however, that the indemnifying party shall not be liable for the expenses of more than one separate counsel in addition to local counsel)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51" w:lineRule="auto"/>
        <w:tabs>
          <w:tab w:leader="none" w:pos="15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one or more of the Underwriters may be subject in such proportion as is appropriate to reflect the relative benefits received by the Company on the one hand and by the Underwriters on the other from the offering of the Shares.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Supplement.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7" w:name="page28"/>
    <w:bookmarkEnd w:id="27"/>
    <w:p>
      <w:pPr>
        <w:jc w:val="both"/>
        <w:ind w:left="-656" w:firstLine="656"/>
        <w:spacing w:after="0" w:line="254" w:lineRule="auto"/>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 by notice given to the Company prior to delivery of and payment for the Shares, if at any time prior to such delivery and payment (i) trading in the Company’s Common Stock shall have been suspended by the SEC or Nasdaq or trading in securities generally on Nasdaq shall have been suspended or limited or minimum prices shall have been established on such exchange,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or escalation thereof the effect of which on financial markets is such as to make it, in the sole judgment of the Representative, impractical or inadvisable to proceed with the offering or delivery of the Shares as contemplated by the Preliminary Prospectus Supplement or the Final Prospectus Supplement (exclusive of any amendment or supplement thereto).</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Shares. The provisions of Sections 7 and 8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 will be mailed, delivered or telefaxed Canaccord Genuity LLC, As Representative of the Several Underwriters, 1 Post Office Square, 30th Floor, Boston, MA 02109, Attention: Equity Capital Markets; or, if sent to the Company, will be mailed, delivered or telefaxed to 1190 Trademark Drive, #108, Reno, Nevada 89521, Attention: Dominic Sinnott, General Counsel.</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8" w:name="page29"/>
    <w:bookmarkEnd w:id="28"/>
    <w:p>
      <w:pPr>
        <w:jc w:val="both"/>
        <w:ind w:firstLine="656"/>
        <w:spacing w:after="0" w:line="261" w:lineRule="auto"/>
        <w:tabs>
          <w:tab w:leader="none" w:pos="9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the Underwriters and any affiliate through which it may be acting, on the other,</w:t>
      </w:r>
    </w:p>
    <w:p>
      <w:pPr>
        <w:jc w:val="both"/>
        <w:ind w:firstLine="8"/>
        <w:spacing w:after="0" w:line="252"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Section 14,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firstLine="656"/>
        <w:spacing w:after="0" w:line="282"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656"/>
        <w:spacing w:after="0" w:line="258"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Agreement and your acceptance shall represent a binding agreement among the Company and the several Underwriters.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Interim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right="4799"/>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Pardi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Pardi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right="4979"/>
        <w:spacing w:after="0" w:line="282" w:lineRule="auto"/>
        <w:rPr>
          <w:sz w:val="20"/>
          <w:szCs w:val="20"/>
          <w:color w:val="auto"/>
        </w:rPr>
      </w:pPr>
      <w:r>
        <w:rPr>
          <w:rFonts w:ascii="Times New Roman" w:cs="Times New Roman" w:eastAsia="Times New Roman" w:hAnsi="Times New Roman"/>
          <w:sz w:val="18"/>
          <w:szCs w:val="18"/>
          <w:color w:val="auto"/>
        </w:rPr>
        <w:t xml:space="preserve">For itself and the other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foregoing Agreement.</w:t>
      </w:r>
    </w:p>
    <w:p>
      <w:pPr>
        <w:spacing w:after="0" w:line="160"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SCHEDULE I</w:t>
      </w:r>
    </w:p>
    <w:p>
      <w:pPr>
        <w:sectPr>
          <w:pgSz w:w="11900" w:h="16838" w:orient="portrait"/>
          <w:cols w:equalWidth="0" w:num="1">
            <w:col w:w="9019"/>
          </w:cols>
          <w:pgMar w:left="1440" w:top="688"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498919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Canaccord Genuity LLC</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Number of Shares to</w:t>
      </w:r>
    </w:p>
    <w:p>
      <w:pPr>
        <w:spacing w:after="0" w:line="2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be Purchased</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21,980,000</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21,980,000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-127635</wp:posOffset>
            </wp:positionV>
            <wp:extent cx="951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ectPr>
          <w:pgSz w:w="11900" w:h="16838" w:orient="portrait"/>
          <w:cols w:equalWidth="0" w:num="2">
            <w:col w:w="6180" w:space="720"/>
            <w:col w:w="2119"/>
          </w:cols>
          <w:pgMar w:left="1440" w:top="688" w:right="1440"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r>
      <w:tr>
        <w:trPr>
          <w:trHeight w:val="45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Pricing Information</w:t>
            </w:r>
          </w:p>
        </w:tc>
        <w:tc>
          <w:tcPr>
            <w:tcW w:w="18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Shares to be sold:</w:t>
            </w: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21,980,000 shares of Common Stock</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$0.25 per share of Common Stock</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3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34" w:name="page35"/>
    <w:bookmarkEnd w:id="34"/>
    <w:p>
      <w:pPr>
        <w:jc w:val="right"/>
        <w:ind w:right="3939"/>
        <w:spacing w:after="0"/>
        <w:rPr>
          <w:sz w:val="20"/>
          <w:szCs w:val="20"/>
          <w:color w:val="auto"/>
        </w:rPr>
      </w:pPr>
      <w:r>
        <w:rPr>
          <w:rFonts w:ascii="Times New Roman" w:cs="Times New Roman" w:eastAsia="Times New Roman" w:hAnsi="Times New Roman"/>
          <w:sz w:val="18"/>
          <w:szCs w:val="18"/>
          <w:u w:val="single" w:color="auto"/>
          <w:color w:val="auto"/>
        </w:rPr>
        <w:t>SCHEDULE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5" w:name="page36"/>
    <w:bookmarkEnd w:id="35"/>
    <w:p>
      <w:pPr>
        <w:jc w:val="right"/>
        <w:ind w:right="3919"/>
        <w:spacing w:after="0"/>
        <w:rPr>
          <w:sz w:val="20"/>
          <w:szCs w:val="20"/>
          <w:color w:val="auto"/>
        </w:rPr>
      </w:pPr>
      <w:r>
        <w:rPr>
          <w:rFonts w:ascii="Times New Roman" w:cs="Times New Roman" w:eastAsia="Times New Roman" w:hAnsi="Times New Roman"/>
          <w:sz w:val="18"/>
          <w:szCs w:val="18"/>
          <w:u w:val="single" w:color="auto"/>
          <w:color w:val="auto"/>
        </w:rPr>
        <w:t>SCHEDULE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Wade Seaburg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Tyler Bourns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Vickram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Luisa Ingargiola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6" w:name="page37"/>
    <w:bookmarkEnd w:id="36"/>
    <w:p>
      <w:pPr>
        <w:ind w:left="1036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__ ,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Proposed Registered Follow-On Offering by Dragonfly Energy Holdings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a securityholder and/or officer and/or a director of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Canaccord Genuity LLC (“</w:t>
      </w:r>
      <w:r>
        <w:rPr>
          <w:rFonts w:ascii="Times New Roman" w:cs="Times New Roman" w:eastAsia="Times New Roman" w:hAnsi="Times New Roman"/>
          <w:sz w:val="18"/>
          <w:szCs w:val="18"/>
          <w:u w:val="single" w:color="auto"/>
          <w:color w:val="auto"/>
        </w:rPr>
        <w:t>Canaccord</w:t>
      </w:r>
      <w:r>
        <w:rPr>
          <w:rFonts w:ascii="Times New Roman" w:cs="Times New Roman" w:eastAsia="Times New Roman" w:hAnsi="Times New Roman"/>
          <w:sz w:val="18"/>
          <w:szCs w:val="18"/>
          <w:color w:val="auto"/>
        </w:rPr>
        <w:t>”) and certain other underwriters propose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relating to the proposed registered follow-on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other securities of the Company. Canaccord will act as the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of the several underwriters. The undersigned acknowledges that the underwriters are relying on the representations and agreements of the undersigned contained in this lock-up agreement in conducting the Offering and, at a subsequent date, in entering into the Underwriting Agreement and other underwriting arrangements with the Company with respect to the Offering.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recognition of the benefit that the Offering will confer upon the undersigned as a securityholder and/or officer and/or a director of the Company, and for other good and valuable consideration, the receipt and sufficiency of which are hereby acknowledged, the undersigned agrees that, during the period beginning on the date hereof and ending on the date that is 90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(and will cause any immediate family member not to), without the prior written consent of the Representative, which may withhold its consent in its sole discretion, directly or indirectly, (i) sell, offer to sell, contract to sell or lend, effect any short sale or establish or increase a Put Equivalent Position (as defined in Rule 16a-1(h)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 in each case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(ii) make any demand for, or exercise any right with respect to the registration of any of the Lock-Up Securities, or the filing of any registration statement, prospectus or prospectus supplement (or an amendment or supplement thereto) in connection therewith, under the Securities Act of 1933, as amended, (iii) enter into any swap, hedge or any other agreement or any transaction that transfers, in whole or in part, the economic consequence of ownership of the Lock-Up Securities, whether any such swap or transaction is to be settled by delivery of Common Stock or other securities, in cash or otherwise, or (iv) publicly announce the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pursuant to clauses (i) through</w:t>
      </w:r>
    </w:p>
    <w:p>
      <w:pPr>
        <w:spacing w:after="0" w:line="27" w:lineRule="exact"/>
        <w:rPr>
          <w:sz w:val="20"/>
          <w:szCs w:val="20"/>
          <w:color w:val="auto"/>
        </w:rPr>
      </w:pPr>
    </w:p>
    <w:p>
      <w:pPr>
        <w:jc w:val="both"/>
        <w:ind w:firstLine="8"/>
        <w:spacing w:after="0" w:line="252" w:lineRule="auto"/>
        <w:tabs>
          <w:tab w:leader="none" w:pos="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without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in the case of clauses (i) through (v), prior to any such transfer, the Representative receives a signed lock-up agreement, substantially in the form of this lock-up agreement, for the balance of the Lock-Up Period from each donee, trustee, distributee or transferee, as the case may be, (2) in the case of clauses (i) through (v), any such transfer shall not involve a disposition for value, (3) any required public filings or report under Section 16 of the Exchange Act during the Lock-Up Period shall clearly indicate in the footnotes thereto that the such transfer is being made pursuant to the circumstances described below, and (4) the undersigned does not otherwise voluntarily effect any public filing or report regarding such transfers:</w:t>
      </w:r>
    </w:p>
    <w:p>
      <w:pPr>
        <w:spacing w:after="0" w:line="187" w:lineRule="exact"/>
        <w:rPr>
          <w:rFonts w:ascii="Times New Roman" w:cs="Times New Roman" w:eastAsia="Times New Roman" w:hAnsi="Times New Roman"/>
          <w:sz w:val="18"/>
          <w:szCs w:val="18"/>
          <w:color w:val="auto"/>
        </w:rPr>
      </w:pPr>
    </w:p>
    <w:p>
      <w:pPr>
        <w:ind w:firstLine="656"/>
        <w:spacing w:after="0" w:line="284" w:lineRule="auto"/>
        <w:tabs>
          <w:tab w:leader="none" w:pos="8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bona fide gift or gifts, including, without limitation, to a charitable organization or educational institution,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or</w:t>
      </w:r>
    </w:p>
    <w:p>
      <w:pPr>
        <w:spacing w:after="0" w:line="160" w:lineRule="exact"/>
        <w:rPr>
          <w:rFonts w:ascii="Times New Roman" w:cs="Times New Roman" w:eastAsia="Times New Roman" w:hAnsi="Times New Roman"/>
          <w:sz w:val="18"/>
          <w:szCs w:val="18"/>
          <w:color w:val="auto"/>
        </w:rPr>
      </w:pPr>
    </w:p>
    <w:p>
      <w:pPr>
        <w:ind w:firstLine="656"/>
        <w:spacing w:after="0" w:line="282" w:lineRule="auto"/>
        <w:tabs>
          <w:tab w:leader="none" w:pos="9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(defined below) of the undersigned, or if the undersigned is a trust, to a trustor, trustee or beneficiary of the trust or to the estate of a trustor, trustee, or beneficiary of such trust;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permitted transferee (defined below);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or in connection with a settlement related to the distribution of assets in connection with the dissolution of marriage or civil union;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to the legal representative, heir, beneficiary or immediate family of the undersigned upon the death of the undersigned; or</w:t>
      </w:r>
    </w:p>
    <w:p>
      <w:pPr>
        <w:spacing w:after="0" w:line="159" w:lineRule="exact"/>
        <w:rPr>
          <w:rFonts w:ascii="Times New Roman" w:cs="Times New Roman" w:eastAsia="Times New Roman" w:hAnsi="Times New Roman"/>
          <w:sz w:val="18"/>
          <w:szCs w:val="18"/>
          <w:color w:val="auto"/>
        </w:rPr>
      </w:pPr>
    </w:p>
    <w:p>
      <w:pPr>
        <w:jc w:val="both"/>
        <w:ind w:firstLine="656"/>
        <w:spacing w:after="0" w:line="258"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 party tender offer, merger, consolidation or other similar transaction made to all holders of Common Stock that has been approved by the Company’s board of directors, which results in any person or group of persons becoming the beneficial owners (as defined in Rules 13d-3 and 13d-5 of the Exchange Act) of more than 50%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Common Stock shall remain subject to the provisions of this lock-up agreement.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further agrees that the foregoing provisions shall be equally applicable to any Common Stock the undersigned may purchase or otherwise receive in the Offering.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Furthermore, notwithstanding the restrictions imposed by this lock-up agreement, the undersigned may, without the prior written consent of the Representative: (a) exercise an option to purchase shares of Common Stock granted under any stock incentive plan of the Company, which plan is described in the prospectus supplement related to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shares of Common Stock shall continue to be subject to the restrictions on transfer set forth in this lock-up agreement and if the undersigned is required to file a report under Section 16 of the Exchange Act reporting a reduction in beneficial ownership of shares of Common Stock during the Lock-Up Period, the undersigned shall clearly indicate in the footnotes thereto the nature and conditions of such exercise or transfer and no other filing or public announcement shall be made voluntarily during the Lock-Up Period in connection with such exercise or transfer; (b) establish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Common Stock during the Lock-Up Period; (c) transfer or dispose of shares of Common Stock purchased in the Offering from the underwriters or on the open market following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the Exchange Act reporting a reduction in beneficial ownership of shares of Common Stock shall be voluntarily made during the Lock-Up Period; or (d) sell Lock-Up Securities for tax withholding purposes in connection with the vesting of equity awards that are subject to a taxable event upon vesting of the Company’s securities, it being understood that all shares of Common Stock received upon such vesting or transfer will remain subject to the restrictions of this lock-up agreement during the Lock-Up Period,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file a report under the Exchange Act reporting a reduction in beneficial ownership of the undersigned’s Common Stock during the Lock-Up Period related to such disposition, the undersigned shall include a statement in such report to the effect that the filing relates to the satisfaction of tax withholding obligations of the undersigned in connection with such vesting event and no other filing or public announcement shall be made voluntarily during the Lock-Up Period in connection with such vesting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of Common Stock and/or any options or warrants or other rights to acquire Common Stock or any securities exchangeable or exercisable for or convertible into Common Stock, or to acquire other securities or rights ultimately exchangeable or exercisable for or convertible into Common Stock, owned either of record or beneficially by the undersigned, including any rights to receive notice of the Offering.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immediate family member has, directly or indirectly, taken any action designed to or that might reasonably be expected to cause or result in the stabilization or manipulation of the price of any security of the Company to facilitate the sale of the Common Stock The undersigned will not, and will cause any immediate family member not to take, directly or indirectly, any such action.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“permitted transferee” shall mean (a) the members of the undersigned’s immediate family (for purposes of this lock-up agreement, “immediate family” shall mean the spouse, domestic partner, lineal descendant (including adopted and step-children) and his or her spouse, father, mother, the siblings of such person and his or her spouse, or any other person with whom the undersigned has a relationship by blood, marriage or adoption not more remote than first cousin), (b) if the undersigned is a corporation, limited liability company, partnership or other entity, its partners, shareholders, members of, or owners of similar equity interests in the undersigned by way of distribution upon the liquidation and dissolution of the undersigned or (c) any affiliate of the undersigned.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represents and warrants that the undersigned has full power, capacity and authority to enter into this lock-up agreement. This lock-up agreement is irrevocable and will be binding on the undersigned and the successors, heirs, personal representatives and assigns of the undersigned.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Representative.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its obligations hereunder, upon the earliest to occur, if any, of (i) the Company advising the Representative in writing, prior to the execution of the Underwriting Agreement, that it has determined not to proceed with the Offering, (ii) the executed Underwriting Agreement being terminated prior to the closing of the Offering (other than the provisions thereof that survive termination), and (iii) August 31, 2025, in the event that the Underwriting Agreement has not been executed by such date.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Securityholder/Director/Officer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By:</w:t>
      </w:r>
    </w:p>
    <w:p>
      <w:pPr>
        <w:spacing w:after="0" w:line="4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line="260" w:lineRule="auto"/>
        <w:rPr>
          <w:sz w:val="20"/>
          <w:szCs w:val="20"/>
          <w:color w:val="auto"/>
        </w:rPr>
      </w:pPr>
      <w:r>
        <w:rPr>
          <w:rFonts w:ascii="Times New Roman" w:cs="Times New Roman" w:eastAsia="Times New Roman" w:hAnsi="Times New Roman"/>
          <w:sz w:val="18"/>
          <w:szCs w:val="18"/>
          <w:color w:val="auto"/>
        </w:rPr>
        <w:t>(indicate capacity of person signing if signing as custodian,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264160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688" w:right="7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156845</wp:posOffset>
            </wp:positionV>
            <wp:extent cx="822960" cy="822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50 West Liberty Street, Suite 750</w:t>
            </w:r>
          </w:p>
        </w:tc>
        <w:tc>
          <w:tcPr>
            <w:tcW w:w="250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Reno, Nevada 89501</w:t>
            </w:r>
          </w:p>
        </w:tc>
        <w:tc>
          <w:tcPr>
            <w:tcW w:w="25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A Professional</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Main 775.323.1601</w:t>
            </w:r>
          </w:p>
        </w:tc>
        <w:tc>
          <w:tcPr>
            <w:tcW w:w="25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Law Corporation</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Fax 775.348.7250</w:t>
            </w:r>
          </w:p>
        </w:tc>
        <w:tc>
          <w:tcPr>
            <w:tcW w:w="250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25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July 30, 2025</w:t>
            </w: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Dragonfly Energy Holdings Corp.</w:t>
            </w:r>
          </w:p>
        </w:tc>
        <w:tc>
          <w:tcPr>
            <w:tcW w:w="25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12915 Old Virginia Road</w:t>
            </w:r>
          </w:p>
        </w:tc>
        <w:tc>
          <w:tcPr>
            <w:tcW w:w="25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Reno, NV 89521</w:t>
            </w:r>
          </w:p>
        </w:tc>
        <w:tc>
          <w:tcPr>
            <w:tcW w:w="2500" w:type="dxa"/>
            <w:vAlign w:val="bottom"/>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Prospectus Supplement to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of (i) the Registration Statement on Form S-3 (Registration No. 333-275559), which was declared effective on November 24, 2023,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so filed,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contained in the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(ii) the prospectus supplement to the Registration Statement, dated July 30,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issuance and sale by the Company of 21,980,000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to be sold pursuant to an Underwriting Agreement, dated July 30, 2025, by and between the Company and Canaccord Genuity LLC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We have been requested by the Company to render this opinion in connection with the filing of the Form 8-K with respect to the sale and issuance by the Company of the Shares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the opinions in this opinion letter, we have assumed that the issuance of the Shares will not exceed the number of authorized shares. In rendering the opinion expressed below, we have assumed without verification the genuineness of all signatures, the legal capacity of natural persons, the authenticity of all documents submitted to us as originals, the conformity to the originals of all documents submitted to us as copies and the authenticity of the originals of such copies.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such examination, and subject to the qualifications, assumptions and limitations stated herein, it is our opinion that the Shares have been duly authorized by all requisite corporate action on the part of the Company and, upon their issuance, delivery and payment therefor in the manner contemplated by the Registration Statement, Base Prospectus and Prospectus Supplement, and pursuant to the terms of the Underwriting Agreement, the Shares will be validly issued, fully paid and non-assessable.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the opinions in this opinion letter, we have examined and relied on the representations and warranties as to factual matters contained in the Registration Statement, and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in this opinion letter are given as of the date hereof. We assume no obligation to advise you of changes that may hereafter be brought to our attention.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inclusion of this opinion letter as Exhibit 5. 1 to the Form 8-K and further consent to all references to us under the caption “Legal Matters” in the Prospectus Supplement. In giving this consent, we do not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Proposed Public Offering of Common Stock and Pre-Funded Warrants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RENO, Nev. (July 29, 2025) — </w:t>
      </w:r>
      <w:r>
        <w:rPr>
          <w:rFonts w:ascii="Times New Roman" w:cs="Times New Roman" w:eastAsia="Times New Roman" w:hAnsi="Times New Roman"/>
          <w:sz w:val="18"/>
          <w:szCs w:val="18"/>
          <w:color w:val="auto"/>
        </w:rPr>
        <w:t>Dragonfly Energy Holdings Corp. (“Dragonfly Energy” or the “Company”) (Nasdaq: DFLI), an industry leader in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storage and battery technology, today announced that it has commenced an underwritten public offering of shares of its common stock and, in lieu of common stock to investors who so choose, pre-funded warrants to purchase shares of its common stock. In addition, Dragonfly Energy expects to grant the underwriter a 30-day option to purchase up to an additional 15% of the securities to be sold in the proposed offering at the public offering price for the common stock, less underwriting discounts and commissions. All shares of common stock and pre-funded warrants are being offered by Dragonfly Energy. The proposed offering is subject to market and other conditions, and there can be no assurance as to whether or when the offering may be completed, or the actual size or terms of the proposed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is acting as the sole bookrunner for the proposed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Dragonfly Energy intends to use the net proceeds from the proposed offering for working capital and other general corporate purposes, including the repayment of its indebtedness in the ordinary course.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proposed offering is being made pursuant to a shelf registration statement on Form S-3 (File No. 333-275559) that was declared effective by the Securities and Exchange Commission (“SEC”) on November 24, 2023. A preliminary prospectus supplement and accompanying prospectus relating to the proposed offering will be filed with the SEC and will be available for free on the SEC’s website, located at www.sec.gov. Copies of the preliminary prospectus supplement and the accompanying prospectus relating to the proposed offering may be obtained, when available, from Canaccord Genuity LLC, Attention: Syndication Department, One Post Office Square, Suite 3000, Boston, Massachusetts 02109, or by telephone at (617) 371-3900, or by email at prospectus@cgf.com.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about the Company’s expectations regarding the completion, timing and size of its public offering and the anticipated use of proceeds therefrom.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Words such as “believe,” “anticipate,” “plan,” “expect,” “intend,” “may,” “goal,” “potential” and similar expressions are intended to identify forward-looking statements, though not all forward-looking statements necessarily contain these identifying words. Among the factors that could cause actual results to differ materially from those indicated in the forward-looking statements are risks and uncertainties associated with market conditions and the satisfaction of customary closing conditions related to the proposed offering, as well as risks and uncertainties associated with the Company’s business and finances in general, including the risks and uncertainties in the section captioned “Risk Factors” in the preliminary prospectus supplement related to the proposed offering that will be filed with the SEC, the Company’s most recently filed Annual Report on Form 10-K and subsequently filed Quarterly Reports on Form 10-Q. There can be no assurances that we will be able to complete the proposed offering on the anticipated terms, or at all.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of this press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Pricing of $5.5 Million Public Offering of Common Stock</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RENO, Nev. (July 30, 2025) — </w:t>
      </w:r>
      <w:r>
        <w:rPr>
          <w:rFonts w:ascii="Times New Roman" w:cs="Times New Roman" w:eastAsia="Times New Roman" w:hAnsi="Times New Roman"/>
          <w:sz w:val="18"/>
          <w:szCs w:val="18"/>
          <w:color w:val="auto"/>
        </w:rPr>
        <w:t>Dragonfly Energy Holdings Corp. (“Dragonfly Energy” or the “Company”) (Nasdaq: DFLI), an industry leader in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storage and battery technology, today announced the pricing of an underwritten public offering of 21,980,000 shares of common stock at a price to the public of $0.25 per share, for gross proceeds of approximately $5.5 million, before deducting underwriting discounts and commissions and other estimated offering expenses. All shares of common stock are being offered by Dragonfly Energy. The offering is expected to close on or about July 31, 2025, subject to the satisfaction of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is acting as the sole bookrunner for the offering.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intends to use the net proceeds from the offering for working capital and other general corporate purposes, including the repayment of its indebtedness in the ordinary course.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(File No. 333-275559) that was declared effective by the Securities and Exchange Commission (“SEC”) on November 24, 2023. A preliminary prospectus supplement and accompanying prospectus relating to the offering has been filed with the SEC and a final prospectus supplement with the final terms of the offering will be filed with the SEC and will be available for free on the SEC’s website, located at www.sec.gov. Copies of the final prospectus supplement and the accompanying prospectus relating to the offering may be obtained, when available, from Canaccord Genuity LLC, Attention: Syndication Department, One Post Office Square, Suite 3000, Boston, Massachusetts 02109, or by telephone at (617) 371-3900, or by email at prospectus@cgf.com.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about the Company’s expectations regarding the satisfaction of customary closing conditions related to the offering and the anticipated use of proceeds therefrom.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Words such as “believe,” “anticipate,” “plan,” “expect,” “intend,” “may,” “goal,” “potential” and similar expressions are intended to identify forward-looking statements, though not all forward-looking statements necessarily contain these identifying words. Among the factors that could cause actual results to differ materially from those indicated in the forward-looking statements are risks and uncertainties associated with market conditions and the satisfaction of customary closing conditions related to the offering, as well as risks and uncertainties associated with the Company’s business and finances in general, including the risks and uncertainties in the section captioned “Risk Factors” in the preliminary prospectus supplement related to the offering that will be filed with the SEC, the Company’s most recently filed Annual Report on Form 10-K and subsequently filed Quarterly Report on Form 10-Q. There can be no assurances that we will be able to complete the offering on the anticipated terms, or at all.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of this press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5"/>
    </w:lvl>
  </w:abstractNum>
  <w:abstractNum w:abstractNumId="4">
    <w:nsid w:val="333AB105"/>
    <w:multiLevelType w:val="hybridMultilevel"/>
    <w:lvl w:ilvl="0">
      <w:lvlJc w:val="left"/>
      <w:lvlText w:val="(%1)"/>
      <w:numFmt w:val="lowerLetter"/>
      <w:start w:val="11"/>
    </w:lvl>
  </w:abstractNum>
  <w:abstractNum w:abstractNumId="5">
    <w:nsid w:val="721DA317"/>
    <w:multiLevelType w:val="hybridMultilevel"/>
    <w:lvl w:ilvl="0">
      <w:lvlJc w:val="left"/>
      <w:lvlText w:val="(%1)"/>
      <w:numFmt w:val="lowerLetter"/>
      <w:start w:val="17"/>
    </w:lvl>
  </w:abstractNum>
  <w:abstractNum w:abstractNumId="6">
    <w:nsid w:val="2443A858"/>
    <w:multiLevelType w:val="hybridMultilevel"/>
    <w:lvl w:ilvl="0">
      <w:lvlJc w:val="left"/>
      <w:lvlText w:val="(%1)"/>
      <w:numFmt w:val="lowerLetter"/>
      <w:start w:val="19"/>
    </w:lvl>
  </w:abstractNum>
  <w:abstractNum w:abstractNumId="7">
    <w:nsid w:val="2D1D5AE9"/>
    <w:multiLevelType w:val="hybridMultilevel"/>
    <w:lvl w:ilvl="0">
      <w:lvlJc w:val="left"/>
      <w:lvlText w:val="(%1)"/>
      <w:numFmt w:val="lowerLetter"/>
      <w:start w:val="26"/>
    </w:lvl>
  </w:abstractNum>
  <w:abstractNum w:abstractNumId="8">
    <w:nsid w:val="6763845E"/>
    <w:multiLevelType w:val="hybridMultilevel"/>
    <w:lvl w:ilvl="0">
      <w:lvlJc w:val="left"/>
      <w:lvlText w:val="(%1)"/>
      <w:numFmt w:val="lowerLetter"/>
      <w:start w:val="27"/>
    </w:lvl>
  </w:abstractNum>
  <w:abstractNum w:abstractNumId="9">
    <w:nsid w:val="75A2A8D4"/>
    <w:multiLevelType w:val="hybridMultilevel"/>
    <w:lvl w:ilvl="0">
      <w:lvlJc w:val="left"/>
      <w:lvlText w:val="(%1)"/>
      <w:numFmt w:val="lowerLetter"/>
      <w:start w:val="30"/>
    </w:lvl>
  </w:abstractNum>
  <w:abstractNum w:abstractNumId="10">
    <w:nsid w:val="8EDBDAB"/>
    <w:multiLevelType w:val="hybridMultilevel"/>
    <w:lvl w:ilvl="0">
      <w:lvlJc w:val="left"/>
      <w:lvlText w:val="%1"/>
      <w:numFmt w:val="lowerRoman"/>
      <w:start w:val="1"/>
    </w:lvl>
    <w:lvl w:ilvl="1">
      <w:lvlJc w:val="left"/>
      <w:lvlText w:val="(%2)"/>
      <w:numFmt w:val="lowerRoman"/>
      <w:start w:val="2"/>
    </w:lvl>
  </w:abstractNum>
  <w:abstractNum w:abstractNumId="11">
    <w:nsid w:val="79838CB2"/>
    <w:multiLevelType w:val="hybridMultilevel"/>
    <w:lvl w:ilvl="0">
      <w:lvlJc w:val="left"/>
      <w:lvlText w:val="(%1)"/>
      <w:numFmt w:val="lowerRoman"/>
      <w:start w:val="3"/>
    </w:lvl>
    <w:lvl w:ilvl="1">
      <w:lvlJc w:val="left"/>
      <w:lvlText w:val="%2"/>
      <w:numFmt w:val="lowerRoman"/>
      <w:start w:val="1"/>
    </w:lvl>
  </w:abstractNum>
  <w:abstractNum w:abstractNumId="12">
    <w:nsid w:val="4353D0CD"/>
    <w:multiLevelType w:val="hybridMultilevel"/>
    <w:lvl w:ilvl="0">
      <w:lvlJc w:val="left"/>
      <w:lvlText w:val="(%1)"/>
      <w:numFmt w:val="lowerLetter"/>
      <w:start w:val="36"/>
    </w:lvl>
  </w:abstractNum>
  <w:abstractNum w:abstractNumId="13">
    <w:nsid w:val="B03E0C6"/>
    <w:multiLevelType w:val="hybridMultilevel"/>
    <w:lvl w:ilvl="0">
      <w:lvlJc w:val="left"/>
      <w:lvlText w:val="(%1)"/>
      <w:numFmt w:val="lowerLetter"/>
      <w:start w:val="38"/>
    </w:lvl>
  </w:abstractNum>
  <w:abstractNum w:abstractNumId="14">
    <w:nsid w:val="189A769B"/>
    <w:multiLevelType w:val="hybridMultilevel"/>
    <w:lvl w:ilvl="0">
      <w:lvlJc w:val="left"/>
      <w:lvlText w:val="(%1)"/>
      <w:numFmt w:val="lowerLetter"/>
      <w:start w:val="41"/>
    </w:lvl>
  </w:abstractNum>
  <w:abstractNum w:abstractNumId="15">
    <w:nsid w:val="54E49EB4"/>
    <w:multiLevelType w:val="hybridMultilevel"/>
    <w:lvl w:ilvl="0">
      <w:lvlJc w:val="left"/>
      <w:lvlText w:val="%1"/>
      <w:numFmt w:val="lowerLetter"/>
      <w:start w:val="1"/>
    </w:lvl>
    <w:lvl w:ilvl="1">
      <w:lvlJc w:val="left"/>
      <w:lvlText w:val="(%2)"/>
      <w:numFmt w:val="lowerLetter"/>
      <w:start w:val="42"/>
    </w:lvl>
  </w:abstractNum>
  <w:abstractNum w:abstractNumId="16">
    <w:nsid w:val="71F32454"/>
    <w:multiLevelType w:val="hybridMultilevel"/>
    <w:lvl w:ilvl="0">
      <w:lvlJc w:val="left"/>
      <w:lvlText w:val="(%1)"/>
      <w:numFmt w:val="lowerLetter"/>
      <w:start w:val="35"/>
    </w:lvl>
    <w:lvl w:ilvl="1">
      <w:lvlJc w:val="left"/>
      <w:lvlText w:val="(%2)"/>
      <w:numFmt w:val="lowerLetter"/>
      <w:start w:val="43"/>
    </w:lvl>
  </w:abstractNum>
  <w:abstractNum w:abstractNumId="17">
    <w:nsid w:val="2CA88611"/>
    <w:multiLevelType w:val="hybridMultilevel"/>
    <w:lvl w:ilvl="0">
      <w:lvlJc w:val="left"/>
      <w:lvlText w:val="(%1)"/>
      <w:numFmt w:val="lowerLetter"/>
      <w:start w:val="47"/>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4"/>
    </w:lvl>
    <w:lvl w:ilvl="1">
      <w:lvlJc w:val="left"/>
      <w:lvlText w:val="(%2)"/>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Letter"/>
      <w:start w:val="7"/>
    </w:lvl>
  </w:abstractNum>
  <w:abstractNum w:abstractNumId="22">
    <w:nsid w:val="1E7FF521"/>
    <w:multiLevelType w:val="hybridMultilevel"/>
    <w:lvl w:ilvl="0">
      <w:lvlJc w:val="left"/>
      <w:lvlText w:val="%1"/>
      <w:numFmt w:val="lowerRoman"/>
      <w:start w:val="1"/>
    </w:lvl>
    <w:lvl w:ilvl="1">
      <w:lvlJc w:val="left"/>
      <w:lvlText w:val="(%2)"/>
      <w:numFmt w:val="lowerLetter"/>
      <w:start w:val="11"/>
    </w:lvl>
  </w:abstractNum>
  <w:abstractNum w:abstractNumId="23">
    <w:nsid w:val="7C3DBD3D"/>
    <w:multiLevelType w:val="hybridMultilevel"/>
    <w:lvl w:ilvl="0">
      <w:lvlJc w:val="left"/>
      <w:lvlText w:val="(%1)"/>
      <w:numFmt w:val="lowerRoman"/>
      <w:start w:val="9"/>
    </w:lvl>
    <w:lvl w:ilvl="1">
      <w:lvlJc w:val="left"/>
      <w:lvlText w:val="(%2)"/>
      <w:numFmt w:val="lowerLetter"/>
      <w:start w:val="12"/>
    </w:lvl>
  </w:abstractNum>
  <w:abstractNum w:abstractNumId="24">
    <w:nsid w:val="737B8DDC"/>
    <w:multiLevelType w:val="hybridMultilevel"/>
    <w:lvl w:ilvl="0">
      <w:lvlJc w:val="left"/>
      <w:lvlText w:val="%1"/>
      <w:numFmt w:val="decimal"/>
      <w:start w:val="1"/>
    </w:lvl>
    <w:lvl w:ilvl="1">
      <w:lvlJc w:val="left"/>
      <w:lvlText w:val="(%2)"/>
      <w:numFmt w:val="lowerLetter"/>
      <w:start w:val="14"/>
    </w:lvl>
  </w:abstractNum>
  <w:abstractNum w:abstractNumId="25">
    <w:nsid w:val="6CEAF087"/>
    <w:multiLevelType w:val="hybridMultilevel"/>
    <w:lvl w:ilvl="0">
      <w:lvlJc w:val="left"/>
      <w:lvlText w:val="%1."/>
      <w:numFmt w:val="decimal"/>
      <w:start w:val="6"/>
    </w:lvl>
    <w:lvl w:ilvl="1">
      <w:lvlJc w:val="left"/>
      <w:lvlText w:val="(%2)"/>
      <w:numFmt w:val="lowerLetter"/>
      <w:start w:val="1"/>
    </w:lvl>
  </w:abstractNum>
  <w:abstractNum w:abstractNumId="26">
    <w:nsid w:val="22221A70"/>
    <w:multiLevelType w:val="hybridMultilevel"/>
    <w:lvl w:ilvl="0">
      <w:lvlJc w:val="left"/>
      <w:lvlText w:val="(%1)"/>
      <w:numFmt w:val="lowerLetter"/>
      <w:start w:val="5"/>
    </w:lvl>
    <w:lvl w:ilvl="1">
      <w:lvlJc w:val="left"/>
      <w:lvlText w:val="(%2)"/>
      <w:numFmt w:val="lowerRoman"/>
      <w:start w:val="1"/>
    </w:lvl>
  </w:abstractNum>
  <w:abstractNum w:abstractNumId="27">
    <w:nsid w:val="4516DDE9"/>
    <w:multiLevelType w:val="hybridMultilevel"/>
    <w:lvl w:ilvl="0">
      <w:lvlJc w:val="left"/>
      <w:lvlText w:val="(%1)"/>
      <w:numFmt w:val="lowerLetter"/>
      <w:start w:val="10"/>
    </w:lvl>
  </w:abstractNum>
  <w:abstractNum w:abstractNumId="28">
    <w:nsid w:val="3006C83E"/>
    <w:multiLevelType w:val="hybridMultilevel"/>
    <w:lvl w:ilvl="0">
      <w:lvlJc w:val="left"/>
      <w:lvlText w:val="%1."/>
      <w:numFmt w:val="decimal"/>
      <w:start w:val="7"/>
    </w:lvl>
  </w:abstractNum>
  <w:abstractNum w:abstractNumId="29">
    <w:nsid w:val="614FD4A1"/>
    <w:multiLevelType w:val="hybridMultilevel"/>
    <w:lvl w:ilvl="0">
      <w:lvlJc w:val="left"/>
      <w:lvlText w:val="%1."/>
      <w:numFmt w:val="decimal"/>
      <w:start w:val="8"/>
    </w:lvl>
    <w:lvl w:ilvl="1">
      <w:lvlJc w:val="left"/>
      <w:lvlText w:val="(%2)"/>
      <w:numFmt w:val="lowerLetter"/>
      <w:start w:val="1"/>
    </w:lvl>
  </w:abstractNum>
  <w:abstractNum w:abstractNumId="30">
    <w:nsid w:val="419AC241"/>
    <w:multiLevelType w:val="hybridMultilevel"/>
    <w:lvl w:ilvl="0">
      <w:lvlJc w:val="left"/>
      <w:lvlText w:val="%1"/>
      <w:numFmt w:val="lowerLetter"/>
      <w:start w:val="1"/>
    </w:lvl>
    <w:lvl w:ilvl="1">
      <w:lvlJc w:val="left"/>
      <w:lvlText w:val="(%2)"/>
      <w:numFmt w:val="lowerLetter"/>
      <w:start w:val="3"/>
    </w:lvl>
  </w:abstractNum>
  <w:abstractNum w:abstractNumId="31">
    <w:nsid w:val="5577F8E1"/>
    <w:multiLevelType w:val="hybridMultilevel"/>
    <w:lvl w:ilvl="0">
      <w:lvlJc w:val="left"/>
      <w:lvlText w:val="(%1)"/>
      <w:numFmt w:val="lowerLetter"/>
      <w:start w:val="35"/>
    </w:lvl>
    <w:lvl w:ilvl="1">
      <w:lvlJc w:val="left"/>
      <w:lvlText w:val="(%2)"/>
      <w:numFmt w:val="lowerLetter"/>
      <w:start w:val="4"/>
    </w:lvl>
  </w:abstractNum>
  <w:abstractNum w:abstractNumId="32">
    <w:nsid w:val="440BADFC"/>
    <w:multiLevelType w:val="hybridMultilevel"/>
    <w:lvl w:ilvl="0">
      <w:lvlJc w:val="left"/>
      <w:lvlText w:val="%1."/>
      <w:numFmt w:val="decimal"/>
      <w:start w:val="9"/>
    </w:lvl>
  </w:abstractNum>
  <w:abstractNum w:abstractNumId="33">
    <w:nsid w:val="5072367"/>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4">
    <w:nsid w:val="3804823E"/>
    <w:multiLevelType w:val="hybridMultilevel"/>
    <w:lvl w:ilvl="0">
      <w:lvlJc w:val="left"/>
      <w:lvlText w:val="(%1)"/>
      <w:numFmt w:val="lowerLetter"/>
      <w:start w:val="2"/>
    </w:lvl>
    <w:lvl w:ilvl="1">
      <w:lvlJc w:val="left"/>
      <w:lvlText w:val="%2."/>
      <w:numFmt w:val="decimal"/>
      <w:start w:val="14"/>
    </w:lvl>
    <w:lvl w:ilvl="2">
      <w:lvlJc w:val="left"/>
      <w:lvlText w:val="(%3)"/>
      <w:numFmt w:val="lowerLetter"/>
      <w:start w:val="1"/>
    </w:lvl>
  </w:abstractNum>
  <w:abstractNum w:abstractNumId="35">
    <w:nsid w:val="77465F01"/>
    <w:multiLevelType w:val="hybridMultilevel"/>
    <w:lvl w:ilvl="0">
      <w:lvlJc w:val="left"/>
      <w:lvlText w:val="%1."/>
      <w:numFmt w:val="decimal"/>
      <w:start w:val="15"/>
    </w:lvl>
  </w:abstractNum>
  <w:abstractNum w:abstractNumId="36">
    <w:nsid w:val="7724C67E"/>
    <w:multiLevelType w:val="hybridMultilevel"/>
    <w:lvl w:ilvl="0">
      <w:lvlJc w:val="left"/>
      <w:lvlText w:val="%1."/>
      <w:numFmt w:val="decimal"/>
      <w:start w:val="17"/>
    </w:lvl>
  </w:abstractNum>
  <w:abstractNum w:abstractNumId="37">
    <w:nsid w:val="5C482A97"/>
    <w:multiLevelType w:val="hybridMultilevel"/>
    <w:lvl w:ilvl="0">
      <w:lvlJc w:val="left"/>
      <w:lvlText w:val="(%1)"/>
      <w:numFmt w:val="lowerRoman"/>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2025-07-30T16:28:49Z</dcterms:created>
  <dcterms:modified xsi:type="dcterms:W3CDTF">2025-07-30T16:28:49Z</dcterms:modified>
</cp:coreProperties>
</file>