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Suite 400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211" w:lineRule="exact"/>
        <w:rPr>
          <w:sz w:val="24"/>
          <w:szCs w:val="24"/>
          <w:color w:val="auto"/>
        </w:rPr>
      </w:pPr>
    </w:p>
    <w:p>
      <w:pPr>
        <w:ind w:left="10240"/>
        <w:spacing w:after="0"/>
        <w:rPr>
          <w:sz w:val="20"/>
          <w:szCs w:val="20"/>
          <w:color w:val="auto"/>
        </w:rPr>
      </w:pPr>
      <w:r>
        <w:rPr>
          <w:rFonts w:ascii="Arial" w:cs="Arial" w:eastAsia="Arial" w:hAnsi="Arial"/>
          <w:sz w:val="15"/>
          <w:szCs w:val="15"/>
          <w:color w:val="auto"/>
        </w:rPr>
        <w:t>June 16, 2023</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Bradley Ecker</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RE:</w:t>
            </w: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Dragonfly Energy Holdings Corp.</w:t>
            </w:r>
          </w:p>
        </w:tc>
      </w:tr>
      <w:tr>
        <w:trPr>
          <w:trHeight w:val="216"/>
        </w:trPr>
        <w:tc>
          <w:tcPr>
            <w:tcW w:w="6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w w:val="90"/>
              </w:rPr>
              <w:t>Registration Statement on Form S-1 File No. 333-272401</w:t>
            </w:r>
          </w:p>
        </w:tc>
      </w:tr>
      <w:tr>
        <w:trPr>
          <w:trHeight w:val="194"/>
        </w:trPr>
        <w:tc>
          <w:tcPr>
            <w:tcW w:w="640" w:type="dxa"/>
            <w:vAlign w:val="bottom"/>
          </w:tcPr>
          <w:p>
            <w:pPr>
              <w:spacing w:after="0"/>
              <w:rPr>
                <w:sz w:val="16"/>
                <w:szCs w:val="16"/>
                <w:color w:val="auto"/>
              </w:rPr>
            </w:pPr>
          </w:p>
        </w:tc>
        <w:tc>
          <w:tcPr>
            <w:tcW w:w="19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Request for Acceleration</w:t>
            </w:r>
          </w:p>
        </w:tc>
        <w:tc>
          <w:tcPr>
            <w:tcW w:w="2440" w:type="dxa"/>
            <w:vAlign w:val="bottom"/>
          </w:tcPr>
          <w:p>
            <w:pPr>
              <w:spacing w:after="0"/>
              <w:rPr>
                <w:sz w:val="16"/>
                <w:szCs w:val="16"/>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461 of the General Rules and Regulations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we hereby join in the request of Dragonfly Energy Holdings Corp. for acceleration of the effective date of the above-referenced Registration Statement so that it may become effective at 9:00 a.m., Eastern time, on June 20, 2023, or as soon thereafter as practicable.</w:t>
      </w:r>
    </w:p>
    <w:p>
      <w:pPr>
        <w:spacing w:after="0" w:line="184"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Rule 460 of the Act, we wish to advise you that the underwriters have distributed as many copies of the Preliminary Prospectus, dated June 14, 2023 to underwriters, dealers, institutions and others as appears to be reasonable to secure adequate distribution of the Preliminary Prospectus.</w:t>
      </w:r>
    </w:p>
    <w:p>
      <w:pPr>
        <w:spacing w:after="0" w:line="12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as representative of the several underwriters, have and will, and each underwriter and dealer has advised the undersigned that it has and will, comply with the requirements of Rule 15c2-8 under the Securities Exchange Act of 1934, as amended.</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regarding this request, please call James T. Seery of Duane Morris LLP at (973) 424-2088.</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M. Gurewitz</w:t>
      </w:r>
    </w:p>
    <w:p>
      <w:pPr>
        <w:spacing w:after="0" w:line="36"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Aaron M. Gurewitz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Equity Capital Markets</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James T.Seery, Duane Morris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2023-07-24T00:13:13Z</dcterms:created>
  <dcterms:modified xsi:type="dcterms:W3CDTF">2023-07-24T00:13:13Z</dcterms:modified>
</cp:coreProperties>
</file>