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left"/>
        <w:rPr>
          <w:caps w:val="false"/>
          <w:smallCaps w:val="false"/>
        </w:rPr>
      </w:pPr>
      <w:bookmarkStart w:id="0" w:name="form8-k.htm"/>
      <w:bookmarkStart w:id="1" w:name="ksform8k"/>
      <w:bookmarkEnd w:id="0"/>
      <w:bookmarkEnd w:id="1"/>
      <w:r>
        <w:rPr>
          <w:caps w:val="false"/>
          <w:smallCaps w:val="false"/>
        </w:rPr>
        <w:t> </w:t>
      </w:r>
    </w:p>
    <w:p>
      <w:pPr>
        <w:pStyle w:val="TextBody"/>
        <w:bidi w:val="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FORM </w:t>
      </w:r>
      <w:bookmarkStart w:id="2" w:name="xdx_902_edei--DocumentType_c20251114__20"/>
      <w:bookmarkEnd w:id="2"/>
      <w:r>
        <w:rPr>
          <w:rFonts w:ascii="Times New Roman;Times;Serif" w:hAnsi="Times New Roman;Times;Serif"/>
          <w:b/>
          <w:i w:val="false"/>
          <w:caps w:val="false"/>
          <w:smallCaps w:val="false"/>
          <w:sz w:val="36"/>
        </w:rPr>
        <w:t>8-K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Section 13 or 15(d) of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bookmarkStart w:id="3" w:name="xdx_902_edei--DocumentPeriodEndDate_c202"/>
      <w:bookmarkEnd w:id="3"/>
      <w:r>
        <w:rPr>
          <w:rFonts w:ascii="Times New Roman;Times;Serif" w:hAnsi="Times New Roman;Times;Serif"/>
          <w:b/>
          <w:i w:val="false"/>
          <w:caps w:val="false"/>
          <w:smallCaps w:val="false"/>
          <w:sz w:val="20"/>
        </w:rPr>
        <w:t>November 14, 2025</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bookmarkStart w:id="4" w:name="xdx_907_edei--EntityRegistrantName_c2025"/>
      <w:bookmarkEnd w:id="4"/>
      <w:r>
        <w:rPr>
          <w:rFonts w:ascii="Times New Roman;Times;Serif" w:hAnsi="Times New Roman;Times;Serif"/>
          <w:b/>
          <w:i w:val="false"/>
          <w:caps w:val="false"/>
          <w:smallCaps w:val="false"/>
          <w:sz w:val="36"/>
        </w:rPr>
        <w:t>DRAGONFLY ENERGY HOLDINGS CORP.</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tbl>
      <w:tblPr>
        <w:tblW w:w="4920" w:type="dxa"/>
        <w:jc w:val="left"/>
        <w:tblInd w:w="0" w:type="dxa"/>
        <w:tblLayout w:type="fixed"/>
        <w:tblCellMar>
          <w:top w:w="0" w:type="dxa"/>
          <w:left w:w="0" w:type="dxa"/>
          <w:bottom w:w="0" w:type="dxa"/>
          <w:right w:w="0" w:type="dxa"/>
        </w:tblCellMar>
      </w:tblPr>
      <w:tblGrid>
        <w:gridCol w:w="2165"/>
        <w:gridCol w:w="60"/>
        <w:gridCol w:w="1100"/>
        <w:gridCol w:w="60"/>
        <w:gridCol w:w="1535"/>
      </w:tblGrid>
      <w:tr>
        <w:trPr/>
        <w:tc>
          <w:tcPr>
            <w:tcW w:w="216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5" w:name="xdx_906_edei--EntityIncorporationStateCo"/>
            <w:bookmarkEnd w:id="5"/>
            <w:r>
              <w:rPr>
                <w:rFonts w:ascii="Times New Roman;Times;Serif" w:hAnsi="Times New Roman;Times;Serif"/>
                <w:b/>
                <w:i w:val="false"/>
                <w:caps w:val="false"/>
                <w:smallCaps w:val="false"/>
                <w:sz w:val="20"/>
              </w:rPr>
              <w:t>Nevada</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0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6" w:name="xdx_90D_edei--EntityFileNumber_c20251114"/>
            <w:bookmarkEnd w:id="6"/>
            <w:r>
              <w:rPr>
                <w:rFonts w:ascii="Times New Roman;Times;Serif" w:hAnsi="Times New Roman;Times;Serif"/>
                <w:b/>
                <w:i w:val="false"/>
                <w:caps w:val="false"/>
                <w:smallCaps w:val="false"/>
                <w:sz w:val="20"/>
              </w:rPr>
              <w:t>001-40730</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53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7" w:name="xdx_90A_edei--EntityTaxIdentificationNum"/>
            <w:bookmarkEnd w:id="7"/>
            <w:r>
              <w:rPr>
                <w:rFonts w:ascii="Times New Roman;Times;Serif" w:hAnsi="Times New Roman;Times;Serif"/>
                <w:b/>
                <w:i w:val="false"/>
                <w:caps w:val="false"/>
                <w:smallCaps w:val="false"/>
                <w:sz w:val="20"/>
              </w:rPr>
              <w:t>85-1873463</w:t>
            </w:r>
          </w:p>
        </w:tc>
      </w:tr>
      <w:tr>
        <w:trPr/>
        <w:tc>
          <w:tcPr>
            <w:tcW w:w="2165" w:type="dxa"/>
            <w:tcBorders/>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or other jurisdiction</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 incorporation)</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00" w:type="dxa"/>
            <w:tcBorders/>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(Commission</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 Number)</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535" w:type="dxa"/>
            <w:tcBorders/>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(IRS Employer</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Identification No.)</w:t>
            </w:r>
          </w:p>
        </w:tc>
      </w:tr>
    </w:tbl>
    <w:p>
      <w:pPr>
        <w:pStyle w:val="TextBody"/>
        <w:bidi w:val="0"/>
        <w:spacing w:before="0" w:after="0"/>
        <w:ind w:left="0" w:right="0" w:hanging="0"/>
        <w:jc w:val="center"/>
        <w:rPr>
          <w:caps w:val="false"/>
          <w:smallCaps w:val="false"/>
        </w:rPr>
      </w:pPr>
      <w:r>
        <w:rPr>
          <w:caps w:val="false"/>
          <w:smallCaps w:val="false"/>
        </w:rPr>
        <w:t> </w:t>
      </w:r>
    </w:p>
    <w:tbl>
      <w:tblPr>
        <w:tblW w:w="4195" w:type="dxa"/>
        <w:jc w:val="left"/>
        <w:tblInd w:w="0" w:type="dxa"/>
        <w:tblLayout w:type="fixed"/>
        <w:tblCellMar>
          <w:top w:w="0" w:type="dxa"/>
          <w:left w:w="0" w:type="dxa"/>
          <w:bottom w:w="0" w:type="dxa"/>
          <w:right w:w="0" w:type="dxa"/>
        </w:tblCellMar>
      </w:tblPr>
      <w:tblGrid>
        <w:gridCol w:w="3215"/>
        <w:gridCol w:w="60"/>
        <w:gridCol w:w="920"/>
      </w:tblGrid>
      <w:tr>
        <w:trPr/>
        <w:tc>
          <w:tcPr>
            <w:tcW w:w="3215"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shd w:fill="FFFFFF" w:val="clear"/>
              </w:rPr>
            </w:pPr>
            <w:bookmarkStart w:id="8" w:name="xdx_90D_edei--EntityAddressAddressLine1_"/>
            <w:bookmarkEnd w:id="8"/>
            <w:r>
              <w:rPr>
                <w:rFonts w:ascii="Times New Roman;Times;Serif" w:hAnsi="Times New Roman;Times;Serif"/>
                <w:b/>
                <w:i w:val="false"/>
                <w:caps w:val="false"/>
                <w:smallCaps w:val="false"/>
                <w:sz w:val="20"/>
                <w:shd w:fill="FFFFFF" w:val="clear"/>
              </w:rPr>
              <w:t>12915 Old Virginia Road</w:t>
            </w:r>
          </w:p>
          <w:p>
            <w:pPr>
              <w:pStyle w:val="TableContents"/>
              <w:bidi w:val="0"/>
              <w:spacing w:before="0" w:after="0"/>
              <w:ind w:left="0" w:right="0" w:hanging="0"/>
              <w:jc w:val="center"/>
              <w:rPr>
                <w:rFonts w:ascii="Times New Roman;Times;Serif" w:hAnsi="Times New Roman;Times;Serif"/>
                <w:b/>
                <w:i w:val="false"/>
                <w:caps w:val="false"/>
                <w:smallCaps w:val="false"/>
                <w:sz w:val="20"/>
              </w:rPr>
            </w:pPr>
            <w:bookmarkStart w:id="9" w:name="xdx_908_edei--EntityAddressCityOrTown_c2"/>
            <w:bookmarkEnd w:id="9"/>
            <w:r>
              <w:rPr>
                <w:rFonts w:ascii="Times New Roman;Times;Serif" w:hAnsi="Times New Roman;Times;Serif"/>
                <w:b/>
                <w:i w:val="false"/>
                <w:caps w:val="false"/>
                <w:smallCaps w:val="false"/>
                <w:sz w:val="20"/>
              </w:rPr>
              <w:t xml:space="preserve">Reno, </w:t>
            </w:r>
            <w:bookmarkStart w:id="10" w:name="xdx_905_edei--EntityAddressStateOrProvin"/>
            <w:bookmarkEnd w:id="10"/>
            <w:r>
              <w:rPr>
                <w:rFonts w:ascii="Times New Roman;Times;Serif" w:hAnsi="Times New Roman;Times;Serif"/>
                <w:b/>
                <w:i w:val="false"/>
                <w:caps w:val="false"/>
                <w:smallCaps w:val="false"/>
                <w:sz w:val="20"/>
              </w:rPr>
              <w:t>Nevada</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2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11" w:name="xdx_90F_edei--EntityAddressPostalZipCode"/>
            <w:bookmarkEnd w:id="11"/>
            <w:r>
              <w:rPr>
                <w:rFonts w:ascii="Times New Roman;Times;Serif" w:hAnsi="Times New Roman;Times;Serif"/>
                <w:b/>
                <w:i w:val="false"/>
                <w:caps w:val="false"/>
                <w:smallCaps w:val="false"/>
                <w:sz w:val="20"/>
              </w:rPr>
              <w:t>89521</w:t>
            </w:r>
          </w:p>
        </w:tc>
      </w:tr>
      <w:tr>
        <w:trPr/>
        <w:tc>
          <w:tcPr>
            <w:tcW w:w="321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2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(Zip Code)</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Registrant’s telephone number, including area code: </w:t>
      </w:r>
      <w:bookmarkStart w:id="12" w:name="xdx_909_edei--CityAreaCode_c20251114__20"/>
      <w:bookmarkEnd w:id="12"/>
      <w:r>
        <w:rPr>
          <w:rFonts w:ascii="Times New Roman;Times;Serif" w:hAnsi="Times New Roman;Times;Serif"/>
          <w:b/>
          <w:i w:val="false"/>
          <w:caps w:val="false"/>
          <w:smallCaps w:val="false"/>
          <w:sz w:val="20"/>
          <w:u w:val="single"/>
        </w:rPr>
        <w:t xml:space="preserve">(775) </w:t>
      </w:r>
      <w:bookmarkStart w:id="13" w:name="xdx_905_edei--LocalPhoneNumber_c20251114"/>
      <w:bookmarkEnd w:id="13"/>
      <w:r>
        <w:rPr>
          <w:rFonts w:ascii="Times New Roman;Times;Serif" w:hAnsi="Times New Roman;Times;Serif"/>
          <w:b/>
          <w:i w:val="false"/>
          <w:caps w:val="false"/>
          <w:smallCaps w:val="false"/>
          <w:sz w:val="20"/>
          <w:u w:val="single"/>
        </w:rPr>
        <w:t>622-3448</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N/A</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both"/>
        <w:rPr>
          <w:caps w:val="false"/>
          <w:smallCaps w:val="false"/>
        </w:rPr>
      </w:pPr>
      <w:r>
        <w:rPr>
          <w:caps w:val="false"/>
          <w:smallCaps w:val="false"/>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caps w:val="false"/>
                <w:smallCaps w:val="false"/>
              </w:rPr>
            </w:pPr>
            <w:bookmarkStart w:id="14" w:name="xdx_907_edei--WrittenCommunications_c202"/>
            <w:bookmarkEnd w:id="14"/>
            <w:r>
              <w:rPr>
                <w:caps w:val="false"/>
                <w:smallCaps w:val="false"/>
              </w:rPr>
              <w:t>☐</w:t>
            </w:r>
          </w:p>
        </w:tc>
        <w:tc>
          <w:tcPr>
            <w:tcW w:w="9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Written communications pursuant to Rule 425 under the Securities Act (17 CFR 230.425)</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906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caps w:val="false"/>
                <w:smallCaps w:val="false"/>
              </w:rPr>
            </w:pPr>
            <w:bookmarkStart w:id="15" w:name="xdx_908_edei--SolicitingMaterial_c202511"/>
            <w:bookmarkEnd w:id="15"/>
            <w:r>
              <w:rPr>
                <w:caps w:val="false"/>
                <w:smallCaps w:val="false"/>
              </w:rPr>
              <w:t>☐</w:t>
            </w:r>
          </w:p>
        </w:tc>
        <w:tc>
          <w:tcPr>
            <w:tcW w:w="9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Soliciting material pursuant to Rule 14a-12 under the Exchange Act (17 CFR 240.14a-12)</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906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caps w:val="false"/>
                <w:smallCaps w:val="false"/>
              </w:rPr>
            </w:pPr>
            <w:bookmarkStart w:id="16" w:name="xdx_900_edei--PreCommencementTenderOffer"/>
            <w:bookmarkEnd w:id="16"/>
            <w:r>
              <w:rPr>
                <w:caps w:val="false"/>
                <w:smallCaps w:val="false"/>
              </w:rPr>
              <w:t>☐</w:t>
            </w:r>
          </w:p>
        </w:tc>
        <w:tc>
          <w:tcPr>
            <w:tcW w:w="9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14d-2(b) under the Exchange Act (17 CFR 240.14d-2(b))</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906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caps w:val="false"/>
                <w:smallCaps w:val="false"/>
              </w:rPr>
            </w:pPr>
            <w:bookmarkStart w:id="17" w:name="xdx_909_edei--PreCommencementIssuerTende"/>
            <w:bookmarkEnd w:id="17"/>
            <w:r>
              <w:rPr>
                <w:caps w:val="false"/>
                <w:smallCaps w:val="false"/>
              </w:rPr>
              <w:t>☐</w:t>
            </w:r>
          </w:p>
        </w:tc>
        <w:tc>
          <w:tcPr>
            <w:tcW w:w="9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13e-4(c) under the Exchange Act (17 CFR 240.13e-4(c))</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both"/>
        <w:rPr>
          <w:caps w:val="false"/>
          <w:smallCaps w:val="false"/>
        </w:rPr>
      </w:pPr>
      <w:r>
        <w:rPr>
          <w:caps w:val="false"/>
          <w:smallCaps w:val="false"/>
        </w:rPr>
        <w:t> </w:t>
      </w:r>
    </w:p>
    <w:tbl>
      <w:tblPr>
        <w:tblW w:w="9510" w:type="dxa"/>
        <w:jc w:val="left"/>
        <w:tblInd w:w="0" w:type="dxa"/>
        <w:tblLayout w:type="fixed"/>
        <w:tblCellMar>
          <w:top w:w="0" w:type="dxa"/>
          <w:left w:w="0" w:type="dxa"/>
          <w:bottom w:w="28" w:type="dxa"/>
          <w:right w:w="0" w:type="dxa"/>
        </w:tblCellMar>
      </w:tblPr>
      <w:tblGrid>
        <w:gridCol w:w="4265"/>
        <w:gridCol w:w="60"/>
        <w:gridCol w:w="1535"/>
        <w:gridCol w:w="60"/>
        <w:gridCol w:w="3590"/>
      </w:tblGrid>
      <w:tr>
        <w:trPr/>
        <w:tc>
          <w:tcPr>
            <w:tcW w:w="4265"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of each class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535"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Trading Symbol(s)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590"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each exchange on which registered</w:t>
            </w:r>
          </w:p>
        </w:tc>
      </w:tr>
      <w:tr>
        <w:trPr/>
        <w:tc>
          <w:tcPr>
            <w:tcW w:w="426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8" w:name="xdx_90D_edei--Security12bTitle_c20251114"/>
            <w:bookmarkEnd w:id="18"/>
            <w:r>
              <w:rPr>
                <w:rFonts w:ascii="Times New Roman;Times;Serif" w:hAnsi="Times New Roman;Times;Serif"/>
                <w:b w:val="false"/>
                <w:i w:val="false"/>
                <w:caps w:val="false"/>
                <w:smallCaps w:val="false"/>
                <w:sz w:val="20"/>
              </w:rPr>
              <w:t>Common Stock, par value $0.0001 per share</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53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9" w:name="xdx_90A_edei--TradingSymbol_c20251114__2"/>
            <w:bookmarkEnd w:id="19"/>
            <w:r>
              <w:rPr>
                <w:rFonts w:ascii="Times New Roman;Times;Serif" w:hAnsi="Times New Roman;Times;Serif"/>
                <w:b w:val="false"/>
                <w:i w:val="false"/>
                <w:caps w:val="false"/>
                <w:smallCaps w:val="false"/>
                <w:sz w:val="20"/>
              </w:rPr>
              <w:t>DFLI</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59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w:t>
            </w:r>
            <w:bookmarkStart w:id="20" w:name="xdx_908_edei--SecurityExchangeName_c2025"/>
            <w:bookmarkEnd w:id="20"/>
            <w:r>
              <w:rPr>
                <w:rFonts w:ascii="Times New Roman;Times;Serif" w:hAnsi="Times New Roman;Times;Serif"/>
                <w:b w:val="false"/>
                <w:i w:val="false"/>
                <w:caps w:val="false"/>
                <w:smallCaps w:val="false"/>
                <w:sz w:val="20"/>
              </w:rPr>
              <w:t>Nasdaq Capital Market</w:t>
            </w:r>
          </w:p>
        </w:tc>
      </w:tr>
      <w:tr>
        <w:trPr/>
        <w:tc>
          <w:tcPr>
            <w:tcW w:w="426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1" w:name="xdx_904_edei--Security12bTitle_c20251114"/>
            <w:bookmarkEnd w:id="21"/>
            <w:r>
              <w:rPr>
                <w:rFonts w:ascii="Times New Roman;Times;Serif" w:hAnsi="Times New Roman;Times;Serif"/>
                <w:b w:val="false"/>
                <w:i w:val="false"/>
                <w:caps w:val="false"/>
                <w:smallCaps w:val="false"/>
                <w:sz w:val="20"/>
              </w:rPr>
              <w:t>Redeemable warrants, exercisable for common stock</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53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2" w:name="xdx_907_edei--TradingSymbol_c20251114__2"/>
            <w:bookmarkEnd w:id="22"/>
            <w:r>
              <w:rPr>
                <w:rFonts w:ascii="Times New Roman;Times;Serif" w:hAnsi="Times New Roman;Times;Serif"/>
                <w:b w:val="false"/>
                <w:i w:val="false"/>
                <w:caps w:val="false"/>
                <w:smallCaps w:val="false"/>
                <w:sz w:val="20"/>
              </w:rPr>
              <w:t>DFLIW</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59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w:t>
            </w:r>
            <w:bookmarkStart w:id="23" w:name="xdx_900_edei--SecurityExchangeName_c2025"/>
            <w:bookmarkEnd w:id="23"/>
            <w:r>
              <w:rPr>
                <w:rFonts w:ascii="Times New Roman;Times;Serif" w:hAnsi="Times New Roman;Times;Serif"/>
                <w:b w:val="false"/>
                <w:i w:val="false"/>
                <w:caps w:val="false"/>
                <w:smallCaps w:val="false"/>
                <w:sz w:val="20"/>
              </w:rPr>
              <w:t>Nasdaq Capital Market</w:t>
            </w:r>
          </w:p>
        </w:tc>
      </w:tr>
    </w:tbl>
    <w:p>
      <w:pPr>
        <w:pStyle w:val="TextBody"/>
        <w:bidi w:val="0"/>
        <w:spacing w:before="0" w:after="0"/>
        <w:ind w:left="0" w:right="0" w:firstLine="40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(17 CFR §230.405) or Rule 12b-2 of the Securities Exchange Act of 1934 (17 CFR §240.12b-2).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4" w:name="xdx_903_edei--EntityEmergingGrowthCompan"/>
      <w:bookmarkEnd w:id="24"/>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bookmarkStart w:id="25" w:name="xdx_90A_edei--EntityExTransitionPeriod_c"/>
      <w:bookmarkEnd w:id="25"/>
      <w:r>
        <w:rPr>
          <w:rFonts w:ascii="Times New Roman;Times;Serif" w:hAnsi="Times New Roman;Times;Serif"/>
          <w:b w:val="false"/>
          <w:i w:val="false"/>
          <w:caps w:val="false"/>
          <w:smallCaps w:val="false"/>
          <w:sz w:val="20"/>
        </w:rPr>
        <w:t>☐</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tbl>
      <w:tblPr>
        <w:tblW w:w="4810" w:type="dxa"/>
        <w:jc w:val="left"/>
        <w:tblInd w:w="0" w:type="dxa"/>
        <w:tblLayout w:type="fixed"/>
        <w:tblCellMar>
          <w:top w:w="0" w:type="dxa"/>
          <w:left w:w="0" w:type="dxa"/>
          <w:bottom w:w="0" w:type="dxa"/>
          <w:right w:w="0" w:type="dxa"/>
        </w:tblCellMar>
      </w:tblPr>
      <w:tblGrid>
        <w:gridCol w:w="830"/>
        <w:gridCol w:w="3980"/>
      </w:tblGrid>
      <w:tr>
        <w:trPr/>
        <w:tc>
          <w:tcPr>
            <w:tcW w:w="83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2.02</w:t>
            </w:r>
          </w:p>
        </w:tc>
        <w:tc>
          <w:tcPr>
            <w:tcW w:w="398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Results of Operations and Financial Condition.</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14, 2025, Dragonfly Energy Holdings Corp. (the “Company”) issued an earnings release disclosing certain information regarding its results of operations for the third quarter ended September 30, 2025. Following the publication of the press release, the Company will host an earnings call at 4:30 p.m. (Eastern Time) on November 14, 2025, via a webcast. During the webcast, the Company’s financial results for the third quarter ended September 30, 2025 will be discussed. A copy of the press release is attached as Exhibit 99.1 hereto and incorporated in this Item 2.02 by reference.</w:t>
      </w:r>
    </w:p>
    <w:p>
      <w:pPr>
        <w:pStyle w:val="TextBody"/>
        <w:bidi w:val="0"/>
        <w:spacing w:before="0" w:after="0"/>
        <w:ind w:left="0" w:right="0" w:firstLine="720"/>
        <w:jc w:val="both"/>
        <w:rPr>
          <w:caps w:val="false"/>
          <w:smallCaps w:val="false"/>
        </w:rPr>
      </w:pPr>
      <w:r>
        <w:rPr>
          <w:caps w:val="false"/>
          <w:smallCaps w:val="false"/>
        </w:rPr>
        <w:t> </w:t>
      </w:r>
    </w:p>
    <w:tbl>
      <w:tblPr>
        <w:tblW w:w="3745" w:type="dxa"/>
        <w:jc w:val="left"/>
        <w:tblInd w:w="0" w:type="dxa"/>
        <w:tblLayout w:type="fixed"/>
        <w:tblCellMar>
          <w:top w:w="0" w:type="dxa"/>
          <w:left w:w="0" w:type="dxa"/>
          <w:bottom w:w="0" w:type="dxa"/>
          <w:right w:w="0" w:type="dxa"/>
        </w:tblCellMar>
      </w:tblPr>
      <w:tblGrid>
        <w:gridCol w:w="1040"/>
        <w:gridCol w:w="2705"/>
      </w:tblGrid>
      <w:tr>
        <w:trPr/>
        <w:tc>
          <w:tcPr>
            <w:tcW w:w="1040" w:type="dxa"/>
            <w:tcBorders/>
            <w:vAlign w:val="center"/>
          </w:tcPr>
          <w:p>
            <w:pPr>
              <w:pStyle w:val="TableContents"/>
              <w:bidi w:val="0"/>
              <w:spacing w:before="0" w:after="283"/>
              <w:jc w:val="left"/>
              <w:rPr>
                <w:b/>
              </w:rPr>
            </w:pPr>
            <w:r>
              <w:rPr>
                <w:b/>
              </w:rPr>
              <w:t>Item 7.01.</w:t>
            </w:r>
          </w:p>
        </w:tc>
        <w:tc>
          <w:tcPr>
            <w:tcW w:w="2705" w:type="dxa"/>
            <w:tcBorders/>
            <w:vAlign w:val="center"/>
          </w:tcPr>
          <w:p>
            <w:pPr>
              <w:pStyle w:val="TableContents"/>
              <w:bidi w:val="0"/>
              <w:spacing w:before="0" w:after="283"/>
              <w:jc w:val="both"/>
              <w:rPr>
                <w:b/>
              </w:rPr>
            </w:pPr>
            <w:r>
              <w:rPr>
                <w:b/>
              </w:rPr>
              <w:t>Regulation FD Disclosure.</w:t>
            </w:r>
          </w:p>
        </w:tc>
      </w:tr>
    </w:tbl>
    <w:p>
      <w:pPr>
        <w:pStyle w:val="TextBody"/>
        <w:shd w:fill="FFFFFF" w:val="clear"/>
        <w:bidi w:val="0"/>
        <w:jc w:val="both"/>
        <w:rPr>
          <w:caps w:val="false"/>
          <w:smallCaps w:val="false"/>
        </w:rPr>
      </w:pPr>
      <w:r>
        <w:rPr>
          <w:caps w:val="false"/>
          <w:smallCaps w:val="false"/>
        </w:rPr>
        <w:t> </w:t>
      </w:r>
    </w:p>
    <w:p>
      <w:pPr>
        <w:pStyle w:val="TextBody"/>
        <w:shd w:fill="FFFFFF" w:val="clear"/>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“Item 2.02 Results of Operation and Financial Condition” above.</w:t>
      </w:r>
    </w:p>
    <w:p>
      <w:pPr>
        <w:pStyle w:val="TextBody"/>
        <w:shd w:fill="FFFFFF" w:val="clear"/>
        <w:bidi w:val="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in this Current Report on Form 8-K under Items 2.02 and 7.01, including the information contained in Exhibit 99.1, is being furnished to the Securities and Exchange Commission (the “</w:t>
      </w:r>
      <w:r>
        <w:rPr>
          <w:rFonts w:ascii="Times New Roman;Times;Serif" w:hAnsi="Times New Roman;Times;Serif"/>
          <w:b w:val="false"/>
          <w:i w:val="false"/>
          <w:caps w:val="false"/>
          <w:smallCaps w:val="false"/>
          <w:sz w:val="20"/>
          <w:u w:val="single"/>
        </w:rPr>
        <w:t>SEC</w:t>
      </w:r>
      <w:r>
        <w:rPr>
          <w:rFonts w:ascii="Times New Roman;Times;Serif" w:hAnsi="Times New Roman;Times;Serif"/>
          <w:b w:val="false"/>
          <w:i w:val="false"/>
          <w:caps w:val="false"/>
          <w:smallCaps w:val="false"/>
          <w:sz w:val="20"/>
        </w:rPr>
        <w:t>”), and shall not be deemed to be “filed” for the purposes of Section 18 of the Securities Exchange Act of 1934, as amended (the “</w:t>
      </w:r>
      <w:r>
        <w:rPr>
          <w:rFonts w:ascii="Times New Roman;Times;Serif" w:hAnsi="Times New Roman;Times;Serif"/>
          <w:b w:val="false"/>
          <w:i w:val="false"/>
          <w:caps w:val="false"/>
          <w:smallCaps w:val="false"/>
          <w:sz w:val="20"/>
          <w:u w:val="single"/>
        </w:rPr>
        <w:t>Exchange Act</w:t>
      </w:r>
      <w:r>
        <w:rPr>
          <w:rFonts w:ascii="Times New Roman;Times;Serif" w:hAnsi="Times New Roman;Times;Serif"/>
          <w:b w:val="false"/>
          <w:i w:val="false"/>
          <w:caps w:val="false"/>
          <w:smallCaps w:val="false"/>
          <w:sz w:val="20"/>
        </w:rPr>
        <w:t>”), or otherwise subject to the liabilities of that section, and shall not be deemed to be incorporated by reference into any filing under the Securities Act of 1933, as amended, or the Exchange Act, except as shall be expressly set forth by a specific reference in such filing.</w:t>
      </w:r>
    </w:p>
    <w:p>
      <w:pPr>
        <w:pStyle w:val="TextBody"/>
        <w:bidi w:val="0"/>
        <w:spacing w:before="0" w:after="0"/>
        <w:ind w:left="0" w:right="0" w:firstLine="720"/>
        <w:jc w:val="both"/>
        <w:rPr>
          <w:caps w:val="false"/>
          <w:smallCaps w:val="false"/>
        </w:rPr>
      </w:pPr>
      <w:r>
        <w:rPr>
          <w:caps w:val="false"/>
          <w:smallCaps w:val="false"/>
        </w:rPr>
        <w:t> </w:t>
      </w:r>
    </w:p>
    <w:tbl>
      <w:tblPr>
        <w:tblW w:w="3835" w:type="dxa"/>
        <w:jc w:val="left"/>
        <w:tblInd w:w="0" w:type="dxa"/>
        <w:tblLayout w:type="fixed"/>
        <w:tblCellMar>
          <w:top w:w="0" w:type="dxa"/>
          <w:left w:w="0" w:type="dxa"/>
          <w:bottom w:w="0" w:type="dxa"/>
          <w:right w:w="0" w:type="dxa"/>
        </w:tblCellMar>
      </w:tblPr>
      <w:tblGrid>
        <w:gridCol w:w="875"/>
        <w:gridCol w:w="2960"/>
      </w:tblGrid>
      <w:tr>
        <w:trPr/>
        <w:tc>
          <w:tcPr>
            <w:tcW w:w="87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9.01.</w:t>
            </w:r>
          </w:p>
        </w:tc>
        <w:tc>
          <w:tcPr>
            <w:tcW w:w="296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Financial Statements and Exhibits.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Exhibits.</w:t>
      </w:r>
    </w:p>
    <w:p>
      <w:pPr>
        <w:pStyle w:val="TextBody"/>
        <w:bidi w:val="0"/>
        <w:spacing w:before="0" w:after="0"/>
        <w:ind w:left="0" w:right="0" w:hanging="0"/>
        <w:jc w:val="left"/>
        <w:rPr>
          <w:caps w:val="false"/>
          <w:smallCaps w:val="false"/>
        </w:rPr>
      </w:pPr>
      <w:r>
        <w:rPr>
          <w:caps w:val="false"/>
          <w:smallCaps w:val="false"/>
        </w:rPr>
        <w:t> </w:t>
      </w:r>
    </w:p>
    <w:tbl>
      <w:tblPr>
        <w:tblW w:w="7525" w:type="dxa"/>
        <w:jc w:val="left"/>
        <w:tblInd w:w="0" w:type="dxa"/>
        <w:tblLayout w:type="fixed"/>
        <w:tblCellMar>
          <w:top w:w="0" w:type="dxa"/>
          <w:left w:w="0" w:type="dxa"/>
          <w:bottom w:w="28" w:type="dxa"/>
          <w:right w:w="0" w:type="dxa"/>
        </w:tblCellMar>
      </w:tblPr>
      <w:tblGrid>
        <w:gridCol w:w="980"/>
        <w:gridCol w:w="60"/>
        <w:gridCol w:w="6485"/>
      </w:tblGrid>
      <w:tr>
        <w:trPr/>
        <w:tc>
          <w:tcPr>
            <w:tcW w:w="980" w:type="dxa"/>
            <w:tcBorders>
              <w:bottom w:val="single" w:sz="8" w:space="0" w:color="000000"/>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No.</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485" w:type="dxa"/>
            <w:tcBorders>
              <w:bottom w:val="single" w:sz="8" w:space="0" w:color="000000"/>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Description</w:t>
            </w:r>
          </w:p>
        </w:tc>
      </w:tr>
      <w:tr>
        <w:trPr/>
        <w:tc>
          <w:tcPr>
            <w:tcW w:w="98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99.1</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485" w:type="dxa"/>
            <w:tcBorders/>
            <w:tcMar>
              <w:bottom w:w="0" w:type="dxa"/>
            </w:tcMar>
            <w:vAlign w:val="center"/>
          </w:tcPr>
          <w:p>
            <w:pPr>
              <w:pStyle w:val="TableContents"/>
              <w:bidi w:val="0"/>
              <w:spacing w:before="0" w:after="283"/>
              <w:jc w:val="left"/>
              <w:rPr/>
            </w:pPr>
            <w:hyperlink w:anchor="ex99-1.htm">
              <w:r>
                <w:rPr>
                  <w:rStyle w:val="InternetLink"/>
                  <w:rFonts w:ascii="Times New Roman;Times;Serif" w:hAnsi="Times New Roman;Times;Serif"/>
                  <w:b w:val="false"/>
                  <w:i w:val="false"/>
                  <w:caps w:val="false"/>
                  <w:smallCaps w:val="false"/>
                  <w:sz w:val="20"/>
                </w:rPr>
                <w:t>Press Release of Dragonfly Energy Holdings Corp., dated November 14, 2025.</w:t>
              </w:r>
            </w:hyperlink>
          </w:p>
        </w:tc>
      </w:tr>
      <w:tr>
        <w:trPr/>
        <w:tc>
          <w:tcPr>
            <w:tcW w:w="98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48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Cover Page Interactive Data File (embedded within the Inline XBRL document)</w:t>
            </w:r>
          </w:p>
        </w:tc>
      </w:tr>
    </w:tbl>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center"/>
        <w:rPr>
          <w:caps w:val="false"/>
          <w:smallCaps w:val="false"/>
        </w:rPr>
      </w:pPr>
      <w:r>
        <w:rPr>
          <w:caps w:val="false"/>
          <w:smallCaps w:val="false"/>
        </w:rPr>
        <w:t> </w:t>
      </w:r>
    </w:p>
    <w:tbl>
      <w:tblPr>
        <w:tblW w:w="8490" w:type="dxa"/>
        <w:jc w:val="left"/>
        <w:tblInd w:w="0" w:type="dxa"/>
        <w:tblLayout w:type="fixed"/>
        <w:tblCellMar>
          <w:top w:w="0" w:type="dxa"/>
          <w:left w:w="0" w:type="dxa"/>
          <w:bottom w:w="0" w:type="dxa"/>
          <w:right w:w="0" w:type="dxa"/>
        </w:tblCellMar>
      </w:tblPr>
      <w:tblGrid>
        <w:gridCol w:w="2225"/>
        <w:gridCol w:w="590"/>
        <w:gridCol w:w="5675"/>
      </w:tblGrid>
      <w:tr>
        <w:trPr/>
        <w:tc>
          <w:tcPr>
            <w:tcW w:w="2225" w:type="dxa"/>
            <w:tcBorders/>
            <w:vAlign w:val="center"/>
          </w:tcPr>
          <w:p>
            <w:pPr>
              <w:pStyle w:val="TableContents"/>
              <w:bidi w:val="0"/>
              <w:spacing w:before="0" w:after="283"/>
              <w:jc w:val="left"/>
              <w:rPr>
                <w:caps w:val="false"/>
                <w:smallCaps w:val="false"/>
              </w:rPr>
            </w:pPr>
            <w:r>
              <w:rPr>
                <w:caps w:val="false"/>
                <w:smallCaps w:val="false"/>
              </w:rPr>
              <w:t> </w:t>
            </w:r>
          </w:p>
        </w:tc>
        <w:tc>
          <w:tcPr>
            <w:tcW w:w="6265" w:type="dxa"/>
            <w:gridSpan w:val="2"/>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DRAGONFLY ENERGY HOLDINGS CORP.</w:t>
            </w:r>
          </w:p>
        </w:tc>
      </w:tr>
      <w:tr>
        <w:trPr/>
        <w:tc>
          <w:tcPr>
            <w:tcW w:w="2225" w:type="dxa"/>
            <w:tcBorders/>
            <w:vAlign w:val="center"/>
          </w:tcPr>
          <w:p>
            <w:pPr>
              <w:pStyle w:val="TableContents"/>
              <w:bidi w:val="0"/>
              <w:spacing w:before="0" w:after="283"/>
              <w:jc w:val="left"/>
              <w:rPr>
                <w:caps w:val="false"/>
                <w:smallCaps w:val="false"/>
              </w:rPr>
            </w:pPr>
            <w:r>
              <w:rPr>
                <w:caps w:val="false"/>
                <w:smallCaps w:val="false"/>
              </w:rPr>
              <w:t> </w:t>
            </w:r>
          </w:p>
        </w:tc>
        <w:tc>
          <w:tcPr>
            <w:tcW w:w="590" w:type="dxa"/>
            <w:tcBorders/>
            <w:vAlign w:val="center"/>
          </w:tcPr>
          <w:p>
            <w:pPr>
              <w:pStyle w:val="TableContents"/>
              <w:bidi w:val="0"/>
              <w:spacing w:before="0" w:after="283"/>
              <w:jc w:val="both"/>
              <w:rPr>
                <w:caps w:val="false"/>
                <w:smallCaps w:val="false"/>
              </w:rPr>
            </w:pPr>
            <w:r>
              <w:rPr>
                <w:caps w:val="false"/>
                <w:smallCaps w:val="false"/>
              </w:rPr>
              <w:t> </w:t>
            </w:r>
          </w:p>
        </w:tc>
        <w:tc>
          <w:tcPr>
            <w:tcW w:w="567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2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November 14, 2025</w:t>
            </w:r>
          </w:p>
        </w:tc>
        <w:tc>
          <w:tcPr>
            <w:tcW w:w="5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5675" w:type="dxa"/>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Denis Phares</w:t>
            </w:r>
          </w:p>
        </w:tc>
      </w:tr>
      <w:tr>
        <w:trPr/>
        <w:tc>
          <w:tcPr>
            <w:tcW w:w="2225" w:type="dxa"/>
            <w:tcBorders/>
            <w:vAlign w:val="center"/>
          </w:tcPr>
          <w:p>
            <w:pPr>
              <w:pStyle w:val="TableContents"/>
              <w:bidi w:val="0"/>
              <w:spacing w:before="0" w:after="283"/>
              <w:jc w:val="left"/>
              <w:rPr>
                <w:caps w:val="false"/>
                <w:smallCaps w:val="false"/>
              </w:rPr>
            </w:pPr>
            <w:r>
              <w:rPr>
                <w:caps w:val="false"/>
                <w:smallCaps w:val="false"/>
              </w:rPr>
              <w:t> </w:t>
            </w:r>
          </w:p>
        </w:tc>
        <w:tc>
          <w:tcPr>
            <w:tcW w:w="5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Name: </w:t>
            </w:r>
          </w:p>
        </w:tc>
        <w:tc>
          <w:tcPr>
            <w:tcW w:w="56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Denis Phares</w:t>
            </w:r>
          </w:p>
        </w:tc>
      </w:tr>
      <w:tr>
        <w:trPr/>
        <w:tc>
          <w:tcPr>
            <w:tcW w:w="2225" w:type="dxa"/>
            <w:tcBorders/>
            <w:vAlign w:val="center"/>
          </w:tcPr>
          <w:p>
            <w:pPr>
              <w:pStyle w:val="TableContents"/>
              <w:bidi w:val="0"/>
              <w:spacing w:before="0" w:after="283"/>
              <w:jc w:val="left"/>
              <w:rPr>
                <w:caps w:val="false"/>
                <w:smallCaps w:val="false"/>
              </w:rPr>
            </w:pPr>
            <w:r>
              <w:rPr>
                <w:caps w:val="false"/>
                <w:smallCaps w:val="false"/>
              </w:rPr>
              <w:t> </w:t>
            </w:r>
          </w:p>
        </w:tc>
        <w:tc>
          <w:tcPr>
            <w:tcW w:w="5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56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 Interim Chief Financial Officer and President</w:t>
            </w:r>
          </w:p>
        </w:tc>
      </w:tr>
    </w:tbl>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bookmarkStart w:id="26" w:name="ex99-1.htm"/>
      <w:bookmarkStart w:id="27" w:name="ksex991"/>
      <w:bookmarkEnd w:id="26"/>
      <w:bookmarkEnd w:id="27"/>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99.1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1895475" cy="4191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895475" cy="419100"/>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Dragonfly Energy Reports Third Quarter 2025 Results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Third Quarter Net Sales and Adjusted EBITDA Exceeded Guidance Driven by 44% OEM Growth</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Gross Margin Expanded 710 Basis Points Year-over-Year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Recent Public Offerings and Debt Restructuring Significantly Improve Financial Position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Guides to Fourth Quarter Net Sales of Approximately $13.0 Million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 xml:space="preserve">Third Quarter 2025 Financial Highlights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comparisons made are against the prior-year period)</w:t>
      </w:r>
    </w:p>
    <w:p>
      <w:pPr>
        <w:pStyle w:val="TextBody"/>
        <w:bidi w:val="0"/>
        <w:spacing w:before="0" w:after="0"/>
        <w:ind w:left="0" w:right="0" w:hanging="0"/>
        <w:jc w:val="both"/>
        <w:rPr>
          <w:caps w:val="false"/>
          <w:smallCaps w:val="false"/>
        </w:rPr>
      </w:pPr>
      <w:r>
        <w:rPr>
          <w:caps w:val="false"/>
          <w:smallCaps w:val="false"/>
        </w:rPr>
        <w:t> </w:t>
      </w:r>
    </w:p>
    <w:tbl>
      <w:tblPr>
        <w:tblW w:w="6040" w:type="dxa"/>
        <w:jc w:val="left"/>
        <w:tblInd w:w="0" w:type="dxa"/>
        <w:tblLayout w:type="fixed"/>
        <w:tblCellMar>
          <w:top w:w="0" w:type="dxa"/>
          <w:left w:w="0" w:type="dxa"/>
          <w:bottom w:w="0" w:type="dxa"/>
          <w:right w:w="0" w:type="dxa"/>
        </w:tblCellMar>
      </w:tblPr>
      <w:tblGrid>
        <w:gridCol w:w="75"/>
        <w:gridCol w:w="170"/>
        <w:gridCol w:w="579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7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Net sales were $16.0 million, compared to $12.7 million, up 25.5%.</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7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OEM net sales were $10.7 million, compared to $7.4 million, up 44.3%</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7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Gross Margin was 29.7%, compared to 22.6%, up 710 basis points.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7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Net Loss was $(11.1) million, compared to $(6.8) million.</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7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Adjusted EBITDA was $(2.1) million, compared to $(5.5) million.</w:t>
            </w:r>
          </w:p>
        </w:tc>
      </w:tr>
    </w:tbl>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RENO, NEVADA (November 14, 2025)</w:t>
      </w:r>
      <w:r>
        <w:rPr>
          <w:rFonts w:ascii="Times New Roman;Times;Serif" w:hAnsi="Times New Roman;Times;Serif"/>
          <w:b w:val="false"/>
          <w:i w:val="false"/>
          <w:caps w:val="false"/>
          <w:smallCaps w:val="false"/>
          <w:sz w:val="20"/>
        </w:rPr>
        <w:t xml:space="preserve"> — Dragonfly Energy Holdings Corp. (“Dragonfly Energy” or the “Company”) (Nasdaq: DFLI), an industry leader in energy storage and battery technology, today reported its financial and operational results for the third quarter ended September 30, 2025.</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Following our second quarter earnings call, we have taken decisive actions to strengthen our balance sheet and further position Dragonfly Energy for sustained growth,” said Dr. Denis Phares, Chief Executive Officer. “Since July, we successfully completed three public offerings, raising approximately $90 million in cumulative gross proceeds, enabling us to secure a comprehensive debt restructuring agreement with our lenders. Together, these actions significantly reduced our outstanding debt and improved our financial position, providing greater flexibility to pursue near-term strategic opportunities and long-term investments in battery technology.”</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Looking at the third quarter, our results demonstrated strong operational execution, as net sales grew 26% year-over-year, marking another consecutive quarter of year-over-year net sales growth. Gross margin expanded an impressive 710 basis points, reflecting higher volumes, product mix, and benefits from our cost optimization initiatives.”</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We are particularly encouraged by the growing number of RV OEMs integrating our solutions as standard equipment, validating our compelling value proposition as the industry remains focused on premium offerings. Our deepening RV partnerships, continued expansion into adjacent markets, and growing patent portfolio strengthen our competitive advantage and reinforce Dragonfly’s position as a commercial leader in energy storage.”</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Third Quarter 2025 Financial and Operating Results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financial result comparisons made are against the prior-year period unless otherwise noted)</w:t>
      </w:r>
    </w:p>
    <w:p>
      <w:pPr>
        <w:pStyle w:val="TextBody"/>
        <w:bidi w:val="0"/>
        <w:spacing w:before="0" w:after="0"/>
        <w:ind w:left="0" w:right="0" w:hanging="0"/>
        <w:jc w:val="both"/>
        <w:rPr>
          <w:caps w:val="false"/>
          <w:smallCaps w:val="false"/>
        </w:rPr>
      </w:pPr>
      <w:r>
        <w:rPr>
          <w:caps w:val="false"/>
          <w:smallCaps w:val="false"/>
        </w:rPr>
        <w:t> </w:t>
      </w:r>
    </w:p>
    <w:tbl>
      <w:tblPr>
        <w:tblW w:w="7534" w:type="dxa"/>
        <w:jc w:val="left"/>
        <w:tblInd w:w="0" w:type="dxa"/>
        <w:tblLayout w:type="fixed"/>
        <w:tblCellMar>
          <w:top w:w="0" w:type="dxa"/>
          <w:left w:w="0" w:type="dxa"/>
          <w:bottom w:w="0" w:type="dxa"/>
          <w:right w:w="0" w:type="dxa"/>
        </w:tblCellMar>
      </w:tblPr>
      <w:tblGrid>
        <w:gridCol w:w="1430"/>
        <w:gridCol w:w="60"/>
        <w:gridCol w:w="343"/>
        <w:gridCol w:w="1671"/>
        <w:gridCol w:w="81"/>
        <w:gridCol w:w="81"/>
        <w:gridCol w:w="343"/>
        <w:gridCol w:w="1671"/>
        <w:gridCol w:w="60"/>
        <w:gridCol w:w="60"/>
        <w:gridCol w:w="179"/>
        <w:gridCol w:w="1325"/>
        <w:gridCol w:w="230"/>
      </w:tblGrid>
      <w:tr>
        <w:trPr/>
        <w:tc>
          <w:tcPr>
            <w:tcW w:w="14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190" w:type="dxa"/>
            <w:gridSpan w:val="6"/>
            <w:tcBorders/>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Sales by Customer Type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04" w:type="dxa"/>
            <w:gridSpan w:val="2"/>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r>
      <w:tr>
        <w:trPr/>
        <w:tc>
          <w:tcPr>
            <w:tcW w:w="14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190" w:type="dxa"/>
            <w:gridSpan w:val="6"/>
            <w:tcBorders/>
            <w:vAlign w:val="center"/>
          </w:tcPr>
          <w:p>
            <w:pPr>
              <w:pStyle w:val="TableContents"/>
              <w:bidi w:val="0"/>
              <w:spacing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 thousands)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04" w:type="dxa"/>
            <w:gridSpan w:val="2"/>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r>
      <w:tr>
        <w:trPr/>
        <w:tc>
          <w:tcPr>
            <w:tcW w:w="14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190" w:type="dxa"/>
            <w:gridSpan w:val="6"/>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04" w:type="dxa"/>
            <w:gridSpan w:val="2"/>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r>
      <w:tr>
        <w:trPr/>
        <w:tc>
          <w:tcPr>
            <w:tcW w:w="14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19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Fiscal Quarter Ended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04" w:type="dxa"/>
            <w:gridSpan w:val="2"/>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r>
      <w:tr>
        <w:trPr/>
        <w:tc>
          <w:tcPr>
            <w:tcW w:w="14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1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September 30, 2025</w:t>
            </w:r>
          </w:p>
        </w:tc>
        <w:tc>
          <w:tcPr>
            <w:tcW w:w="81"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201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September 30, 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0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Change (YoY)</w:t>
            </w:r>
          </w:p>
        </w:tc>
        <w:tc>
          <w:tcPr>
            <w:tcW w:w="230" w:type="dxa"/>
            <w:tcBorders/>
            <w:vAlign w:val="center"/>
          </w:tcPr>
          <w:p>
            <w:pPr>
              <w:pStyle w:val="TableContents"/>
              <w:bidi w:val="0"/>
              <w:spacing w:before="0" w:after="283"/>
              <w:jc w:val="left"/>
              <w:rPr/>
            </w:pPr>
            <w:r>
              <w:rPr/>
              <w:t> </w:t>
            </w:r>
          </w:p>
        </w:tc>
      </w:tr>
      <w:tr>
        <w:trPr/>
        <w:tc>
          <w:tcPr>
            <w:tcW w:w="1430" w:type="dxa"/>
            <w:tcBorders/>
            <w:shd w:fill="CCEEFF" w:val="clear"/>
            <w:vAlign w:val="center"/>
          </w:tcPr>
          <w:p>
            <w:pPr>
              <w:pStyle w:val="TableContents"/>
              <w:bidi w:val="0"/>
              <w:spacing w:before="0" w:after="283"/>
              <w:jc w:val="left"/>
              <w:rPr>
                <w:b/>
              </w:rPr>
            </w:pPr>
            <w:r>
              <w:rPr>
                <w:b/>
              </w:rPr>
              <w:t>OEM</w:t>
            </w:r>
          </w:p>
        </w:tc>
        <w:tc>
          <w:tcPr>
            <w:tcW w:w="60" w:type="dxa"/>
            <w:tcBorders/>
            <w:shd w:fill="CCEEFF" w:val="clear"/>
            <w:vAlign w:val="center"/>
          </w:tcPr>
          <w:p>
            <w:pPr>
              <w:pStyle w:val="TableContents"/>
              <w:bidi w:val="0"/>
              <w:spacing w:before="0" w:after="283"/>
              <w:jc w:val="left"/>
              <w:rPr/>
            </w:pPr>
            <w:r>
              <w:rPr/>
              <w:t> </w:t>
            </w:r>
          </w:p>
        </w:tc>
        <w:tc>
          <w:tcPr>
            <w:tcW w:w="343" w:type="dxa"/>
            <w:tcBorders/>
            <w:shd w:fill="CCEEFF" w:val="clear"/>
            <w:vAlign w:val="center"/>
          </w:tcPr>
          <w:p>
            <w:pPr>
              <w:pStyle w:val="TableContents"/>
              <w:bidi w:val="0"/>
              <w:spacing w:before="0" w:after="283"/>
              <w:jc w:val="left"/>
              <w:rPr/>
            </w:pPr>
            <w:r>
              <w:rPr/>
              <w:t>$</w:t>
            </w:r>
          </w:p>
        </w:tc>
        <w:tc>
          <w:tcPr>
            <w:tcW w:w="1671" w:type="dxa"/>
            <w:tcBorders/>
            <w:shd w:fill="CCEEFF" w:val="clear"/>
            <w:vAlign w:val="center"/>
          </w:tcPr>
          <w:p>
            <w:pPr>
              <w:pStyle w:val="TableContents"/>
              <w:bidi w:val="0"/>
              <w:spacing w:before="0" w:after="283"/>
              <w:jc w:val="right"/>
              <w:rPr/>
            </w:pPr>
            <w:r>
              <w:rPr/>
              <w:t>10,679</w:t>
            </w:r>
          </w:p>
        </w:tc>
        <w:tc>
          <w:tcPr>
            <w:tcW w:w="81"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343" w:type="dxa"/>
            <w:tcBorders/>
            <w:shd w:fill="CCEEFF" w:val="clear"/>
            <w:vAlign w:val="center"/>
          </w:tcPr>
          <w:p>
            <w:pPr>
              <w:pStyle w:val="TableContents"/>
              <w:bidi w:val="0"/>
              <w:spacing w:before="0" w:after="283"/>
              <w:jc w:val="left"/>
              <w:rPr/>
            </w:pPr>
            <w:r>
              <w:rPr/>
              <w:t>$</w:t>
            </w:r>
          </w:p>
        </w:tc>
        <w:tc>
          <w:tcPr>
            <w:tcW w:w="1671" w:type="dxa"/>
            <w:tcBorders/>
            <w:shd w:fill="CCEEFF" w:val="clear"/>
            <w:vAlign w:val="center"/>
          </w:tcPr>
          <w:p>
            <w:pPr>
              <w:pStyle w:val="TableContents"/>
              <w:bidi w:val="0"/>
              <w:spacing w:before="0" w:after="283"/>
              <w:jc w:val="right"/>
              <w:rPr/>
            </w:pPr>
            <w:r>
              <w:rPr/>
              <w:t>7,400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pPr>
            <w:r>
              <w:rPr/>
              <w:t> </w:t>
            </w:r>
          </w:p>
        </w:tc>
        <w:tc>
          <w:tcPr>
            <w:tcW w:w="1325" w:type="dxa"/>
            <w:tcBorders/>
            <w:shd w:fill="CCEEFF" w:val="clear"/>
            <w:vAlign w:val="center"/>
          </w:tcPr>
          <w:p>
            <w:pPr>
              <w:pStyle w:val="TableContents"/>
              <w:bidi w:val="0"/>
              <w:spacing w:before="0" w:after="283"/>
              <w:jc w:val="right"/>
              <w:rPr/>
            </w:pPr>
            <w:r>
              <w:rPr/>
              <w:t>44.3</w:t>
            </w:r>
          </w:p>
        </w:tc>
        <w:tc>
          <w:tcPr>
            <w:tcW w:w="230" w:type="dxa"/>
            <w:tcBorders/>
            <w:shd w:fill="CCEEFF" w:val="clear"/>
            <w:vAlign w:val="center"/>
          </w:tcPr>
          <w:p>
            <w:pPr>
              <w:pStyle w:val="TableContents"/>
              <w:bidi w:val="0"/>
              <w:spacing w:before="0" w:after="283"/>
              <w:jc w:val="left"/>
              <w:rPr/>
            </w:pPr>
            <w:r>
              <w:rPr/>
              <w:t>%</w:t>
            </w:r>
          </w:p>
        </w:tc>
      </w:tr>
      <w:tr>
        <w:trPr/>
        <w:tc>
          <w:tcPr>
            <w:tcW w:w="1430" w:type="dxa"/>
            <w:tcBorders/>
            <w:shd w:fill="FFFFFF" w:val="clear"/>
            <w:vAlign w:val="center"/>
          </w:tcPr>
          <w:p>
            <w:pPr>
              <w:pStyle w:val="TableContents"/>
              <w:bidi w:val="0"/>
              <w:spacing w:before="0" w:after="283"/>
              <w:jc w:val="left"/>
              <w:rPr>
                <w:b/>
              </w:rPr>
            </w:pPr>
            <w:r>
              <w:rPr>
                <w:b/>
              </w:rPr>
              <w:t>DTC</w:t>
            </w:r>
          </w:p>
        </w:tc>
        <w:tc>
          <w:tcPr>
            <w:tcW w:w="60" w:type="dxa"/>
            <w:tcBorders/>
            <w:shd w:fill="FFFFFF" w:val="clear"/>
            <w:vAlign w:val="center"/>
          </w:tcPr>
          <w:p>
            <w:pPr>
              <w:pStyle w:val="TableContents"/>
              <w:bidi w:val="0"/>
              <w:spacing w:before="0" w:after="283"/>
              <w:jc w:val="left"/>
              <w:rPr/>
            </w:pPr>
            <w:r>
              <w:rPr/>
              <w:t> </w:t>
            </w:r>
          </w:p>
        </w:tc>
        <w:tc>
          <w:tcPr>
            <w:tcW w:w="343" w:type="dxa"/>
            <w:tcBorders/>
            <w:shd w:fill="FFFFFF" w:val="clear"/>
            <w:vAlign w:val="center"/>
          </w:tcPr>
          <w:p>
            <w:pPr>
              <w:pStyle w:val="TableContents"/>
              <w:bidi w:val="0"/>
              <w:spacing w:before="0" w:after="283"/>
              <w:jc w:val="left"/>
              <w:rPr/>
            </w:pPr>
            <w:r>
              <w:rPr/>
              <w:t>$</w:t>
            </w:r>
          </w:p>
        </w:tc>
        <w:tc>
          <w:tcPr>
            <w:tcW w:w="1671" w:type="dxa"/>
            <w:tcBorders/>
            <w:shd w:fill="FFFFFF" w:val="clear"/>
            <w:vAlign w:val="center"/>
          </w:tcPr>
          <w:p>
            <w:pPr>
              <w:pStyle w:val="TableContents"/>
              <w:bidi w:val="0"/>
              <w:spacing w:before="0" w:after="283"/>
              <w:jc w:val="right"/>
              <w:rPr/>
            </w:pPr>
            <w:r>
              <w:rPr/>
              <w:t>5,038</w:t>
            </w:r>
          </w:p>
        </w:tc>
        <w:tc>
          <w:tcPr>
            <w:tcW w:w="81"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343" w:type="dxa"/>
            <w:tcBorders/>
            <w:shd w:fill="FFFFFF" w:val="clear"/>
            <w:vAlign w:val="center"/>
          </w:tcPr>
          <w:p>
            <w:pPr>
              <w:pStyle w:val="TableContents"/>
              <w:bidi w:val="0"/>
              <w:spacing w:before="0" w:after="283"/>
              <w:jc w:val="left"/>
              <w:rPr/>
            </w:pPr>
            <w:r>
              <w:rPr/>
              <w:t>$</w:t>
            </w:r>
          </w:p>
        </w:tc>
        <w:tc>
          <w:tcPr>
            <w:tcW w:w="1671" w:type="dxa"/>
            <w:tcBorders/>
            <w:shd w:fill="FFFFFF" w:val="clear"/>
            <w:vAlign w:val="center"/>
          </w:tcPr>
          <w:p>
            <w:pPr>
              <w:pStyle w:val="TableContents"/>
              <w:bidi w:val="0"/>
              <w:spacing w:before="0" w:after="283"/>
              <w:jc w:val="right"/>
              <w:rPr/>
            </w:pPr>
            <w:r>
              <w:rPr/>
              <w:t>5,153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jc w:val="left"/>
              <w:rPr/>
            </w:pPr>
            <w:r>
              <w:rPr/>
              <w:t> </w:t>
            </w:r>
          </w:p>
        </w:tc>
        <w:tc>
          <w:tcPr>
            <w:tcW w:w="1325" w:type="dxa"/>
            <w:tcBorders/>
            <w:shd w:fill="FFFFFF" w:val="clear"/>
            <w:vAlign w:val="center"/>
          </w:tcPr>
          <w:p>
            <w:pPr>
              <w:pStyle w:val="TableContents"/>
              <w:bidi w:val="0"/>
              <w:spacing w:before="0" w:after="283"/>
              <w:jc w:val="right"/>
              <w:rPr/>
            </w:pPr>
            <w:r>
              <w:rPr/>
              <w:t>-2.2</w:t>
            </w:r>
          </w:p>
        </w:tc>
        <w:tc>
          <w:tcPr>
            <w:tcW w:w="230" w:type="dxa"/>
            <w:tcBorders/>
            <w:shd w:fill="FFFFFF" w:val="clear"/>
            <w:vAlign w:val="center"/>
          </w:tcPr>
          <w:p>
            <w:pPr>
              <w:pStyle w:val="TableContents"/>
              <w:bidi w:val="0"/>
              <w:spacing w:before="0" w:after="283"/>
              <w:jc w:val="left"/>
              <w:rPr/>
            </w:pPr>
            <w:r>
              <w:rPr/>
              <w:t>%</w:t>
            </w:r>
          </w:p>
        </w:tc>
      </w:tr>
      <w:tr>
        <w:trPr/>
        <w:tc>
          <w:tcPr>
            <w:tcW w:w="1430" w:type="dxa"/>
            <w:tcBorders/>
            <w:shd w:fill="CCEEFF" w:val="clear"/>
            <w:vAlign w:val="center"/>
          </w:tcPr>
          <w:p>
            <w:pPr>
              <w:pStyle w:val="TableContents"/>
              <w:bidi w:val="0"/>
              <w:spacing w:before="0" w:after="283"/>
              <w:jc w:val="left"/>
              <w:rPr>
                <w:b/>
              </w:rPr>
            </w:pPr>
            <w:r>
              <w:rPr>
                <w:b/>
              </w:rPr>
              <w:t>Licensing Fee</w:t>
            </w:r>
          </w:p>
        </w:tc>
        <w:tc>
          <w:tcPr>
            <w:tcW w:w="60" w:type="dxa"/>
            <w:tcBorders/>
            <w:shd w:fill="CCEEFF" w:val="clear"/>
            <w:vAlign w:val="center"/>
          </w:tcPr>
          <w:p>
            <w:pPr>
              <w:pStyle w:val="TableContents"/>
              <w:bidi w:val="0"/>
              <w:spacing w:before="0" w:after="283"/>
              <w:jc w:val="left"/>
              <w:rPr/>
            </w:pPr>
            <w:r>
              <w:rPr/>
              <w:t> </w:t>
            </w:r>
          </w:p>
        </w:tc>
        <w:tc>
          <w:tcPr>
            <w:tcW w:w="343"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1671" w:type="dxa"/>
            <w:tcBorders>
              <w:bottom w:val="single" w:sz="8" w:space="0" w:color="000000"/>
            </w:tcBorders>
            <w:shd w:fill="CCEEFF" w:val="clear"/>
            <w:tcMar>
              <w:bottom w:w="28" w:type="dxa"/>
            </w:tcMar>
            <w:vAlign w:val="center"/>
          </w:tcPr>
          <w:p>
            <w:pPr>
              <w:pStyle w:val="TableContents"/>
              <w:bidi w:val="0"/>
              <w:spacing w:before="0" w:after="283"/>
              <w:jc w:val="right"/>
              <w:rPr/>
            </w:pPr>
            <w:r>
              <w:rPr/>
              <w:t>250</w:t>
            </w:r>
          </w:p>
        </w:tc>
        <w:tc>
          <w:tcPr>
            <w:tcW w:w="81"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343"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1671" w:type="dxa"/>
            <w:tcBorders>
              <w:bottom w:val="single" w:sz="8" w:space="0" w:color="000000"/>
            </w:tcBorders>
            <w:shd w:fill="CCEEFF" w:val="clear"/>
            <w:tcMar>
              <w:bottom w:w="28" w:type="dxa"/>
            </w:tcMar>
            <w:vAlign w:val="center"/>
          </w:tcPr>
          <w:p>
            <w:pPr>
              <w:pStyle w:val="TableContents"/>
              <w:bidi w:val="0"/>
              <w:spacing w:before="0" w:after="283"/>
              <w:jc w:val="right"/>
              <w:rPr/>
            </w:pPr>
            <w:r>
              <w:rPr/>
              <w:t>167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25" w:type="dxa"/>
            <w:tcBorders>
              <w:bottom w:val="single" w:sz="8" w:space="0" w:color="000000"/>
            </w:tcBorders>
            <w:shd w:fill="CCEEFF" w:val="clear"/>
            <w:tcMar>
              <w:bottom w:w="28" w:type="dxa"/>
            </w:tcMar>
            <w:vAlign w:val="center"/>
          </w:tcPr>
          <w:p>
            <w:pPr>
              <w:pStyle w:val="TableContents"/>
              <w:bidi w:val="0"/>
              <w:spacing w:before="0" w:after="283"/>
              <w:jc w:val="right"/>
              <w:rPr/>
            </w:pPr>
            <w:r>
              <w:rPr/>
              <w:t>49.7</w:t>
            </w:r>
          </w:p>
        </w:tc>
        <w:tc>
          <w:tcPr>
            <w:tcW w:w="230" w:type="dxa"/>
            <w:tcBorders/>
            <w:shd w:fill="CCEEFF" w:val="clear"/>
            <w:vAlign w:val="center"/>
          </w:tcPr>
          <w:p>
            <w:pPr>
              <w:pStyle w:val="TableContents"/>
              <w:bidi w:val="0"/>
              <w:spacing w:before="0" w:after="283"/>
              <w:jc w:val="left"/>
              <w:rPr/>
            </w:pPr>
            <w:r>
              <w:rPr/>
              <w:t>%</w:t>
            </w:r>
          </w:p>
        </w:tc>
      </w:tr>
      <w:tr>
        <w:trPr/>
        <w:tc>
          <w:tcPr>
            <w:tcW w:w="1430" w:type="dxa"/>
            <w:tcBorders/>
            <w:shd w:fill="FFFFFF" w:val="clear"/>
            <w:vAlign w:val="center"/>
          </w:tcPr>
          <w:p>
            <w:pPr>
              <w:pStyle w:val="TableContents"/>
              <w:bidi w:val="0"/>
              <w:spacing w:before="0" w:after="283"/>
              <w:jc w:val="left"/>
              <w:rPr>
                <w:b/>
              </w:rPr>
            </w:pPr>
            <w:r>
              <w:rPr>
                <w:b/>
              </w:rPr>
              <w:t>Net Sales</w:t>
            </w:r>
          </w:p>
        </w:tc>
        <w:tc>
          <w:tcPr>
            <w:tcW w:w="60" w:type="dxa"/>
            <w:tcBorders/>
            <w:shd w:fill="FFFFFF" w:val="clear"/>
            <w:vAlign w:val="center"/>
          </w:tcPr>
          <w:p>
            <w:pPr>
              <w:pStyle w:val="TableContents"/>
              <w:bidi w:val="0"/>
              <w:spacing w:before="0" w:after="283"/>
              <w:jc w:val="left"/>
              <w:rPr/>
            </w:pPr>
            <w:r>
              <w:rPr/>
              <w:t> </w:t>
            </w:r>
          </w:p>
        </w:tc>
        <w:tc>
          <w:tcPr>
            <w:tcW w:w="343" w:type="dxa"/>
            <w:tcBorders/>
            <w:shd w:fill="FFFFFF" w:val="clear"/>
            <w:vAlign w:val="center"/>
          </w:tcPr>
          <w:p>
            <w:pPr>
              <w:pStyle w:val="TableContents"/>
              <w:bidi w:val="0"/>
              <w:spacing w:before="0" w:after="283"/>
              <w:jc w:val="left"/>
              <w:rPr/>
            </w:pPr>
            <w:r>
              <w:rPr/>
              <w:t>$</w:t>
            </w:r>
          </w:p>
        </w:tc>
        <w:tc>
          <w:tcPr>
            <w:tcW w:w="1671" w:type="dxa"/>
            <w:tcBorders/>
            <w:shd w:fill="FFFFFF" w:val="clear"/>
            <w:vAlign w:val="center"/>
          </w:tcPr>
          <w:p>
            <w:pPr>
              <w:pStyle w:val="TableContents"/>
              <w:bidi w:val="0"/>
              <w:spacing w:before="0" w:after="283"/>
              <w:jc w:val="right"/>
              <w:rPr/>
            </w:pPr>
            <w:r>
              <w:rPr/>
              <w:t>15,967</w:t>
            </w:r>
          </w:p>
        </w:tc>
        <w:tc>
          <w:tcPr>
            <w:tcW w:w="81"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343" w:type="dxa"/>
            <w:tcBorders/>
            <w:shd w:fill="FFFFFF" w:val="clear"/>
            <w:vAlign w:val="center"/>
          </w:tcPr>
          <w:p>
            <w:pPr>
              <w:pStyle w:val="TableContents"/>
              <w:bidi w:val="0"/>
              <w:spacing w:before="0" w:after="283"/>
              <w:jc w:val="left"/>
              <w:rPr/>
            </w:pPr>
            <w:r>
              <w:rPr/>
              <w:t>$</w:t>
            </w:r>
          </w:p>
        </w:tc>
        <w:tc>
          <w:tcPr>
            <w:tcW w:w="1671" w:type="dxa"/>
            <w:tcBorders/>
            <w:shd w:fill="FFFFFF" w:val="clear"/>
            <w:vAlign w:val="center"/>
          </w:tcPr>
          <w:p>
            <w:pPr>
              <w:pStyle w:val="TableContents"/>
              <w:bidi w:val="0"/>
              <w:spacing w:before="0" w:after="283"/>
              <w:jc w:val="right"/>
              <w:rPr/>
            </w:pPr>
            <w:r>
              <w:rPr/>
              <w:t>12,720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jc w:val="left"/>
              <w:rPr/>
            </w:pPr>
            <w:r>
              <w:rPr/>
              <w:t> </w:t>
            </w:r>
          </w:p>
        </w:tc>
        <w:tc>
          <w:tcPr>
            <w:tcW w:w="1325" w:type="dxa"/>
            <w:tcBorders/>
            <w:shd w:fill="FFFFFF" w:val="clear"/>
            <w:vAlign w:val="center"/>
          </w:tcPr>
          <w:p>
            <w:pPr>
              <w:pStyle w:val="TableContents"/>
              <w:bidi w:val="0"/>
              <w:spacing w:before="0" w:after="283"/>
              <w:jc w:val="right"/>
              <w:rPr/>
            </w:pPr>
            <w:r>
              <w:rPr/>
              <w:t>25.5</w:t>
            </w:r>
          </w:p>
        </w:tc>
        <w:tc>
          <w:tcPr>
            <w:tcW w:w="230" w:type="dxa"/>
            <w:tcBorders/>
            <w:shd w:fill="FFFFFF" w:val="clear"/>
            <w:vAlign w:val="center"/>
          </w:tcPr>
          <w:p>
            <w:pPr>
              <w:pStyle w:val="TableContents"/>
              <w:bidi w:val="0"/>
              <w:spacing w:before="0" w:after="283"/>
              <w:jc w:val="left"/>
              <w:rPr/>
            </w:pPr>
            <w:r>
              <w:rPr/>
              <w:t>%</w:t>
            </w:r>
          </w:p>
        </w:tc>
      </w:tr>
    </w:tbl>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Sales increased 26.0% to $16.0 million. OEM net sales grew 44.3% to $10.7 million, led by continued strong adoption of our products at the factory level. DTC net sales were $5.0 million compared to $5.2 million, reflecting ongoing macroeconomic pressures.</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Gross Profit increased 65.0% to $4.7 million, and gross margin expanded 710 basis points to 29.7%, led by increased volume, favorable product mix, and benefits from our cost optimization initiatives. Operating Expenses were $8.5 million, down from $8.9 million, which includes lower R&amp;D costs.</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reported a Net Loss of $(11.1) million, or $(0.20) per diluted share, compared to Net Loss of $(6.8) million or $(0.98) per diluted share. Adjusted EBITDA excluding stock-based compensation, changes in the fair market value of our warrants, and other one-time expenses, was $(2.1) million, compared to $(5.5) million.</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Adjusted EBITDA is a non-GAAP measure and should be considered only as supplemental to, and not as superior to, financial measures prepared in accordance with United States generally accepted accounting principles (“GAAP”). Please refer to the reconciliation of Adjusted EBITDA to its nearest GAAP measure in this release.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Summary and Outlook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This was a transformative quarter for Dragonfly Energy. We have significantly strengthened our financial foundation through decisive capital actions while delivering strong operational results, creating a solid foundation as we continue executing our growth initiatives. Looking ahead, we expect fourth quarter net sales to be approximately $13.0 million, representing year-over-year growth of approximately 7%. We remain confident in our ability to deliver sustainable growth and create long-term value for our shareholders.” concluded Dr. Phares.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caps w:val="false"/>
          <w:smallCaps w:val="false"/>
          <w:sz w:val="20"/>
        </w:rPr>
        <w:t>Q4 2025</w:t>
      </w:r>
      <w:r>
        <w:rPr>
          <w:rFonts w:ascii="Times New Roman;Times;Serif" w:hAnsi="Times New Roman;Times;Serif"/>
          <w:b/>
          <w:i w:val="false"/>
          <w:caps w:val="false"/>
          <w:smallCaps w:val="false"/>
          <w:sz w:val="20"/>
        </w:rPr>
        <w:t xml:space="preserve"> Guidance</w:t>
      </w:r>
    </w:p>
    <w:p>
      <w:pPr>
        <w:pStyle w:val="TextBody"/>
        <w:bidi w:val="0"/>
        <w:spacing w:before="0" w:after="0"/>
        <w:ind w:left="0" w:right="0" w:hanging="0"/>
        <w:jc w:val="both"/>
        <w:rPr>
          <w:caps w:val="false"/>
          <w:smallCaps w:val="false"/>
        </w:rPr>
      </w:pPr>
      <w:r>
        <w:rPr>
          <w:caps w:val="false"/>
          <w:smallCaps w:val="false"/>
        </w:rPr>
        <w:t> </w:t>
      </w:r>
    </w:p>
    <w:tbl>
      <w:tblPr>
        <w:tblW w:w="4443" w:type="dxa"/>
        <w:jc w:val="left"/>
        <w:tblInd w:w="0" w:type="dxa"/>
        <w:tblLayout w:type="fixed"/>
        <w:tblCellMar>
          <w:top w:w="0" w:type="dxa"/>
          <w:left w:w="0" w:type="dxa"/>
          <w:bottom w:w="0" w:type="dxa"/>
          <w:right w:w="0" w:type="dxa"/>
        </w:tblCellMar>
      </w:tblPr>
      <w:tblGrid>
        <w:gridCol w:w="38"/>
        <w:gridCol w:w="170"/>
        <w:gridCol w:w="423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2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Sales of approximately $13.0 million.</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2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Adjusted EBITDA of approximately $(3.3) million*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The Company cannot reconcile its expected adjusted operating EBITDA under “Q4 2025 Guidance” without unreasonable effort because certain items that impact net (loss) income and other reconciling metrics are out of the Company’s control and/or cannot be reasonably predicted at this time. Actual results may vary from the guidance and the variations may be material.</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Use of Non-GAAP Financial Measures</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provides non-GAAP financial measures including EBITDA and Adjusted EBITDA as a supplement to GAAP financial information to enhance the overall understanding of the Company’s financial performance and to assist investors in evaluating the Company’s results of operations, period over period. Adjusted non-GAAP measures exclude significant unusual items. Investors should consider these non-GAAP measures as a supplement to, and not a substitute for financial information prepared on a GAAP basis.</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EBITDA is defined as earnings before interest and other income (expenses), income taxes, and depreciation and amortization. Adjusted EBITDA is calculated as EBITDA adjusted for stock-based compensation, change in fair market value of warrant liabilities, non-recurring costs associated with strategic financing, reverse stock split, litigation and loss on settlement. Adjusted EBITDA is a performance measure that the Company believes is useful to investors and analysts because it illustrates the underlying financial and business trends relating to our core, recurring results of operations and enhances comparability between periods.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Adjusted EBITDA has limitations as an analytical tool, and it should not be considered in isolation or as a substitute for analysis of net loss or other results as reported under GAAP. Some of these limitations are:</w:t>
      </w:r>
    </w:p>
    <w:p>
      <w:pPr>
        <w:pStyle w:val="TextBody"/>
        <w:shd w:fill="FFFFFF" w:val="clear"/>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Adjusted EBITDA does not reflect the Company’s cash expenditures, future requirements for capital expenditures, or contractual commitments;</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Adjusted EBITDA does not reflect changes in, or cash requirements for, the Company’s working capital needs;</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Adjusted EBITDA does not reflect the Company’s tax expense or the cash requirements to pay taxes;</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amortization and depreciation are non-cash charges, the assets being amortized and depreciated will often have to be replaced in the future and Adjusted EBITDA does not reflect any cash requirements for such replacements;</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Adjusted EBITDA should not be construed as an inference that the Company’s future results will be unaffected by unusual or non-recurring items for which the Company may adjust in historical periods; and</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companies in the industry may calculate Adjusted EBITDA differently than the Company does, limiting its usefulness as a comparative measure.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Webcast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Dragonfly Energy management team will host a conference call to discuss its third quarter 2025 financial and operational this afternoon, November 14, 2025, at 4:30PM Eastern Time. The call can be accessed live via webcast by clicking </w:t>
      </w:r>
      <w:r>
        <w:rPr>
          <w:rFonts w:ascii="Times New Roman;Times;Serif" w:hAnsi="Times New Roman;Times;Serif"/>
          <w:b w:val="false"/>
          <w:i w:val="false"/>
          <w:caps w:val="false"/>
          <w:smallCaps w:val="false"/>
          <w:sz w:val="20"/>
          <w:u w:val="single"/>
        </w:rPr>
        <w:t>here</w:t>
      </w:r>
      <w:r>
        <w:rPr>
          <w:rFonts w:ascii="Times New Roman;Times;Serif" w:hAnsi="Times New Roman;Times;Serif"/>
          <w:b w:val="false"/>
          <w:i w:val="false"/>
          <w:caps w:val="false"/>
          <w:smallCaps w:val="false"/>
          <w:sz w:val="20"/>
        </w:rPr>
        <w:t xml:space="preserve">, or through the Events and Presentations page within the Investor Relations section of Dragonfly Energy’s website at </w:t>
      </w:r>
      <w:r>
        <w:rPr>
          <w:rFonts w:ascii="Times New Roman;Times;Serif" w:hAnsi="Times New Roman;Times;Serif"/>
          <w:b w:val="false"/>
          <w:i w:val="false"/>
          <w:caps w:val="false"/>
          <w:smallCaps w:val="false"/>
          <w:sz w:val="20"/>
          <w:u w:val="single"/>
        </w:rPr>
        <w:t>https://investors.dragonflyenergy.com/events-and-presentations/default.aspx</w:t>
      </w:r>
      <w:r>
        <w:rPr>
          <w:rFonts w:ascii="Times New Roman;Times;Serif" w:hAnsi="Times New Roman;Times;Serif"/>
          <w:b w:val="false"/>
          <w:i w:val="false"/>
          <w:caps w:val="false"/>
          <w:smallCaps w:val="false"/>
          <w:sz w:val="20"/>
        </w:rPr>
        <w:t>. The call can also be accessed live via telephone by dialing (646) 564-2877, toll-free in North America (800) 549-8228, or for international callers +1 (289) 819-1520, and referencing conference ID: 68465. Please log in to the webcast or dial in to the call at least 10 minutes prior to the start of the event.</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archive of the webcast will be available for a period of time shortly after the call on the Events and Presentations page on the Investor Relations section of Dragonfly Energy’s website, along with the earnings press release.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Dragonfly Energy</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Dragonfly Energy Holdings Corp. (Nasdaq: DFLI) is a comprehensive lithium battery technology company, specializing in cell manufacturing, battery pack assembly, and full system integration. Through its renowned Battle Born Batteries® brand, Dragonfly Energy has established itself as a frontrunner in the lithium battery industry, with hundreds of thousands of reliable battery packs deployed in the field through top-tier OEMs and a diverse retail customer base. At the forefront of domestic lithium battery cell production, Dragonfly Energy’s patented dry electrode manufacturing process can deliver chemistry-agnostic power solutions for a broad spectrum of applications, including energy storage systems, electric vehicles, and consumer electronics. The Company’s overarching mission is the future deployment of its proprietary, nonflammable, all-solid-state battery cells.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To learn more about Dragonfly Energy and its commitment to clean energy advancements, visit </w:t>
      </w:r>
      <w:r>
        <w:rPr>
          <w:rFonts w:ascii="Times New Roman;Times;Serif" w:hAnsi="Times New Roman;Times;Serif"/>
          <w:b w:val="false"/>
          <w:i w:val="false"/>
          <w:caps w:val="false"/>
          <w:smallCaps w:val="false"/>
          <w:sz w:val="20"/>
          <w:u w:val="single"/>
        </w:rPr>
        <w:t>https://investors.dragonflyenergy.com/</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press release contains forward-looking statements within the meaning of the United States Private Securities Litigation Reform Act of 1995. Forward-looking statements include all statements that are not historical statements of fact and statements regarding the Company’s intent, belief or expectations, including, but not limited to, statements regarding the Company’s guidance for the fourth quarter of 2025, results of operations and financial position, planned products and services, business strategy and plans, market size and growth opportunities, competitive position and technological and market trends. Some of these forward-looking statements can be identified by the use of forward-looking words, including “may,” “should,” “expect,” “intend,” “will,” “estimate,” “anticipate,” “believe,” “predict,” “plan,” “targets,” “projects,” “could,” “would,” “continue,” “forecast” or the negatives of these terms or variations of them or similar expressions.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These forward-looking statements are subject to risks, uncertainties, and other factors (some of which are beyond the Company’s control) which could cause actual results to differ materially from those expressed or implied by such forward-looking statements. Factors that may impact such forward-looking statements include, but are not limited to: improved recovery in the Company’s core markets, including the RV market; the Company’s ability to successfully increase market penetration into target markets; the Company’s ability to penetrate the heavy-duty trucking and other new markets; the growth of the addressable markets that the Company intends to target; the Company’s ability to retain members of its senior management team and other key personnel; the Company’s ability to maintain relationships with key suppliers including suppliers in China; the Company’s ability to maintain relationships with key customers; the Company’s ability to protect its patents and other intellectual property; the Company’s ability to successfully utilize its patented dry electrode battery manufacturing process and optimize solid state cells as well as to produce commercially viable solid state cells in a timely manner or at all, and to scale to mass production; the Company’s ability to timely achieve the anticipated benefits of its licensing arrangement with Stryten Energy LLC; the Company’s ability to achieve the anticipated benefits of its customer arrangements with THOR Industries and THOR Industries’ affiliated brands (including Keystone RV Company); the Company’s ability to maintain the listing of its common stock and public warrants on the Nasdaq Capital Market; the Russian/Ukrainian conflict; the Company’s ability to generate revenue from future product sales and its ability to achieve and maintain profitability; and the Company’s ability to compete with other manufacturers in the industry and its ability to engage target customers and successfully convert these customers into meaningful orders in the future. These and other risks and uncertainties are described more fully in the sections entitled “Risk Factors” and “Cautionary Note Regarding Forward-Looking Statements” in the Company’s Annual Report on Form 10-K for the year ended December 31, 2024 filed with the SEC and in the Company’s subsequent filings with the SEC available at </w:t>
      </w:r>
      <w:r>
        <w:rPr>
          <w:rFonts w:ascii="Times New Roman;Times;Serif" w:hAnsi="Times New Roman;Times;Serif"/>
          <w:b w:val="false"/>
          <w:i w:val="false"/>
          <w:caps w:val="false"/>
          <w:smallCaps w:val="false"/>
          <w:sz w:val="20"/>
          <w:u w:val="single"/>
        </w:rPr>
        <w:t>www.sec.gov</w:t>
      </w:r>
      <w:r>
        <w:rPr>
          <w:rFonts w:ascii="Times New Roman;Times;Serif" w:hAnsi="Times New Roman;Times;Serif"/>
          <w:b w:val="false"/>
          <w:i w:val="false"/>
          <w:caps w:val="false"/>
          <w:smallCaps w:val="false"/>
          <w:sz w:val="20"/>
        </w:rPr>
        <w:t>.</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of these risks materialize or any of the Company’s assumptions prove incorrect, actual results could differ materially from the results implied by these forward-looking statements. There may be additional risks that the Company presently does not know or that it currently believes are immaterial that could also cause actual results to differ from those contained in the forward-looking statements. All forward-looking statements contained in this press release speak only as of the date they were made. Except to the extent required by law, the Company undertakes no obligation to update such statements to reflect events that occur or circumstances that exist after the date on which they were made.</w:t>
      </w:r>
    </w:p>
    <w:p>
      <w:pPr>
        <w:pStyle w:val="TextBody"/>
        <w:shd w:fill="FFFFFF" w:val="clear"/>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Financial Tables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Dragonfly Energy Holdings Corp.</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Condensed Consolidated Balance Sheets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 Dollars in thousands, except share and per share data)</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920"/>
        <w:gridCol w:w="60"/>
        <w:gridCol w:w="144"/>
        <w:gridCol w:w="874"/>
        <w:gridCol w:w="80"/>
        <w:gridCol w:w="60"/>
        <w:gridCol w:w="155"/>
        <w:gridCol w:w="815"/>
        <w:gridCol w:w="97"/>
      </w:tblGrid>
      <w:tr>
        <w:trPr/>
        <w:tc>
          <w:tcPr>
            <w:tcW w:w="792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2128"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w:t>
            </w:r>
          </w:p>
        </w:tc>
        <w:tc>
          <w:tcPr>
            <w:tcW w:w="97"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792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018" w:type="dxa"/>
            <w:gridSpan w:val="2"/>
            <w:tcBorders>
              <w:bottom w:val="single" w:sz="8" w:space="0" w:color="000000"/>
            </w:tcBorders>
            <w:tcMar>
              <w:bottom w:w="28" w:type="dxa"/>
            </w:tcMar>
            <w:vAlign w:val="center"/>
          </w:tcPr>
          <w:p>
            <w:pPr>
              <w:pStyle w:val="TableContents"/>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September 30,</w:t>
            </w:r>
          </w:p>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2025</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970" w:type="dxa"/>
            <w:gridSpan w:val="2"/>
            <w:tcBorders>
              <w:bottom w:val="single" w:sz="8" w:space="0" w:color="000000"/>
            </w:tcBorders>
            <w:tcMar>
              <w:bottom w:w="28" w:type="dxa"/>
            </w:tcMar>
            <w:vAlign w:val="center"/>
          </w:tcPr>
          <w:p>
            <w:pPr>
              <w:pStyle w:val="TableContents"/>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December 31,</w:t>
            </w:r>
          </w:p>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2024</w:t>
            </w:r>
          </w:p>
        </w:tc>
        <w:tc>
          <w:tcPr>
            <w:tcW w:w="97"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792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Assets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74"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1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92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and cash equivalents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7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3,838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1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4,849</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92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Accounts receivable, net of allowance for credit losses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7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4,792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2,416</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92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Inventory</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7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22,718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1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21,716</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92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Prepaid expenses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7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849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806</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92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Prepaid inventory</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7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1,237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1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1,362</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92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Prepaid income tax</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7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307</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92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Assets held for sale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7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1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644</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92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current assets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4"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74"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764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1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825</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92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Current Assets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4"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7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34,509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1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32,925</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92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Property and Equipment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74"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1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92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Property and Equipment, Net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7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20,906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1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22,107</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92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lease right of use asset, net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7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17,977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19,737</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92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assets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4"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7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1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445</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92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Assets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4"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874"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73,843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81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75,214</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92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74"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1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92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Liabilities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74"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1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92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Accounts payable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7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11,867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1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10,716</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92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Accrued payroll and other liabilities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7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4,998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4,129</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92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Accrued tariffs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7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1,591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1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1,915</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92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Accrued settlement, current portion</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7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2,125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750</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92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Customer deposits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7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1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317</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92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 revenue, current portion</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7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1,000</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92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Uncertain tax position liability</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7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1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92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 payable, current portion, net of debt issuance costs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7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877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92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lease liability, current portion</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7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2,868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1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2,926</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92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Financing lease liability, current portion</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4"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74"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1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92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Current Liabilities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4"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7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25,675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1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21,855</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92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Long-Term Liabilities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74"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1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92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 revenue, net of current portion</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7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2,833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1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3,583</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92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Warrant liabilities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7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1,205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5,133</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92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Accrued settlement, net of current portion</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7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1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1,750</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92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 payable, non current portion, net of debt issuance costs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7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44,546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29,646</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92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lease liability, net of current portion</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7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21,128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1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22,588</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92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Financing lease liability, net of current portion</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4"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74"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1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92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Long-Term Liabilities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4"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7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69,745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1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62,763</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92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Liabilities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4"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74"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95,420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1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84,618</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92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Commitments and Contingencies (See Note 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74"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1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92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Redeemable Preferred stock</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74"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1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92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Preferred stock - Series A 5,000 shares at $0.0001 par value, authorized, no shares issued and outstanding as of September 30, 2025 and December 31, 2024, respectively</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7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1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92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Stockholders’ (Deficit)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74"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1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92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Preferred stock, 4,995,000 shares at $0.0001 par value, authorized, no shares issued and outstanding as of September 30, 2025 and December 31, 2024, respectively</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7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1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92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Common stock, 400,000,000 shares at $0.0001 par value, authorized, 61,742,104 and 7,232,650 shares issued and outstanding as of September 30, 2025 and December 31, 2024, respectively</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7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92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 paid in capital</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7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85,472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1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72,749</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92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Accumulated deficit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4"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74"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(107,055</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1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(82,154</w:t>
            </w:r>
          </w:p>
        </w:tc>
        <w:tc>
          <w:tcPr>
            <w:tcW w:w="9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792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Stockholders’ (Deficit)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4"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7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(21,577</w:t>
            </w:r>
          </w:p>
        </w:tc>
        <w:tc>
          <w:tcPr>
            <w:tcW w:w="8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1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(9,404</w:t>
            </w:r>
          </w:p>
        </w:tc>
        <w:tc>
          <w:tcPr>
            <w:tcW w:w="97"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r>
        <w:trPr/>
        <w:tc>
          <w:tcPr>
            <w:tcW w:w="792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Liabilities, Redeemable Preferred Stock and Stockholders’ Deficit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4"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874"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73,843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81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75,214</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shd w:fill="FFFFFF" w:val="clear"/>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Dragonfly Energy Holdings Corp.</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Condensed Interim Consolidated Statement of Operations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 Dollar in Thousands, except share and per share data)</w:t>
      </w:r>
    </w:p>
    <w:p>
      <w:pPr>
        <w:pStyle w:val="TextBody"/>
        <w:bidi w:val="0"/>
        <w:spacing w:before="0" w:after="0"/>
        <w:ind w:left="0" w:right="0" w:hanging="0"/>
        <w:jc w:val="left"/>
        <w:rPr>
          <w:caps w:val="false"/>
          <w:smallCaps w:val="false"/>
        </w:rPr>
      </w:pPr>
      <w:r>
        <w:rPr>
          <w:caps w:val="false"/>
          <w:smallCaps w:val="false"/>
        </w:rPr>
        <w:t> </w:t>
      </w:r>
    </w:p>
    <w:tbl>
      <w:tblPr>
        <w:tblW w:w="7955" w:type="dxa"/>
        <w:jc w:val="left"/>
        <w:tblInd w:w="0" w:type="dxa"/>
        <w:tblLayout w:type="fixed"/>
        <w:tblCellMar>
          <w:top w:w="0" w:type="dxa"/>
          <w:left w:w="0" w:type="dxa"/>
          <w:bottom w:w="0" w:type="dxa"/>
          <w:right w:w="0" w:type="dxa"/>
        </w:tblCellMar>
      </w:tblPr>
      <w:tblGrid>
        <w:gridCol w:w="5270"/>
        <w:gridCol w:w="60"/>
        <w:gridCol w:w="140"/>
        <w:gridCol w:w="1100"/>
        <w:gridCol w:w="95"/>
        <w:gridCol w:w="60"/>
        <w:gridCol w:w="140"/>
        <w:gridCol w:w="980"/>
        <w:gridCol w:w="110"/>
      </w:tblGrid>
      <w:tr>
        <w:trPr/>
        <w:tc>
          <w:tcPr>
            <w:tcW w:w="52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15" w:type="dxa"/>
            <w:gridSpan w:val="6"/>
            <w:tcBorders>
              <w:bottom w:val="single" w:sz="8" w:space="0" w:color="000000"/>
            </w:tcBorders>
            <w:tcMar>
              <w:bottom w:w="28" w:type="dxa"/>
            </w:tcMar>
            <w:vAlign w:val="center"/>
          </w:tcPr>
          <w:p>
            <w:pPr>
              <w:pStyle w:val="TableContents"/>
              <w:bidi w:val="0"/>
              <w:spacing w:before="0" w:after="283"/>
              <w:jc w:val="center"/>
              <w:rPr>
                <w:b/>
              </w:rPr>
            </w:pPr>
            <w:r>
              <w:rPr>
                <w:b/>
              </w:rPr>
              <w:t>Three Months Ended</w:t>
            </w:r>
          </w:p>
        </w:tc>
        <w:tc>
          <w:tcPr>
            <w:tcW w:w="110" w:type="dxa"/>
            <w:tcBorders/>
            <w:vAlign w:val="center"/>
          </w:tcPr>
          <w:p>
            <w:pPr>
              <w:pStyle w:val="TableContents"/>
              <w:bidi w:val="0"/>
              <w:spacing w:before="0" w:after="283"/>
              <w:jc w:val="left"/>
              <w:rPr/>
            </w:pPr>
            <w:r>
              <w:rPr/>
              <w:t> </w:t>
            </w:r>
          </w:p>
        </w:tc>
      </w:tr>
      <w:tr>
        <w:trPr/>
        <w:tc>
          <w:tcPr>
            <w:tcW w:w="52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vAlign w:val="center"/>
          </w:tcPr>
          <w:p>
            <w:pPr>
              <w:pStyle w:val="TableContents"/>
              <w:bidi w:val="0"/>
              <w:spacing w:before="0" w:after="283"/>
              <w:jc w:val="center"/>
              <w:rPr>
                <w:b/>
              </w:rPr>
            </w:pPr>
            <w:r>
              <w:rPr>
                <w:b/>
              </w:rPr>
              <w:t>Sep 30,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vAlign w:val="center"/>
          </w:tcPr>
          <w:p>
            <w:pPr>
              <w:pStyle w:val="TableContents"/>
              <w:bidi w:val="0"/>
              <w:spacing w:before="0" w:after="283"/>
              <w:jc w:val="center"/>
              <w:rPr>
                <w:b/>
              </w:rPr>
            </w:pPr>
            <w:r>
              <w:rPr>
                <w:b/>
              </w:rPr>
              <w:t>Sep 30,</w:t>
            </w:r>
          </w:p>
        </w:tc>
        <w:tc>
          <w:tcPr>
            <w:tcW w:w="110" w:type="dxa"/>
            <w:tcBorders/>
            <w:vAlign w:val="center"/>
          </w:tcPr>
          <w:p>
            <w:pPr>
              <w:pStyle w:val="TableContents"/>
              <w:bidi w:val="0"/>
              <w:spacing w:before="0" w:after="283"/>
              <w:jc w:val="left"/>
              <w:rPr/>
            </w:pPr>
            <w:r>
              <w:rPr/>
              <w:t> </w:t>
            </w:r>
          </w:p>
        </w:tc>
      </w:tr>
      <w:tr>
        <w:trPr/>
        <w:tc>
          <w:tcPr>
            <w:tcW w:w="52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110" w:type="dxa"/>
            <w:tcBorders/>
            <w:vAlign w:val="center"/>
          </w:tcPr>
          <w:p>
            <w:pPr>
              <w:pStyle w:val="TableContents"/>
              <w:bidi w:val="0"/>
              <w:spacing w:before="0" w:after="283"/>
              <w:jc w:val="left"/>
              <w:rPr/>
            </w:pPr>
            <w:r>
              <w:rPr/>
              <w:t> </w:t>
            </w:r>
          </w:p>
        </w:tc>
      </w:tr>
      <w:tr>
        <w:trPr/>
        <w:tc>
          <w:tcPr>
            <w:tcW w:w="52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r>
      <w:tr>
        <w:trPr/>
        <w:tc>
          <w:tcPr>
            <w:tcW w:w="5270" w:type="dxa"/>
            <w:tcBorders/>
            <w:shd w:fill="CCEEFF" w:val="clear"/>
            <w:vAlign w:val="center"/>
          </w:tcPr>
          <w:p>
            <w:pPr>
              <w:pStyle w:val="TableContents"/>
              <w:bidi w:val="0"/>
              <w:spacing w:before="0" w:after="283"/>
              <w:jc w:val="left"/>
              <w:rPr>
                <w:b/>
              </w:rPr>
            </w:pPr>
            <w:r>
              <w:rPr>
                <w:b/>
              </w:rPr>
              <w:t>Net Sales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15,967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12,720</w:t>
            </w:r>
          </w:p>
        </w:tc>
        <w:tc>
          <w:tcPr>
            <w:tcW w:w="110" w:type="dxa"/>
            <w:tcBorders/>
            <w:shd w:fill="CCEEFF" w:val="clear"/>
            <w:vAlign w:val="center"/>
          </w:tcPr>
          <w:p>
            <w:pPr>
              <w:pStyle w:val="TableContents"/>
              <w:bidi w:val="0"/>
              <w:spacing w:before="0" w:after="283"/>
              <w:jc w:val="left"/>
              <w:rPr/>
            </w:pPr>
            <w:r>
              <w:rPr/>
              <w:t> </w:t>
            </w:r>
          </w:p>
        </w:tc>
      </w:tr>
      <w:tr>
        <w:trPr/>
        <w:tc>
          <w:tcPr>
            <w:tcW w:w="52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5270" w:type="dxa"/>
            <w:tcBorders/>
            <w:shd w:fill="CCEEFF" w:val="clear"/>
            <w:vAlign w:val="center"/>
          </w:tcPr>
          <w:p>
            <w:pPr>
              <w:pStyle w:val="TableContents"/>
              <w:bidi w:val="0"/>
              <w:spacing w:before="0" w:after="283"/>
              <w:jc w:val="left"/>
              <w:rPr>
                <w:b/>
              </w:rPr>
            </w:pPr>
            <w:r>
              <w:rPr>
                <w:b/>
              </w:rPr>
              <w:t>Cost of Goods Sold</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11,231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9,850</w:t>
            </w:r>
          </w:p>
        </w:tc>
        <w:tc>
          <w:tcPr>
            <w:tcW w:w="110" w:type="dxa"/>
            <w:tcBorders/>
            <w:shd w:fill="CCEEFF" w:val="clear"/>
            <w:vAlign w:val="center"/>
          </w:tcPr>
          <w:p>
            <w:pPr>
              <w:pStyle w:val="TableContents"/>
              <w:bidi w:val="0"/>
              <w:spacing w:before="0" w:after="283"/>
              <w:jc w:val="left"/>
              <w:rPr/>
            </w:pPr>
            <w:r>
              <w:rPr/>
              <w:t> </w:t>
            </w:r>
          </w:p>
        </w:tc>
      </w:tr>
      <w:tr>
        <w:trPr/>
        <w:tc>
          <w:tcPr>
            <w:tcW w:w="52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5270" w:type="dxa"/>
            <w:tcBorders/>
            <w:shd w:fill="CCEEFF" w:val="clear"/>
            <w:vAlign w:val="center"/>
          </w:tcPr>
          <w:p>
            <w:pPr>
              <w:pStyle w:val="TableContents"/>
              <w:bidi w:val="0"/>
              <w:spacing w:before="0" w:after="283"/>
              <w:jc w:val="left"/>
              <w:rPr>
                <w:b/>
              </w:rPr>
            </w:pPr>
            <w:r>
              <w:rPr>
                <w:b/>
              </w:rPr>
              <w:t>Gross Profit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4,736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2,870</w:t>
            </w:r>
          </w:p>
        </w:tc>
        <w:tc>
          <w:tcPr>
            <w:tcW w:w="110" w:type="dxa"/>
            <w:tcBorders/>
            <w:shd w:fill="CCEEFF" w:val="clear"/>
            <w:vAlign w:val="center"/>
          </w:tcPr>
          <w:p>
            <w:pPr>
              <w:pStyle w:val="TableContents"/>
              <w:bidi w:val="0"/>
              <w:spacing w:before="0" w:after="283"/>
              <w:jc w:val="left"/>
              <w:rPr/>
            </w:pPr>
            <w:r>
              <w:rPr/>
              <w:t> </w:t>
            </w:r>
          </w:p>
        </w:tc>
      </w:tr>
      <w:tr>
        <w:trPr/>
        <w:tc>
          <w:tcPr>
            <w:tcW w:w="52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5270" w:type="dxa"/>
            <w:tcBorders/>
            <w:shd w:fill="CCEEFF" w:val="clear"/>
            <w:vAlign w:val="center"/>
          </w:tcPr>
          <w:p>
            <w:pPr>
              <w:pStyle w:val="TableContents"/>
              <w:bidi w:val="0"/>
              <w:spacing w:before="0" w:after="283"/>
              <w:jc w:val="left"/>
              <w:rPr>
                <w:b/>
              </w:rPr>
            </w:pPr>
            <w:r>
              <w:rPr>
                <w:b/>
              </w:rPr>
              <w:t>Operating Expenses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5270" w:type="dxa"/>
            <w:tcBorders/>
            <w:shd w:fill="FFFFFF" w:val="clear"/>
            <w:vAlign w:val="center"/>
          </w:tcPr>
          <w:p>
            <w:pPr>
              <w:pStyle w:val="TableContents"/>
              <w:bidi w:val="0"/>
              <w:spacing w:before="0" w:after="283"/>
              <w:jc w:val="left"/>
              <w:rPr/>
            </w:pPr>
            <w:r>
              <w:rPr/>
              <w:t>Research and development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585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1,631</w:t>
            </w:r>
          </w:p>
        </w:tc>
        <w:tc>
          <w:tcPr>
            <w:tcW w:w="110" w:type="dxa"/>
            <w:tcBorders/>
            <w:shd w:fill="FFFFFF" w:val="clear"/>
            <w:vAlign w:val="center"/>
          </w:tcPr>
          <w:p>
            <w:pPr>
              <w:pStyle w:val="TableContents"/>
              <w:bidi w:val="0"/>
              <w:spacing w:before="0" w:after="283"/>
              <w:jc w:val="left"/>
              <w:rPr/>
            </w:pPr>
            <w:r>
              <w:rPr/>
              <w:t> </w:t>
            </w:r>
          </w:p>
        </w:tc>
      </w:tr>
      <w:tr>
        <w:trPr/>
        <w:tc>
          <w:tcPr>
            <w:tcW w:w="5270" w:type="dxa"/>
            <w:tcBorders/>
            <w:shd w:fill="CCEEFF" w:val="clear"/>
            <w:vAlign w:val="center"/>
          </w:tcPr>
          <w:p>
            <w:pPr>
              <w:pStyle w:val="TableContents"/>
              <w:bidi w:val="0"/>
              <w:spacing w:before="0" w:after="283"/>
              <w:jc w:val="left"/>
              <w:rPr/>
            </w:pPr>
            <w:r>
              <w:rPr/>
              <w:t>General and administrative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5,299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4,361</w:t>
            </w:r>
          </w:p>
        </w:tc>
        <w:tc>
          <w:tcPr>
            <w:tcW w:w="110" w:type="dxa"/>
            <w:tcBorders/>
            <w:shd w:fill="CCEEFF" w:val="clear"/>
            <w:vAlign w:val="center"/>
          </w:tcPr>
          <w:p>
            <w:pPr>
              <w:pStyle w:val="TableContents"/>
              <w:bidi w:val="0"/>
              <w:spacing w:before="0" w:after="283"/>
              <w:jc w:val="left"/>
              <w:rPr/>
            </w:pPr>
            <w:r>
              <w:rPr/>
              <w:t> </w:t>
            </w:r>
          </w:p>
        </w:tc>
      </w:tr>
      <w:tr>
        <w:trPr/>
        <w:tc>
          <w:tcPr>
            <w:tcW w:w="5270" w:type="dxa"/>
            <w:tcBorders/>
            <w:shd w:fill="FFFFFF" w:val="clear"/>
            <w:vAlign w:val="center"/>
          </w:tcPr>
          <w:p>
            <w:pPr>
              <w:pStyle w:val="TableContents"/>
              <w:bidi w:val="0"/>
              <w:spacing w:before="0" w:after="283"/>
              <w:jc w:val="left"/>
              <w:rPr/>
            </w:pPr>
            <w:r>
              <w:rPr/>
              <w:t>Selling and marketing</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2,630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2,904</w:t>
            </w:r>
          </w:p>
        </w:tc>
        <w:tc>
          <w:tcPr>
            <w:tcW w:w="110" w:type="dxa"/>
            <w:tcBorders/>
            <w:shd w:fill="FFFFFF" w:val="clear"/>
            <w:vAlign w:val="center"/>
          </w:tcPr>
          <w:p>
            <w:pPr>
              <w:pStyle w:val="TableContents"/>
              <w:bidi w:val="0"/>
              <w:spacing w:before="0" w:after="283"/>
              <w:jc w:val="left"/>
              <w:rPr/>
            </w:pPr>
            <w:r>
              <w:rPr/>
              <w:t> </w:t>
            </w:r>
          </w:p>
        </w:tc>
      </w:tr>
      <w:tr>
        <w:trPr/>
        <w:tc>
          <w:tcPr>
            <w:tcW w:w="527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5270" w:type="dxa"/>
            <w:tcBorders/>
            <w:shd w:fill="FFFFFF" w:val="clear"/>
            <w:vAlign w:val="center"/>
          </w:tcPr>
          <w:p>
            <w:pPr>
              <w:pStyle w:val="TableContents"/>
              <w:bidi w:val="0"/>
              <w:spacing w:before="0" w:after="283"/>
              <w:jc w:val="left"/>
              <w:rPr>
                <w:b/>
              </w:rPr>
            </w:pPr>
            <w:r>
              <w:rPr>
                <w:b/>
              </w:rPr>
              <w:t>Total Operating Expenses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8,514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8,896</w:t>
            </w:r>
          </w:p>
        </w:tc>
        <w:tc>
          <w:tcPr>
            <w:tcW w:w="110" w:type="dxa"/>
            <w:tcBorders/>
            <w:shd w:fill="FFFFFF" w:val="clear"/>
            <w:vAlign w:val="center"/>
          </w:tcPr>
          <w:p>
            <w:pPr>
              <w:pStyle w:val="TableContents"/>
              <w:bidi w:val="0"/>
              <w:spacing w:before="0" w:after="283"/>
              <w:jc w:val="left"/>
              <w:rPr/>
            </w:pPr>
            <w:r>
              <w:rPr/>
              <w:t> </w:t>
            </w:r>
          </w:p>
        </w:tc>
      </w:tr>
      <w:tr>
        <w:trPr/>
        <w:tc>
          <w:tcPr>
            <w:tcW w:w="527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5270" w:type="dxa"/>
            <w:tcBorders/>
            <w:shd w:fill="FFFFFF" w:val="clear"/>
            <w:vAlign w:val="center"/>
          </w:tcPr>
          <w:p>
            <w:pPr>
              <w:pStyle w:val="TableContents"/>
              <w:bidi w:val="0"/>
              <w:spacing w:before="0" w:after="283"/>
              <w:jc w:val="left"/>
              <w:rPr/>
            </w:pPr>
            <w:r>
              <w:rPr/>
              <w:t>Loss From Operations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(3,778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(6,026</w:t>
            </w:r>
          </w:p>
        </w:tc>
        <w:tc>
          <w:tcPr>
            <w:tcW w:w="110" w:type="dxa"/>
            <w:tcBorders/>
            <w:shd w:fill="FFFFFF" w:val="clear"/>
            <w:vAlign w:val="center"/>
          </w:tcPr>
          <w:p>
            <w:pPr>
              <w:pStyle w:val="TableContents"/>
              <w:bidi w:val="0"/>
              <w:spacing w:before="0" w:after="283"/>
              <w:jc w:val="left"/>
              <w:rPr/>
            </w:pPr>
            <w:r>
              <w:rPr/>
              <w:t>)</w:t>
            </w:r>
          </w:p>
        </w:tc>
      </w:tr>
      <w:tr>
        <w:trPr/>
        <w:tc>
          <w:tcPr>
            <w:tcW w:w="527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5270" w:type="dxa"/>
            <w:tcBorders/>
            <w:shd w:fill="FFFFFF" w:val="clear"/>
            <w:vAlign w:val="center"/>
          </w:tcPr>
          <w:p>
            <w:pPr>
              <w:pStyle w:val="TableContents"/>
              <w:bidi w:val="0"/>
              <w:spacing w:before="0" w:after="283"/>
              <w:jc w:val="left"/>
              <w:rPr>
                <w:b/>
              </w:rPr>
            </w:pPr>
            <w:r>
              <w:rPr>
                <w:b/>
              </w:rPr>
              <w:t>Other Income (Expense)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5270" w:type="dxa"/>
            <w:tcBorders/>
            <w:shd w:fill="CCEEFF" w:val="clear"/>
            <w:vAlign w:val="center"/>
          </w:tcPr>
          <w:p>
            <w:pPr>
              <w:pStyle w:val="TableContents"/>
              <w:bidi w:val="0"/>
              <w:spacing w:before="0" w:after="283"/>
              <w:jc w:val="left"/>
              <w:rPr/>
            </w:pPr>
            <w:r>
              <w:rPr/>
              <w:t>Interest expense, net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(6,409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(5,615</w:t>
            </w:r>
          </w:p>
        </w:tc>
        <w:tc>
          <w:tcPr>
            <w:tcW w:w="110" w:type="dxa"/>
            <w:tcBorders/>
            <w:shd w:fill="CCEEFF" w:val="clear"/>
            <w:vAlign w:val="center"/>
          </w:tcPr>
          <w:p>
            <w:pPr>
              <w:pStyle w:val="TableContents"/>
              <w:bidi w:val="0"/>
              <w:spacing w:before="0" w:after="283"/>
              <w:jc w:val="left"/>
              <w:rPr/>
            </w:pPr>
            <w:r>
              <w:rPr/>
              <w:t>)</w:t>
            </w:r>
          </w:p>
        </w:tc>
      </w:tr>
      <w:tr>
        <w:trPr/>
        <w:tc>
          <w:tcPr>
            <w:tcW w:w="5270" w:type="dxa"/>
            <w:tcBorders/>
            <w:shd w:fill="FFFFFF" w:val="clear"/>
            <w:vAlign w:val="center"/>
          </w:tcPr>
          <w:p>
            <w:pPr>
              <w:pStyle w:val="TableContents"/>
              <w:bidi w:val="0"/>
              <w:spacing w:before="0" w:after="283"/>
              <w:jc w:val="left"/>
              <w:rPr/>
            </w:pPr>
            <w:r>
              <w:rPr/>
              <w:t>Other Expense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(13</w:t>
            </w:r>
          </w:p>
        </w:tc>
        <w:tc>
          <w:tcPr>
            <w:tcW w:w="110" w:type="dxa"/>
            <w:tcBorders/>
            <w:shd w:fill="FFFFFF" w:val="clear"/>
            <w:vAlign w:val="center"/>
          </w:tcPr>
          <w:p>
            <w:pPr>
              <w:pStyle w:val="TableContents"/>
              <w:bidi w:val="0"/>
              <w:spacing w:before="0" w:after="283"/>
              <w:jc w:val="left"/>
              <w:rPr/>
            </w:pPr>
            <w:r>
              <w:rPr/>
              <w:t>)</w:t>
            </w:r>
          </w:p>
        </w:tc>
      </w:tr>
      <w:tr>
        <w:trPr/>
        <w:tc>
          <w:tcPr>
            <w:tcW w:w="5270" w:type="dxa"/>
            <w:tcBorders/>
            <w:shd w:fill="CCEEFF" w:val="clear"/>
            <w:vAlign w:val="center"/>
          </w:tcPr>
          <w:p>
            <w:pPr>
              <w:pStyle w:val="TableContents"/>
              <w:bidi w:val="0"/>
              <w:spacing w:before="0" w:after="283"/>
              <w:jc w:val="left"/>
              <w:rPr/>
            </w:pPr>
            <w:r>
              <w:rPr/>
              <w:t>Change in fair market value of warrant liability</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(883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4,875</w:t>
            </w:r>
          </w:p>
        </w:tc>
        <w:tc>
          <w:tcPr>
            <w:tcW w:w="110" w:type="dxa"/>
            <w:tcBorders/>
            <w:shd w:fill="CCEEFF" w:val="clear"/>
            <w:vAlign w:val="center"/>
          </w:tcPr>
          <w:p>
            <w:pPr>
              <w:pStyle w:val="TableContents"/>
              <w:bidi w:val="0"/>
              <w:spacing w:before="0" w:after="283"/>
              <w:jc w:val="left"/>
              <w:rPr/>
            </w:pPr>
            <w:r>
              <w:rPr/>
              <w:t> </w:t>
            </w:r>
          </w:p>
        </w:tc>
      </w:tr>
      <w:tr>
        <w:trPr/>
        <w:tc>
          <w:tcPr>
            <w:tcW w:w="5270" w:type="dxa"/>
            <w:tcBorders/>
            <w:shd w:fill="FFFFFF" w:val="clear"/>
            <w:vAlign w:val="center"/>
          </w:tcPr>
          <w:p>
            <w:pPr>
              <w:pStyle w:val="TableContents"/>
              <w:bidi w:val="0"/>
              <w:spacing w:before="0" w:after="283"/>
              <w:jc w:val="left"/>
              <w:rPr>
                <w:b/>
              </w:rPr>
            </w:pPr>
            <w:r>
              <w:rPr>
                <w:b/>
              </w:rPr>
              <w:t>Total Other Expense</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(7,292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(753</w:t>
            </w:r>
          </w:p>
        </w:tc>
        <w:tc>
          <w:tcPr>
            <w:tcW w:w="110" w:type="dxa"/>
            <w:tcBorders/>
            <w:shd w:fill="FFFFFF" w:val="clear"/>
            <w:vAlign w:val="center"/>
          </w:tcPr>
          <w:p>
            <w:pPr>
              <w:pStyle w:val="TableContents"/>
              <w:bidi w:val="0"/>
              <w:spacing w:before="0" w:after="283"/>
              <w:jc w:val="left"/>
              <w:rPr/>
            </w:pPr>
            <w:r>
              <w:rPr/>
              <w:t>)</w:t>
            </w:r>
          </w:p>
        </w:tc>
      </w:tr>
      <w:tr>
        <w:trPr/>
        <w:tc>
          <w:tcPr>
            <w:tcW w:w="527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5270" w:type="dxa"/>
            <w:tcBorders/>
            <w:shd w:fill="FFFFFF" w:val="clear"/>
            <w:vAlign w:val="center"/>
          </w:tcPr>
          <w:p>
            <w:pPr>
              <w:pStyle w:val="TableContents"/>
              <w:bidi w:val="0"/>
              <w:spacing w:before="0" w:after="283"/>
              <w:jc w:val="left"/>
              <w:rPr>
                <w:b/>
              </w:rPr>
            </w:pPr>
            <w:r>
              <w:rPr>
                <w:b/>
              </w:rPr>
              <w:t>Net Loss Before Taxes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(11,070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(6,779</w:t>
            </w:r>
          </w:p>
        </w:tc>
        <w:tc>
          <w:tcPr>
            <w:tcW w:w="110" w:type="dxa"/>
            <w:tcBorders/>
            <w:shd w:fill="FFFFFF" w:val="clear"/>
            <w:vAlign w:val="center"/>
          </w:tcPr>
          <w:p>
            <w:pPr>
              <w:pStyle w:val="TableContents"/>
              <w:bidi w:val="0"/>
              <w:spacing w:before="0" w:after="283"/>
              <w:jc w:val="left"/>
              <w:rPr/>
            </w:pPr>
            <w:r>
              <w:rPr/>
              <w:t>)</w:t>
            </w:r>
          </w:p>
        </w:tc>
      </w:tr>
      <w:tr>
        <w:trPr/>
        <w:tc>
          <w:tcPr>
            <w:tcW w:w="527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5270" w:type="dxa"/>
            <w:tcBorders/>
            <w:shd w:fill="FFFFFF" w:val="clear"/>
            <w:vAlign w:val="center"/>
          </w:tcPr>
          <w:p>
            <w:pPr>
              <w:pStyle w:val="TableContents"/>
              <w:bidi w:val="0"/>
              <w:spacing w:before="0" w:after="283"/>
              <w:jc w:val="left"/>
              <w:rPr>
                <w:b/>
              </w:rPr>
            </w:pPr>
            <w:r>
              <w:rPr>
                <w:b/>
              </w:rPr>
              <w:t>Income Tax (Benefit) Expense</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527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5270" w:type="dxa"/>
            <w:tcBorders/>
            <w:shd w:fill="FFFFFF" w:val="clear"/>
            <w:vAlign w:val="center"/>
          </w:tcPr>
          <w:p>
            <w:pPr>
              <w:pStyle w:val="TableContents"/>
              <w:bidi w:val="0"/>
              <w:spacing w:before="0" w:after="283"/>
              <w:jc w:val="left"/>
              <w:rPr>
                <w:b/>
              </w:rPr>
            </w:pPr>
            <w:r>
              <w:rPr>
                <w:b/>
              </w:rPr>
              <w:t>Net Loss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pPr>
            <w:r>
              <w:rPr/>
              <w:t>(11,070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pPr>
            <w:r>
              <w:rPr/>
              <w:t>(6,779</w:t>
            </w:r>
          </w:p>
        </w:tc>
        <w:tc>
          <w:tcPr>
            <w:tcW w:w="110" w:type="dxa"/>
            <w:tcBorders/>
            <w:shd w:fill="FFFFFF" w:val="clear"/>
            <w:vAlign w:val="center"/>
          </w:tcPr>
          <w:p>
            <w:pPr>
              <w:pStyle w:val="TableContents"/>
              <w:bidi w:val="0"/>
              <w:spacing w:before="0" w:after="283"/>
              <w:jc w:val="left"/>
              <w:rPr/>
            </w:pPr>
            <w:r>
              <w:rPr/>
              <w:t>)</w:t>
            </w:r>
          </w:p>
        </w:tc>
      </w:tr>
      <w:tr>
        <w:trPr/>
        <w:tc>
          <w:tcPr>
            <w:tcW w:w="527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5270" w:type="dxa"/>
            <w:tcBorders/>
            <w:shd w:fill="FFFFFF" w:val="clear"/>
            <w:vAlign w:val="center"/>
          </w:tcPr>
          <w:p>
            <w:pPr>
              <w:pStyle w:val="TableContents"/>
              <w:bidi w:val="0"/>
              <w:spacing w:before="0" w:after="283"/>
              <w:jc w:val="left"/>
              <w:rPr/>
            </w:pPr>
            <w:r>
              <w:rPr/>
              <w:t>Net Loss Per Share- Basic &amp; Diluted</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pPr>
            <w:r>
              <w:rPr/>
              <w:t>(0.20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pPr>
            <w:r>
              <w:rPr/>
              <w:t>(0.98</w:t>
            </w:r>
          </w:p>
        </w:tc>
        <w:tc>
          <w:tcPr>
            <w:tcW w:w="110" w:type="dxa"/>
            <w:tcBorders/>
            <w:shd w:fill="FFFFFF" w:val="clear"/>
            <w:vAlign w:val="center"/>
          </w:tcPr>
          <w:p>
            <w:pPr>
              <w:pStyle w:val="TableContents"/>
              <w:bidi w:val="0"/>
              <w:spacing w:before="0" w:after="283"/>
              <w:jc w:val="left"/>
              <w:rPr/>
            </w:pPr>
            <w:r>
              <w:rPr/>
              <w:t>)</w:t>
            </w:r>
          </w:p>
        </w:tc>
      </w:tr>
      <w:tr>
        <w:trPr/>
        <w:tc>
          <w:tcPr>
            <w:tcW w:w="5270" w:type="dxa"/>
            <w:tcBorders/>
            <w:shd w:fill="CCEEFF" w:val="clear"/>
            <w:vAlign w:val="center"/>
          </w:tcPr>
          <w:p>
            <w:pPr>
              <w:pStyle w:val="TableContents"/>
              <w:bidi w:val="0"/>
              <w:spacing w:before="0" w:after="283"/>
              <w:jc w:val="left"/>
              <w:rPr/>
            </w:pPr>
            <w:r>
              <w:rPr/>
              <w:t>Weighted Average Number of Shares- Basic &amp; Diluted</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pPr>
            <w:r>
              <w:rPr/>
              <w:t>56,156,184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pPr>
            <w:r>
              <w:rPr/>
              <w:t>6,925,395</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Dragonfly Energy Holdings Corp.</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Condensed Consolidated Statement of Cash Flows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Nine Months Ended</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 in thousands)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8090"/>
        <w:gridCol w:w="60"/>
        <w:gridCol w:w="140"/>
        <w:gridCol w:w="755"/>
        <w:gridCol w:w="95"/>
        <w:gridCol w:w="60"/>
        <w:gridCol w:w="140"/>
        <w:gridCol w:w="755"/>
        <w:gridCol w:w="110"/>
      </w:tblGrid>
      <w:tr>
        <w:trPr/>
        <w:tc>
          <w:tcPr>
            <w:tcW w:w="80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110" w:type="dxa"/>
            <w:tcBorders/>
            <w:vAlign w:val="center"/>
          </w:tcPr>
          <w:p>
            <w:pPr>
              <w:pStyle w:val="TableContents"/>
              <w:bidi w:val="0"/>
              <w:spacing w:before="0" w:after="283"/>
              <w:jc w:val="left"/>
              <w:rPr/>
            </w:pPr>
            <w:r>
              <w:rPr/>
              <w:t> </w:t>
            </w:r>
          </w:p>
        </w:tc>
      </w:tr>
      <w:tr>
        <w:trPr/>
        <w:tc>
          <w:tcPr>
            <w:tcW w:w="8090" w:type="dxa"/>
            <w:tcBorders/>
            <w:shd w:fill="CCEEFF" w:val="clear"/>
            <w:vAlign w:val="center"/>
          </w:tcPr>
          <w:p>
            <w:pPr>
              <w:pStyle w:val="TableContents"/>
              <w:bidi w:val="0"/>
              <w:spacing w:before="0" w:after="283"/>
              <w:jc w:val="left"/>
              <w:rPr>
                <w:b/>
              </w:rPr>
            </w:pPr>
            <w:r>
              <w:rPr>
                <w:b/>
              </w:rPr>
              <w:t>Cash flows from Operating Activities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8090" w:type="dxa"/>
            <w:tcBorders/>
            <w:shd w:fill="FFFFFF" w:val="clear"/>
            <w:vAlign w:val="center"/>
          </w:tcPr>
          <w:p>
            <w:pPr>
              <w:pStyle w:val="TableContents"/>
              <w:bidi w:val="0"/>
              <w:spacing w:before="0" w:after="283"/>
              <w:jc w:val="left"/>
              <w:rPr/>
            </w:pPr>
            <w:r>
              <w:rPr/>
              <w:t>Net Loss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pPr>
            <w:r>
              <w:rPr/>
              <w:t>(24,901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pPr>
            <w:r>
              <w:rPr/>
              <w:t>(30,773</w:t>
            </w:r>
          </w:p>
        </w:tc>
        <w:tc>
          <w:tcPr>
            <w:tcW w:w="110" w:type="dxa"/>
            <w:tcBorders/>
            <w:shd w:fill="FFFFFF" w:val="clear"/>
            <w:vAlign w:val="center"/>
          </w:tcPr>
          <w:p>
            <w:pPr>
              <w:pStyle w:val="TableContents"/>
              <w:bidi w:val="0"/>
              <w:spacing w:before="0" w:after="283"/>
              <w:jc w:val="left"/>
              <w:rPr/>
            </w:pPr>
            <w:r>
              <w:rPr/>
              <w:t>)</w:t>
            </w:r>
          </w:p>
        </w:tc>
      </w:tr>
      <w:tr>
        <w:trPr/>
        <w:tc>
          <w:tcPr>
            <w:tcW w:w="8090" w:type="dxa"/>
            <w:tcBorders/>
            <w:shd w:fill="CCEEFF" w:val="clear"/>
            <w:vAlign w:val="center"/>
          </w:tcPr>
          <w:p>
            <w:pPr>
              <w:pStyle w:val="TableContents"/>
              <w:bidi w:val="0"/>
              <w:spacing w:before="0" w:after="283"/>
              <w:jc w:val="left"/>
              <w:rPr/>
            </w:pPr>
            <w:r>
              <w:rPr/>
              <w:t>Adjustments to Reconcile Net Loss to Net Cash</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8090" w:type="dxa"/>
            <w:tcBorders/>
            <w:shd w:fill="FFFFFF" w:val="clear"/>
            <w:vAlign w:val="center"/>
          </w:tcPr>
          <w:p>
            <w:pPr>
              <w:pStyle w:val="TableContents"/>
              <w:bidi w:val="0"/>
              <w:spacing w:before="0" w:after="283"/>
              <w:jc w:val="left"/>
              <w:rPr/>
            </w:pPr>
            <w:r>
              <w:rPr/>
              <w:t>Used in Operating Activities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8090" w:type="dxa"/>
            <w:tcBorders/>
            <w:shd w:fill="CCEEFF" w:val="clear"/>
            <w:vAlign w:val="center"/>
          </w:tcPr>
          <w:p>
            <w:pPr>
              <w:pStyle w:val="TableContents"/>
              <w:bidi w:val="0"/>
              <w:spacing w:before="0" w:after="283"/>
              <w:jc w:val="left"/>
              <w:rPr/>
            </w:pPr>
            <w:r>
              <w:rPr/>
              <w:t>Stock based compensation</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578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759</w:t>
            </w:r>
          </w:p>
        </w:tc>
        <w:tc>
          <w:tcPr>
            <w:tcW w:w="110" w:type="dxa"/>
            <w:tcBorders/>
            <w:shd w:fill="CCEEFF" w:val="clear"/>
            <w:vAlign w:val="center"/>
          </w:tcPr>
          <w:p>
            <w:pPr>
              <w:pStyle w:val="TableContents"/>
              <w:bidi w:val="0"/>
              <w:spacing w:before="0" w:after="283"/>
              <w:jc w:val="left"/>
              <w:rPr/>
            </w:pPr>
            <w:r>
              <w:rPr/>
              <w:t> </w:t>
            </w:r>
          </w:p>
        </w:tc>
      </w:tr>
      <w:tr>
        <w:trPr/>
        <w:tc>
          <w:tcPr>
            <w:tcW w:w="8090" w:type="dxa"/>
            <w:tcBorders/>
            <w:shd w:fill="FFFFFF" w:val="clear"/>
            <w:vAlign w:val="center"/>
          </w:tcPr>
          <w:p>
            <w:pPr>
              <w:pStyle w:val="TableContents"/>
              <w:bidi w:val="0"/>
              <w:spacing w:before="0" w:after="283"/>
              <w:jc w:val="left"/>
              <w:rPr/>
            </w:pPr>
            <w:r>
              <w:rPr/>
              <w:t>Amortization of debt discount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5,240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4,490</w:t>
            </w:r>
          </w:p>
        </w:tc>
        <w:tc>
          <w:tcPr>
            <w:tcW w:w="110" w:type="dxa"/>
            <w:tcBorders/>
            <w:shd w:fill="FFFFFF" w:val="clear"/>
            <w:vAlign w:val="center"/>
          </w:tcPr>
          <w:p>
            <w:pPr>
              <w:pStyle w:val="TableContents"/>
              <w:bidi w:val="0"/>
              <w:spacing w:before="0" w:after="283"/>
              <w:jc w:val="left"/>
              <w:rPr/>
            </w:pPr>
            <w:r>
              <w:rPr/>
              <w:t> </w:t>
            </w:r>
          </w:p>
        </w:tc>
      </w:tr>
      <w:tr>
        <w:trPr/>
        <w:tc>
          <w:tcPr>
            <w:tcW w:w="8090" w:type="dxa"/>
            <w:tcBorders/>
            <w:shd w:fill="CCEEFF" w:val="clear"/>
            <w:vAlign w:val="center"/>
          </w:tcPr>
          <w:p>
            <w:pPr>
              <w:pStyle w:val="TableContents"/>
              <w:bidi w:val="0"/>
              <w:spacing w:before="0" w:after="283"/>
              <w:jc w:val="left"/>
              <w:rPr/>
            </w:pPr>
            <w:r>
              <w:rPr/>
              <w:t>Change in fair market value of warrant liability</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(4,624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(3,130</w:t>
            </w:r>
          </w:p>
        </w:tc>
        <w:tc>
          <w:tcPr>
            <w:tcW w:w="110" w:type="dxa"/>
            <w:tcBorders/>
            <w:shd w:fill="CCEEFF" w:val="clear"/>
            <w:vAlign w:val="center"/>
          </w:tcPr>
          <w:p>
            <w:pPr>
              <w:pStyle w:val="TableContents"/>
              <w:bidi w:val="0"/>
              <w:spacing w:before="0" w:after="283"/>
              <w:jc w:val="left"/>
              <w:rPr/>
            </w:pPr>
            <w:r>
              <w:rPr/>
              <w:t>)</w:t>
            </w:r>
          </w:p>
        </w:tc>
      </w:tr>
      <w:tr>
        <w:trPr/>
        <w:tc>
          <w:tcPr>
            <w:tcW w:w="8090" w:type="dxa"/>
            <w:tcBorders/>
            <w:shd w:fill="FFFFFF" w:val="clear"/>
            <w:vAlign w:val="center"/>
          </w:tcPr>
          <w:p>
            <w:pPr>
              <w:pStyle w:val="TableContents"/>
              <w:bidi w:val="0"/>
              <w:spacing w:before="0" w:after="283"/>
              <w:jc w:val="left"/>
              <w:rPr/>
            </w:pPr>
            <w:r>
              <w:rPr/>
              <w:t>Non-cash interest expense (paid-in-kind)</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11,233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6,590</w:t>
            </w:r>
          </w:p>
        </w:tc>
        <w:tc>
          <w:tcPr>
            <w:tcW w:w="110" w:type="dxa"/>
            <w:tcBorders/>
            <w:shd w:fill="FFFFFF" w:val="clear"/>
            <w:vAlign w:val="center"/>
          </w:tcPr>
          <w:p>
            <w:pPr>
              <w:pStyle w:val="TableContents"/>
              <w:bidi w:val="0"/>
              <w:spacing w:before="0" w:after="283"/>
              <w:jc w:val="left"/>
              <w:rPr/>
            </w:pPr>
            <w:r>
              <w:rPr/>
              <w:t> </w:t>
            </w:r>
          </w:p>
        </w:tc>
      </w:tr>
      <w:tr>
        <w:trPr/>
        <w:tc>
          <w:tcPr>
            <w:tcW w:w="8090" w:type="dxa"/>
            <w:tcBorders/>
            <w:shd w:fill="CCEEFF" w:val="clear"/>
            <w:vAlign w:val="center"/>
          </w:tcPr>
          <w:p>
            <w:pPr>
              <w:pStyle w:val="TableContents"/>
              <w:bidi w:val="0"/>
              <w:spacing w:before="0" w:after="283"/>
              <w:jc w:val="left"/>
              <w:rPr/>
            </w:pPr>
            <w:r>
              <w:rPr/>
              <w:t>Provision for credit losses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87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40</w:t>
            </w:r>
          </w:p>
        </w:tc>
        <w:tc>
          <w:tcPr>
            <w:tcW w:w="110" w:type="dxa"/>
            <w:tcBorders/>
            <w:shd w:fill="CCEEFF" w:val="clear"/>
            <w:vAlign w:val="center"/>
          </w:tcPr>
          <w:p>
            <w:pPr>
              <w:pStyle w:val="TableContents"/>
              <w:bidi w:val="0"/>
              <w:spacing w:before="0" w:after="283"/>
              <w:jc w:val="left"/>
              <w:rPr/>
            </w:pPr>
            <w:r>
              <w:rPr/>
              <w:t> </w:t>
            </w:r>
          </w:p>
        </w:tc>
      </w:tr>
      <w:tr>
        <w:trPr/>
        <w:tc>
          <w:tcPr>
            <w:tcW w:w="8090" w:type="dxa"/>
            <w:tcBorders/>
            <w:shd w:fill="FFFFFF" w:val="clear"/>
            <w:vAlign w:val="center"/>
          </w:tcPr>
          <w:p>
            <w:pPr>
              <w:pStyle w:val="TableContents"/>
              <w:bidi w:val="0"/>
              <w:spacing w:before="0" w:after="283"/>
              <w:jc w:val="left"/>
              <w:rPr/>
            </w:pPr>
            <w:r>
              <w:rPr/>
              <w:t>Depreciation and amortization</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1,810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991</w:t>
            </w:r>
          </w:p>
        </w:tc>
        <w:tc>
          <w:tcPr>
            <w:tcW w:w="110" w:type="dxa"/>
            <w:tcBorders/>
            <w:shd w:fill="FFFFFF" w:val="clear"/>
            <w:vAlign w:val="center"/>
          </w:tcPr>
          <w:p>
            <w:pPr>
              <w:pStyle w:val="TableContents"/>
              <w:bidi w:val="0"/>
              <w:spacing w:before="0" w:after="283"/>
              <w:jc w:val="left"/>
              <w:rPr/>
            </w:pPr>
            <w:r>
              <w:rPr/>
              <w:t> </w:t>
            </w:r>
          </w:p>
        </w:tc>
      </w:tr>
      <w:tr>
        <w:trPr/>
        <w:tc>
          <w:tcPr>
            <w:tcW w:w="8090" w:type="dxa"/>
            <w:tcBorders/>
            <w:shd w:fill="CCEEFF" w:val="clear"/>
            <w:vAlign w:val="center"/>
          </w:tcPr>
          <w:p>
            <w:pPr>
              <w:pStyle w:val="TableContents"/>
              <w:bidi w:val="0"/>
              <w:spacing w:before="0" w:after="283"/>
              <w:jc w:val="left"/>
              <w:rPr/>
            </w:pPr>
            <w:r>
              <w:rPr/>
              <w:t>Amortization of right of use assets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1,948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1,585</w:t>
            </w:r>
          </w:p>
        </w:tc>
        <w:tc>
          <w:tcPr>
            <w:tcW w:w="110" w:type="dxa"/>
            <w:tcBorders/>
            <w:shd w:fill="CCEEFF" w:val="clear"/>
            <w:vAlign w:val="center"/>
          </w:tcPr>
          <w:p>
            <w:pPr>
              <w:pStyle w:val="TableContents"/>
              <w:bidi w:val="0"/>
              <w:spacing w:before="0" w:after="283"/>
              <w:jc w:val="left"/>
              <w:rPr/>
            </w:pPr>
            <w:r>
              <w:rPr/>
              <w:t> </w:t>
            </w:r>
          </w:p>
        </w:tc>
      </w:tr>
      <w:tr>
        <w:trPr/>
        <w:tc>
          <w:tcPr>
            <w:tcW w:w="8090" w:type="dxa"/>
            <w:tcBorders/>
            <w:shd w:fill="FFFFFF" w:val="clear"/>
            <w:vAlign w:val="center"/>
          </w:tcPr>
          <w:p>
            <w:pPr>
              <w:pStyle w:val="TableContents"/>
              <w:bidi w:val="0"/>
              <w:spacing w:before="0" w:after="283"/>
              <w:jc w:val="left"/>
              <w:rPr/>
            </w:pPr>
            <w:r>
              <w:rPr/>
              <w:t>Loss on disposal of property and equipment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156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8090" w:type="dxa"/>
            <w:tcBorders/>
            <w:shd w:fill="CCEEFF" w:val="clear"/>
            <w:vAlign w:val="center"/>
          </w:tcPr>
          <w:p>
            <w:pPr>
              <w:pStyle w:val="TableContents"/>
              <w:bidi w:val="0"/>
              <w:spacing w:before="0" w:after="283"/>
              <w:jc w:val="left"/>
              <w:rPr/>
            </w:pPr>
            <w:r>
              <w:rPr/>
              <w:t>Loss on impairment of ROU assets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454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8090" w:type="dxa"/>
            <w:tcBorders/>
            <w:shd w:fill="FFFFFF" w:val="clear"/>
            <w:vAlign w:val="center"/>
          </w:tcPr>
          <w:p>
            <w:pPr>
              <w:pStyle w:val="TableContents"/>
              <w:bidi w:val="0"/>
              <w:spacing w:before="0" w:after="283"/>
              <w:jc w:val="left"/>
              <w:rPr/>
            </w:pPr>
            <w:r>
              <w:rPr/>
              <w:t>Changes in Assets and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8090" w:type="dxa"/>
            <w:tcBorders/>
            <w:shd w:fill="CCEEFF" w:val="clear"/>
            <w:vAlign w:val="center"/>
          </w:tcPr>
          <w:p>
            <w:pPr>
              <w:pStyle w:val="TableContents"/>
              <w:bidi w:val="0"/>
              <w:spacing w:before="0" w:after="283"/>
              <w:jc w:val="left"/>
              <w:rPr/>
            </w:pPr>
            <w:r>
              <w:rPr/>
              <w:t>Accounts receivable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(2,463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(2,128</w:t>
            </w:r>
          </w:p>
        </w:tc>
        <w:tc>
          <w:tcPr>
            <w:tcW w:w="110" w:type="dxa"/>
            <w:tcBorders/>
            <w:shd w:fill="CCEEFF" w:val="clear"/>
            <w:vAlign w:val="center"/>
          </w:tcPr>
          <w:p>
            <w:pPr>
              <w:pStyle w:val="TableContents"/>
              <w:bidi w:val="0"/>
              <w:spacing w:before="0" w:after="283"/>
              <w:jc w:val="left"/>
              <w:rPr/>
            </w:pPr>
            <w:r>
              <w:rPr/>
              <w:t>)</w:t>
            </w:r>
          </w:p>
        </w:tc>
      </w:tr>
      <w:tr>
        <w:trPr/>
        <w:tc>
          <w:tcPr>
            <w:tcW w:w="8090" w:type="dxa"/>
            <w:tcBorders/>
            <w:shd w:fill="FFFFFF" w:val="clear"/>
            <w:vAlign w:val="center"/>
          </w:tcPr>
          <w:p>
            <w:pPr>
              <w:pStyle w:val="TableContents"/>
              <w:bidi w:val="0"/>
              <w:spacing w:before="0" w:after="283"/>
              <w:jc w:val="left"/>
              <w:rPr/>
            </w:pPr>
            <w:r>
              <w:rPr/>
              <w:t>Inventories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(1,002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14,765</w:t>
            </w:r>
          </w:p>
        </w:tc>
        <w:tc>
          <w:tcPr>
            <w:tcW w:w="110" w:type="dxa"/>
            <w:tcBorders/>
            <w:shd w:fill="FFFFFF" w:val="clear"/>
            <w:vAlign w:val="center"/>
          </w:tcPr>
          <w:p>
            <w:pPr>
              <w:pStyle w:val="TableContents"/>
              <w:bidi w:val="0"/>
              <w:spacing w:before="0" w:after="283"/>
              <w:jc w:val="left"/>
              <w:rPr/>
            </w:pPr>
            <w:r>
              <w:rPr/>
              <w:t> </w:t>
            </w:r>
          </w:p>
        </w:tc>
      </w:tr>
      <w:tr>
        <w:trPr/>
        <w:tc>
          <w:tcPr>
            <w:tcW w:w="8090" w:type="dxa"/>
            <w:tcBorders/>
            <w:shd w:fill="CCEEFF" w:val="clear"/>
            <w:vAlign w:val="center"/>
          </w:tcPr>
          <w:p>
            <w:pPr>
              <w:pStyle w:val="TableContents"/>
              <w:bidi w:val="0"/>
              <w:spacing w:before="0" w:after="283"/>
              <w:jc w:val="left"/>
              <w:rPr/>
            </w:pPr>
            <w:r>
              <w:rPr/>
              <w:t>Prepaid expenses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(43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38</w:t>
            </w:r>
          </w:p>
        </w:tc>
        <w:tc>
          <w:tcPr>
            <w:tcW w:w="110" w:type="dxa"/>
            <w:tcBorders/>
            <w:shd w:fill="CCEEFF" w:val="clear"/>
            <w:vAlign w:val="center"/>
          </w:tcPr>
          <w:p>
            <w:pPr>
              <w:pStyle w:val="TableContents"/>
              <w:bidi w:val="0"/>
              <w:spacing w:before="0" w:after="283"/>
              <w:jc w:val="left"/>
              <w:rPr/>
            </w:pPr>
            <w:r>
              <w:rPr/>
              <w:t> </w:t>
            </w:r>
          </w:p>
        </w:tc>
      </w:tr>
      <w:tr>
        <w:trPr/>
        <w:tc>
          <w:tcPr>
            <w:tcW w:w="8090" w:type="dxa"/>
            <w:tcBorders/>
            <w:shd w:fill="FFFFFF" w:val="clear"/>
            <w:vAlign w:val="center"/>
          </w:tcPr>
          <w:p>
            <w:pPr>
              <w:pStyle w:val="TableContents"/>
              <w:bidi w:val="0"/>
              <w:spacing w:before="0" w:after="283"/>
              <w:jc w:val="left"/>
              <w:rPr/>
            </w:pPr>
            <w:r>
              <w:rPr/>
              <w:t>Prepaid inventory</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125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(365</w:t>
            </w:r>
          </w:p>
        </w:tc>
        <w:tc>
          <w:tcPr>
            <w:tcW w:w="110" w:type="dxa"/>
            <w:tcBorders/>
            <w:shd w:fill="FFFFFF" w:val="clear"/>
            <w:vAlign w:val="center"/>
          </w:tcPr>
          <w:p>
            <w:pPr>
              <w:pStyle w:val="TableContents"/>
              <w:bidi w:val="0"/>
              <w:spacing w:before="0" w:after="283"/>
              <w:jc w:val="left"/>
              <w:rPr/>
            </w:pPr>
            <w:r>
              <w:rPr/>
              <w:t>)</w:t>
            </w:r>
          </w:p>
        </w:tc>
      </w:tr>
      <w:tr>
        <w:trPr/>
        <w:tc>
          <w:tcPr>
            <w:tcW w:w="8090" w:type="dxa"/>
            <w:tcBorders/>
            <w:shd w:fill="CCEEFF" w:val="clear"/>
            <w:vAlign w:val="center"/>
          </w:tcPr>
          <w:p>
            <w:pPr>
              <w:pStyle w:val="TableContents"/>
              <w:bidi w:val="0"/>
              <w:spacing w:before="0" w:after="283"/>
              <w:jc w:val="left"/>
              <w:rPr/>
            </w:pPr>
            <w:r>
              <w:rPr/>
              <w:t>Other current assets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61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(635</w:t>
            </w:r>
          </w:p>
        </w:tc>
        <w:tc>
          <w:tcPr>
            <w:tcW w:w="110" w:type="dxa"/>
            <w:tcBorders/>
            <w:shd w:fill="CCEEFF" w:val="clear"/>
            <w:vAlign w:val="center"/>
          </w:tcPr>
          <w:p>
            <w:pPr>
              <w:pStyle w:val="TableContents"/>
              <w:bidi w:val="0"/>
              <w:spacing w:before="0" w:after="283"/>
              <w:jc w:val="left"/>
              <w:rPr/>
            </w:pPr>
            <w:r>
              <w:rPr/>
              <w:t>)</w:t>
            </w:r>
          </w:p>
        </w:tc>
      </w:tr>
      <w:tr>
        <w:trPr/>
        <w:tc>
          <w:tcPr>
            <w:tcW w:w="8090" w:type="dxa"/>
            <w:tcBorders/>
            <w:shd w:fill="FFFFFF" w:val="clear"/>
            <w:vAlign w:val="center"/>
          </w:tcPr>
          <w:p>
            <w:pPr>
              <w:pStyle w:val="TableContents"/>
              <w:bidi w:val="0"/>
              <w:spacing w:before="0" w:after="283"/>
              <w:jc w:val="left"/>
              <w:rPr/>
            </w:pPr>
            <w:r>
              <w:rPr/>
              <w:t>Other assets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(445</w:t>
            </w:r>
          </w:p>
        </w:tc>
        <w:tc>
          <w:tcPr>
            <w:tcW w:w="110" w:type="dxa"/>
            <w:tcBorders/>
            <w:shd w:fill="FFFFFF" w:val="clear"/>
            <w:vAlign w:val="center"/>
          </w:tcPr>
          <w:p>
            <w:pPr>
              <w:pStyle w:val="TableContents"/>
              <w:bidi w:val="0"/>
              <w:spacing w:before="0" w:after="283"/>
              <w:jc w:val="left"/>
              <w:rPr/>
            </w:pPr>
            <w:r>
              <w:rPr/>
              <w:t>)</w:t>
            </w:r>
          </w:p>
        </w:tc>
      </w:tr>
      <w:tr>
        <w:trPr/>
        <w:tc>
          <w:tcPr>
            <w:tcW w:w="8090" w:type="dxa"/>
            <w:tcBorders/>
            <w:shd w:fill="CCEEFF" w:val="clear"/>
            <w:vAlign w:val="center"/>
          </w:tcPr>
          <w:p>
            <w:pPr>
              <w:pStyle w:val="TableContents"/>
              <w:bidi w:val="0"/>
              <w:spacing w:before="0" w:after="283"/>
              <w:jc w:val="left"/>
              <w:rPr/>
            </w:pPr>
            <w:r>
              <w:rPr/>
              <w:t>Income taxes payable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174</w:t>
            </w:r>
          </w:p>
        </w:tc>
        <w:tc>
          <w:tcPr>
            <w:tcW w:w="110" w:type="dxa"/>
            <w:tcBorders/>
            <w:shd w:fill="CCEEFF" w:val="clear"/>
            <w:vAlign w:val="center"/>
          </w:tcPr>
          <w:p>
            <w:pPr>
              <w:pStyle w:val="TableContents"/>
              <w:bidi w:val="0"/>
              <w:spacing w:before="0" w:after="283"/>
              <w:jc w:val="left"/>
              <w:rPr/>
            </w:pPr>
            <w:r>
              <w:rPr/>
              <w:t> </w:t>
            </w:r>
          </w:p>
        </w:tc>
      </w:tr>
      <w:tr>
        <w:trPr/>
        <w:tc>
          <w:tcPr>
            <w:tcW w:w="8090" w:type="dxa"/>
            <w:tcBorders/>
            <w:shd w:fill="FFFFFF" w:val="clear"/>
            <w:vAlign w:val="center"/>
          </w:tcPr>
          <w:p>
            <w:pPr>
              <w:pStyle w:val="TableContents"/>
              <w:bidi w:val="0"/>
              <w:spacing w:before="0" w:after="283"/>
              <w:jc w:val="left"/>
              <w:rPr/>
            </w:pPr>
            <w:r>
              <w:rPr/>
              <w:t>Accounts payable and accrued expenses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3,780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(969</w:t>
            </w:r>
          </w:p>
        </w:tc>
        <w:tc>
          <w:tcPr>
            <w:tcW w:w="110" w:type="dxa"/>
            <w:tcBorders/>
            <w:shd w:fill="FFFFFF" w:val="clear"/>
            <w:vAlign w:val="center"/>
          </w:tcPr>
          <w:p>
            <w:pPr>
              <w:pStyle w:val="TableContents"/>
              <w:bidi w:val="0"/>
              <w:spacing w:before="0" w:after="283"/>
              <w:jc w:val="left"/>
              <w:rPr/>
            </w:pPr>
            <w:r>
              <w:rPr/>
              <w:t>)</w:t>
            </w:r>
          </w:p>
        </w:tc>
      </w:tr>
      <w:tr>
        <w:trPr/>
        <w:tc>
          <w:tcPr>
            <w:tcW w:w="8090" w:type="dxa"/>
            <w:tcBorders/>
            <w:shd w:fill="CCEEFF" w:val="clear"/>
            <w:vAlign w:val="center"/>
          </w:tcPr>
          <w:p>
            <w:pPr>
              <w:pStyle w:val="TableContents"/>
              <w:bidi w:val="0"/>
              <w:spacing w:before="0" w:after="283"/>
              <w:jc w:val="left"/>
              <w:rPr/>
            </w:pPr>
            <w:r>
              <w:rPr/>
              <w:t>Operating lease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(2,160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(661</w:t>
            </w:r>
          </w:p>
        </w:tc>
        <w:tc>
          <w:tcPr>
            <w:tcW w:w="110" w:type="dxa"/>
            <w:tcBorders/>
            <w:shd w:fill="CCEEFF" w:val="clear"/>
            <w:vAlign w:val="center"/>
          </w:tcPr>
          <w:p>
            <w:pPr>
              <w:pStyle w:val="TableContents"/>
              <w:bidi w:val="0"/>
              <w:spacing w:before="0" w:after="283"/>
              <w:jc w:val="left"/>
              <w:rPr/>
            </w:pPr>
            <w:r>
              <w:rPr/>
              <w:t>)</w:t>
            </w:r>
          </w:p>
        </w:tc>
      </w:tr>
      <w:tr>
        <w:trPr/>
        <w:tc>
          <w:tcPr>
            <w:tcW w:w="8090" w:type="dxa"/>
            <w:tcBorders/>
            <w:shd w:fill="FFFFFF" w:val="clear"/>
            <w:vAlign w:val="center"/>
          </w:tcPr>
          <w:p>
            <w:pPr>
              <w:pStyle w:val="TableContents"/>
              <w:bidi w:val="0"/>
              <w:spacing w:before="0" w:after="283"/>
              <w:jc w:val="left"/>
              <w:rPr/>
            </w:pPr>
            <w:r>
              <w:rPr/>
              <w:t>Accrued tariffs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(324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168</w:t>
            </w:r>
          </w:p>
        </w:tc>
        <w:tc>
          <w:tcPr>
            <w:tcW w:w="110" w:type="dxa"/>
            <w:tcBorders/>
            <w:shd w:fill="FFFFFF" w:val="clear"/>
            <w:vAlign w:val="center"/>
          </w:tcPr>
          <w:p>
            <w:pPr>
              <w:pStyle w:val="TableContents"/>
              <w:bidi w:val="0"/>
              <w:spacing w:before="0" w:after="283"/>
              <w:jc w:val="left"/>
              <w:rPr/>
            </w:pPr>
            <w:r>
              <w:rPr/>
              <w:t> </w:t>
            </w:r>
          </w:p>
        </w:tc>
      </w:tr>
      <w:tr>
        <w:trPr/>
        <w:tc>
          <w:tcPr>
            <w:tcW w:w="8090" w:type="dxa"/>
            <w:tcBorders/>
            <w:shd w:fill="CCEEFF" w:val="clear"/>
            <w:vAlign w:val="center"/>
          </w:tcPr>
          <w:p>
            <w:pPr>
              <w:pStyle w:val="TableContents"/>
              <w:bidi w:val="0"/>
              <w:spacing w:before="0" w:after="283"/>
              <w:jc w:val="left"/>
              <w:rPr/>
            </w:pPr>
            <w:r>
              <w:rPr/>
              <w:t>Accrued settlement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(375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8090" w:type="dxa"/>
            <w:tcBorders/>
            <w:shd w:fill="FFFFFF" w:val="clear"/>
            <w:vAlign w:val="center"/>
          </w:tcPr>
          <w:p>
            <w:pPr>
              <w:pStyle w:val="TableContents"/>
              <w:bidi w:val="0"/>
              <w:spacing w:before="0" w:after="283"/>
              <w:jc w:val="left"/>
              <w:rPr/>
            </w:pPr>
            <w:r>
              <w:rPr/>
              <w:t>Deferred revenue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(750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4,833</w:t>
            </w:r>
          </w:p>
        </w:tc>
        <w:tc>
          <w:tcPr>
            <w:tcW w:w="110" w:type="dxa"/>
            <w:tcBorders/>
            <w:shd w:fill="FFFFFF" w:val="clear"/>
            <w:vAlign w:val="center"/>
          </w:tcPr>
          <w:p>
            <w:pPr>
              <w:pStyle w:val="TableContents"/>
              <w:bidi w:val="0"/>
              <w:spacing w:before="0" w:after="283"/>
              <w:jc w:val="left"/>
              <w:rPr/>
            </w:pPr>
            <w:r>
              <w:rPr/>
              <w:t> </w:t>
            </w:r>
          </w:p>
        </w:tc>
      </w:tr>
      <w:tr>
        <w:trPr/>
        <w:tc>
          <w:tcPr>
            <w:tcW w:w="8090" w:type="dxa"/>
            <w:tcBorders/>
            <w:shd w:fill="CCEEFF" w:val="clear"/>
            <w:vAlign w:val="center"/>
          </w:tcPr>
          <w:p>
            <w:pPr>
              <w:pStyle w:val="TableContents"/>
              <w:bidi w:val="0"/>
              <w:spacing w:before="0" w:after="283"/>
              <w:jc w:val="left"/>
              <w:rPr/>
            </w:pPr>
            <w:r>
              <w:rPr/>
              <w:t>Customer deposits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(65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(12</w:t>
            </w:r>
          </w:p>
        </w:tc>
        <w:tc>
          <w:tcPr>
            <w:tcW w:w="110" w:type="dxa"/>
            <w:tcBorders/>
            <w:shd w:fill="CCEEFF" w:val="clear"/>
            <w:vAlign w:val="center"/>
          </w:tcPr>
          <w:p>
            <w:pPr>
              <w:pStyle w:val="TableContents"/>
              <w:bidi w:val="0"/>
              <w:spacing w:before="0" w:after="283"/>
              <w:jc w:val="left"/>
              <w:rPr/>
            </w:pPr>
            <w:r>
              <w:rPr/>
              <w:t>)</w:t>
            </w:r>
          </w:p>
        </w:tc>
      </w:tr>
      <w:tr>
        <w:trPr/>
        <w:tc>
          <w:tcPr>
            <w:tcW w:w="8090" w:type="dxa"/>
            <w:tcBorders/>
            <w:shd w:fill="FFFFFF" w:val="clear"/>
            <w:vAlign w:val="center"/>
          </w:tcPr>
          <w:p>
            <w:pPr>
              <w:pStyle w:val="TableContents"/>
              <w:bidi w:val="0"/>
              <w:spacing w:before="0" w:after="283"/>
              <w:jc w:val="left"/>
              <w:rPr/>
            </w:pPr>
            <w:r>
              <w:rPr/>
              <w:t>Total Adjustments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pPr>
            <w:r>
              <w:rPr/>
              <w:t>13,656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pPr>
            <w:r>
              <w:rPr/>
              <w:t>26,088</w:t>
            </w:r>
          </w:p>
        </w:tc>
        <w:tc>
          <w:tcPr>
            <w:tcW w:w="110" w:type="dxa"/>
            <w:tcBorders/>
            <w:shd w:fill="FFFFFF" w:val="clear"/>
            <w:vAlign w:val="center"/>
          </w:tcPr>
          <w:p>
            <w:pPr>
              <w:pStyle w:val="TableContents"/>
              <w:bidi w:val="0"/>
              <w:spacing w:before="0" w:after="283"/>
              <w:jc w:val="left"/>
              <w:rPr/>
            </w:pPr>
            <w:r>
              <w:rPr/>
              <w:t> </w:t>
            </w:r>
          </w:p>
        </w:tc>
      </w:tr>
      <w:tr>
        <w:trPr/>
        <w:tc>
          <w:tcPr>
            <w:tcW w:w="8090" w:type="dxa"/>
            <w:tcBorders/>
            <w:shd w:fill="CCEEFF" w:val="clear"/>
            <w:vAlign w:val="center"/>
          </w:tcPr>
          <w:p>
            <w:pPr>
              <w:pStyle w:val="TableContents"/>
              <w:bidi w:val="0"/>
              <w:spacing w:before="0" w:after="283"/>
              <w:jc w:val="left"/>
              <w:rPr>
                <w:b/>
              </w:rPr>
            </w:pPr>
            <w:r>
              <w:rPr>
                <w:b/>
              </w:rPr>
              <w:t>Net Cash Used in Operating Activities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(11,245</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(4,685</w:t>
            </w:r>
          </w:p>
        </w:tc>
        <w:tc>
          <w:tcPr>
            <w:tcW w:w="110" w:type="dxa"/>
            <w:tcBorders/>
            <w:shd w:fill="CCEEFF" w:val="clear"/>
            <w:vAlign w:val="center"/>
          </w:tcPr>
          <w:p>
            <w:pPr>
              <w:pStyle w:val="TableContents"/>
              <w:bidi w:val="0"/>
              <w:spacing w:before="0" w:after="283"/>
              <w:jc w:val="left"/>
              <w:rPr>
                <w:b/>
              </w:rPr>
            </w:pPr>
            <w:r>
              <w:rPr>
                <w:b/>
              </w:rPr>
              <w:t>)</w:t>
            </w:r>
          </w:p>
        </w:tc>
      </w:tr>
      <w:tr>
        <w:trPr/>
        <w:tc>
          <w:tcPr>
            <w:tcW w:w="80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8090" w:type="dxa"/>
            <w:tcBorders/>
            <w:shd w:fill="CCEEFF" w:val="clear"/>
            <w:vAlign w:val="center"/>
          </w:tcPr>
          <w:p>
            <w:pPr>
              <w:pStyle w:val="TableContents"/>
              <w:bidi w:val="0"/>
              <w:spacing w:before="0" w:after="283"/>
              <w:jc w:val="left"/>
              <w:rPr>
                <w:b/>
              </w:rPr>
            </w:pPr>
            <w:r>
              <w:rPr>
                <w:b/>
              </w:rPr>
              <w:t>Cash Flows From Investing Activities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8090" w:type="dxa"/>
            <w:tcBorders/>
            <w:shd w:fill="FFFFFF" w:val="clear"/>
            <w:vAlign w:val="center"/>
          </w:tcPr>
          <w:p>
            <w:pPr>
              <w:pStyle w:val="TableContents"/>
              <w:bidi w:val="0"/>
              <w:spacing w:before="0" w:after="283"/>
              <w:jc w:val="left"/>
              <w:rPr/>
            </w:pPr>
            <w:r>
              <w:rPr/>
              <w:t>Purchase of property and equipment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pPr>
            <w:r>
              <w:rPr/>
              <w:t>(1,808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pPr>
            <w:r>
              <w:rPr/>
              <w:t>(1,691</w:t>
            </w:r>
          </w:p>
        </w:tc>
        <w:tc>
          <w:tcPr>
            <w:tcW w:w="110" w:type="dxa"/>
            <w:tcBorders/>
            <w:shd w:fill="FFFFFF" w:val="clear"/>
            <w:vAlign w:val="center"/>
          </w:tcPr>
          <w:p>
            <w:pPr>
              <w:pStyle w:val="TableContents"/>
              <w:bidi w:val="0"/>
              <w:spacing w:before="0" w:after="283"/>
              <w:jc w:val="left"/>
              <w:rPr/>
            </w:pPr>
            <w:r>
              <w:rPr/>
              <w:t>)</w:t>
            </w:r>
          </w:p>
        </w:tc>
      </w:tr>
      <w:tr>
        <w:trPr/>
        <w:tc>
          <w:tcPr>
            <w:tcW w:w="8090" w:type="dxa"/>
            <w:tcBorders/>
            <w:shd w:fill="CCEEFF" w:val="clear"/>
            <w:vAlign w:val="center"/>
          </w:tcPr>
          <w:p>
            <w:pPr>
              <w:pStyle w:val="TableContents"/>
              <w:bidi w:val="0"/>
              <w:spacing w:before="0" w:after="283"/>
              <w:jc w:val="left"/>
              <w:rPr>
                <w:b/>
              </w:rPr>
            </w:pPr>
            <w:r>
              <w:rPr>
                <w:b/>
              </w:rPr>
              <w:t>Net Cash Used in Investing Activities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(1,808</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(1,691</w:t>
            </w:r>
          </w:p>
        </w:tc>
        <w:tc>
          <w:tcPr>
            <w:tcW w:w="110" w:type="dxa"/>
            <w:tcBorders/>
            <w:shd w:fill="CCEEFF" w:val="clear"/>
            <w:vAlign w:val="center"/>
          </w:tcPr>
          <w:p>
            <w:pPr>
              <w:pStyle w:val="TableContents"/>
              <w:bidi w:val="0"/>
              <w:spacing w:before="0" w:after="283"/>
              <w:jc w:val="left"/>
              <w:rPr>
                <w:b/>
              </w:rPr>
            </w:pPr>
            <w:r>
              <w:rPr>
                <w:b/>
              </w:rPr>
              <w:t>)</w:t>
            </w:r>
          </w:p>
        </w:tc>
      </w:tr>
      <w:tr>
        <w:trPr/>
        <w:tc>
          <w:tcPr>
            <w:tcW w:w="80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8090" w:type="dxa"/>
            <w:tcBorders/>
            <w:shd w:fill="CCEEFF" w:val="clear"/>
            <w:vAlign w:val="center"/>
          </w:tcPr>
          <w:p>
            <w:pPr>
              <w:pStyle w:val="TableContents"/>
              <w:bidi w:val="0"/>
              <w:spacing w:before="0" w:after="283"/>
              <w:jc w:val="left"/>
              <w:rPr>
                <w:b/>
              </w:rPr>
            </w:pPr>
            <w:r>
              <w:rPr>
                <w:b/>
              </w:rPr>
              <w:t>Cash Flows From Financing Activities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8090" w:type="dxa"/>
            <w:tcBorders/>
            <w:shd w:fill="FFFFFF" w:val="clear"/>
            <w:vAlign w:val="center"/>
          </w:tcPr>
          <w:p>
            <w:pPr>
              <w:pStyle w:val="TableContents"/>
              <w:bidi w:val="0"/>
              <w:spacing w:before="0" w:after="283"/>
              <w:jc w:val="left"/>
              <w:rPr/>
            </w:pPr>
            <w:r>
              <w:rPr/>
              <w:t>Proceeds from public offering (ATM), net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63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1,705</w:t>
            </w:r>
          </w:p>
        </w:tc>
        <w:tc>
          <w:tcPr>
            <w:tcW w:w="110" w:type="dxa"/>
            <w:tcBorders/>
            <w:shd w:fill="FFFFFF" w:val="clear"/>
            <w:vAlign w:val="center"/>
          </w:tcPr>
          <w:p>
            <w:pPr>
              <w:pStyle w:val="TableContents"/>
              <w:bidi w:val="0"/>
              <w:spacing w:before="0" w:after="283"/>
              <w:jc w:val="left"/>
              <w:rPr/>
            </w:pPr>
            <w:r>
              <w:rPr/>
              <w:t> </w:t>
            </w:r>
          </w:p>
        </w:tc>
      </w:tr>
      <w:tr>
        <w:trPr/>
        <w:tc>
          <w:tcPr>
            <w:tcW w:w="8090" w:type="dxa"/>
            <w:tcBorders/>
            <w:shd w:fill="CCEEFF" w:val="clear"/>
            <w:vAlign w:val="center"/>
          </w:tcPr>
          <w:p>
            <w:pPr>
              <w:pStyle w:val="TableContents"/>
              <w:bidi w:val="0"/>
              <w:spacing w:before="0" w:after="283"/>
              <w:jc w:val="left"/>
              <w:rPr/>
            </w:pPr>
            <w:r>
              <w:rPr/>
              <w:t>Proceeds from public offering , net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4,684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8090" w:type="dxa"/>
            <w:tcBorders/>
            <w:shd w:fill="FFFFFF" w:val="clear"/>
            <w:vAlign w:val="center"/>
          </w:tcPr>
          <w:p>
            <w:pPr>
              <w:pStyle w:val="TableContents"/>
              <w:bidi w:val="0"/>
              <w:spacing w:before="0" w:after="283"/>
              <w:jc w:val="left"/>
              <w:rPr/>
            </w:pPr>
            <w:r>
              <w:rPr/>
              <w:t>Proceeds from preferred stock offering, net of fees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7,330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8090" w:type="dxa"/>
            <w:tcBorders/>
            <w:shd w:fill="CCEEFF" w:val="clear"/>
            <w:vAlign w:val="center"/>
          </w:tcPr>
          <w:p>
            <w:pPr>
              <w:pStyle w:val="TableContents"/>
              <w:bidi w:val="0"/>
              <w:spacing w:before="0" w:after="283"/>
              <w:jc w:val="left"/>
              <w:rPr/>
            </w:pPr>
            <w:r>
              <w:rPr/>
              <w:t>Proceeds from note payable, related party</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2,700</w:t>
            </w:r>
          </w:p>
        </w:tc>
        <w:tc>
          <w:tcPr>
            <w:tcW w:w="110" w:type="dxa"/>
            <w:tcBorders/>
            <w:shd w:fill="CCEEFF" w:val="clear"/>
            <w:vAlign w:val="center"/>
          </w:tcPr>
          <w:p>
            <w:pPr>
              <w:pStyle w:val="TableContents"/>
              <w:bidi w:val="0"/>
              <w:spacing w:before="0" w:after="283"/>
              <w:jc w:val="left"/>
              <w:rPr/>
            </w:pPr>
            <w:r>
              <w:rPr/>
              <w:t> </w:t>
            </w:r>
          </w:p>
        </w:tc>
      </w:tr>
      <w:tr>
        <w:trPr/>
        <w:tc>
          <w:tcPr>
            <w:tcW w:w="8090" w:type="dxa"/>
            <w:tcBorders/>
            <w:shd w:fill="FFFFFF" w:val="clear"/>
            <w:vAlign w:val="center"/>
          </w:tcPr>
          <w:p>
            <w:pPr>
              <w:pStyle w:val="TableContents"/>
              <w:bidi w:val="0"/>
              <w:spacing w:before="0" w:after="283"/>
              <w:jc w:val="left"/>
              <w:rPr/>
            </w:pPr>
            <w:r>
              <w:rPr/>
              <w:t>Repayment of note payable, related party</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(2,700</w:t>
            </w:r>
          </w:p>
        </w:tc>
        <w:tc>
          <w:tcPr>
            <w:tcW w:w="110" w:type="dxa"/>
            <w:tcBorders/>
            <w:shd w:fill="FFFFFF" w:val="clear"/>
            <w:vAlign w:val="center"/>
          </w:tcPr>
          <w:p>
            <w:pPr>
              <w:pStyle w:val="TableContents"/>
              <w:bidi w:val="0"/>
              <w:spacing w:before="0" w:after="283"/>
              <w:jc w:val="left"/>
              <w:rPr/>
            </w:pPr>
            <w:r>
              <w:rPr/>
              <w:t>)</w:t>
            </w:r>
          </w:p>
        </w:tc>
      </w:tr>
      <w:tr>
        <w:trPr/>
        <w:tc>
          <w:tcPr>
            <w:tcW w:w="8090" w:type="dxa"/>
            <w:tcBorders/>
            <w:shd w:fill="CCEEFF" w:val="clear"/>
            <w:vAlign w:val="center"/>
          </w:tcPr>
          <w:p>
            <w:pPr>
              <w:pStyle w:val="TableContents"/>
              <w:bidi w:val="0"/>
              <w:spacing w:before="0" w:after="283"/>
              <w:jc w:val="left"/>
              <w:rPr/>
            </w:pPr>
            <w:r>
              <w:rPr/>
              <w:t>Proceeds from exercise of options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4</w:t>
            </w:r>
          </w:p>
        </w:tc>
        <w:tc>
          <w:tcPr>
            <w:tcW w:w="110" w:type="dxa"/>
            <w:tcBorders/>
            <w:shd w:fill="CCEEFF" w:val="clear"/>
            <w:vAlign w:val="center"/>
          </w:tcPr>
          <w:p>
            <w:pPr>
              <w:pStyle w:val="TableContents"/>
              <w:bidi w:val="0"/>
              <w:spacing w:before="0" w:after="283"/>
              <w:jc w:val="left"/>
              <w:rPr/>
            </w:pPr>
            <w:r>
              <w:rPr/>
              <w:t> </w:t>
            </w:r>
          </w:p>
        </w:tc>
      </w:tr>
      <w:tr>
        <w:trPr/>
        <w:tc>
          <w:tcPr>
            <w:tcW w:w="8090" w:type="dxa"/>
            <w:tcBorders/>
            <w:shd w:fill="FFFFFF" w:val="clear"/>
            <w:vAlign w:val="center"/>
          </w:tcPr>
          <w:p>
            <w:pPr>
              <w:pStyle w:val="TableContents"/>
              <w:bidi w:val="0"/>
              <w:spacing w:before="0" w:after="283"/>
              <w:jc w:val="left"/>
              <w:rPr/>
            </w:pPr>
            <w:r>
              <w:rPr/>
              <w:t>Financing lease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(35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(27</w:t>
            </w:r>
          </w:p>
        </w:tc>
        <w:tc>
          <w:tcPr>
            <w:tcW w:w="110" w:type="dxa"/>
            <w:tcBorders/>
            <w:shd w:fill="FFFFFF" w:val="clear"/>
            <w:vAlign w:val="center"/>
          </w:tcPr>
          <w:p>
            <w:pPr>
              <w:pStyle w:val="TableContents"/>
              <w:bidi w:val="0"/>
              <w:spacing w:before="0" w:after="283"/>
              <w:jc w:val="left"/>
              <w:rPr/>
            </w:pPr>
            <w:r>
              <w:rPr/>
              <w:t>)</w:t>
            </w:r>
          </w:p>
        </w:tc>
      </w:tr>
      <w:tr>
        <w:trPr/>
        <w:tc>
          <w:tcPr>
            <w:tcW w:w="8090" w:type="dxa"/>
            <w:tcBorders/>
            <w:shd w:fill="CCEEFF" w:val="clear"/>
            <w:vAlign w:val="center"/>
          </w:tcPr>
          <w:p>
            <w:pPr>
              <w:pStyle w:val="TableContents"/>
              <w:bidi w:val="0"/>
              <w:spacing w:before="0" w:after="283"/>
              <w:jc w:val="left"/>
              <w:rPr>
                <w:b/>
              </w:rPr>
            </w:pPr>
            <w:r>
              <w:rPr>
                <w:b/>
              </w:rPr>
              <w:t>Net Cash Provided by Financing Activities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12,042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1,682</w:t>
            </w:r>
          </w:p>
        </w:tc>
        <w:tc>
          <w:tcPr>
            <w:tcW w:w="110" w:type="dxa"/>
            <w:tcBorders/>
            <w:shd w:fill="CCEEFF" w:val="clear"/>
            <w:vAlign w:val="center"/>
          </w:tcPr>
          <w:p>
            <w:pPr>
              <w:pStyle w:val="TableContents"/>
              <w:bidi w:val="0"/>
              <w:spacing w:before="0" w:after="283"/>
              <w:jc w:val="left"/>
              <w:rPr/>
            </w:pPr>
            <w:r>
              <w:rPr/>
              <w:t> </w:t>
            </w:r>
          </w:p>
        </w:tc>
      </w:tr>
      <w:tr>
        <w:trPr/>
        <w:tc>
          <w:tcPr>
            <w:tcW w:w="80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8090" w:type="dxa"/>
            <w:tcBorders/>
            <w:shd w:fill="CCEEFF" w:val="clear"/>
            <w:vAlign w:val="center"/>
          </w:tcPr>
          <w:p>
            <w:pPr>
              <w:pStyle w:val="TableContents"/>
              <w:bidi w:val="0"/>
              <w:spacing w:before="0" w:after="283"/>
              <w:jc w:val="left"/>
              <w:rPr/>
            </w:pPr>
            <w:r>
              <w:rPr/>
              <w:t>Net Decrease in Cash and cash equivalents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(1,011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(4,694</w:t>
            </w:r>
          </w:p>
        </w:tc>
        <w:tc>
          <w:tcPr>
            <w:tcW w:w="110" w:type="dxa"/>
            <w:tcBorders/>
            <w:shd w:fill="CCEEFF" w:val="clear"/>
            <w:vAlign w:val="center"/>
          </w:tcPr>
          <w:p>
            <w:pPr>
              <w:pStyle w:val="TableContents"/>
              <w:bidi w:val="0"/>
              <w:spacing w:before="0" w:after="283"/>
              <w:jc w:val="left"/>
              <w:rPr/>
            </w:pPr>
            <w:r>
              <w:rPr/>
              <w:t>)</w:t>
            </w:r>
          </w:p>
        </w:tc>
      </w:tr>
      <w:tr>
        <w:trPr/>
        <w:tc>
          <w:tcPr>
            <w:tcW w:w="8090" w:type="dxa"/>
            <w:tcBorders/>
            <w:shd w:fill="FFFFFF" w:val="clear"/>
            <w:vAlign w:val="center"/>
          </w:tcPr>
          <w:p>
            <w:pPr>
              <w:pStyle w:val="TableContents"/>
              <w:bidi w:val="0"/>
              <w:spacing w:before="0" w:after="283"/>
              <w:jc w:val="left"/>
              <w:rPr/>
            </w:pPr>
            <w:r>
              <w:rPr/>
              <w:t>Cash and cash equivalents - beginning of period</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pPr>
            <w:r>
              <w:rPr/>
              <w:t>4,849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pPr>
            <w:r>
              <w:rPr/>
              <w:t>12,713</w:t>
            </w:r>
          </w:p>
        </w:tc>
        <w:tc>
          <w:tcPr>
            <w:tcW w:w="110" w:type="dxa"/>
            <w:tcBorders/>
            <w:shd w:fill="FFFFFF" w:val="clear"/>
            <w:vAlign w:val="center"/>
          </w:tcPr>
          <w:p>
            <w:pPr>
              <w:pStyle w:val="TableContents"/>
              <w:bidi w:val="0"/>
              <w:spacing w:before="0" w:after="283"/>
              <w:jc w:val="left"/>
              <w:rPr/>
            </w:pPr>
            <w:r>
              <w:rPr/>
              <w:t> </w:t>
            </w:r>
          </w:p>
        </w:tc>
      </w:tr>
      <w:tr>
        <w:trPr/>
        <w:tc>
          <w:tcPr>
            <w:tcW w:w="8090" w:type="dxa"/>
            <w:tcBorders/>
            <w:shd w:fill="CCEEFF" w:val="clear"/>
            <w:vAlign w:val="center"/>
          </w:tcPr>
          <w:p>
            <w:pPr>
              <w:pStyle w:val="TableContents"/>
              <w:bidi w:val="0"/>
              <w:spacing w:before="0" w:after="283"/>
              <w:jc w:val="left"/>
              <w:rPr>
                <w:b/>
              </w:rPr>
            </w:pPr>
            <w:r>
              <w:rPr>
                <w:b/>
              </w:rPr>
              <w:t>Cash and cash equivalents - end of period</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755"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3,838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755"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8,019</w:t>
            </w:r>
          </w:p>
        </w:tc>
        <w:tc>
          <w:tcPr>
            <w:tcW w:w="110" w:type="dxa"/>
            <w:tcBorders/>
            <w:shd w:fill="CCEEFF" w:val="clear"/>
            <w:vAlign w:val="center"/>
          </w:tcPr>
          <w:p>
            <w:pPr>
              <w:pStyle w:val="TableContents"/>
              <w:bidi w:val="0"/>
              <w:spacing w:before="0" w:after="283"/>
              <w:jc w:val="left"/>
              <w:rPr/>
            </w:pPr>
            <w:r>
              <w:rPr/>
              <w:t> </w:t>
            </w:r>
          </w:p>
        </w:tc>
      </w:tr>
      <w:tr>
        <w:trPr/>
        <w:tc>
          <w:tcPr>
            <w:tcW w:w="80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8090" w:type="dxa"/>
            <w:tcBorders/>
            <w:shd w:fill="CCEEFF" w:val="clear"/>
            <w:vAlign w:val="center"/>
          </w:tcPr>
          <w:p>
            <w:pPr>
              <w:pStyle w:val="TableContents"/>
              <w:bidi w:val="0"/>
              <w:spacing w:before="0" w:after="283"/>
              <w:jc w:val="left"/>
              <w:rPr/>
            </w:pPr>
            <w:r>
              <w:rPr/>
              <w:t>Supplemental Disclosures of Cash Flow Information:</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8090" w:type="dxa"/>
            <w:tcBorders/>
            <w:shd w:fill="FFFFFF" w:val="clear"/>
            <w:vAlign w:val="center"/>
          </w:tcPr>
          <w:p>
            <w:pPr>
              <w:pStyle w:val="TableContents"/>
              <w:bidi w:val="0"/>
              <w:spacing w:before="0" w:after="283"/>
              <w:jc w:val="left"/>
              <w:rPr/>
            </w:pPr>
            <w:r>
              <w:rPr/>
              <w:t>Cash paid for income taxes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pPr>
            <w:r>
              <w:rPr/>
              <w:t>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8090" w:type="dxa"/>
            <w:tcBorders/>
            <w:shd w:fill="CCEEFF" w:val="clear"/>
            <w:vAlign w:val="center"/>
          </w:tcPr>
          <w:p>
            <w:pPr>
              <w:pStyle w:val="TableContents"/>
              <w:bidi w:val="0"/>
              <w:spacing w:before="0" w:after="283"/>
              <w:jc w:val="left"/>
              <w:rPr/>
            </w:pPr>
            <w:r>
              <w:rPr/>
              <w:t>Cash paid for interest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755" w:type="dxa"/>
            <w:tcBorders>
              <w:bottom w:val="double" w:sz="6" w:space="0" w:color="000000"/>
            </w:tcBorders>
            <w:shd w:fill="CCEEFF" w:val="clear"/>
            <w:tcMar>
              <w:bottom w:w="28" w:type="dxa"/>
            </w:tcMar>
            <w:vAlign w:val="center"/>
          </w:tcPr>
          <w:p>
            <w:pPr>
              <w:pStyle w:val="TableContents"/>
              <w:bidi w:val="0"/>
              <w:spacing w:before="0" w:after="283"/>
              <w:jc w:val="right"/>
              <w:rPr/>
            </w:pPr>
            <w:r>
              <w:rPr/>
              <w:t>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755" w:type="dxa"/>
            <w:tcBorders>
              <w:bottom w:val="double" w:sz="6" w:space="0" w:color="000000"/>
            </w:tcBorders>
            <w:shd w:fill="CCEEFF" w:val="clear"/>
            <w:tcMar>
              <w:bottom w:w="28" w:type="dxa"/>
            </w:tcMar>
            <w:vAlign w:val="center"/>
          </w:tcPr>
          <w:p>
            <w:pPr>
              <w:pStyle w:val="TableContents"/>
              <w:bidi w:val="0"/>
              <w:spacing w:before="0" w:after="283"/>
              <w:jc w:val="right"/>
              <w:rPr/>
            </w:pPr>
            <w:r>
              <w:rPr/>
              <w:t>4,782</w:t>
            </w:r>
          </w:p>
        </w:tc>
        <w:tc>
          <w:tcPr>
            <w:tcW w:w="110" w:type="dxa"/>
            <w:tcBorders/>
            <w:shd w:fill="CCEEFF" w:val="clear"/>
            <w:vAlign w:val="center"/>
          </w:tcPr>
          <w:p>
            <w:pPr>
              <w:pStyle w:val="TableContents"/>
              <w:bidi w:val="0"/>
              <w:spacing w:before="0" w:after="283"/>
              <w:jc w:val="left"/>
              <w:rPr/>
            </w:pPr>
            <w:r>
              <w:rPr/>
              <w:t> </w:t>
            </w:r>
          </w:p>
        </w:tc>
      </w:tr>
      <w:tr>
        <w:trPr/>
        <w:tc>
          <w:tcPr>
            <w:tcW w:w="8090" w:type="dxa"/>
            <w:tcBorders/>
            <w:shd w:fill="FFFFFF" w:val="clear"/>
            <w:vAlign w:val="center"/>
          </w:tcPr>
          <w:p>
            <w:pPr>
              <w:pStyle w:val="TableContents"/>
              <w:bidi w:val="0"/>
              <w:spacing w:before="0" w:after="283"/>
              <w:jc w:val="left"/>
              <w:rPr/>
            </w:pPr>
            <w:r>
              <w:rPr/>
              <w:t>Supplemental Non-Cash Items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8090" w:type="dxa"/>
            <w:tcBorders/>
            <w:shd w:fill="CCEEFF" w:val="clear"/>
            <w:vAlign w:val="center"/>
          </w:tcPr>
          <w:p>
            <w:pPr>
              <w:pStyle w:val="TableContents"/>
              <w:bidi w:val="0"/>
              <w:spacing w:before="0" w:after="283"/>
              <w:jc w:val="left"/>
              <w:rPr/>
            </w:pPr>
            <w:r>
              <w:rPr/>
              <w:t>Purchases of property and equipment, not yet paid</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755" w:type="dxa"/>
            <w:tcBorders>
              <w:bottom w:val="double" w:sz="6" w:space="0" w:color="000000"/>
            </w:tcBorders>
            <w:shd w:fill="CCEEFF" w:val="clear"/>
            <w:tcMar>
              <w:bottom w:w="28" w:type="dxa"/>
            </w:tcMar>
            <w:vAlign w:val="center"/>
          </w:tcPr>
          <w:p>
            <w:pPr>
              <w:pStyle w:val="TableContents"/>
              <w:bidi w:val="0"/>
              <w:spacing w:before="0" w:after="283"/>
              <w:jc w:val="right"/>
              <w:rPr/>
            </w:pPr>
            <w:r>
              <w:rPr/>
              <w:t>16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755" w:type="dxa"/>
            <w:tcBorders>
              <w:bottom w:val="double" w:sz="6" w:space="0" w:color="000000"/>
            </w:tcBorders>
            <w:shd w:fill="CCEEFF" w:val="clear"/>
            <w:tcMar>
              <w:bottom w:w="28" w:type="dxa"/>
            </w:tcMar>
            <w:vAlign w:val="center"/>
          </w:tcPr>
          <w:p>
            <w:pPr>
              <w:pStyle w:val="TableContents"/>
              <w:bidi w:val="0"/>
              <w:spacing w:before="0" w:after="283"/>
              <w:jc w:val="right"/>
              <w:rPr/>
            </w:pPr>
            <w:r>
              <w:rPr/>
              <w:t>2,460</w:t>
            </w:r>
          </w:p>
        </w:tc>
        <w:tc>
          <w:tcPr>
            <w:tcW w:w="110" w:type="dxa"/>
            <w:tcBorders/>
            <w:shd w:fill="CCEEFF" w:val="clear"/>
            <w:vAlign w:val="center"/>
          </w:tcPr>
          <w:p>
            <w:pPr>
              <w:pStyle w:val="TableContents"/>
              <w:bidi w:val="0"/>
              <w:spacing w:before="0" w:after="283"/>
              <w:jc w:val="left"/>
              <w:rPr/>
            </w:pPr>
            <w:r>
              <w:rPr/>
              <w:t> </w:t>
            </w:r>
          </w:p>
        </w:tc>
      </w:tr>
      <w:tr>
        <w:trPr/>
        <w:tc>
          <w:tcPr>
            <w:tcW w:w="8090" w:type="dxa"/>
            <w:tcBorders/>
            <w:shd w:fill="FFFFFF" w:val="clear"/>
            <w:vAlign w:val="center"/>
          </w:tcPr>
          <w:p>
            <w:pPr>
              <w:pStyle w:val="TableContents"/>
              <w:bidi w:val="0"/>
              <w:spacing w:before="0" w:after="283"/>
              <w:jc w:val="left"/>
              <w:rPr/>
            </w:pPr>
            <w:r>
              <w:rPr/>
              <w:t>Recognition of right of use asset obtained in exchange for operating lease liability</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755" w:type="dxa"/>
            <w:tcBorders>
              <w:bottom w:val="double" w:sz="6" w:space="0" w:color="000000"/>
            </w:tcBorders>
            <w:shd w:fill="FFFFFF" w:val="clear"/>
            <w:tcMar>
              <w:bottom w:w="28" w:type="dxa"/>
            </w:tcMar>
            <w:vAlign w:val="center"/>
          </w:tcPr>
          <w:p>
            <w:pPr>
              <w:pStyle w:val="TableContents"/>
              <w:bidi w:val="0"/>
              <w:spacing w:before="0" w:after="283"/>
              <w:jc w:val="right"/>
              <w:rPr/>
            </w:pPr>
            <w:r>
              <w:rPr/>
              <w:t>642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755" w:type="dxa"/>
            <w:tcBorders>
              <w:bottom w:val="double" w:sz="6" w:space="0" w:color="000000"/>
            </w:tcBorders>
            <w:shd w:fill="FFFFFF" w:val="clear"/>
            <w:tcMar>
              <w:bottom w:w="28" w:type="dxa"/>
            </w:tcMar>
            <w:vAlign w:val="center"/>
          </w:tcPr>
          <w:p>
            <w:pPr>
              <w:pStyle w:val="TableContents"/>
              <w:bidi w:val="0"/>
              <w:spacing w:before="0" w:after="283"/>
              <w:jc w:val="right"/>
              <w:rPr/>
            </w:pPr>
            <w:r>
              <w:rPr/>
              <w:t>18,653</w:t>
            </w:r>
          </w:p>
        </w:tc>
        <w:tc>
          <w:tcPr>
            <w:tcW w:w="110" w:type="dxa"/>
            <w:tcBorders/>
            <w:shd w:fill="FFFFFF" w:val="clear"/>
            <w:vAlign w:val="center"/>
          </w:tcPr>
          <w:p>
            <w:pPr>
              <w:pStyle w:val="TableContents"/>
              <w:bidi w:val="0"/>
              <w:spacing w:before="0" w:after="283"/>
              <w:jc w:val="left"/>
              <w:rPr/>
            </w:pPr>
            <w:r>
              <w:rPr/>
              <w:t> </w:t>
            </w:r>
          </w:p>
        </w:tc>
      </w:tr>
      <w:tr>
        <w:trPr/>
        <w:tc>
          <w:tcPr>
            <w:tcW w:w="8090" w:type="dxa"/>
            <w:tcBorders/>
            <w:shd w:fill="CCEEFF" w:val="clear"/>
            <w:vAlign w:val="center"/>
          </w:tcPr>
          <w:p>
            <w:pPr>
              <w:pStyle w:val="TableContents"/>
              <w:bidi w:val="0"/>
              <w:spacing w:before="0" w:after="283"/>
              <w:jc w:val="left"/>
              <w:rPr/>
            </w:pPr>
            <w:r>
              <w:rPr/>
              <w:t>Recognition of leasehold improvements obtained in exchange for operating lease liability</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755"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755" w:type="dxa"/>
            <w:tcBorders>
              <w:bottom w:val="double" w:sz="6" w:space="0" w:color="000000"/>
            </w:tcBorders>
            <w:shd w:fill="CCEEFF" w:val="clear"/>
            <w:tcMar>
              <w:bottom w:w="28" w:type="dxa"/>
            </w:tcMar>
            <w:vAlign w:val="center"/>
          </w:tcPr>
          <w:p>
            <w:pPr>
              <w:pStyle w:val="TableContents"/>
              <w:bidi w:val="0"/>
              <w:spacing w:before="0" w:after="283"/>
              <w:jc w:val="right"/>
              <w:rPr/>
            </w:pPr>
            <w:r>
              <w:rPr/>
              <w:t>4,683</w:t>
            </w:r>
          </w:p>
        </w:tc>
        <w:tc>
          <w:tcPr>
            <w:tcW w:w="110" w:type="dxa"/>
            <w:tcBorders/>
            <w:shd w:fill="CCEEFF" w:val="clear"/>
            <w:vAlign w:val="center"/>
          </w:tcPr>
          <w:p>
            <w:pPr>
              <w:pStyle w:val="TableContents"/>
              <w:bidi w:val="0"/>
              <w:spacing w:before="0" w:after="283"/>
              <w:jc w:val="left"/>
              <w:rPr/>
            </w:pPr>
            <w:r>
              <w:rPr/>
              <w:t> </w:t>
            </w:r>
          </w:p>
        </w:tc>
      </w:tr>
      <w:tr>
        <w:trPr/>
        <w:tc>
          <w:tcPr>
            <w:tcW w:w="8090" w:type="dxa"/>
            <w:tcBorders/>
            <w:shd w:fill="FFFFFF" w:val="clear"/>
            <w:vAlign w:val="center"/>
          </w:tcPr>
          <w:p>
            <w:pPr>
              <w:pStyle w:val="TableContents"/>
              <w:bidi w:val="0"/>
              <w:spacing w:before="0" w:after="283"/>
              <w:jc w:val="left"/>
              <w:rPr/>
            </w:pPr>
            <w:r>
              <w:rPr/>
              <w:t>Conversion of preferred stock to common stock</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755" w:type="dxa"/>
            <w:tcBorders>
              <w:bottom w:val="double" w:sz="6" w:space="0" w:color="000000"/>
            </w:tcBorders>
            <w:shd w:fill="FFFFFF" w:val="clear"/>
            <w:tcMar>
              <w:bottom w:w="28" w:type="dxa"/>
            </w:tcMar>
            <w:vAlign w:val="center"/>
          </w:tcPr>
          <w:p>
            <w:pPr>
              <w:pStyle w:val="TableContents"/>
              <w:bidi w:val="0"/>
              <w:spacing w:before="0" w:after="283"/>
              <w:jc w:val="right"/>
              <w:rPr/>
            </w:pPr>
            <w:r>
              <w:rPr/>
              <w:t>7,330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755"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8090" w:type="dxa"/>
            <w:tcBorders/>
            <w:shd w:fill="CCEEFF" w:val="clear"/>
            <w:vAlign w:val="center"/>
          </w:tcPr>
          <w:p>
            <w:pPr>
              <w:pStyle w:val="TableContents"/>
              <w:bidi w:val="0"/>
              <w:spacing w:before="0" w:after="283"/>
              <w:jc w:val="left"/>
              <w:rPr/>
            </w:pPr>
            <w:r>
              <w:rPr/>
              <w:t>Recognition of warrant liability - Investor Warrants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755" w:type="dxa"/>
            <w:tcBorders>
              <w:bottom w:val="double" w:sz="6" w:space="0" w:color="000000"/>
            </w:tcBorders>
            <w:shd w:fill="CCEEFF" w:val="clear"/>
            <w:tcMar>
              <w:bottom w:w="28" w:type="dxa"/>
            </w:tcMar>
            <w:vAlign w:val="center"/>
          </w:tcPr>
          <w:p>
            <w:pPr>
              <w:pStyle w:val="TableContents"/>
              <w:bidi w:val="0"/>
              <w:spacing w:before="0" w:after="283"/>
              <w:jc w:val="right"/>
              <w:rPr/>
            </w:pPr>
            <w:r>
              <w:rPr/>
              <w:t>696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755" w:type="dxa"/>
            <w:tcBorders>
              <w:bottom w:val="double" w:sz="6" w:space="0" w:color="000000"/>
            </w:tcBorders>
            <w:shd w:fill="CCEEFF" w:val="clear"/>
            <w:tcMar>
              <w:bottom w:w="28" w:type="dxa"/>
            </w:tcMar>
            <w:vAlign w:val="center"/>
          </w:tcPr>
          <w:p>
            <w:pPr>
              <w:pStyle w:val="TableContents"/>
              <w:bidi w:val="0"/>
              <w:spacing w:before="0" w:after="283"/>
              <w:jc w:val="right"/>
              <w:rPr/>
            </w:pPr>
            <w:r>
              <w:rPr/>
              <w:t>6,381</w:t>
            </w:r>
          </w:p>
        </w:tc>
        <w:tc>
          <w:tcPr>
            <w:tcW w:w="110" w:type="dxa"/>
            <w:tcBorders/>
            <w:shd w:fill="CCEEFF" w:val="clear"/>
            <w:vAlign w:val="center"/>
          </w:tcPr>
          <w:p>
            <w:pPr>
              <w:pStyle w:val="TableContents"/>
              <w:bidi w:val="0"/>
              <w:spacing w:before="0" w:after="283"/>
              <w:jc w:val="left"/>
              <w:rPr/>
            </w:pPr>
            <w:r>
              <w:rPr/>
              <w:t> </w:t>
            </w:r>
          </w:p>
        </w:tc>
      </w:tr>
      <w:tr>
        <w:trPr/>
        <w:tc>
          <w:tcPr>
            <w:tcW w:w="8090" w:type="dxa"/>
            <w:tcBorders/>
            <w:shd w:fill="FFFFFF" w:val="clear"/>
            <w:vAlign w:val="center"/>
          </w:tcPr>
          <w:p>
            <w:pPr>
              <w:pStyle w:val="TableContents"/>
              <w:bidi w:val="0"/>
              <w:spacing w:before="0" w:after="283"/>
              <w:jc w:val="left"/>
              <w:rPr/>
            </w:pPr>
            <w:r>
              <w:rPr/>
              <w:t>Settlement of accrued liability for employee stock purchase plan</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755" w:type="dxa"/>
            <w:tcBorders>
              <w:bottom w:val="double" w:sz="6" w:space="0" w:color="000000"/>
            </w:tcBorders>
            <w:shd w:fill="FFFFFF" w:val="clear"/>
            <w:tcMar>
              <w:bottom w:w="28" w:type="dxa"/>
            </w:tcMar>
            <w:vAlign w:val="center"/>
          </w:tcPr>
          <w:p>
            <w:pPr>
              <w:pStyle w:val="TableContents"/>
              <w:bidi w:val="0"/>
              <w:spacing w:before="0" w:after="283"/>
              <w:jc w:val="right"/>
              <w:rPr/>
            </w:pPr>
            <w:r>
              <w:rPr/>
              <w:t>73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755" w:type="dxa"/>
            <w:tcBorders>
              <w:bottom w:val="double" w:sz="6" w:space="0" w:color="000000"/>
            </w:tcBorders>
            <w:shd w:fill="FFFFFF" w:val="clear"/>
            <w:tcMar>
              <w:bottom w:w="28" w:type="dxa"/>
            </w:tcMar>
            <w:vAlign w:val="center"/>
          </w:tcPr>
          <w:p>
            <w:pPr>
              <w:pStyle w:val="TableContents"/>
              <w:bidi w:val="0"/>
              <w:spacing w:before="0" w:after="283"/>
              <w:jc w:val="right"/>
              <w:rPr/>
            </w:pPr>
            <w:r>
              <w:rPr/>
              <w:t>112</w:t>
            </w:r>
          </w:p>
        </w:tc>
        <w:tc>
          <w:tcPr>
            <w:tcW w:w="110" w:type="dxa"/>
            <w:tcBorders/>
            <w:shd w:fill="FFFFFF" w:val="clear"/>
            <w:vAlign w:val="center"/>
          </w:tcPr>
          <w:p>
            <w:pPr>
              <w:pStyle w:val="TableContents"/>
              <w:bidi w:val="0"/>
              <w:spacing w:before="0" w:after="283"/>
              <w:jc w:val="left"/>
              <w:rPr/>
            </w:pPr>
            <w:r>
              <w:rPr/>
              <w:t> </w:t>
            </w:r>
          </w:p>
        </w:tc>
      </w:tr>
      <w:tr>
        <w:trPr/>
        <w:tc>
          <w:tcPr>
            <w:tcW w:w="8090" w:type="dxa"/>
            <w:tcBorders/>
            <w:shd w:fill="CCEEFF" w:val="clear"/>
            <w:vAlign w:val="center"/>
          </w:tcPr>
          <w:p>
            <w:pPr>
              <w:pStyle w:val="TableContents"/>
              <w:bidi w:val="0"/>
              <w:spacing w:before="0" w:after="283"/>
              <w:jc w:val="left"/>
              <w:rPr/>
            </w:pPr>
            <w:r>
              <w:rPr/>
              <w:t>Reclassification of assets held for sale to machinery and equipment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755" w:type="dxa"/>
            <w:tcBorders>
              <w:bottom w:val="double" w:sz="6" w:space="0" w:color="000000"/>
            </w:tcBorders>
            <w:shd w:fill="CCEEFF" w:val="clear"/>
            <w:tcMar>
              <w:bottom w:w="28" w:type="dxa"/>
            </w:tcMar>
            <w:vAlign w:val="center"/>
          </w:tcPr>
          <w:p>
            <w:pPr>
              <w:pStyle w:val="TableContents"/>
              <w:bidi w:val="0"/>
              <w:spacing w:before="0" w:after="283"/>
              <w:jc w:val="right"/>
              <w:rPr/>
            </w:pPr>
            <w:r>
              <w:rPr/>
              <w:t>644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755"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Dragonfly Energy Holdings Corp.</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Reconciliation of GAAP to Non-GAAP Measures (Unaudited)</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 Dollars in Thousands)</w:t>
      </w:r>
    </w:p>
    <w:p>
      <w:pPr>
        <w:pStyle w:val="TextBody"/>
        <w:bidi w:val="0"/>
        <w:spacing w:before="0" w:after="0"/>
        <w:ind w:left="0" w:right="0" w:hanging="0"/>
        <w:jc w:val="left"/>
        <w:rPr>
          <w:caps w:val="false"/>
          <w:smallCaps w:val="false"/>
        </w:rPr>
      </w:pPr>
      <w:r>
        <w:rPr>
          <w:caps w:val="false"/>
          <w:smallCaps w:val="false"/>
        </w:rPr>
        <w:t> </w:t>
      </w:r>
    </w:p>
    <w:tbl>
      <w:tblPr>
        <w:tblW w:w="6837" w:type="dxa"/>
        <w:jc w:val="left"/>
        <w:tblInd w:w="0" w:type="dxa"/>
        <w:tblLayout w:type="fixed"/>
        <w:tblCellMar>
          <w:top w:w="0" w:type="dxa"/>
          <w:left w:w="0" w:type="dxa"/>
          <w:bottom w:w="0" w:type="dxa"/>
          <w:right w:w="0" w:type="dxa"/>
        </w:tblCellMar>
      </w:tblPr>
      <w:tblGrid>
        <w:gridCol w:w="4460"/>
        <w:gridCol w:w="60"/>
        <w:gridCol w:w="169"/>
        <w:gridCol w:w="914"/>
        <w:gridCol w:w="115"/>
        <w:gridCol w:w="72"/>
        <w:gridCol w:w="169"/>
        <w:gridCol w:w="768"/>
        <w:gridCol w:w="110"/>
      </w:tblGrid>
      <w:tr>
        <w:trPr/>
        <w:tc>
          <w:tcPr>
            <w:tcW w:w="44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07" w:type="dxa"/>
            <w:gridSpan w:val="6"/>
            <w:tcBorders>
              <w:bottom w:val="single" w:sz="8" w:space="0" w:color="000000"/>
            </w:tcBorders>
            <w:tcMar>
              <w:bottom w:w="28" w:type="dxa"/>
            </w:tcMar>
            <w:vAlign w:val="center"/>
          </w:tcPr>
          <w:p>
            <w:pPr>
              <w:pStyle w:val="TableContents"/>
              <w:bidi w:val="0"/>
              <w:spacing w:before="0" w:after="283"/>
              <w:jc w:val="center"/>
              <w:rPr>
                <w:b/>
              </w:rPr>
            </w:pPr>
            <w:r>
              <w:rPr>
                <w:b/>
              </w:rPr>
              <w:t>Three Months Ended</w:t>
            </w:r>
          </w:p>
        </w:tc>
        <w:tc>
          <w:tcPr>
            <w:tcW w:w="110" w:type="dxa"/>
            <w:tcBorders/>
            <w:vAlign w:val="center"/>
          </w:tcPr>
          <w:p>
            <w:pPr>
              <w:pStyle w:val="TableContents"/>
              <w:bidi w:val="0"/>
              <w:spacing w:before="0" w:after="283"/>
              <w:jc w:val="left"/>
              <w:rPr/>
            </w:pPr>
            <w:r>
              <w:rPr/>
              <w:t> </w:t>
            </w:r>
          </w:p>
        </w:tc>
      </w:tr>
      <w:tr>
        <w:trPr/>
        <w:tc>
          <w:tcPr>
            <w:tcW w:w="44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83" w:type="dxa"/>
            <w:gridSpan w:val="2"/>
            <w:tcBorders/>
            <w:vAlign w:val="center"/>
          </w:tcPr>
          <w:p>
            <w:pPr>
              <w:pStyle w:val="TableContents"/>
              <w:bidi w:val="0"/>
              <w:spacing w:before="0" w:after="283"/>
              <w:jc w:val="center"/>
              <w:rPr>
                <w:b/>
              </w:rPr>
            </w:pPr>
            <w:r>
              <w:rPr>
                <w:b/>
              </w:rPr>
              <w:t>Sep 30,</w:t>
            </w:r>
          </w:p>
        </w:tc>
        <w:tc>
          <w:tcPr>
            <w:tcW w:w="115"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937" w:type="dxa"/>
            <w:gridSpan w:val="2"/>
            <w:tcBorders/>
            <w:vAlign w:val="center"/>
          </w:tcPr>
          <w:p>
            <w:pPr>
              <w:pStyle w:val="TableContents"/>
              <w:bidi w:val="0"/>
              <w:spacing w:before="0" w:after="283"/>
              <w:jc w:val="center"/>
              <w:rPr>
                <w:b/>
              </w:rPr>
            </w:pPr>
            <w:r>
              <w:rPr>
                <w:b/>
              </w:rPr>
              <w:t>Sep 30,</w:t>
            </w:r>
          </w:p>
        </w:tc>
        <w:tc>
          <w:tcPr>
            <w:tcW w:w="110" w:type="dxa"/>
            <w:tcBorders/>
            <w:vAlign w:val="center"/>
          </w:tcPr>
          <w:p>
            <w:pPr>
              <w:pStyle w:val="TableContents"/>
              <w:bidi w:val="0"/>
              <w:spacing w:before="0" w:after="283"/>
              <w:jc w:val="left"/>
              <w:rPr/>
            </w:pPr>
            <w:r>
              <w:rPr/>
              <w:t> </w:t>
            </w:r>
          </w:p>
        </w:tc>
      </w:tr>
      <w:tr>
        <w:trPr/>
        <w:tc>
          <w:tcPr>
            <w:tcW w:w="44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83"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15"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937"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110" w:type="dxa"/>
            <w:tcBorders/>
            <w:vAlign w:val="center"/>
          </w:tcPr>
          <w:p>
            <w:pPr>
              <w:pStyle w:val="TableContents"/>
              <w:bidi w:val="0"/>
              <w:spacing w:before="0" w:after="283"/>
              <w:jc w:val="left"/>
              <w:rPr/>
            </w:pPr>
            <w:r>
              <w:rPr/>
              <w:t> </w:t>
            </w:r>
          </w:p>
        </w:tc>
      </w:tr>
      <w:tr>
        <w:trPr/>
        <w:tc>
          <w:tcPr>
            <w:tcW w:w="4460" w:type="dxa"/>
            <w:tcBorders/>
            <w:shd w:fill="CCEEFF" w:val="clear"/>
            <w:vAlign w:val="center"/>
          </w:tcPr>
          <w:p>
            <w:pPr>
              <w:pStyle w:val="TableContents"/>
              <w:bidi w:val="0"/>
              <w:spacing w:before="0" w:after="283"/>
              <w:jc w:val="left"/>
              <w:rPr/>
            </w:pPr>
            <w:r>
              <w:rPr/>
              <w:t>EBITDA Calculation</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914" w:type="dxa"/>
            <w:tcBorders/>
            <w:shd w:fill="CCEEFF" w:val="clear"/>
            <w:vAlign w:val="center"/>
          </w:tcPr>
          <w:p>
            <w:pPr>
              <w:pStyle w:val="TableContents"/>
              <w:bidi w:val="0"/>
              <w:spacing w:before="0" w:after="283"/>
              <w:jc w:val="right"/>
              <w:rPr/>
            </w:pPr>
            <w:r>
              <w:rPr/>
              <w:t> </w:t>
            </w:r>
          </w:p>
        </w:tc>
        <w:tc>
          <w:tcPr>
            <w:tcW w:w="115"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768"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4460" w:type="dxa"/>
            <w:tcBorders/>
            <w:shd w:fill="FFFFFF" w:val="clear"/>
            <w:vAlign w:val="center"/>
          </w:tcPr>
          <w:p>
            <w:pPr>
              <w:pStyle w:val="TableContents"/>
              <w:bidi w:val="0"/>
              <w:spacing w:before="0" w:after="283"/>
              <w:jc w:val="left"/>
              <w:rPr/>
            </w:pPr>
            <w:r>
              <w:rPr/>
              <w:t>Net (Loss) Before Taxes</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w:t>
            </w:r>
          </w:p>
        </w:tc>
        <w:tc>
          <w:tcPr>
            <w:tcW w:w="914" w:type="dxa"/>
            <w:tcBorders/>
            <w:shd w:fill="FFFFFF" w:val="clear"/>
            <w:vAlign w:val="center"/>
          </w:tcPr>
          <w:p>
            <w:pPr>
              <w:pStyle w:val="TableContents"/>
              <w:bidi w:val="0"/>
              <w:spacing w:before="0" w:after="283"/>
              <w:jc w:val="right"/>
              <w:rPr/>
            </w:pPr>
            <w:r>
              <w:rPr/>
              <w:t>(11,070</w:t>
            </w:r>
          </w:p>
        </w:tc>
        <w:tc>
          <w:tcPr>
            <w:tcW w:w="115" w:type="dxa"/>
            <w:tcBorders/>
            <w:shd w:fill="FFFFFF" w:val="clear"/>
            <w:vAlign w:val="center"/>
          </w:tcPr>
          <w:p>
            <w:pPr>
              <w:pStyle w:val="TableContents"/>
              <w:bidi w:val="0"/>
              <w:spacing w:before="0" w:after="283"/>
              <w:jc w:val="left"/>
              <w:rPr/>
            </w:pPr>
            <w:r>
              <w:rPr/>
              <w:t>)</w:t>
            </w:r>
          </w:p>
        </w:tc>
        <w:tc>
          <w:tcPr>
            <w:tcW w:w="72"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w:t>
            </w:r>
          </w:p>
        </w:tc>
        <w:tc>
          <w:tcPr>
            <w:tcW w:w="768" w:type="dxa"/>
            <w:tcBorders/>
            <w:shd w:fill="FFFFFF" w:val="clear"/>
            <w:vAlign w:val="center"/>
          </w:tcPr>
          <w:p>
            <w:pPr>
              <w:pStyle w:val="TableContents"/>
              <w:bidi w:val="0"/>
              <w:spacing w:before="0" w:after="283"/>
              <w:jc w:val="right"/>
              <w:rPr/>
            </w:pPr>
            <w:r>
              <w:rPr/>
              <w:t>(6,779</w:t>
            </w:r>
          </w:p>
        </w:tc>
        <w:tc>
          <w:tcPr>
            <w:tcW w:w="110" w:type="dxa"/>
            <w:tcBorders/>
            <w:shd w:fill="FFFFFF" w:val="clear"/>
            <w:vAlign w:val="center"/>
          </w:tcPr>
          <w:p>
            <w:pPr>
              <w:pStyle w:val="TableContents"/>
              <w:bidi w:val="0"/>
              <w:spacing w:before="0" w:after="283"/>
              <w:jc w:val="left"/>
              <w:rPr/>
            </w:pPr>
            <w:r>
              <w:rPr/>
              <w:t>)</w:t>
            </w:r>
          </w:p>
        </w:tc>
      </w:tr>
      <w:tr>
        <w:trPr/>
        <w:tc>
          <w:tcPr>
            <w:tcW w:w="4460" w:type="dxa"/>
            <w:tcBorders/>
            <w:shd w:fill="CCEEFF" w:val="clear"/>
            <w:vAlign w:val="center"/>
          </w:tcPr>
          <w:p>
            <w:pPr>
              <w:pStyle w:val="TableContents"/>
              <w:bidi w:val="0"/>
              <w:spacing w:before="0" w:after="283"/>
              <w:jc w:val="left"/>
              <w:rPr/>
            </w:pPr>
            <w:r>
              <w:rPr/>
              <w:t>Interest Expense</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914" w:type="dxa"/>
            <w:tcBorders/>
            <w:shd w:fill="CCEEFF" w:val="clear"/>
            <w:vAlign w:val="center"/>
          </w:tcPr>
          <w:p>
            <w:pPr>
              <w:pStyle w:val="TableContents"/>
              <w:bidi w:val="0"/>
              <w:spacing w:before="0" w:after="283"/>
              <w:jc w:val="right"/>
              <w:rPr/>
            </w:pPr>
            <w:r>
              <w:rPr/>
              <w:t>6,409</w:t>
            </w:r>
          </w:p>
        </w:tc>
        <w:tc>
          <w:tcPr>
            <w:tcW w:w="115"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768" w:type="dxa"/>
            <w:tcBorders/>
            <w:shd w:fill="CCEEFF" w:val="clear"/>
            <w:vAlign w:val="center"/>
          </w:tcPr>
          <w:p>
            <w:pPr>
              <w:pStyle w:val="TableContents"/>
              <w:bidi w:val="0"/>
              <w:spacing w:before="0" w:after="283"/>
              <w:jc w:val="right"/>
              <w:rPr/>
            </w:pPr>
            <w:r>
              <w:rPr/>
              <w:t>5,615</w:t>
            </w:r>
          </w:p>
        </w:tc>
        <w:tc>
          <w:tcPr>
            <w:tcW w:w="110" w:type="dxa"/>
            <w:tcBorders/>
            <w:shd w:fill="CCEEFF" w:val="clear"/>
            <w:vAlign w:val="center"/>
          </w:tcPr>
          <w:p>
            <w:pPr>
              <w:pStyle w:val="TableContents"/>
              <w:bidi w:val="0"/>
              <w:spacing w:before="0" w:after="283"/>
              <w:jc w:val="left"/>
              <w:rPr/>
            </w:pPr>
            <w:r>
              <w:rPr/>
              <w:t> </w:t>
            </w:r>
          </w:p>
        </w:tc>
      </w:tr>
      <w:tr>
        <w:trPr/>
        <w:tc>
          <w:tcPr>
            <w:tcW w:w="4460" w:type="dxa"/>
            <w:tcBorders/>
            <w:shd w:fill="FFFFFF" w:val="clear"/>
            <w:vAlign w:val="center"/>
          </w:tcPr>
          <w:p>
            <w:pPr>
              <w:pStyle w:val="TableContents"/>
              <w:bidi w:val="0"/>
              <w:spacing w:before="0" w:after="283"/>
              <w:jc w:val="left"/>
              <w:rPr/>
            </w:pPr>
            <w:r>
              <w:rPr/>
              <w:t>Depreciation and Amortization</w:t>
            </w:r>
          </w:p>
        </w:tc>
        <w:tc>
          <w:tcPr>
            <w:tcW w:w="60" w:type="dxa"/>
            <w:tcBorders/>
            <w:shd w:fill="FFFFFF" w:val="clear"/>
            <w:vAlign w:val="center"/>
          </w:tcPr>
          <w:p>
            <w:pPr>
              <w:pStyle w:val="TableContents"/>
              <w:bidi w:val="0"/>
              <w:spacing w:before="0" w:after="283"/>
              <w:jc w:val="left"/>
              <w:rPr/>
            </w:pPr>
            <w:r>
              <w:rPr/>
              <w:t> </w:t>
            </w:r>
          </w:p>
        </w:tc>
        <w:tc>
          <w:tcPr>
            <w:tcW w:w="16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14" w:type="dxa"/>
            <w:tcBorders>
              <w:bottom w:val="single" w:sz="8" w:space="0" w:color="000000"/>
            </w:tcBorders>
            <w:shd w:fill="FFFFFF" w:val="clear"/>
            <w:tcMar>
              <w:bottom w:w="28" w:type="dxa"/>
            </w:tcMar>
            <w:vAlign w:val="center"/>
          </w:tcPr>
          <w:p>
            <w:pPr>
              <w:pStyle w:val="TableContents"/>
              <w:bidi w:val="0"/>
              <w:spacing w:before="0" w:after="283"/>
              <w:jc w:val="right"/>
              <w:rPr/>
            </w:pPr>
            <w:r>
              <w:rPr/>
              <w:t>460</w:t>
            </w:r>
          </w:p>
        </w:tc>
        <w:tc>
          <w:tcPr>
            <w:tcW w:w="115"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6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68" w:type="dxa"/>
            <w:tcBorders>
              <w:bottom w:val="single" w:sz="8" w:space="0" w:color="000000"/>
            </w:tcBorders>
            <w:shd w:fill="FFFFFF" w:val="clear"/>
            <w:tcMar>
              <w:bottom w:w="28" w:type="dxa"/>
            </w:tcMar>
            <w:vAlign w:val="center"/>
          </w:tcPr>
          <w:p>
            <w:pPr>
              <w:pStyle w:val="TableContents"/>
              <w:bidi w:val="0"/>
              <w:spacing w:before="0" w:after="283"/>
              <w:jc w:val="right"/>
              <w:rPr/>
            </w:pPr>
            <w:r>
              <w:rPr/>
              <w:t>327</w:t>
            </w:r>
          </w:p>
        </w:tc>
        <w:tc>
          <w:tcPr>
            <w:tcW w:w="110" w:type="dxa"/>
            <w:tcBorders/>
            <w:shd w:fill="FFFFFF" w:val="clear"/>
            <w:vAlign w:val="center"/>
          </w:tcPr>
          <w:p>
            <w:pPr>
              <w:pStyle w:val="TableContents"/>
              <w:bidi w:val="0"/>
              <w:spacing w:before="0" w:after="283"/>
              <w:jc w:val="left"/>
              <w:rPr/>
            </w:pPr>
            <w:r>
              <w:rPr/>
              <w:t> </w:t>
            </w:r>
          </w:p>
        </w:tc>
      </w:tr>
      <w:tr>
        <w:trPr/>
        <w:tc>
          <w:tcPr>
            <w:tcW w:w="4460" w:type="dxa"/>
            <w:tcBorders/>
            <w:shd w:fill="CCEEFF" w:val="clear"/>
            <w:vAlign w:val="center"/>
          </w:tcPr>
          <w:p>
            <w:pPr>
              <w:pStyle w:val="TableContents"/>
              <w:bidi w:val="0"/>
              <w:spacing w:before="0" w:after="283"/>
              <w:jc w:val="left"/>
              <w:rPr/>
            </w:pPr>
            <w:r>
              <w:rPr/>
              <w:t>EBITDA</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w:t>
            </w:r>
          </w:p>
        </w:tc>
        <w:tc>
          <w:tcPr>
            <w:tcW w:w="914" w:type="dxa"/>
            <w:tcBorders/>
            <w:shd w:fill="CCEEFF" w:val="clear"/>
            <w:vAlign w:val="center"/>
          </w:tcPr>
          <w:p>
            <w:pPr>
              <w:pStyle w:val="TableContents"/>
              <w:bidi w:val="0"/>
              <w:spacing w:before="0" w:after="283"/>
              <w:jc w:val="right"/>
              <w:rPr/>
            </w:pPr>
            <w:r>
              <w:rPr/>
              <w:t>(4,201</w:t>
            </w:r>
          </w:p>
        </w:tc>
        <w:tc>
          <w:tcPr>
            <w:tcW w:w="115" w:type="dxa"/>
            <w:tcBorders/>
            <w:shd w:fill="CCEEFF" w:val="clear"/>
            <w:vAlign w:val="center"/>
          </w:tcPr>
          <w:p>
            <w:pPr>
              <w:pStyle w:val="TableContents"/>
              <w:bidi w:val="0"/>
              <w:spacing w:before="0" w:after="283"/>
              <w:jc w:val="left"/>
              <w:rPr/>
            </w:pPr>
            <w:r>
              <w:rPr/>
              <w:t>)</w:t>
            </w:r>
          </w:p>
        </w:tc>
        <w:tc>
          <w:tcPr>
            <w:tcW w:w="72"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w:t>
            </w:r>
          </w:p>
        </w:tc>
        <w:tc>
          <w:tcPr>
            <w:tcW w:w="768" w:type="dxa"/>
            <w:tcBorders/>
            <w:shd w:fill="CCEEFF" w:val="clear"/>
            <w:vAlign w:val="center"/>
          </w:tcPr>
          <w:p>
            <w:pPr>
              <w:pStyle w:val="TableContents"/>
              <w:bidi w:val="0"/>
              <w:spacing w:before="0" w:after="283"/>
              <w:jc w:val="right"/>
              <w:rPr/>
            </w:pPr>
            <w:r>
              <w:rPr/>
              <w:t>(837</w:t>
            </w:r>
          </w:p>
        </w:tc>
        <w:tc>
          <w:tcPr>
            <w:tcW w:w="110" w:type="dxa"/>
            <w:tcBorders/>
            <w:shd w:fill="CCEEFF" w:val="clear"/>
            <w:vAlign w:val="center"/>
          </w:tcPr>
          <w:p>
            <w:pPr>
              <w:pStyle w:val="TableContents"/>
              <w:bidi w:val="0"/>
              <w:spacing w:before="0" w:after="283"/>
              <w:jc w:val="left"/>
              <w:rPr/>
            </w:pPr>
            <w:r>
              <w:rPr/>
              <w:t>)</w:t>
            </w:r>
          </w:p>
        </w:tc>
      </w:tr>
      <w:tr>
        <w:trPr/>
        <w:tc>
          <w:tcPr>
            <w:tcW w:w="44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914" w:type="dxa"/>
            <w:tcBorders/>
            <w:shd w:fill="FFFFFF" w:val="clear"/>
            <w:vAlign w:val="center"/>
          </w:tcPr>
          <w:p>
            <w:pPr>
              <w:pStyle w:val="TableContents"/>
              <w:bidi w:val="0"/>
              <w:spacing w:before="0" w:after="283"/>
              <w:jc w:val="right"/>
              <w:rPr/>
            </w:pPr>
            <w:r>
              <w:rPr/>
              <w:t> </w:t>
            </w:r>
          </w:p>
        </w:tc>
        <w:tc>
          <w:tcPr>
            <w:tcW w:w="115"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768"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4460" w:type="dxa"/>
            <w:tcBorders/>
            <w:shd w:fill="CCEEFF" w:val="clear"/>
            <w:vAlign w:val="center"/>
          </w:tcPr>
          <w:p>
            <w:pPr>
              <w:pStyle w:val="TableContents"/>
              <w:bidi w:val="0"/>
              <w:spacing w:before="0" w:after="283"/>
              <w:jc w:val="left"/>
              <w:rPr/>
            </w:pPr>
            <w:r>
              <w:rPr/>
              <w:t>Adjustments to EBITDA</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914" w:type="dxa"/>
            <w:tcBorders/>
            <w:shd w:fill="CCEEFF" w:val="clear"/>
            <w:vAlign w:val="center"/>
          </w:tcPr>
          <w:p>
            <w:pPr>
              <w:pStyle w:val="TableContents"/>
              <w:bidi w:val="0"/>
              <w:spacing w:before="0" w:after="283"/>
              <w:jc w:val="right"/>
              <w:rPr/>
            </w:pPr>
            <w:r>
              <w:rPr/>
              <w:t> </w:t>
            </w:r>
          </w:p>
        </w:tc>
        <w:tc>
          <w:tcPr>
            <w:tcW w:w="115"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768"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4460" w:type="dxa"/>
            <w:tcBorders/>
            <w:shd w:fill="FFFFFF" w:val="clear"/>
            <w:vAlign w:val="center"/>
          </w:tcPr>
          <w:p>
            <w:pPr>
              <w:pStyle w:val="TableContents"/>
              <w:bidi w:val="0"/>
              <w:spacing w:before="0" w:after="283"/>
              <w:jc w:val="left"/>
              <w:rPr/>
            </w:pPr>
            <w:r>
              <w:rPr/>
              <w:t>Stock - Based Compensation</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914" w:type="dxa"/>
            <w:tcBorders/>
            <w:shd w:fill="FFFFFF" w:val="clear"/>
            <w:vAlign w:val="center"/>
          </w:tcPr>
          <w:p>
            <w:pPr>
              <w:pStyle w:val="TableContents"/>
              <w:bidi w:val="0"/>
              <w:spacing w:before="0" w:after="283"/>
              <w:jc w:val="right"/>
              <w:rPr/>
            </w:pPr>
            <w:r>
              <w:rPr/>
              <w:t>168</w:t>
            </w:r>
          </w:p>
        </w:tc>
        <w:tc>
          <w:tcPr>
            <w:tcW w:w="115"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768" w:type="dxa"/>
            <w:tcBorders/>
            <w:shd w:fill="FFFFFF" w:val="clear"/>
            <w:vAlign w:val="center"/>
          </w:tcPr>
          <w:p>
            <w:pPr>
              <w:pStyle w:val="TableContents"/>
              <w:bidi w:val="0"/>
              <w:spacing w:before="0" w:after="283"/>
              <w:jc w:val="right"/>
              <w:rPr/>
            </w:pPr>
            <w:r>
              <w:rPr/>
              <w:t>256</w:t>
            </w:r>
          </w:p>
        </w:tc>
        <w:tc>
          <w:tcPr>
            <w:tcW w:w="110" w:type="dxa"/>
            <w:tcBorders/>
            <w:shd w:fill="FFFFFF" w:val="clear"/>
            <w:vAlign w:val="center"/>
          </w:tcPr>
          <w:p>
            <w:pPr>
              <w:pStyle w:val="TableContents"/>
              <w:bidi w:val="0"/>
              <w:spacing w:before="0" w:after="283"/>
              <w:jc w:val="left"/>
              <w:rPr/>
            </w:pPr>
            <w:r>
              <w:rPr/>
              <w:t> </w:t>
            </w:r>
          </w:p>
        </w:tc>
      </w:tr>
      <w:tr>
        <w:trPr/>
        <w:tc>
          <w:tcPr>
            <w:tcW w:w="4460" w:type="dxa"/>
            <w:tcBorders/>
            <w:shd w:fill="CCEEFF" w:val="clear"/>
            <w:vAlign w:val="center"/>
          </w:tcPr>
          <w:p>
            <w:pPr>
              <w:pStyle w:val="TableContents"/>
              <w:bidi w:val="0"/>
              <w:spacing w:before="0" w:after="283"/>
              <w:jc w:val="left"/>
              <w:rPr/>
            </w:pPr>
            <w:r>
              <w:rPr/>
              <w:t>Separation Agreement Expense</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914" w:type="dxa"/>
            <w:tcBorders/>
            <w:shd w:fill="CCEEFF" w:val="clear"/>
            <w:vAlign w:val="center"/>
          </w:tcPr>
          <w:p>
            <w:pPr>
              <w:pStyle w:val="TableContents"/>
              <w:bidi w:val="0"/>
              <w:spacing w:before="0" w:after="283"/>
              <w:jc w:val="right"/>
              <w:rPr/>
            </w:pPr>
            <w:r>
              <w:rPr/>
              <w:t>35</w:t>
            </w:r>
          </w:p>
        </w:tc>
        <w:tc>
          <w:tcPr>
            <w:tcW w:w="115"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768"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4460" w:type="dxa"/>
            <w:tcBorders/>
            <w:shd w:fill="FFFFFF" w:val="clear"/>
            <w:vAlign w:val="center"/>
          </w:tcPr>
          <w:p>
            <w:pPr>
              <w:pStyle w:val="TableContents"/>
              <w:bidi w:val="0"/>
              <w:spacing w:before="0" w:after="283"/>
              <w:jc w:val="left"/>
              <w:rPr/>
            </w:pPr>
            <w:r>
              <w:rPr/>
              <w:t>Lease and Fixed Asset Impairment</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914" w:type="dxa"/>
            <w:tcBorders/>
            <w:shd w:fill="FFFFFF" w:val="clear"/>
            <w:vAlign w:val="center"/>
          </w:tcPr>
          <w:p>
            <w:pPr>
              <w:pStyle w:val="TableContents"/>
              <w:bidi w:val="0"/>
              <w:spacing w:before="0" w:after="283"/>
              <w:jc w:val="right"/>
              <w:rPr/>
            </w:pPr>
            <w:r>
              <w:rPr/>
              <w:t>611</w:t>
            </w:r>
          </w:p>
        </w:tc>
        <w:tc>
          <w:tcPr>
            <w:tcW w:w="115"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768"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4460" w:type="dxa"/>
            <w:tcBorders/>
            <w:shd w:fill="CCEEFF" w:val="clear"/>
            <w:vAlign w:val="center"/>
          </w:tcPr>
          <w:p>
            <w:pPr>
              <w:pStyle w:val="TableContents"/>
              <w:bidi w:val="0"/>
              <w:spacing w:before="0" w:after="283"/>
              <w:jc w:val="left"/>
              <w:rPr/>
            </w:pPr>
            <w:r>
              <w:rPr/>
              <w:t>Preferred Stock Financing expenses</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914" w:type="dxa"/>
            <w:tcBorders/>
            <w:shd w:fill="CCEEFF" w:val="clear"/>
            <w:vAlign w:val="center"/>
          </w:tcPr>
          <w:p>
            <w:pPr>
              <w:pStyle w:val="TableContents"/>
              <w:bidi w:val="0"/>
              <w:spacing w:before="0" w:after="283"/>
              <w:jc w:val="right"/>
              <w:rPr/>
            </w:pPr>
            <w:r>
              <w:rPr/>
              <w:t>13</w:t>
            </w:r>
          </w:p>
        </w:tc>
        <w:tc>
          <w:tcPr>
            <w:tcW w:w="115"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768"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4460" w:type="dxa"/>
            <w:tcBorders/>
            <w:shd w:fill="FFFFFF" w:val="clear"/>
            <w:vAlign w:val="center"/>
          </w:tcPr>
          <w:p>
            <w:pPr>
              <w:pStyle w:val="TableContents"/>
              <w:bidi w:val="0"/>
              <w:spacing w:before="0" w:after="283"/>
              <w:jc w:val="left"/>
              <w:rPr/>
            </w:pPr>
            <w:r>
              <w:rPr/>
              <w:t>Debt Restructure Expense</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914" w:type="dxa"/>
            <w:tcBorders/>
            <w:shd w:fill="FFFFFF" w:val="clear"/>
            <w:vAlign w:val="center"/>
          </w:tcPr>
          <w:p>
            <w:pPr>
              <w:pStyle w:val="TableContents"/>
              <w:bidi w:val="0"/>
              <w:spacing w:before="0" w:after="283"/>
              <w:jc w:val="right"/>
              <w:rPr/>
            </w:pPr>
            <w:r>
              <w:rPr/>
              <w:t>354</w:t>
            </w:r>
          </w:p>
        </w:tc>
        <w:tc>
          <w:tcPr>
            <w:tcW w:w="115"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768"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4460" w:type="dxa"/>
            <w:tcBorders/>
            <w:shd w:fill="CCEEFF" w:val="clear"/>
            <w:vAlign w:val="center"/>
          </w:tcPr>
          <w:p>
            <w:pPr>
              <w:pStyle w:val="TableContents"/>
              <w:bidi w:val="0"/>
              <w:spacing w:before="0" w:after="283"/>
              <w:jc w:val="left"/>
              <w:rPr/>
            </w:pPr>
            <w:r>
              <w:rPr/>
              <w:t>Change in fair market value of warrant liability</w:t>
            </w:r>
          </w:p>
        </w:tc>
        <w:tc>
          <w:tcPr>
            <w:tcW w:w="60" w:type="dxa"/>
            <w:tcBorders/>
            <w:shd w:fill="CCEEFF" w:val="clear"/>
            <w:vAlign w:val="center"/>
          </w:tcPr>
          <w:p>
            <w:pPr>
              <w:pStyle w:val="TableContents"/>
              <w:bidi w:val="0"/>
              <w:spacing w:before="0" w:after="283"/>
              <w:jc w:val="left"/>
              <w:rPr/>
            </w:pPr>
            <w:r>
              <w:rPr/>
              <w:t> </w:t>
            </w:r>
          </w:p>
        </w:tc>
        <w:tc>
          <w:tcPr>
            <w:tcW w:w="16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14" w:type="dxa"/>
            <w:tcBorders>
              <w:bottom w:val="single" w:sz="8" w:space="0" w:color="000000"/>
            </w:tcBorders>
            <w:shd w:fill="CCEEFF" w:val="clear"/>
            <w:tcMar>
              <w:bottom w:w="28" w:type="dxa"/>
            </w:tcMar>
            <w:vAlign w:val="center"/>
          </w:tcPr>
          <w:p>
            <w:pPr>
              <w:pStyle w:val="TableContents"/>
              <w:bidi w:val="0"/>
              <w:spacing w:before="0" w:after="283"/>
              <w:jc w:val="right"/>
              <w:rPr/>
            </w:pPr>
            <w:r>
              <w:rPr/>
              <w:t>883</w:t>
            </w:r>
          </w:p>
        </w:tc>
        <w:tc>
          <w:tcPr>
            <w:tcW w:w="115"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6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68" w:type="dxa"/>
            <w:tcBorders>
              <w:bottom w:val="single" w:sz="8" w:space="0" w:color="000000"/>
            </w:tcBorders>
            <w:shd w:fill="CCEEFF" w:val="clear"/>
            <w:tcMar>
              <w:bottom w:w="28" w:type="dxa"/>
            </w:tcMar>
            <w:vAlign w:val="center"/>
          </w:tcPr>
          <w:p>
            <w:pPr>
              <w:pStyle w:val="TableContents"/>
              <w:bidi w:val="0"/>
              <w:spacing w:before="0" w:after="283"/>
              <w:jc w:val="right"/>
              <w:rPr/>
            </w:pPr>
            <w:r>
              <w:rPr/>
              <w:t>(4,875</w:t>
            </w:r>
          </w:p>
        </w:tc>
        <w:tc>
          <w:tcPr>
            <w:tcW w:w="110" w:type="dxa"/>
            <w:tcBorders/>
            <w:shd w:fill="CCEEFF" w:val="clear"/>
            <w:vAlign w:val="center"/>
          </w:tcPr>
          <w:p>
            <w:pPr>
              <w:pStyle w:val="TableContents"/>
              <w:bidi w:val="0"/>
              <w:spacing w:before="0" w:after="283"/>
              <w:jc w:val="left"/>
              <w:rPr/>
            </w:pPr>
            <w:r>
              <w:rPr/>
              <w:t>)</w:t>
            </w:r>
          </w:p>
        </w:tc>
      </w:tr>
      <w:tr>
        <w:trPr/>
        <w:tc>
          <w:tcPr>
            <w:tcW w:w="4460" w:type="dxa"/>
            <w:tcBorders/>
            <w:shd w:fill="FFFFFF" w:val="clear"/>
            <w:vAlign w:val="center"/>
          </w:tcPr>
          <w:p>
            <w:pPr>
              <w:pStyle w:val="TableContents"/>
              <w:bidi w:val="0"/>
              <w:spacing w:before="0" w:after="283"/>
              <w:jc w:val="left"/>
              <w:rPr/>
            </w:pPr>
            <w:r>
              <w:rPr/>
              <w:t>Adjusted EBITDA</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w:t>
            </w:r>
          </w:p>
        </w:tc>
        <w:tc>
          <w:tcPr>
            <w:tcW w:w="914" w:type="dxa"/>
            <w:tcBorders/>
            <w:shd w:fill="FFFFFF" w:val="clear"/>
            <w:vAlign w:val="center"/>
          </w:tcPr>
          <w:p>
            <w:pPr>
              <w:pStyle w:val="TableContents"/>
              <w:bidi w:val="0"/>
              <w:spacing w:before="0" w:after="283"/>
              <w:jc w:val="right"/>
              <w:rPr/>
            </w:pPr>
            <w:r>
              <w:rPr/>
              <w:t>(2,137</w:t>
            </w:r>
          </w:p>
        </w:tc>
        <w:tc>
          <w:tcPr>
            <w:tcW w:w="115" w:type="dxa"/>
            <w:tcBorders/>
            <w:shd w:fill="FFFFFF" w:val="clear"/>
            <w:vAlign w:val="center"/>
          </w:tcPr>
          <w:p>
            <w:pPr>
              <w:pStyle w:val="TableContents"/>
              <w:bidi w:val="0"/>
              <w:spacing w:before="0" w:after="283"/>
              <w:jc w:val="left"/>
              <w:rPr/>
            </w:pPr>
            <w:r>
              <w:rPr/>
              <w:t>)</w:t>
            </w:r>
          </w:p>
        </w:tc>
        <w:tc>
          <w:tcPr>
            <w:tcW w:w="72"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w:t>
            </w:r>
          </w:p>
        </w:tc>
        <w:tc>
          <w:tcPr>
            <w:tcW w:w="768" w:type="dxa"/>
            <w:tcBorders/>
            <w:shd w:fill="FFFFFF" w:val="clear"/>
            <w:vAlign w:val="center"/>
          </w:tcPr>
          <w:p>
            <w:pPr>
              <w:pStyle w:val="TableContents"/>
              <w:bidi w:val="0"/>
              <w:spacing w:before="0" w:after="283"/>
              <w:jc w:val="right"/>
              <w:rPr/>
            </w:pPr>
            <w:r>
              <w:rPr/>
              <w:t>(5,456</w:t>
            </w:r>
          </w:p>
        </w:tc>
        <w:tc>
          <w:tcPr>
            <w:tcW w:w="110" w:type="dxa"/>
            <w:tcBorders/>
            <w:shd w:fill="FFFFFF" w:val="clear"/>
            <w:vAlign w:val="center"/>
          </w:tcPr>
          <w:p>
            <w:pPr>
              <w:pStyle w:val="TableContents"/>
              <w:bidi w:val="0"/>
              <w:spacing w:before="0" w:after="283"/>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Investor Relations: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Eric Prouty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Szymon Serowiecki</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AdvisIRy Partners</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DragonflyIR@advisiry.com</w:t>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283"/>
        <w:ind w:left="0" w:right="0" w:hanging="0"/>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3669</Words>
  <Characters>20697</Characters>
  <CharactersWithSpaces>24843</CharactersWithSpaces>
  <Paragraphs>1803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