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Filed by Chardan NexTech Acquisition 2 Corp. pursuant to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Rule 425 under the Securities Act of 1933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and deemed filed pursuant to Rule 14a-12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under the Securities Exchange Act of 1934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Subject Company: Chardan NexTech Acquisition 2 Corp.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No.: 001-40730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-706120</wp:posOffset>
            </wp:positionH>
            <wp:positionV relativeFrom="paragraph">
              <wp:posOffset>428625</wp:posOffset>
            </wp:positionV>
            <wp:extent cx="713422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20"/>
          </w:cols>
          <w:pgMar w:left="1440" w:top="468" w:right="3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580390</wp:posOffset>
            </wp:positionV>
            <wp:extent cx="7196455" cy="8904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8904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597535</wp:posOffset>
            </wp:positionV>
            <wp:extent cx="7134225" cy="88030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8803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2022-05-17T05:24:24Z</dcterms:created>
  <dcterms:modified xsi:type="dcterms:W3CDTF">2022-05-17T05:24:24Z</dcterms:modified>
</cp:coreProperties>
</file>