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December 18, 2025</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DRAGONFLY ENERGY HOLDINGS CORP.</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120" w:type="dxa"/>
            <w:vAlign w:val="bottom"/>
            <w:gridSpan w:val="3"/>
          </w:tcPr>
          <w:p>
            <w:pPr>
              <w:jc w:val="center"/>
              <w:ind w:right="1500"/>
              <w:spacing w:after="0"/>
              <w:rPr>
                <w:sz w:val="20"/>
                <w:szCs w:val="20"/>
                <w:color w:val="auto"/>
              </w:rPr>
            </w:pPr>
            <w:r>
              <w:rPr>
                <w:rFonts w:ascii="Times New Roman" w:cs="Times New Roman" w:eastAsia="Times New Roman" w:hAnsi="Times New Roman"/>
                <w:sz w:val="17"/>
                <w:szCs w:val="17"/>
                <w:b w:val="1"/>
                <w:bCs w:val="1"/>
                <w:color w:val="auto"/>
                <w:w w:val="98"/>
              </w:rPr>
              <w:t>Nevada</w:t>
            </w:r>
          </w:p>
        </w:tc>
        <w:tc>
          <w:tcPr>
            <w:tcW w:w="2300" w:type="dxa"/>
            <w:vAlign w:val="bottom"/>
          </w:tcPr>
          <w:p>
            <w:pPr>
              <w:jc w:val="center"/>
              <w:ind w:right="1176"/>
              <w:spacing w:after="0"/>
              <w:rPr>
                <w:sz w:val="20"/>
                <w:szCs w:val="20"/>
                <w:color w:val="auto"/>
              </w:rPr>
            </w:pPr>
            <w:r>
              <w:rPr>
                <w:rFonts w:ascii="Times New Roman" w:cs="Times New Roman" w:eastAsia="Times New Roman" w:hAnsi="Times New Roman"/>
                <w:sz w:val="17"/>
                <w:szCs w:val="17"/>
                <w:b w:val="1"/>
                <w:bCs w:val="1"/>
                <w:color w:val="auto"/>
                <w:w w:val="97"/>
              </w:rPr>
              <w:t>001-40730</w:t>
            </w:r>
          </w:p>
        </w:tc>
        <w:tc>
          <w:tcPr>
            <w:tcW w:w="20" w:type="dxa"/>
            <w:vAlign w:val="bottom"/>
          </w:tcPr>
          <w:p>
            <w:pPr>
              <w:spacing w:after="0"/>
              <w:rPr>
                <w:sz w:val="19"/>
                <w:szCs w:val="19"/>
                <w:color w:val="auto"/>
              </w:rPr>
            </w:pPr>
          </w:p>
        </w:tc>
        <w:tc>
          <w:tcPr>
            <w:tcW w:w="3800" w:type="dxa"/>
            <w:vAlign w:val="bottom"/>
            <w:gridSpan w:val="2"/>
          </w:tcPr>
          <w:p>
            <w:pPr>
              <w:jc w:val="right"/>
              <w:ind w:right="1296"/>
              <w:spacing w:after="0"/>
              <w:rPr>
                <w:sz w:val="20"/>
                <w:szCs w:val="20"/>
                <w:color w:val="auto"/>
              </w:rPr>
            </w:pPr>
            <w:r>
              <w:rPr>
                <w:rFonts w:ascii="Times New Roman" w:cs="Times New Roman" w:eastAsia="Times New Roman" w:hAnsi="Times New Roman"/>
                <w:sz w:val="17"/>
                <w:szCs w:val="17"/>
                <w:b w:val="1"/>
                <w:bCs w:val="1"/>
                <w:color w:val="auto"/>
              </w:rPr>
              <w:t>85-1873463</w:t>
            </w:r>
          </w:p>
        </w:tc>
      </w:tr>
      <w:tr>
        <w:trPr>
          <w:trHeight w:val="178"/>
        </w:trPr>
        <w:tc>
          <w:tcPr>
            <w:tcW w:w="360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(State or other jurisdiction</w:t>
            </w:r>
          </w:p>
        </w:tc>
        <w:tc>
          <w:tcPr>
            <w:tcW w:w="24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gridSpan w:val="2"/>
          </w:tcPr>
          <w:p>
            <w:pPr>
              <w:jc w:val="center"/>
              <w:ind w:right="1300"/>
              <w:spacing w:after="0" w:line="178" w:lineRule="exact"/>
              <w:rPr>
                <w:sz w:val="20"/>
                <w:szCs w:val="20"/>
                <w:color w:val="auto"/>
              </w:rPr>
            </w:pPr>
            <w:r>
              <w:rPr>
                <w:rFonts w:ascii="Times New Roman" w:cs="Times New Roman" w:eastAsia="Times New Roman" w:hAnsi="Times New Roman"/>
                <w:sz w:val="17"/>
                <w:szCs w:val="17"/>
                <w:color w:val="auto"/>
                <w:w w:val="98"/>
              </w:rPr>
              <w:t>(Commission</w:t>
            </w:r>
          </w:p>
        </w:tc>
        <w:tc>
          <w:tcPr>
            <w:tcW w:w="220" w:type="dxa"/>
            <w:vAlign w:val="bottom"/>
          </w:tcPr>
          <w:p>
            <w:pPr>
              <w:spacing w:after="0"/>
              <w:rPr>
                <w:sz w:val="15"/>
                <w:szCs w:val="15"/>
                <w:color w:val="auto"/>
              </w:rPr>
            </w:pPr>
          </w:p>
        </w:tc>
        <w:tc>
          <w:tcPr>
            <w:tcW w:w="358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(IRS Employer</w:t>
            </w:r>
          </w:p>
        </w:tc>
      </w:tr>
      <w:tr>
        <w:trPr>
          <w:trHeight w:val="218"/>
        </w:trPr>
        <w:tc>
          <w:tcPr>
            <w:tcW w:w="5120" w:type="dxa"/>
            <w:vAlign w:val="bottom"/>
            <w:gridSpan w:val="3"/>
          </w:tcPr>
          <w:p>
            <w:pPr>
              <w:jc w:val="center"/>
              <w:ind w:right="1500"/>
              <w:spacing w:after="0"/>
              <w:rPr>
                <w:sz w:val="20"/>
                <w:szCs w:val="20"/>
                <w:color w:val="auto"/>
              </w:rPr>
            </w:pPr>
            <w:r>
              <w:rPr>
                <w:rFonts w:ascii="Times New Roman" w:cs="Times New Roman" w:eastAsia="Times New Roman" w:hAnsi="Times New Roman"/>
                <w:sz w:val="17"/>
                <w:szCs w:val="17"/>
                <w:color w:val="auto"/>
                <w:w w:val="98"/>
              </w:rPr>
              <w:t>of incorporation)</w:t>
            </w:r>
          </w:p>
        </w:tc>
        <w:tc>
          <w:tcPr>
            <w:tcW w:w="2320" w:type="dxa"/>
            <w:vAlign w:val="bottom"/>
            <w:gridSpan w:val="2"/>
          </w:tcPr>
          <w:p>
            <w:pPr>
              <w:jc w:val="center"/>
              <w:ind w:right="1280"/>
              <w:spacing w:after="0"/>
              <w:rPr>
                <w:sz w:val="20"/>
                <w:szCs w:val="20"/>
                <w:color w:val="auto"/>
              </w:rPr>
            </w:pPr>
            <w:r>
              <w:rPr>
                <w:rFonts w:ascii="Times New Roman" w:cs="Times New Roman" w:eastAsia="Times New Roman" w:hAnsi="Times New Roman"/>
                <w:sz w:val="17"/>
                <w:szCs w:val="17"/>
                <w:color w:val="auto"/>
                <w:w w:val="99"/>
              </w:rPr>
              <w:t>File Number)</w:t>
            </w:r>
          </w:p>
        </w:tc>
        <w:tc>
          <w:tcPr>
            <w:tcW w:w="2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Identification No.)</w:t>
            </w:r>
          </w:p>
        </w:tc>
      </w:tr>
      <w:tr>
        <w:trPr>
          <w:trHeight w:val="383"/>
        </w:trPr>
        <w:tc>
          <w:tcPr>
            <w:tcW w:w="5120" w:type="dxa"/>
            <w:vAlign w:val="bottom"/>
            <w:gridSpan w:val="3"/>
          </w:tcPr>
          <w:p>
            <w:pPr>
              <w:jc w:val="center"/>
              <w:ind w:left="2216"/>
              <w:spacing w:after="0"/>
              <w:rPr>
                <w:sz w:val="20"/>
                <w:szCs w:val="20"/>
                <w:color w:val="auto"/>
              </w:rPr>
            </w:pPr>
            <w:r>
              <w:rPr>
                <w:rFonts w:ascii="Times New Roman" w:cs="Times New Roman" w:eastAsia="Times New Roman" w:hAnsi="Times New Roman"/>
                <w:sz w:val="17"/>
                <w:szCs w:val="17"/>
                <w:b w:val="1"/>
                <w:bCs w:val="1"/>
                <w:color w:val="auto"/>
                <w:w w:val="97"/>
              </w:rPr>
              <w:t>12915 Old Virginia Road</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22"/>
        </w:trPr>
        <w:tc>
          <w:tcPr>
            <w:tcW w:w="5120" w:type="dxa"/>
            <w:vAlign w:val="bottom"/>
            <w:gridSpan w:val="3"/>
          </w:tcPr>
          <w:p>
            <w:pPr>
              <w:jc w:val="center"/>
              <w:ind w:left="2236"/>
              <w:spacing w:after="0"/>
              <w:rPr>
                <w:sz w:val="20"/>
                <w:szCs w:val="20"/>
                <w:color w:val="auto"/>
              </w:rPr>
            </w:pPr>
            <w:r>
              <w:rPr>
                <w:rFonts w:ascii="Times New Roman" w:cs="Times New Roman" w:eastAsia="Times New Roman" w:hAnsi="Times New Roman"/>
                <w:sz w:val="17"/>
                <w:szCs w:val="17"/>
                <w:b w:val="1"/>
                <w:bCs w:val="1"/>
                <w:color w:val="auto"/>
                <w:w w:val="98"/>
              </w:rPr>
              <w:t>Reno, Nevada</w:t>
            </w:r>
          </w:p>
        </w:tc>
        <w:tc>
          <w:tcPr>
            <w:tcW w:w="2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0" w:type="dxa"/>
            <w:vAlign w:val="bottom"/>
            <w:gridSpan w:val="2"/>
          </w:tcPr>
          <w:p>
            <w:pPr>
              <w:jc w:val="right"/>
              <w:ind w:right="1496"/>
              <w:spacing w:after="0"/>
              <w:rPr>
                <w:sz w:val="20"/>
                <w:szCs w:val="20"/>
                <w:color w:val="auto"/>
              </w:rPr>
            </w:pPr>
            <w:r>
              <w:rPr>
                <w:rFonts w:ascii="Times New Roman" w:cs="Times New Roman" w:eastAsia="Times New Roman" w:hAnsi="Times New Roman"/>
                <w:sz w:val="17"/>
                <w:szCs w:val="17"/>
                <w:b w:val="1"/>
                <w:bCs w:val="1"/>
                <w:color w:val="auto"/>
              </w:rPr>
              <w:t>89521</w:t>
            </w:r>
          </w:p>
        </w:tc>
      </w:tr>
      <w:tr>
        <w:trPr>
          <w:trHeight w:val="211"/>
        </w:trPr>
        <w:tc>
          <w:tcPr>
            <w:tcW w:w="5120" w:type="dxa"/>
            <w:vAlign w:val="bottom"/>
            <w:tcBorders>
              <w:top w:val="single" w:sz="8" w:color="auto"/>
            </w:tcBorders>
            <w:gridSpan w:val="3"/>
          </w:tcPr>
          <w:p>
            <w:pPr>
              <w:jc w:val="center"/>
              <w:ind w:left="2216"/>
              <w:spacing w:after="0"/>
              <w:rPr>
                <w:sz w:val="20"/>
                <w:szCs w:val="20"/>
                <w:color w:val="auto"/>
              </w:rPr>
            </w:pPr>
            <w:r>
              <w:rPr>
                <w:rFonts w:ascii="Times New Roman" w:cs="Times New Roman" w:eastAsia="Times New Roman" w:hAnsi="Times New Roman"/>
                <w:sz w:val="17"/>
                <w:szCs w:val="17"/>
                <w:color w:val="auto"/>
                <w:w w:val="98"/>
              </w:rPr>
              <w:t>(Address of principal executive offices)</w:t>
            </w:r>
          </w:p>
        </w:tc>
        <w:tc>
          <w:tcPr>
            <w:tcW w:w="2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(Zip Code)</w:t>
            </w:r>
          </w:p>
        </w:tc>
      </w:tr>
    </w:tbl>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u w:val="single" w:color="auto"/>
          <w:color w:val="auto"/>
        </w:rPr>
        <w:t>(775) 622-3448</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N/A</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192"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07" w:lineRule="exact"/>
        <w:rPr>
          <w:rFonts w:ascii="MS PGothic" w:cs="MS PGothic" w:eastAsia="MS PGothic" w:hAnsi="MS PGothic"/>
          <w:sz w:val="17"/>
          <w:szCs w:val="17"/>
          <w:color w:val="auto"/>
        </w:rPr>
      </w:pPr>
    </w:p>
    <w:p>
      <w:pPr>
        <w:ind w:right="3420" w:firstLine="1"/>
        <w:spacing w:after="0" w:line="495" w:lineRule="auto"/>
        <w:tabs>
          <w:tab w:leader="none" w:pos="303"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Title of each class</w:t>
            </w:r>
          </w:p>
        </w:tc>
        <w:tc>
          <w:tcPr>
            <w:tcW w:w="220" w:type="dxa"/>
            <w:vAlign w:val="bottom"/>
          </w:tcPr>
          <w:p>
            <w:pPr>
              <w:spacing w:after="0"/>
              <w:rPr>
                <w:sz w:val="18"/>
                <w:szCs w:val="18"/>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Trading Symbol(s)</w:t>
            </w:r>
          </w:p>
        </w:tc>
        <w:tc>
          <w:tcPr>
            <w:tcW w:w="22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Name of each exchange on which registered</w:t>
            </w:r>
          </w:p>
        </w:tc>
      </w:tr>
      <w:tr>
        <w:trPr>
          <w:trHeight w:val="178"/>
        </w:trPr>
        <w:tc>
          <w:tcPr>
            <w:tcW w:w="428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Common Stock, par value $0.0001 per share</w:t>
            </w:r>
          </w:p>
        </w:tc>
        <w:tc>
          <w:tcPr>
            <w:tcW w:w="220" w:type="dxa"/>
            <w:vAlign w:val="bottom"/>
          </w:tcPr>
          <w:p>
            <w:pPr>
              <w:spacing w:after="0"/>
              <w:rPr>
                <w:sz w:val="15"/>
                <w:szCs w:val="15"/>
                <w:color w:val="auto"/>
              </w:rPr>
            </w:pPr>
          </w:p>
        </w:tc>
        <w:tc>
          <w:tcPr>
            <w:tcW w:w="204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auto"/>
                <w:w w:val="95"/>
              </w:rPr>
              <w:t>DFLI</w:t>
            </w:r>
          </w:p>
        </w:tc>
        <w:tc>
          <w:tcPr>
            <w:tcW w:w="220" w:type="dxa"/>
            <w:vAlign w:val="bottom"/>
          </w:tcPr>
          <w:p>
            <w:pPr>
              <w:spacing w:after="0"/>
              <w:rPr>
                <w:sz w:val="15"/>
                <w:szCs w:val="15"/>
                <w:color w:val="auto"/>
              </w:rPr>
            </w:pPr>
          </w:p>
        </w:tc>
        <w:tc>
          <w:tcPr>
            <w:tcW w:w="448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The Nasdaq Capital Market</w:t>
            </w:r>
          </w:p>
        </w:tc>
      </w:tr>
      <w:tr>
        <w:trPr>
          <w:trHeight w:val="218"/>
        </w:trPr>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Redeemable warrants, exercisable for common stock</w:t>
            </w:r>
          </w:p>
        </w:tc>
        <w:tc>
          <w:tcPr>
            <w:tcW w:w="2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DFLIW</w:t>
            </w: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The Nasdaq Capital Market</w:t>
            </w:r>
          </w:p>
        </w:tc>
      </w:tr>
    </w:tbl>
    <w:p>
      <w:pPr>
        <w:spacing w:after="0" w:line="186" w:lineRule="exact"/>
        <w:rPr>
          <w:sz w:val="24"/>
          <w:szCs w:val="24"/>
          <w:color w:val="auto"/>
        </w:rPr>
      </w:pPr>
    </w:p>
    <w:p>
      <w:pPr>
        <w:jc w:val="both"/>
        <w:ind w:firstLine="42"/>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46"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112395</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128270</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432435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3.03. Material Modification to Rights of Security 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contained in Item 5.03 below is incorporated by reference into this Item 3.03.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5.03. Amendments to Articles of Incorporation or Bylaws; Change in Fiscal Year.</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December 15, 2025, Dragonfly Energy Holdings Corp. (the “Company”) filed a Certificate of Amendment to the Company’s Articles of Incorporation with the Secretary of State of the State of Nevada (the “Certificate of Amendment”) to be effected at 6:00 a.m. Eastern Time on December 18, 2025, a one-for-ten reverse stock split (the “Reverse Stock Split”) of the Company’s issued and outstanding shares of common stock, par value $0.0001 per share (the “Common Stock”). In connection with the Reverse Stock Split, the CUSIP number for the Common Stock changed to 26145B 403. The Common Stock will begin trading on a Reverse Stock Split-adjusted basis when the market opens on December 18, 2025. The Common Stock will continue to be quoted on The Nasdaq Capital Market, under the existing ticker symbol “DFLI”.</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a result of the Reverse Stock Split, every ten shares of the Company’s issued and outstanding Common Stock was converted into one share of Common Stock. The Reverse Stock Split affected all stockholders uniformly and did not alter any stockholder’s percentage interest in the Company’s equity, except to the extent that the Reverse Split would have resulted in some stockholders owning a fractional share. No fractional shares were issued in connection with the Reverse Stock Split. Any fractional shares to which a stockholder of record would otherwise be entitled as a result of the reverse stock split, the Company will pay to such stockholders cash in lieu of such fractional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Reverse Stock Split did not change the par value of the Common Stock or the authorized number of shares of Common Stock. All outstanding securities entitling their holders to purchase shares of Common Stock or acquire shares of Common Stock, including stock options and warrants, were adjusted as a result of the Reverse Stock Split, as required by the terms of those securities.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October 15, 2025, at the Company’s Annual Meeting of Stockholders, the Company’s stockholders approved the proposal to authorize the Board of Directors of the Company (the “Board”), in its discretion at any time within one year after stockholder approval is obtained, to effect a reverse stock split of only the then-outstanding shares of Common Stock (with no change to the authorized capital stock of the Company), at a ratio of not less than one-for-two (1:2) and not greater than one-for-fifty (1:50), with the exact ratio to be determined by the Board and included in a public announcement. On December 2, 2025, the Board approved the Reverse Stock Split at a ratio of one-for-ten (1:10) and the filing of the Certificate of Amendment.</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foregoing description of the Certificate of Amendment is a summary of the material terms thereof, does not purport to be complete and is qualified in its entirety by reference to the full text of the Certificate of Amendment, which is filed with this Current Report as Exhibit 3.1 and is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236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387"/>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w:t>
            </w:r>
          </w:p>
        </w:tc>
        <w:tc>
          <w:tcPr>
            <w:tcW w:w="236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218"/>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w:t>
            </w:r>
          </w:p>
        </w:tc>
        <w:tc>
          <w:tcPr>
            <w:tcW w:w="10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157"/>
        </w:trPr>
        <w:tc>
          <w:tcPr>
            <w:tcW w:w="20" w:type="dxa"/>
            <w:vAlign w:val="bottom"/>
          </w:tcPr>
          <w:p>
            <w:pPr>
              <w:spacing w:after="0"/>
              <w:rPr>
                <w:sz w:val="13"/>
                <w:szCs w:val="13"/>
                <w:color w:val="auto"/>
              </w:rPr>
            </w:pPr>
          </w:p>
        </w:tc>
        <w:tc>
          <w:tcPr>
            <w:tcW w:w="88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3"/>
                <w:szCs w:val="13"/>
                <w:color w:val="auto"/>
              </w:rPr>
            </w:pPr>
          </w:p>
        </w:tc>
        <w:tc>
          <w:tcPr>
            <w:tcW w:w="10220" w:type="dxa"/>
            <w:vAlign w:val="bottom"/>
            <w:tcBorders>
              <w:top w:val="single" w:sz="8" w:color="auto"/>
              <w:bottom w:val="single" w:sz="8" w:color="0000EE"/>
            </w:tcBorders>
            <w:gridSpan w:val="2"/>
          </w:tcPr>
          <w:p>
            <w:pPr>
              <w:spacing w:after="0" w:line="157" w:lineRule="exact"/>
              <w:rPr>
                <w:sz w:val="20"/>
                <w:szCs w:val="20"/>
                <w:color w:val="auto"/>
              </w:rPr>
            </w:pPr>
            <w:r>
              <w:rPr>
                <w:rFonts w:ascii="Times New Roman" w:cs="Times New Roman" w:eastAsia="Times New Roman" w:hAnsi="Times New Roman"/>
                <w:sz w:val="17"/>
                <w:szCs w:val="17"/>
                <w:color w:val="0000EE"/>
              </w:rPr>
              <w:t>Certificate of Amendment to the Articles of Incorporation of Dragonfly Energy Holdings Corp., as filed with the Secretary of State of the State of</w:t>
            </w:r>
          </w:p>
        </w:tc>
      </w:tr>
      <w:tr>
        <w:trPr>
          <w:trHeight w:val="182"/>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0000EE"/>
              </w:rPr>
              <w:t>Nevada, dated December 15, 2025.</w:t>
            </w:r>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219"/>
        </w:trPr>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429"/>
        </w:trPr>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19"/>
                <w:szCs w:val="19"/>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tc>
      </w:tr>
      <w:tr>
        <w:trPr>
          <w:trHeight w:val="404"/>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Dated: December 18, 2025</w:t>
            </w:r>
          </w:p>
        </w:tc>
        <w:tc>
          <w:tcPr>
            <w:tcW w:w="2480" w:type="dxa"/>
            <w:vAlign w:val="bottom"/>
          </w:tcPr>
          <w:p>
            <w:pPr>
              <w:ind w:left="192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Denis Phares</w:t>
            </w:r>
          </w:p>
        </w:tc>
      </w:tr>
      <w:tr>
        <w:trPr>
          <w:trHeight w:val="178"/>
        </w:trPr>
        <w:tc>
          <w:tcPr>
            <w:tcW w:w="3720" w:type="dxa"/>
            <w:vAlign w:val="bottom"/>
          </w:tcPr>
          <w:p>
            <w:pPr>
              <w:spacing w:after="0"/>
              <w:rPr>
                <w:sz w:val="15"/>
                <w:szCs w:val="15"/>
                <w:color w:val="auto"/>
              </w:rPr>
            </w:pPr>
          </w:p>
        </w:tc>
        <w:tc>
          <w:tcPr>
            <w:tcW w:w="2480" w:type="dxa"/>
            <w:vAlign w:val="bottom"/>
          </w:tcPr>
          <w:p>
            <w:pPr>
              <w:ind w:left="192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Denis Phares</w:t>
            </w:r>
          </w:p>
        </w:tc>
      </w:tr>
      <w:tr>
        <w:trPr>
          <w:trHeight w:val="218"/>
        </w:trPr>
        <w:tc>
          <w:tcPr>
            <w:tcW w:w="3720" w:type="dxa"/>
            <w:vAlign w:val="bottom"/>
          </w:tcPr>
          <w:p>
            <w:pPr>
              <w:spacing w:after="0"/>
              <w:rPr>
                <w:sz w:val="18"/>
                <w:szCs w:val="18"/>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Interim Chief Financial Officer and President</w:t>
            </w:r>
          </w:p>
        </w:tc>
      </w:tr>
      <w:tr>
        <w:trPr>
          <w:trHeight w:val="404"/>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3" w:name="page4"/>
    <w:bookmarkEnd w:id="3"/>
    <w:p>
      <w:pPr>
        <w:ind w:left="9340"/>
        <w:spacing w:after="0"/>
        <w:rPr>
          <w:sz w:val="20"/>
          <w:szCs w:val="20"/>
          <w:color w:val="auto"/>
        </w:rPr>
      </w:pPr>
      <w:r>
        <w:rPr>
          <w:rFonts w:ascii="Times New Roman" w:cs="Times New Roman" w:eastAsia="Times New Roman" w:hAnsi="Times New Roman"/>
          <w:sz w:val="16"/>
          <w:szCs w:val="16"/>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152400</wp:posOffset>
            </wp:positionV>
            <wp:extent cx="7200265" cy="9591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200265" cy="9591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2025-12-18T07:06:20Z</dcterms:created>
  <dcterms:modified xsi:type="dcterms:W3CDTF">2025-12-18T07:06:20Z</dcterms:modified>
</cp:coreProperties>
</file>