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UNDER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5" w:lineRule="exact"/>
        <w:rPr>
          <w:sz w:val="24"/>
          <w:szCs w:val="24"/>
          <w:color w:val="auto"/>
        </w:rPr>
      </w:pPr>
    </w:p>
    <w:p>
      <w:pPr>
        <w:ind w:left="2660" w:right="1860" w:hanging="2652"/>
        <w:spacing w:after="0" w:line="500" w:lineRule="auto"/>
        <w:tabs>
          <w:tab w:leader="none" w:pos="2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001-40730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60" w:type="dxa"/>
            <w:vAlign w:val="bottom"/>
          </w:tcPr>
          <w:p>
            <w:pPr>
              <w:spacing w:after="0"/>
              <w:rPr>
                <w:sz w:val="20"/>
                <w:szCs w:val="20"/>
                <w:color w:val="auto"/>
              </w:rPr>
            </w:pPr>
          </w:p>
        </w:tc>
      </w:tr>
      <w:tr>
        <w:trPr>
          <w:trHeight w:val="412"/>
        </w:trPr>
        <w:tc>
          <w:tcPr>
            <w:tcW w:w="7680" w:type="dxa"/>
            <w:vAlign w:val="bottom"/>
            <w:gridSpan w:val="5"/>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3560" w:type="dxa"/>
            <w:vAlign w:val="bottom"/>
          </w:tcPr>
          <w:p>
            <w:pPr>
              <w:spacing w:after="0"/>
              <w:rPr>
                <w:sz w:val="24"/>
                <w:szCs w:val="24"/>
                <w:color w:val="auto"/>
              </w:rPr>
            </w:pPr>
          </w:p>
        </w:tc>
      </w:tr>
      <w:tr>
        <w:trPr>
          <w:trHeight w:val="238"/>
        </w:trPr>
        <w:tc>
          <w:tcPr>
            <w:tcW w:w="76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73"/>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5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DFLIW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360" w:space="720"/>
            <w:col w:w="516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12, 2025, there were 120,787,052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90"/>
        </w:trPr>
        <w:tc>
          <w:tcPr>
            <w:tcW w:w="3080" w:type="dxa"/>
            <w:vAlign w:val="bottom"/>
            <w:tcBorders>
              <w:bottom w:val="single" w:sz="8" w:color="0000EE"/>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260" w:type="dxa"/>
            <w:vAlign w:val="bottom"/>
            <w:tcBorders>
              <w:bottom w:val="single" w:sz="8" w:color="CCEEFF"/>
            </w:tcBorders>
            <w:gridSpan w:val="9"/>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00" w:type="dxa"/>
            <w:vAlign w:val="bottom"/>
          </w:tcPr>
          <w:p>
            <w:pPr>
              <w:spacing w:after="0"/>
              <w:rPr>
                <w:sz w:val="18"/>
                <w:szCs w:val="18"/>
                <w:color w:val="auto"/>
              </w:rPr>
            </w:pPr>
          </w:p>
        </w:tc>
      </w:tr>
      <w:tr>
        <w:trPr>
          <w:trHeight w:val="176"/>
        </w:trPr>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3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 2024</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nine months ended September 30, 2025 and 2024</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Stockholders’ Equity (Deficit) for the three and nine months ended September</w:t>
            </w: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30, 2025 and 2024</w:t>
            </w:r>
          </w:p>
        </w:tc>
        <w:tc>
          <w:tcPr>
            <w:tcW w:w="8020" w:type="dxa"/>
            <w:vAlign w:val="bottom"/>
            <w:tcBorders>
              <w:bottom w:val="single" w:sz="8" w:color="CCEEFF"/>
            </w:tcBorders>
            <w:gridSpan w:val="12"/>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 2025 and 2024</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36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06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56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4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04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432"/>
        </w:trPr>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460" w:type="dxa"/>
            <w:vAlign w:val="bottom"/>
            <w:tcBorders>
              <w:top w:val="single" w:sz="8" w:color="CCEEFF"/>
              <w:bottom w:val="single" w:sz="8" w:color="auto"/>
            </w:tcBorders>
            <w:gridSpan w:val="12"/>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21,716</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09"/>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10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16,778</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9,103</w:t>
            </w: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100" w:type="dxa"/>
            <w:vAlign w:val="bottom"/>
          </w:tcPr>
          <w:p>
            <w:pPr>
              <w:spacing w:after="0"/>
              <w:rPr>
                <w:sz w:val="18"/>
                <w:szCs w:val="18"/>
                <w:color w:val="auto"/>
              </w:rPr>
            </w:pPr>
          </w:p>
        </w:tc>
      </w:tr>
      <w:tr>
        <w:trPr>
          <w:trHeight w:val="22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(4,162)</w:t>
            </w:r>
          </w:p>
        </w:tc>
      </w:tr>
      <w:tr>
        <w:trPr>
          <w:trHeight w:val="21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19,737</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23"/>
        </w:trPr>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11,867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10,716</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4,129</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1,915</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current portion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w:t>
            </w: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10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3,583</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5,133</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settlement, net of current portion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non current portion, net of debt issuance costs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29,646</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22,588</w:t>
            </w: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62,763</w:t>
            </w:r>
          </w:p>
        </w:tc>
        <w:tc>
          <w:tcPr>
            <w:tcW w:w="100" w:type="dxa"/>
            <w:vAlign w:val="bottom"/>
            <w:tcBorders>
              <w:bottom w:val="single" w:sz="8" w:color="CCEEFF"/>
            </w:tcBorders>
          </w:tcPr>
          <w:p>
            <w:pPr>
              <w:spacing w:after="0"/>
              <w:rPr>
                <w:sz w:val="18"/>
                <w:szCs w:val="18"/>
                <w:color w:val="auto"/>
              </w:rPr>
            </w:pPr>
          </w:p>
        </w:tc>
      </w:tr>
      <w:tr>
        <w:trPr>
          <w:trHeight w:val="21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84,618</w:t>
            </w: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September 30, 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stock-Series A, 5,000 shares at $0.0001 par value, authorized,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shares issued and outstanding as of September 30, 2025 and December 31, 2024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4,995,000 shares at $0.0001 par value, authorized,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shares issued and outstanding as of September 30, 2025 and December 31, 2024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400,000,000 shares at $0.0001 par value, authorized,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61,742,104 and 7,232,650 shares issued and outstanding as of September 30, 2025 and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85,472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72,749</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(107,055)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(82,154)</w:t>
            </w: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Preferred Stock and Stockholders’ (Deficit)</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FOR THE THREE AND NINE MONTHS ENDED SEPTEMBER 30, 2025 AND 2024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80" w:type="dxa"/>
            <w:vAlign w:val="bottom"/>
          </w:tcPr>
          <w:p>
            <w:pPr>
              <w:spacing w:after="0"/>
              <w:rPr>
                <w:sz w:val="18"/>
                <w:szCs w:val="18"/>
                <w:color w:val="auto"/>
              </w:rPr>
            </w:pPr>
          </w:p>
        </w:tc>
        <w:tc>
          <w:tcPr>
            <w:tcW w:w="28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15,967</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12,720</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45,571</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38,433</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11,231</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9,850</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32,302</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29,345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13,269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9,088</w:t>
            </w: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1,631</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4,495</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4,361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16,275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14,878</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7,690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8,329</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8,514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8,896</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26,242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27,702</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(6,026)</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(18,614)</w:t>
            </w: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(16,552)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(15,253)</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4,875</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4,624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r>
      <w:tr>
        <w:trPr>
          <w:trHeight w:val="210"/>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(12,159)</w:t>
            </w:r>
          </w:p>
        </w:tc>
      </w:tr>
      <w:tr>
        <w:trPr>
          <w:trHeight w:val="210"/>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(11,070)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(6,779)</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(24,901)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(30,773)</w:t>
            </w:r>
          </w:p>
        </w:tc>
      </w:tr>
      <w:tr>
        <w:trPr>
          <w:trHeight w:val="210"/>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(11,070)</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(6,779)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(24,901)</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Basic &amp; Diluted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(0.98)</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 Basic &amp;</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56,156,184</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6,925,395</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25,383,506</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6,788,002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760" w:type="dxa"/>
            <w:vAlign w:val="bottom"/>
            <w:tcBorders>
              <w:right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9"/>
              </w:rPr>
              <w:t>Redeemable Preferred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39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w:t>
            </w:r>
          </w:p>
        </w:tc>
        <w:tc>
          <w:tcPr>
            <w:tcW w:w="5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Paid-In</w:t>
            </w:r>
          </w:p>
        </w:tc>
        <w:tc>
          <w:tcPr>
            <w:tcW w:w="16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6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(Deficit)</w:t>
            </w:r>
          </w:p>
        </w:tc>
        <w:tc>
          <w:tcPr>
            <w:tcW w:w="1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9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7,232,650</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72,749</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(82,154)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(9,404)</w:t>
            </w:r>
          </w:p>
        </w:tc>
      </w:tr>
      <w:tr>
        <w:trPr>
          <w:trHeight w:val="216"/>
        </w:trPr>
        <w:tc>
          <w:tcPr>
            <w:tcW w:w="3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(6,797)</w:t>
            </w:r>
          </w:p>
        </w:tc>
      </w:tr>
      <w:tr>
        <w:trPr>
          <w:trHeight w:val="198"/>
        </w:trPr>
        <w:tc>
          <w:tcPr>
            <w:tcW w:w="3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public offering (ATM), net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of costs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23,160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 issued, net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21,945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to common</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311,887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09"/>
        </w:trPr>
        <w:tc>
          <w:tcPr>
            <w:tcW w:w="39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2,907</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7,589,642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(88,951)</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(15,645)</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(7,034)</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under ESPP</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87,506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 issued, net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to common</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29,684,888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5,812</w:t>
            </w:r>
          </w:p>
        </w:tc>
      </w:t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0"/>
        </w:trPr>
        <w:tc>
          <w:tcPr>
            <w:tcW w:w="39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37,426,379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(95,985)</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(16,604)</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(11,070)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 net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21,980,000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4,684</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17,885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to common</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2,317,840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2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0"/>
        </w:trPr>
        <w:tc>
          <w:tcPr>
            <w:tcW w:w="39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61,742,104</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85,472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(107,055)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(21,577)</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696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 (DEFICIT) (CONTINUED)</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200"/>
          </w:cols>
          <w:pgMar w:left="320" w:top="684" w:right="379" w:bottom="1440" w:gutter="0" w:footer="0" w:header="0"/>
        </w:sectPr>
      </w:pPr>
    </w:p>
    <w:p>
      <w:pPr>
        <w:spacing w:after="0" w:line="207"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color w:val="auto"/>
        </w:rPr>
        <w:t>Redeemable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960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960495"/>
                    </a:xfrm>
                    <a:prstGeom prst="rect">
                      <a:avLst/>
                    </a:prstGeom>
                    <a:noFill/>
                  </pic:spPr>
                </pic:pic>
              </a:graphicData>
            </a:graphic>
          </wp:anchor>
        </w:drawing>
      </w:r>
    </w:p>
    <w:p>
      <w:pPr>
        <w:spacing w:after="0" w:line="7"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color w:val="auto"/>
        </w:rPr>
        <w:t>Stock</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r>
      <w:tr>
        <w:trPr>
          <w:trHeight w:val="42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issued in public offering (ATM),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cost</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issuance under ESPP</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cancellation</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issued in public offering (ATM), net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cost</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4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5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Paid-In</w:t>
            </w:r>
          </w:p>
        </w:tc>
        <w:tc>
          <w:tcPr>
            <w:tcW w:w="16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(Deficit)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r>
      <w:tr>
        <w:trPr>
          <w:trHeight w:val="426"/>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6,695,587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69,450</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40" w:type="dxa"/>
            <w:vAlign w:val="bottom"/>
          </w:tcPr>
          <w:p>
            <w:pPr>
              <w:spacing w:after="0"/>
              <w:rPr>
                <w:sz w:val="24"/>
                <w:szCs w:val="24"/>
                <w:color w:val="auto"/>
              </w:rPr>
            </w:pPr>
          </w:p>
        </w:tc>
      </w:tr>
      <w:tr>
        <w:trPr>
          <w:trHeight w:val="427"/>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34"/>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20"/>
                <w:szCs w:val="20"/>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6,695,587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69,716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(51,906)</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40" w:type="dxa"/>
            <w:vAlign w:val="bottom"/>
          </w:tcPr>
          <w:p>
            <w:pPr>
              <w:spacing w:after="0"/>
              <w:rPr>
                <w:sz w:val="24"/>
                <w:szCs w:val="24"/>
                <w:color w:val="auto"/>
              </w:rPr>
            </w:pPr>
          </w:p>
        </w:tc>
      </w:tr>
      <w:tr>
        <w:trPr>
          <w:trHeight w:val="234"/>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(13,627)</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414"/>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94,496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0" w:type="dxa"/>
            <w:vAlign w:val="bottom"/>
          </w:tcPr>
          <w:p>
            <w:pPr>
              <w:spacing w:after="0"/>
              <w:rPr>
                <w:sz w:val="24"/>
                <w:szCs w:val="24"/>
                <w:color w:val="auto"/>
              </w:rPr>
            </w:pPr>
          </w:p>
        </w:tc>
      </w:tr>
      <w:tr>
        <w:trPr>
          <w:trHeight w:val="216"/>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r>
      <w:tr>
        <w:trPr>
          <w:trHeight w:val="230"/>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4"/>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20"/>
                <w:szCs w:val="20"/>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6,818,626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70,798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(65,533)</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40" w:type="dxa"/>
            <w:vAlign w:val="bottom"/>
          </w:tcPr>
          <w:p>
            <w:pPr>
              <w:spacing w:after="0"/>
              <w:rPr>
                <w:sz w:val="24"/>
                <w:szCs w:val="24"/>
                <w:color w:val="auto"/>
              </w:rPr>
            </w:pPr>
          </w:p>
        </w:tc>
      </w:tr>
      <w:tr>
        <w:trPr>
          <w:trHeight w:val="234"/>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414"/>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154,992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40" w:type="dxa"/>
            <w:vAlign w:val="bottom"/>
          </w:tcPr>
          <w:p>
            <w:pPr>
              <w:spacing w:after="0"/>
              <w:rPr>
                <w:sz w:val="24"/>
                <w:szCs w:val="24"/>
                <w:color w:val="auto"/>
              </w:rPr>
            </w:pPr>
          </w:p>
        </w:tc>
      </w:tr>
      <w:tr>
        <w:trPr>
          <w:trHeight w:val="216"/>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34"/>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43"/>
        </w:trPr>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21"/>
                <w:szCs w:val="2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6,974,220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72,014</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5660" w:space="320"/>
            <w:col w:w="5220"/>
          </w:cols>
          <w:pgMar w:left="320" w:top="684"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7" w:name="page8"/>
    <w:bookmarkEnd w:id="7"/>
    <w:p>
      <w:pPr>
        <w:jc w:val="center"/>
        <w:ind w:left="340" w:right="2340"/>
        <w:spacing w:after="0" w:line="265" w:lineRule="auto"/>
        <w:rPr>
          <w:sz w:val="20"/>
          <w:szCs w:val="20"/>
          <w:color w:val="auto"/>
        </w:rPr>
      </w:pPr>
      <w:r>
        <w:rPr>
          <w:rFonts w:ascii="Times New Roman" w:cs="Times New Roman" w:eastAsia="Times New Roman" w:hAnsi="Times New Roman"/>
          <w:sz w:val="18"/>
          <w:szCs w:val="18"/>
          <w:b w:val="1"/>
          <w:bCs w:val="1"/>
          <w:color w:val="auto"/>
        </w:rPr>
        <w:t>DRAGONFLY ENERGY HOLDINGS CORP. UNAUDITED CONDENSED CONSOLIDATED STATEMENTS OF CASH FLOWS FOR THE NINE MONTHS ENDED SEPTEMBER 30, 2025 AND 2024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(24,901)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(30,773)</w:t>
            </w: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578</w:t>
            </w:r>
          </w:p>
        </w:tc>
        <w:tc>
          <w:tcPr>
            <w:tcW w:w="420" w:type="dxa"/>
            <w:vAlign w:val="bottom"/>
          </w:tcPr>
          <w:p>
            <w:pPr>
              <w:spacing w:after="0"/>
              <w:rPr>
                <w:sz w:val="18"/>
                <w:szCs w:val="18"/>
                <w:color w:val="auto"/>
              </w:rPr>
            </w:pPr>
          </w:p>
        </w:tc>
        <w:tc>
          <w:tcPr>
            <w:tcW w:w="14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5,240</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(4,624)</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(3,130)</w:t>
            </w: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11,233</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1,810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1,948</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impairment of right-of-use assets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454</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(2,463)</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(1,002)</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14,765</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14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3,780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(2,160)</w:t>
            </w:r>
          </w:p>
        </w:tc>
        <w:tc>
          <w:tcPr>
            <w:tcW w:w="42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(661)</w:t>
            </w: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settlement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80" w:type="dxa"/>
            <w:vAlign w:val="bottom"/>
            <w:shd w:val="clear" w:color="auto" w:fill="CCEEFF"/>
          </w:tcPr>
          <w:p>
            <w:pPr>
              <w:spacing w:after="0"/>
              <w:rPr>
                <w:sz w:val="18"/>
                <w:szCs w:val="18"/>
                <w:color w:val="auto"/>
              </w:rPr>
            </w:pPr>
          </w:p>
        </w:tc>
      </w:tr>
      <w:tr>
        <w:trPr>
          <w:trHeight w:val="230"/>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spacing w:after="0"/>
              <w:rPr>
                <w:sz w:val="19"/>
                <w:szCs w:val="19"/>
                <w:color w:val="auto"/>
              </w:rPr>
            </w:pPr>
          </w:p>
        </w:tc>
        <w:tc>
          <w:tcPr>
            <w:tcW w:w="14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3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8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3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10"/>
        </w:trPr>
        <w:tc>
          <w:tcPr>
            <w:tcW w:w="6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(1,808)</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(1,691)</w:t>
            </w:r>
          </w:p>
        </w:tc>
      </w:tr>
      <w:tr>
        <w:trPr>
          <w:trHeight w:val="209"/>
        </w:trPr>
        <w:tc>
          <w:tcPr>
            <w:tcW w:w="6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6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 consolidated financial statements.</w:t>
      </w: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3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(ATM), net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preferred stock offering, net of fees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 on finance leases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29"/>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2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18,653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6620" w:type="dxa"/>
            <w:vAlign w:val="bottom"/>
            <w:shd w:val="clear" w:color="auto" w:fill="CCEEFF"/>
          </w:tcPr>
          <w:p>
            <w:pPr>
              <w:ind w:left="360"/>
              <w:spacing w:after="0" w:line="151" w:lineRule="exact"/>
              <w:rPr>
                <w:sz w:val="20"/>
                <w:szCs w:val="20"/>
                <w:color w:val="auto"/>
              </w:rPr>
            </w:pPr>
            <w:r>
              <w:rPr>
                <w:rFonts w:ascii="Times New Roman" w:cs="Times New Roman" w:eastAsia="Times New Roman" w:hAnsi="Times New Roman"/>
                <w:sz w:val="17"/>
                <w:szCs w:val="17"/>
                <w:color w:val="auto"/>
              </w:rPr>
              <w:t>Recognition of leasehold improvements obtained in exchange for operating lease</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liability</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6,381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7,330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Settlement of accrued liability for employee stock purchase plan</w:t>
            </w:r>
          </w:p>
        </w:tc>
        <w:tc>
          <w:tcPr>
            <w:tcW w:w="3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20" w:type="dxa"/>
            <w:vAlign w:val="bottom"/>
            <w:tcBorders>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Reclassification of assets held for sale to machinery and equipment</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9" w:name="page10"/>
    <w:bookmarkEnd w:id="9"/>
    <w:p>
      <w:pPr>
        <w:jc w:val="center"/>
        <w:ind w:left="340" w:right="2100"/>
        <w:spacing w:after="0" w:line="268" w:lineRule="auto"/>
        <w:rPr>
          <w:sz w:val="20"/>
          <w:szCs w:val="20"/>
          <w:color w:val="auto"/>
        </w:rPr>
      </w:pPr>
      <w:r>
        <w:rPr>
          <w:rFonts w:ascii="Times New Roman" w:cs="Times New Roman" w:eastAsia="Times New Roman" w:hAnsi="Times New Roman"/>
          <w:sz w:val="18"/>
          <w:szCs w:val="18"/>
          <w:b w:val="1"/>
          <w:bCs w:val="1"/>
          <w:color w:val="auto"/>
        </w:rPr>
        <w:t>DRAGONFLY ENERGY HOLDINGS CORP. NOTES TO UNAUDITED CONDENSED CONSOLIDATED FINANCIAL STATEMENTS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subsidiaries Dragonfly Energy Corp, Battle Born Battery Products, LLC and Dragonfly CellTech, Inc. All significant intercompany transactions and balances are eliminated in consolidation.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Annual Report on Form 10-K filed with the SEC on March 31, 2025 of the Company for the annual period ended December 31, 2024. The consolidated balance sheet as of December 31, 2024 was derived from the audited consolidated financial statements as of and for the year then 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incurred losses from operations and had negative cash flow from operations. As of September 30, 2025, the Company had $3,838 in cash and cash equivalents and a working capital of $8,834.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6).</w:t>
      </w:r>
      <w:r>
        <w:rPr>
          <w:rFonts w:ascii="Times New Roman" w:cs="Times New Roman" w:eastAsia="Times New Roman" w:hAnsi="Times New Roman"/>
          <w:sz w:val="18"/>
          <w:szCs w:val="18"/>
          <w:color w:val="auto"/>
        </w:rPr>
        <w:t xml:space="preserve"> Between March 2024 and February 2025, the Company obtained multiple waivers from the Term Loan administrative agent and lenders for noncompliance with the liquidity requirements under the Term Loan.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 (Continued)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26, 2025, the Company entered into a Securities Purchase agreement (“Purchase Agreement”). The Purchase Agreement called for the Company to authorize a new series of convertible preferred stock of the Company designated as the Series A Convertible Preferred Stock, par value $0.0001 per share (the “Series A Preferred Stock”), which shall be convertible into shares of the Company’s common stock, and sell to each Buyer an aggregate number of shares of Series A Preferred Stock and 20 warrants, to each buyer, that are convertible to common stock. During the nine months ended September 30, 2025, the Company received proceeds of $8,000 less $670 in costs for net proceeds of $7,330 due to the conversion of for the conversion of 800 shares of Series A Preferred Stock for 32,314,615 shares of common stock which the Company has been using for working capital and general corporate purposes. As of September 30, 2025, all Series A Convertible Preferred Stock has been converted into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Purchase Agreement, the Term Loan was amended on February 26, 2025 to (i) extend the maturity date by one (1) year to October 2027,</w:t>
      </w:r>
    </w:p>
    <w:p>
      <w:pPr>
        <w:spacing w:after="0" w:line="27" w:lineRule="exact"/>
        <w:rPr>
          <w:sz w:val="20"/>
          <w:szCs w:val="20"/>
          <w:color w:val="auto"/>
        </w:rPr>
      </w:pPr>
    </w:p>
    <w:p>
      <w:pPr>
        <w:ind w:firstLine="8"/>
        <w:spacing w:after="0" w:line="260" w:lineRule="auto"/>
        <w:tabs>
          <w:tab w:leader="none" w:pos="2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all principal and interest payments to April 2026 and (iii) remove any applicable financial covenants (except for a financial covenant requiring e Company to maintain cash and cash equivalents equal to or greater than $2,500) through June 30, 2026.</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2025, the Company completed an equity financing and received net proceeds of $5,495 less $811 in costs, in connection with the issuance of 21,980,000 shares of common stock in an underwritten public offering (the “July 2025 Offering”), which the Company has been using for working capital and other general corporate purposes, including the repayment of indebtedness in the ordinary course.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Subsequent to September 30, 2025, the Company completed two equity financings. On October 6, 2025, the Company received net proceeds of $26,925, net of costs, in connection with the issuance of 23,000,000 shares of common stock. On October 17, 2025, the Company received additional net proceeds of $51,928, net of costs, from the issuance of 36,000,000 shares of common stock and pre-funded warrants to purchase 5,000,000 shares of common stock. The Company intends to use the aggregate net proceeds for working capital and other general corporate purposes, including the repayment of indebtedness in the ordinary course of business. Additionally, on October 20, 2025, the Term Loan was restructured and the Company entered into the Sixth Amendment (the “Sixth Amendment”) with the Term Loan lenders, which included new interest payment terms, $45,000 prepayment in October, and $5,000 debt cancellation. Lastly, as part of the restructuring, on November 4, 2025, the Company and the lenders entered into an exchange agreement (the “Exchange Agreement”) pursuant to which the Company issued 25,000 shares of Series B Preferred Stock in exchange for $25,000 outstanding principal amount of the Term Loan. Please see Note 13 for more information regarding the aforementioned offerings, term loan amendment, and exchange agreement that occurred in October and November 2025.</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presented above, strategic initiatives were executed in 2025 in order to alleviate the substantial doubt about the Company’s ability to continue as a going concern. These initiatives include multiple capital raises (including those subsequent to September 30, 2025) totalling a net cash increase of $91,218 and Term Loan restructuring to reduce principal and interest owed, including a significant principal paydown, partial debt cancellation, and partial principal conversion into preferred shares. With these strong initiatives, along with continued revenue generation anticipated in the next twelve months and the Company’s ability to maintain covenant compliance with a monthly liquidity minimum of $5,000, management has concluded that the substantial doubt regarding the Company’s ability to continue as a going concern has been mitigated.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meet its financial covenants under the Term Loan and its obligations under the Series B Preferred Stock and repay its outstanding indebtedness under the Term Loan. The Company has historically been able to raise additional capital through issuance of equity and/or debt financings and the Company intends to raise additional capital as needed. However, the Company cannot guarantee that it will be able to raise additional equity, contain expenses, or increase revenue, and comply with the financial covenants under the Term Loan. If the Company is unable to obtain additional funding to support its current or proposed activities and operations and its outstanding indebtedness, it may not be able to continue its operations as currently anticipated, which may require it to suspend or terminate any ongoing development activities, modify its business plan, curtail various aspects of its operations, cease operations, or seek relief under applicable bankruptcy laws. In such event, the Company’s stockholders may lose a substantial portion or even all of their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Company had a reserve of $300 and $188 as of September 30, 2025 and December 31,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Held for Sale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held for sale are valued at the lower of the carrying amount or the net realizable value estimated at September 30, 2025. Impairment to carrying amounts are recognized to non-operating expenses in the year ending December 31, 2024.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The sale was expected to be completed in the second quarter, but unforeseen circumstances forced the buyer to back out. Due to not being able to locate another buyer, the assets held for sale were reclassified as Property and Equipment as of September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right-of-use asset impairment, and license arrangement.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the Company’s revenue is recognized at a point in time for standard promised goods at the time of shipment when title and risk of loss pass to the customer.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(continued)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original equipment manufacturers (“OEMs”), are typically due within 30-90 days after shipment. In such instances, the Company records a customer deposit liability. The Company recognizes these contract liabilities as sales after the revenue criteria are met. As of September 30, 2025 and December 31, 2024, the contract liability related to the Company’s customer deposits were approximately $252 and $317,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$314 of the December 31, 2024 contract liability. During the nine months ended September 30, 2024, the Company recognized $201 of the contract liability that was recorded as a January 1, 2024 beginning balance.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The $5,000 initial licensing fee is being recognized as revenue on a straight-line basis over five years. The Company has recorded $250 and $750 in revenue related to the license agreement for the three and nine months ended September 30, 2025. As of September 30, 2025 and December 31, 2024, the contract liability related to the Company’s deferred revenue were approximately $3,833 and $4,583, respectively. As of September 30, 2025, the Company had $1,000 in short term deferred revenue and $2,833 in long-term deferred revenue related to the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revenues by distribution channel:</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6"/>
          </w:tcPr>
          <w:p>
            <w:pPr>
              <w:jc w:val="center"/>
              <w:ind w:right="50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00" w:type="dxa"/>
            <w:vAlign w:val="bottom"/>
          </w:tcPr>
          <w:p>
            <w:pPr>
              <w:spacing w:after="0"/>
              <w:rPr>
                <w:sz w:val="19"/>
                <w:szCs w:val="19"/>
                <w:color w:val="auto"/>
              </w:rPr>
            </w:pPr>
          </w:p>
        </w:tc>
        <w:tc>
          <w:tcPr>
            <w:tcW w:w="25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For the Nine Months Ended</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80" w:type="dxa"/>
            <w:vAlign w:val="bottom"/>
            <w:tcBorders>
              <w:bottom w:val="single" w:sz="8" w:color="CCEEFF"/>
            </w:tcBorders>
            <w:vMerge w:val="continue"/>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to customer</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7,400</w:t>
            </w:r>
          </w:p>
        </w:tc>
        <w:tc>
          <w:tcPr>
            <w:tcW w:w="2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28,820</w:t>
            </w: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 revenue</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45,571</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the Company’s warranty liability include the number of units sold, historical and anticipated rates of warranty claims, and cost per claim. The Company periodically assesses the adequacy of its recorded warranty liability and adjust the accrual as claims data and historical experience warrants. The Company has assessed the costs of fulfilling its existing assurance type warranties and has determined that the estimated outstanding warranty obligation at September 30, 2025 and December 31, 2024 to be $768 and $514, respectively. The Company incurred warranty expense of $132 and $403 for the three and nine months ended September 30, 2025, respectively, and incurred warranty expense of $114 and $422 for the three and nine months ended September 30, 2024,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the Company’s warranty obligation for the nine months ended September 30, 2025:</w:t>
      </w:r>
    </w:p>
    <w:p>
      <w:pPr>
        <w:spacing w:after="0" w:line="243"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3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18"/>
                <w:szCs w:val="18"/>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3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receivables from Customer A comprised approximately 52% of accounts receivable. There are no other significant accounts receivable concentration.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sales from Customer A comprised approximately 29% of the Company’s total revenue. For the nine months ended September 30, 2024, sales from Customer A comprised approximately 15% of the Company’s total revenue. For the three months ended September 30, 2025, sales from Customer A comprised approximately 35% of the Company’s total revenue. For the three months ended September 30, 2024, sales from Customer A comprised approximately 16% of the Company’s total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payables to Vendor A, Vendor B, and Vendor C comprised approximately 24%, 11%, and 20%, respectively, of accounts payables.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Vendor A and Vendor B accounted for approximately 17% and 10%, respectively, of the Company’s total purchases. For the nine months ended September 30, 2024, Vendor D accounted for approximately 11% of the Company’s total purchases. For the three months ended September 30, 2025, Vendor A, Vendor B and Vendor C accounted for approximately 18%, 14% and 12%, respectively, of the Company’s total purchases. For the three months ended September 30, 2024, Vendor D and Vendor B accounted for approximately 16% and 13%, respectively, of the Company’s total purchases.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(the “OBBB”) Act was signed into law in the United States. The OBBB Act includes significant provisions, such as the permanent extension and modification of certain provisions of the U.S. Tax Cuts and Jobs Act of 2017, modifications to the international tax framework and the restoration of favorable tax treatment for certain business provisions. The legislation has multiple effective dates, with certain provisions beginning in 2025 and others beginning at various dates through 2027. The Company does not expect the OBBB Act to materially impact the Company’s income tax position in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22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September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4,256,156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3,575,678</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169,161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8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194,299</w:t>
            </w:r>
          </w:p>
        </w:tc>
        <w:tc>
          <w:tcPr>
            <w:tcW w:w="8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4,562,839</w:t>
            </w: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3,782,130</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year’s financial statements have been reclassified to conform to the current year’s presentation. These reclassifications had no impact on previously reported net loss, total assets, total liabilities, or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w:t>
      </w: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color w:val="auto"/>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2024,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The Company adopted ASU 2023-09 as of January 1,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2025-01 to clarify that all public entities, including non-calendar year-end entities, should adopt the disclosure requirements of ASU 2024-03. The Company is currently evaluating the impact. The guidance is effective for fiscal years beginning after December 15, 2026, and interim periods within fiscal years beginning after December 15, 2027. Accordingly, the Company will adopt the standard for the year ending December 31, 2027.</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amending the manner in which credit losses for accounts receivable and contract assets are determined. For public companies, the guidance introduces a practical expedient for estimating expected credit losses on current accounts receivable and current contract assets. Under this expedient, entities may assume that conditions existing at the balance sheet date will persist for the remaining life of the asset, which simplifies the estimation process by eliminating the need to forecast future economic conditions for these short-term assets. This guidance is effective for fiscal years beginning after December 15, 2025, with early adoption permitted. The Company is currently evaluating the impact of the adoption of this guidance on its financial statements and related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September 30, 2025:</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72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As of September 30, 2025</w:t>
            </w:r>
          </w:p>
        </w:tc>
        <w:tc>
          <w:tcPr>
            <w:tcW w:w="8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
        </w:trPr>
        <w:tc>
          <w:tcPr>
            <w:tcW w:w="72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2024:</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(Level 3)</w:t>
            </w:r>
          </w:p>
        </w:tc>
      </w:tr>
      <w:tr>
        <w:trPr>
          <w:trHeight w:val="210"/>
        </w:trPr>
        <w:tc>
          <w:tcPr>
            <w:tcW w:w="72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As of December 31, 2024</w:t>
            </w:r>
          </w:p>
        </w:tc>
        <w:tc>
          <w:tcPr>
            <w:tcW w:w="8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
        </w:trPr>
        <w:tc>
          <w:tcPr>
            <w:tcW w:w="72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Black Scholes calculation being utilized on all fair value measurement of warrant liabilities as of September 30, 2025 and December 31, 2024, the fair value warrant liabilities were transferred from Level 3 to Level 2 as of December 31, 2024. This is due to the observable inputs (such as the Company’s stock price and comparable company volatility calculations) included in the Black Scholes calculation, which makes the fair value measurement of the warrant liabilities more closely aligned with Level 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September 30, 2025 and December 31, 2024 because of the relatively short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September 30, 2025 and December 31, 2024 approximates fair value as the interest rate does not differ significantly from the current market rates available to the Company for similar debt and is considered Level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Level 3 items measured at fair value on recurring basis using significant unobservable inputs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was no Level 3 activity for the three and nine months ended September 30, 2025.</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Warrant</w:t>
            </w:r>
          </w:p>
        </w:tc>
      </w:tr>
      <w:tr>
        <w:trPr>
          <w:trHeight w:val="216"/>
        </w:trPr>
        <w:tc>
          <w:tcPr>
            <w:tcW w:w="1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Warrant</w:t>
            </w:r>
          </w:p>
        </w:tc>
        <w:tc>
          <w:tcPr>
            <w:tcW w:w="12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liability- June</w:t>
            </w:r>
          </w:p>
        </w:tc>
      </w:tr>
      <w:tr>
        <w:trPr>
          <w:trHeight w:val="216"/>
        </w:trPr>
        <w:tc>
          <w:tcPr>
            <w:tcW w:w="17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Liability - Term</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Public</w:t>
            </w:r>
          </w:p>
        </w:tc>
      </w:tr>
      <w:tr>
        <w:trPr>
          <w:trHeight w:val="234"/>
        </w:trPr>
        <w:tc>
          <w:tcPr>
            <w:tcW w:w="17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Loan</w:t>
            </w: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Offering</w:t>
            </w:r>
          </w:p>
        </w:tc>
      </w:tr>
      <w:tr>
        <w:trPr>
          <w:trHeight w:val="210"/>
        </w:trPr>
        <w:tc>
          <w:tcPr>
            <w:tcW w:w="170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January 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1700" w:type="dxa"/>
            <w:vAlign w:val="bottom"/>
          </w:tcPr>
          <w:p>
            <w:pPr>
              <w:spacing w:after="0"/>
              <w:rPr>
                <w:sz w:val="22"/>
                <w:szCs w:val="22"/>
                <w:color w:val="auto"/>
              </w:rPr>
            </w:pPr>
          </w:p>
        </w:tc>
        <w:tc>
          <w:tcPr>
            <w:tcW w:w="4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17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March 31, 2024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3,214</w:t>
            </w:r>
          </w:p>
        </w:tc>
      </w:tr>
      <w:tr>
        <w:trPr>
          <w:trHeight w:val="216"/>
        </w:trPr>
        <w:tc>
          <w:tcPr>
            <w:tcW w:w="17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700" w:type="dxa"/>
            <w:vAlign w:val="bottom"/>
          </w:tcPr>
          <w:p>
            <w:pPr>
              <w:spacing w:after="0"/>
              <w:rPr>
                <w:sz w:val="22"/>
                <w:szCs w:val="22"/>
                <w:color w:val="auto"/>
              </w:rPr>
            </w:pPr>
          </w:p>
        </w:tc>
        <w:tc>
          <w:tcPr>
            <w:tcW w:w="4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gain included in net loss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2,277</w:t>
            </w:r>
          </w:p>
        </w:tc>
      </w:tr>
      <w:tr>
        <w:trPr>
          <w:trHeight w:val="216"/>
        </w:trPr>
        <w:tc>
          <w:tcPr>
            <w:tcW w:w="17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5,491</w:t>
            </w:r>
          </w:p>
        </w:tc>
      </w:tr>
      <w:tr>
        <w:trPr>
          <w:trHeight w:val="216"/>
        </w:trPr>
        <w:tc>
          <w:tcPr>
            <w:tcW w:w="17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Issued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700" w:type="dxa"/>
            <w:vAlign w:val="bottom"/>
          </w:tcPr>
          <w:p>
            <w:pPr>
              <w:spacing w:after="0"/>
              <w:rPr>
                <w:sz w:val="22"/>
                <w:szCs w:val="22"/>
                <w:color w:val="auto"/>
              </w:rPr>
            </w:pPr>
          </w:p>
        </w:tc>
        <w:tc>
          <w:tcPr>
            <w:tcW w:w="48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loss included in net loss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(2,805)</w:t>
            </w:r>
          </w:p>
        </w:tc>
      </w:tr>
      <w:tr>
        <w:trPr>
          <w:trHeight w:val="243"/>
        </w:trPr>
        <w:tc>
          <w:tcPr>
            <w:tcW w:w="1700" w:type="dxa"/>
            <w:vAlign w:val="bottom"/>
          </w:tcPr>
          <w:p>
            <w:pPr>
              <w:spacing w:after="0"/>
              <w:rPr>
                <w:sz w:val="21"/>
                <w:szCs w:val="21"/>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September 30,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2,686</w:t>
            </w:r>
          </w:p>
        </w:tc>
      </w:tr>
      <w:tr>
        <w:trPr>
          <w:trHeight w:val="20"/>
        </w:trPr>
        <w:tc>
          <w:tcPr>
            <w:tcW w:w="170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INVENTORY</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$111 to $309.</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was $45 for the first ten months, starting June 1, 2024, and is subject to a three percent (3.0%) increase on the anniversary of the Lease Commencement Date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8, 2025, the Company entered into a sixth lease amendment with its landlord to extend the lease term for an additional sixty-four (64) month period for the research and development lab and engineering office in Reno, Nevada. Under the terms of the amended lease, the base rent due shall be fully abated for the four (4) month period commencing on August 1, 2025, and ending on November 30, 2025. The lease is set to expire on November 30, 2030.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ectPr>
          <w:pgSz w:w="11900" w:h="16838" w:orient="portrait"/>
          <w:cols w:equalWidth="0" w:num="1">
            <w:col w:w="11240"/>
          </w:cols>
          <w:pgMar w:left="320" w:top="684"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40005</wp:posOffset>
            </wp:positionV>
            <wp:extent cx="498919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2,868</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2,926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21,128</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7.94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8.46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84"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Assumptions used in determining the Company’s incremental borrowing rate include its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September 30, 2025, the future minimum lease payments under these operating leases are as follows: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1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Fiscal Years Ending</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170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31, 2025</w:t>
            </w:r>
            <w:r>
              <w:rPr>
                <w:rFonts w:ascii="Times New Roman" w:cs="Times New Roman" w:eastAsia="Times New Roman" w:hAnsi="Times New Roman"/>
                <w:sz w:val="29"/>
                <w:szCs w:val="29"/>
                <w:color w:val="auto"/>
                <w:vertAlign w:val="superscript"/>
              </w:rPr>
              <w:t>(1)</w:t>
            </w:r>
          </w:p>
        </w:tc>
        <w:tc>
          <w:tcPr>
            <w:tcW w:w="4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17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4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4,528</w:t>
            </w: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3,746</w:t>
            </w:r>
          </w:p>
        </w:tc>
      </w:tr>
      <w:tr>
        <w:trPr>
          <w:trHeight w:val="216"/>
        </w:trPr>
        <w:tc>
          <w:tcPr>
            <w:tcW w:w="17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4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3,860</w:t>
            </w: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2029</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3,614</w:t>
            </w:r>
          </w:p>
        </w:tc>
      </w:tr>
      <w:tr>
        <w:trPr>
          <w:trHeight w:val="229"/>
        </w:trPr>
        <w:tc>
          <w:tcPr>
            <w:tcW w:w="17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16,046</w:t>
            </w:r>
          </w:p>
        </w:tc>
      </w:tr>
      <w:tr>
        <w:trPr>
          <w:trHeight w:val="210"/>
        </w:trPr>
        <w:tc>
          <w:tcPr>
            <w:tcW w:w="170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7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9,006</w:t>
            </w:r>
          </w:p>
        </w:tc>
      </w:tr>
      <w:tr>
        <w:trPr>
          <w:trHeight w:val="223"/>
        </w:trPr>
        <w:tc>
          <w:tcPr>
            <w:tcW w:w="1700" w:type="dxa"/>
            <w:vAlign w:val="bottom"/>
          </w:tcPr>
          <w:p>
            <w:pPr>
              <w:spacing w:after="0"/>
              <w:rPr>
                <w:sz w:val="19"/>
                <w:szCs w:val="19"/>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Represents scheduled payments for the remaining three-month period ending December 31, 2025.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a non-cash impairment of a right-of-use asset of $453 within operating expenses.</w:t>
      </w:r>
    </w:p>
    <w:p>
      <w:pPr>
        <w:sectPr>
          <w:pgSz w:w="11900" w:h="16838" w:orient="portrait"/>
          <w:cols w:equalWidth="0" w:num="1">
            <w:col w:w="11240"/>
          </w:cols>
          <w:pgMar w:left="320" w:top="684"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w:t>
            </w:r>
          </w:p>
        </w:tc>
      </w:tr>
      <w:tr>
        <w:trPr>
          <w:trHeight w:val="191"/>
        </w:trPr>
        <w:tc>
          <w:tcPr>
            <w:tcW w:w="1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Pr>
          <w:p>
            <w:pPr>
              <w:spacing w:after="0"/>
              <w:rPr>
                <w:sz w:val="16"/>
                <w:szCs w:val="16"/>
                <w:color w:val="auto"/>
              </w:rPr>
            </w:pPr>
          </w:p>
        </w:tc>
        <w:tc>
          <w:tcPr>
            <w:tcW w:w="2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Cost of goods sold</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w:t>
            </w: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r>
      <w:tr>
        <w:trPr>
          <w:trHeight w:val="25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40" w:type="dxa"/>
            <w:vAlign w:val="bottom"/>
          </w:tcPr>
          <w:p>
            <w:pPr>
              <w:spacing w:after="0"/>
              <w:rPr>
                <w:sz w:val="22"/>
                <w:szCs w:val="22"/>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3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622</w:t>
            </w:r>
          </w:p>
        </w:tc>
        <w:tc>
          <w:tcPr>
            <w:tcW w:w="34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16"/>
                <w:szCs w:val="16"/>
                <w:color w:val="auto"/>
              </w:rPr>
            </w:pPr>
          </w:p>
        </w:tc>
        <w:tc>
          <w:tcPr>
            <w:tcW w:w="32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1,859</w:t>
            </w:r>
          </w:p>
        </w:tc>
        <w:tc>
          <w:tcPr>
            <w:tcW w:w="32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1,190</w:t>
            </w: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676</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1,846</w:t>
            </w:r>
          </w:p>
        </w:tc>
        <w:tc>
          <w:tcPr>
            <w:tcW w:w="3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1,201</w:t>
            </w:r>
          </w:p>
        </w:tc>
        <w:tc>
          <w:tcPr>
            <w:tcW w:w="3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4,727</w:t>
            </w:r>
          </w:p>
        </w:tc>
        <w:tc>
          <w:tcPr>
            <w:tcW w:w="3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-1310640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-1028065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-728345</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080" w:space="220"/>
            <w:col w:w="6940"/>
          </w:cols>
          <w:pgMar w:left="320" w:top="684"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entered into finance lease agreements for equipment to support the Company’s operations. Payments under the finance lease agreements are fixed for a term of 3-5 years. The leased assets are recognized in property plant &amp; equipment.</w:t>
      </w:r>
    </w:p>
    <w:p>
      <w:pPr>
        <w:sectPr>
          <w:pgSz w:w="11900" w:h="16838" w:orient="portrait"/>
          <w:cols w:equalWidth="0" w:num="1">
            <w:col w:w="11240"/>
          </w:cols>
          <w:pgMar w:left="320" w:top="684"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40005</wp:posOffset>
            </wp:positionV>
            <wp:extent cx="498919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2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2.26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2.78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8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Assumptions used in determining the Company’s incremental borrowing rate include its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September 30, 2025, the future minimum lease payments under these financing leases are as follows:</w:t>
            </w: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14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Fiscal Years Ending</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1700" w:type="dxa"/>
            <w:vAlign w:val="bottom"/>
          </w:tcPr>
          <w:p>
            <w:pPr>
              <w:spacing w:after="0"/>
              <w:rPr>
                <w:sz w:val="22"/>
                <w:szCs w:val="22"/>
                <w:color w:val="auto"/>
              </w:rPr>
            </w:pPr>
          </w:p>
        </w:tc>
        <w:tc>
          <w:tcPr>
            <w:tcW w:w="6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31, 2025</w:t>
            </w:r>
            <w:r>
              <w:rPr>
                <w:rFonts w:ascii="Times New Roman" w:cs="Times New Roman" w:eastAsia="Times New Roman" w:hAnsi="Times New Roman"/>
                <w:sz w:val="29"/>
                <w:szCs w:val="29"/>
                <w:color w:val="auto"/>
                <w:vertAlign w:val="superscript"/>
              </w:rPr>
              <w:t>(1)</w:t>
            </w:r>
          </w:p>
        </w:tc>
        <w:tc>
          <w:tcPr>
            <w:tcW w:w="6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2"/>
                <w:szCs w:val="22"/>
                <w:color w:val="auto"/>
              </w:rPr>
            </w:pPr>
          </w:p>
        </w:tc>
      </w:tr>
      <w:tr>
        <w:trPr>
          <w:trHeight w:val="216"/>
        </w:trPr>
        <w:tc>
          <w:tcPr>
            <w:tcW w:w="17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6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6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170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2029</w:t>
            </w:r>
          </w:p>
        </w:tc>
        <w:tc>
          <w:tcPr>
            <w:tcW w:w="6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17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7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Represents scheduled payments for the remaining three-month period ending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Company agreed to pay LithiumHub a total of $2,500, of which approximately $562 is payable in 2025 and approximately $1,938 is payable in 2026, in exchange for a non-exclusive license in LithiumHub Technologies, LLC’s patent rights related to the Patents-in-Suit. In accordance with the Settlement Agreement, the Company and LithiumHub terminated the ongoing patent litigation between them. The Settlement Agreement includes no admission of infringement by the Company. As of September 30, 2025, the Company recorded an accrued settlement liability of $2,125 which is entirely classified as current. On October 22, 2025, the Company paid in full the $2,125 settlement amount.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an outstanding term loan under a Term Loan, Guarantee and Security Agreement (the “Term Loan Agreement”), dated October 7, 2022. The Term Loan matures on October 7, 2027 and amortizes at a rate of 5% per annum beginning in October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any amendments, the Term Loan accrues interest based on the Company’s senior leverage ratio. From inception through September 30, 2024, interest accrued at a per annum rate equal to adjusted SOFR (subject to a floor of 1.0%) plus 7.0% payable in cash, plus an additional 4.5% to 6.5% payable in kind (“PIK”), depending on the Company’s senior leverage ratio. Effective April 1, 2024, interest payable to lenders subject to the regulations of the U.S. Small Business Administration (with $30,846 of principal outstanding as of that date) is limited to 14.0% per annum, excluding default interest permitted under applicable SBA regulations. From October 1, 2024 through March 31, 2025, interest on the non-SBA regulated portion continued to accrue at adjusted SOFR plus 7.0% payable in cash, and 4.5% to 6.5% payable in kind. Beginning April 1, 2025, interest on all outstanding balances was payable entirely in cash, at a rate equal to adjusted SOFR plus a margin ranging from 11.5% to 13.5%, depending on the Company’s senior leverage ratio.</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recognized interest expense of $11,233 and $10,531, respectively. During the three months ended September 30, 2025 and 2024, the Company recognized interest expense of $3,927 and $3,509, respectively. Amortization of the debt issuance costs amounted to $5,240 and $4,490, respectively, during the nine months ended September 30, 2025 and 2024. Amortization of the debt issuance costs amounted to $2,456 and $2,062, respectively, during the three months ended September 30, 2025 and 2024. As of September 30, 2025, the carrying value of the Term Loan was $45,423, consisting of $69,974 in principal and $27,172 capitalized PIK interest, net of $51,723 in unamortized debt discount. As of December 31, 2024, the carrying value was $29,646, consisting of $69,974 in principal, plus $15,938 in capitalized PIK interest, net of $56,266 in unamortized debt discount.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obligations under the Term Loan Agreement are secured by a first-priority lien on substantially all of the Company’s assets, including certain mortgaged properties.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Subsequent to the original execution of the Term Loan Agreement, the Company entered into six amendments which modified certain terms of the facility, including, but not limited to, interest rate mechanics, the timing of principal payments, and certain financial and operational covenants. Five of these amendments were in effect as of September 30, 2025 and the Sixth Amendment was entered into on October 20,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 TERM DEBT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in connection with the Purchase Agreement, the Company entered into the Fifth Amendment to the Term Loan Agreement. This amendment extended the Term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September 30, 2025, the future debt maturities are as follows: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81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70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60" w:type="dxa"/>
            <w:vAlign w:val="bottom"/>
          </w:tcPr>
          <w:p>
            <w:pPr>
              <w:spacing w:after="0"/>
              <w:rPr>
                <w:sz w:val="18"/>
                <w:szCs w:val="18"/>
                <w:color w:val="auto"/>
              </w:rPr>
            </w:pPr>
          </w:p>
        </w:tc>
      </w:tr>
      <w:tr>
        <w:trPr>
          <w:trHeight w:val="230"/>
        </w:trPr>
        <w:tc>
          <w:tcPr>
            <w:tcW w:w="170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98,429</w:t>
            </w:r>
          </w:p>
        </w:tc>
        <w:tc>
          <w:tcPr>
            <w:tcW w:w="60" w:type="dxa"/>
            <w:vAlign w:val="bottom"/>
            <w:shd w:val="clear" w:color="auto" w:fill="CCEEFF"/>
          </w:tcPr>
          <w:p>
            <w:pPr>
              <w:spacing w:after="0"/>
              <w:rPr>
                <w:sz w:val="19"/>
                <w:szCs w:val="19"/>
                <w:color w:val="auto"/>
              </w:rPr>
            </w:pPr>
          </w:p>
        </w:tc>
      </w:tr>
      <w:tr>
        <w:trPr>
          <w:trHeight w:val="209"/>
        </w:trPr>
        <w:tc>
          <w:tcPr>
            <w:tcW w:w="1700" w:type="dxa"/>
            <w:vAlign w:val="bottom"/>
          </w:tcPr>
          <w:p>
            <w:pPr>
              <w:spacing w:after="0"/>
              <w:rPr>
                <w:sz w:val="18"/>
                <w:szCs w:val="18"/>
                <w:color w:val="auto"/>
              </w:rPr>
            </w:pPr>
          </w:p>
        </w:tc>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gridSpan w:val="2"/>
            <w:shd w:val="clear" w:color="auto" w:fill="CCEEFF"/>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97,147</w:t>
            </w:r>
          </w:p>
        </w:tc>
        <w:tc>
          <w:tcPr>
            <w:tcW w:w="60" w:type="dxa"/>
            <w:vAlign w:val="bottom"/>
          </w:tcPr>
          <w:p>
            <w:pPr>
              <w:spacing w:after="0"/>
              <w:rPr>
                <w:sz w:val="19"/>
                <w:szCs w:val="19"/>
                <w:color w:val="auto"/>
              </w:rPr>
            </w:pPr>
          </w:p>
        </w:tc>
      </w:tr>
      <w:tr>
        <w:trPr>
          <w:trHeight w:val="209"/>
        </w:trPr>
        <w:tc>
          <w:tcPr>
            <w:tcW w:w="1700" w:type="dxa"/>
            <w:vAlign w:val="bottom"/>
          </w:tcPr>
          <w:p>
            <w:pPr>
              <w:spacing w:after="0"/>
              <w:rPr>
                <w:sz w:val="18"/>
                <w:szCs w:val="18"/>
                <w:color w:val="auto"/>
              </w:rPr>
            </w:pPr>
          </w:p>
        </w:tc>
        <w:tc>
          <w:tcPr>
            <w:tcW w:w="6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costs</w:t>
            </w: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(51,724)</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170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45,423</w:t>
            </w:r>
          </w:p>
        </w:tc>
        <w:tc>
          <w:tcPr>
            <w:tcW w:w="60" w:type="dxa"/>
            <w:vAlign w:val="bottom"/>
          </w:tcPr>
          <w:p>
            <w:pPr>
              <w:spacing w:after="0"/>
              <w:rPr>
                <w:sz w:val="19"/>
                <w:szCs w:val="19"/>
                <w:color w:val="auto"/>
              </w:rPr>
            </w:pPr>
          </w:p>
        </w:tc>
      </w:tr>
      <w:tr>
        <w:trPr>
          <w:trHeight w:val="209"/>
        </w:trPr>
        <w:tc>
          <w:tcPr>
            <w:tcW w:w="1700" w:type="dxa"/>
            <w:vAlign w:val="bottom"/>
          </w:tcPr>
          <w:p>
            <w:pPr>
              <w:spacing w:after="0"/>
              <w:rPr>
                <w:sz w:val="18"/>
                <w:szCs w:val="18"/>
                <w:color w:val="auto"/>
              </w:rPr>
            </w:pPr>
          </w:p>
        </w:tc>
        <w:tc>
          <w:tcPr>
            <w:tcW w:w="6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70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to September 30, 2025, the Company entered into the Sixth Amendment to the Term Loan Agreement, for details, refer to Subsequent Event Note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equity warrants from January 1, 2025 to September 30, 2025 and January 1, 2024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Public</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Underwriters’</w:t>
            </w:r>
          </w:p>
        </w:tc>
      </w:tr>
      <w:tr>
        <w:trPr>
          <w:trHeight w:val="234"/>
        </w:trPr>
        <w:tc>
          <w:tcPr>
            <w:tcW w:w="5600" w:type="dxa"/>
            <w:vAlign w:val="bottom"/>
          </w:tcPr>
          <w:p>
            <w:pPr>
              <w:spacing w:after="0"/>
              <w:rPr>
                <w:sz w:val="20"/>
                <w:szCs w:val="20"/>
                <w:color w:val="auto"/>
              </w:rPr>
            </w:pPr>
          </w:p>
        </w:tc>
        <w:tc>
          <w:tcPr>
            <w:tcW w:w="1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Warrants</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1,046,948</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September 30, 2025</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1,046,948</w:t>
            </w:r>
          </w:p>
        </w:tc>
        <w:tc>
          <w:tcPr>
            <w:tcW w:w="26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63,362</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1,046,948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63,362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September 30,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1,046,948</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63,362</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26, 2025, the Company entered into the Fifth Amendment to the Term Loan with the lenders in connection with the February 2025 securities purchase agreement (see </w:t>
      </w: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color w:val="auto"/>
        </w:rPr>
        <w:t>). The Fifth Amendment provided for a one-time issuance the February 2025 Penny Warrants to purchase up to 330,000 shares of the Company’s common stock, at an exercise price of $0.01 per share. The February 2025 Penny Warrants are immediately exercisable upon issuance and will expire ten years from the date of issuance.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February 2025 Penny Warrants were valued utilizing a Black-Scholes model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February 2025</w:t>
            </w:r>
          </w:p>
        </w:tc>
      </w:tr>
      <w:tr>
        <w:trPr>
          <w:trHeight w:val="234"/>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penny warrants</w:t>
            </w: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concluded the Penny Warrants are not considered indexed to the Company’s common stock and to be accounted for as liabilities under ASC</w:t>
      </w:r>
    </w:p>
    <w:p>
      <w:pPr>
        <w:spacing w:after="0" w:line="27" w:lineRule="exact"/>
        <w:rPr>
          <w:sz w:val="20"/>
          <w:szCs w:val="20"/>
          <w:color w:val="auto"/>
        </w:rPr>
      </w:pPr>
    </w:p>
    <w:p>
      <w:pPr>
        <w:ind w:firstLine="8"/>
        <w:spacing w:after="0" w:line="260" w:lineRule="auto"/>
        <w:tabs>
          <w:tab w:leader="none" w:pos="3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the estimated fair value is recognized as a liability each reporting period, with changes in the fair value recognized within income each period. There were no Penny Warrants outstanding prior to the merger.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As of</w:t>
            </w: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40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bottom w:val="single" w:sz="8" w:color="CCEEFF"/>
            </w:tcBorders>
          </w:tcPr>
          <w:p>
            <w:pPr>
              <w:spacing w:after="0"/>
              <w:rPr>
                <w:sz w:val="20"/>
                <w:szCs w:val="20"/>
                <w:color w:val="auto"/>
              </w:rPr>
            </w:pP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c>
          <w:tcPr>
            <w:tcW w:w="27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bottom w:val="single" w:sz="8" w:color="CCEEFF"/>
            </w:tcBorders>
          </w:tcPr>
          <w:p>
            <w:pPr>
              <w:spacing w:after="0"/>
              <w:rPr>
                <w:sz w:val="20"/>
                <w:szCs w:val="20"/>
                <w:color w:val="auto"/>
              </w:rPr>
            </w:pPr>
          </w:p>
        </w:tc>
        <w:tc>
          <w:tcPr>
            <w:tcW w:w="27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2720" w:type="dxa"/>
            <w:vAlign w:val="bottom"/>
          </w:tcPr>
          <w:p>
            <w:pPr>
              <w:spacing w:after="0"/>
              <w:rPr>
                <w:sz w:val="18"/>
                <w:szCs w:val="18"/>
                <w:color w:val="auto"/>
              </w:rPr>
            </w:pPr>
          </w:p>
        </w:tc>
      </w:tr>
      <w:tr>
        <w:trPr>
          <w:trHeight w:val="432"/>
        </w:trPr>
        <w:tc>
          <w:tcPr>
            <w:tcW w:w="6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Company’s liability classified warrants from January 1, 2025 to September 30, 2025 and January 1, 2024 to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Private</w:t>
            </w: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Term Loan</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Investor</w:t>
            </w:r>
          </w:p>
        </w:tc>
      </w:tr>
      <w:tr>
        <w:trPr>
          <w:trHeight w:val="234"/>
        </w:trPr>
        <w:tc>
          <w:tcPr>
            <w:tcW w:w="4860" w:type="dxa"/>
            <w:vAlign w:val="bottom"/>
          </w:tcPr>
          <w:p>
            <w:pPr>
              <w:spacing w:after="0"/>
              <w:rPr>
                <w:sz w:val="20"/>
                <w:szCs w:val="20"/>
                <w:color w:val="auto"/>
              </w:rPr>
            </w:pP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Warrants</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Warrants</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166,821</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1,412,147</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330,000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September 30, 2025</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166,821</w:t>
            </w:r>
          </w:p>
        </w:tc>
        <w:tc>
          <w:tcPr>
            <w:tcW w:w="3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1,742,147</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1,236,878</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January 1, 2024</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166,821</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209,391</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1,236,878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852,283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September 30,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166,821</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1,061,674</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1,236,878</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Convertible Preferred Warrants classified as Liability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February 2025, in connection with a private placement offering of Series A Convertible Preferred Stock (see </w:t>
      </w: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color w:val="auto"/>
        </w:rPr>
        <w:t>), the Company issued 20 Private Placement Convertible Preferred Warrants (as defined below). Each warrant entitles the holder to purchase up to 200 shares of Series A Preferred Stock at an exercise price of $10,000 per share. The warrants are exercisable immediately and expire upon the earliest of: (i) 33 months after the shares of common stock issuable upon conversion of Series A Preferred Stock are registered for resale under the Securities Act, (ii) the occurrence of a Change of Control (as defined in the Certificate of Designation), or (iii) the full redemption of Series A Preferred Stock. The number of underlying shares and the exercise price are subject to adjustment in the event of stock splits, combinations, dividends, reclassifications, or other similar events. Upon exercise of the warrants, the Series A Preferred Stock is convertible into common stock at a conversion price that is subject to a floor of $0.424 per share, pursuant to the terms set forth in the Certificate of Designation.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the Private Placement Convertible Preferred Warrants issued in connection with the initial offering in accordance with the guidance contained in ASC 815-40. Such guidance provides that because the Private Placement Convertible Preferred Warrants do not meet the criteria for equity treatment thereunder, each Private Placement Convertible Preferred Warrant must be recorded as a derivative liability with the initial fair value of approximately $120. This liability is subject to re-measurement at each balance sheet date, with changes recorded in the consolidated statement of operations and comprehensive loss. However, the Company has deemed the fair value at inception as immaterial for initial recognition of the liability and will continue to monitor the change in fair value for subsequent periods. On June 23, 2025, the Company and the holder of the Private Placement Convertible Preferred Warrants agreed to cancel such holder’s warrants to purchase up to an aggregate of 4,000 shares of Series A Preferred Stock, with an exercise price of $10,000 per share of Series A Preferred Stock. As a result, the Private Placement Convertible Preferred Warrants are no longer outstanding. Please see Note 9 for more information as related to the aforementioned initial closing of the Private Placement.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Convertible Preferred Warrants classified as Liability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Company’s Private Placement Convertible Preferred Warrants from January 1, 2025 to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Preferred</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Common</w:t>
            </w:r>
          </w:p>
        </w:tc>
      </w:tr>
      <w:tr>
        <w:trPr>
          <w:trHeight w:val="216"/>
        </w:trPr>
        <w:tc>
          <w:tcPr>
            <w:tcW w:w="4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Shares Underlying</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Shares Underlying</w:t>
            </w:r>
          </w:p>
        </w:tc>
      </w:tr>
      <w:tr>
        <w:trPr>
          <w:trHeight w:val="234"/>
        </w:trPr>
        <w:tc>
          <w:tcPr>
            <w:tcW w:w="486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Number of Warrants</w:t>
            </w:r>
          </w:p>
        </w:tc>
        <w:tc>
          <w:tcPr>
            <w:tcW w:w="18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(at $1.00 floor)</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48,000,000</w:t>
            </w: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March 31, 2025</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warrants</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(48,000,000)</w:t>
            </w: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June 30, 2025</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September 30, 2025</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CONVERTIBLE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the Company entered into the Purchase Agreement with an institutional investor. Pursuant to the Purchase Agreement, the investor agreed to purchase in a registered direct offering (the “Registered Direct Offering”) from the Company 180 shares of Series A Preferred Stock,, at a price of $10,000 per share, initially convertible into shares of common stock of the Company, at a conversion price of $2.332 per share of common stock.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conducted an initial offering (the “Initial Closing”), which included the sale of Series A Preferred Stock through a Registered Direct Offering (the “Registered Direct Offering”) and a Private Placement pursuant to the Purchase Agreement (the “Private Placement”). In the Private Placement, the Company agreed to sell: (i) 170 additional shares of Series A Preferred Stock at the same price as in the Registered Direct Offering, with a conversion price of $2.332 per share, and (ii) 20 warrants (the “Private Placement Convertible Preferred Warrants”) to purchase up to 4,000 shares of Series A Preferred Stock at $10,000 per share. The Floor Price for the Series A Preferred Stock sold in the Initial Closing was $0.424. These terms are subject to adjustments for corporate events like stock splits.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total, the Company sold 350 shares of Series A Preferred Stock and 20 Private Placement Convertible Preferred Warrants, raising $3,180 in net proceeds, which will be used for working capital and other general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2025, the Company completed the second closing of the Private Placement (the “Second Closing”) pursuant to the Purchase Agreement. In connection with the Second Closing, the investor purchased an additional 450 shares of Series A Preferred Stock at a price of $10,000 per share, resulting in net proceeds of $4,150, which the Company received during the second quarter of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Series A Preferred Stock issued in the Second Closing were substantially similar to those issued in the Initial Closing, except that the initial conversion price was set at $0.594 per share, with a Floor Price of $0.10902 per share. The Second Closing shares are convertible into common stock at the option of the holder, subject to certain limitations and adjustments.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CONVERTIBLE PREFERRED STOCK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host contract is considered as an equity-classified instrument, it includes provisions that allow the investor to redeem the instrument for cash or other assets upon the occurrence of events that are not solely within the company’s control. Because of the Series A Preferred Stock containing this redemption feature, it was originally classified as mezzanine equity. From the issuance date through September 30, 2025, 800 shares of Series A Preferred Stock were converted into 32,314,615 shares of common stock. As a result, $7,330 (net of offering costs) was reclassified from mezzanine equity to common stock and additional paid-in capital.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the Company did not have a sufficient number of registered shares to fully satisfy the conversion of the remaining 133 Series A Preferred Stock under either the floor conversion price of $0.424, which would have required approximately 3,198,113 shares, or the Alternate Conversion Price of $0.144, which would have required approximately 9,407,670 shares (based on 90% of the lowest VWAP over the 10 trading days prior to June 30, 2025). The impact of the Company not having a sufficient number of registered shares to fully satisfy the conversion of the remaining Series A Preferred Stock would be an immaterial reclass to a derivative liability.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20, 2025, the Company entered into a Settlement and Release Agreement (the “Release Agreement”) with the holder of the outstanding shares of Series A Preferred Stock. Pursuant to the terms of the Release Agreement, the Company issued and delivered 2,100,000 shares of common stock to the holder and the holder surrendered to the Company all of the outstanding shares of Series A Preferred Stock. In addition, under the Release Agreement, upon the issuance of the shares of common stock, the Company’s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The Company has no further obligation to issue any shares of common stock or Series A Preferred Stock to the holder under the Purchase Agreement or otherwise. Under the Release Agreement, each party also provided a full release to the other party.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all of the Company’s redeemable preferred stock converted into 32,314,615 shares of common stock in accordance with their respective terms. As of September 30, 2025, no redeemable preferred stock remains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20, 2025, the Company entered into a definitive agreement to issue newly-created Series B Preferred Stock, in exchange for an equivalent amount of its senior secured term-loan debt. See Note 13 – Subsequent Events for additional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on common stock had been declared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and 2024, the Company had reserved shares of common stock for issuance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30,</w:t>
            </w: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56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194,299</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61,742,104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6,974,220</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4,256,156</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3,575,678</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2,777,778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2,777,778</w:t>
            </w: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1,168,204</w:t>
            </w:r>
          </w:p>
        </w:tc>
        <w:tc>
          <w:tcPr>
            <w:tcW w:w="2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928,881</w:t>
            </w:r>
          </w:p>
        </w:tc>
        <w:tc>
          <w:tcPr>
            <w:tcW w:w="8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70,081,764</w:t>
            </w:r>
          </w:p>
        </w:tc>
        <w:tc>
          <w:tcPr>
            <w:tcW w:w="2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14,450,856</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$150 million, pursuant to the terms of the Purchase Agreement (the “ChEF Equity Facility”). In addition, the Company appointed LifeSci Capital, LLC as “qualified independent underwriter” with respect to the transactions contemplated by the Purchase Agreement. Under the terms of the Purchase Agreement with CCM LLC, the Company issued 23,160 shares for aggregate net proceeds to the Company of $63 from the period January 1, 2025 through September 30, 2025. The Company issued 249,488 shares pursuant to the ChEF Equity Facility for aggregate proceeds to the Company of $1,705 from the period of January 1, 2024 through September 30, 2024. In accordance with the anti-dilution provisions of the Penny Warrants with respect to certain sales made by the Company under the ChEF Equity Facility, 20,524 Penny Warrants were issued from the period January 1, 2024 through September 30, 2024. The ChEF Equity Facility expires in December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Public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2025, the Company entered into an underwriting agreement with Canaccord, as representative of the several underwriters named in the certain underwriting agreement, relating to an underwritten public offering of 21,980,000 shares of common stock at a price to the public of $0.25 per share raising proceeds of $4,684 net of offering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Public Offering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13 – Subsequent Events for information regarding the Company’s two October 2025 offerings completed under underwriting agreements with Canaccord, which included the issuance of additional shares of common stock and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273,822 shares of the Company’s common stock were initially available for issuance under the ESPP. The share limit will automatically increase on the first trading day in January of each year by an amount equal to lesser of (1) 1% of the total number of outstanding shares of the Company’s common stock on December 31 in the prior year, (2) 166,667 shares, or (3) such number as determined by the Company’s board of directors.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Average Grant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418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Date Fair</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intrinsic</w:t>
            </w:r>
          </w:p>
        </w:tc>
      </w:tr>
      <w:tr>
        <w:trPr>
          <w:trHeight w:val="234"/>
        </w:trPr>
        <w:tc>
          <w:tcPr>
            <w:tcW w:w="418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Options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Price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Value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Life (in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2025</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168,809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42.79</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137,522</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34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4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2025</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134,298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137,522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Company did not issue any 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$578 and $759 was recognized in the Company’s consolidated statements of operations for the nine months ended September 30, 2025 and 2024, respectively. Share-based compensation expense for options and RSUs totaling $168 and $256 was recognized in the Company’s consolidated statements of operations for the three months ended September 30, 2025 and 2024,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$578 of share-based compensation incurred during the nine months ended September 30, 2025, $45 is allocated to cost of goods sold, $36 to research and development, $179 to selling and marketing, and $318 to general and administrative expenses. Of the $759 of share-based compensation incurred during the nine months ended September 30, 2024, $81 is allocated to cost of goods sold, $136 to research and development, $198 to selling and marketing, and $344 to general and administrative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$168 of share-based compensation incurred during the three months ended September 30, 2025, $11 is allocated to cost of goods sold, $9 to research and development, $55 to selling and marketing, and $93 to general and administrative expenses. Of the $256 of share-based compensation incurred during the three months ended September 30, 2024, $21 is allocated to cost of goods sold, $35 to research and development, $71 to selling and marketing, and $129 to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5, 2024, the Company granted 24,447 restricted stock units of which 11,111 vested immediately. The fair value of the 24,447 restricted stock units was $95 and an expense of $8 and $48 was recorded as compensation expense during the nine months ended September 30, 2025 and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(continued)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12, 2024, the Company issued a total of 92,923 RSUs to the following employees: (i) 63,045 RSUs to the Chief Executive Officer; (ii) 20,165 RSUs to the Chief Revenue Officer; and (iii) 9,712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92,923 RSUs was $376 and an expense of $94 and $59 was recorded during the nine months ended September 30, 2025 and 2024,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24,692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148,152 RSUs issued to directors in total was $600 and an expense of $102 and $94 was recorded during the nine months ended September 30, 2025 and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24, 2024, the Company granted 2,417 RSUs. The RSUs will vest in three equal annual installments, with the first vesting date on the one (1) year anniversary date of their issuance, subject to the directors continued service on with the Company on each vesting date. The fair value of the 2,417 RSUs was $19 and an expense of $4 and $1 was recorded as compensation expense during the nine months ended September 30, 2025 and 2024,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19, 2024, the Company granted 81,710 RSUs. The RSUs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81,710 RSUs was $448 and an expense of $89 and $17 was recorded as compensation expense during the nine months ended September 30, 2025 and 2024,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26, 2024, the Company granted 2,223 RSUs. The RSUs will vest in three equal annual installments, with the first vesting date on the one (1) year anniversary of the date of issuance and the following two vesting dates on each subsequent anniversary of the date of issuance, subject to such employee’s continued employment as of each vesting date. The fair value of the 2,223 RSUs was $12 and no expense was recorded as compensation expense during the nine months ended September 30, 2025 or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2025 and May 19, 2025, the Company granted 3,778 and 889 RSUs, respectively. The RSUs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RSUs was $4 and $1 was recorded as compensation expense during the nine months ended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RSU activity for the nine months ended September 30, 2025:</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shares, January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and unvested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shares, September 30,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Average Fair</w:t>
            </w:r>
          </w:p>
        </w:tc>
      </w:tr>
      <w:tr>
        <w:trPr>
          <w:trHeight w:val="234"/>
        </w:trPr>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Market Value</w:t>
            </w:r>
          </w:p>
        </w:tc>
      </w:tr>
      <w:tr>
        <w:trPr>
          <w:trHeight w:val="407"/>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334,751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16"/>
        </w:trPr>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48"/>
        </w:trPr>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3"/>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3"/>
        </w:trPr>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-1010920</wp:posOffset>
            </wp:positionV>
            <wp:extent cx="498919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-736600</wp:posOffset>
            </wp:positionV>
            <wp:extent cx="498919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-453390</wp:posOffset>
            </wp:positionV>
            <wp:extent cx="498919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89195" cy="16319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180" w:space="720"/>
            <w:col w:w="6340"/>
          </w:cols>
          <w:pgMar w:left="320" w:top="684"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2024 there were 1,168,204 and 928,881 shares, respectively, of unissued authorized and available for future awards under the 2022 Equity Incentive Plan and Employee Stock Purchase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the Dragonfly Energy Corporation, Inc. Employee Stock Purchase Plan (“ESPP”)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2024, the Company issued 27,197 common shares in connection with its Employee Stock Purchase Plan for a total consideration of approximately $112. The ESPP allows employees to purchase shares at a 15% discount to the lesser of the stock price at the beginning or the end of the offering period, which was October 1, 2023, and April 1, 2024, respectively. The discount resulted in an exercise price of $4.14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issued 87,506 common shares in connection with its Employee Stock Purchase Plan for a total consideration of approximately $73. The ESPP allows employees to purchase shares at a 15% discount to the lesser of the stock price at the beginning or the end of the offering period, which was October 1, 2024 and April 1, 2025, respectively. The discount resulted in an exercise price of $0.83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DTC and OEM. The DTC segment pertains to Battle Born, LLC branded batteries which are sold directly to consumers. The OEM segment pertains to Dragonfly branded batteries which are sold to original equipment manufacturers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DTC and OEM, the Chief Operating Decision Maker (“CODM”) uses both segment gross and net profit and loss from operations to allocate resources (including employees, property, and financial or capital resources) for each segment predominantly in the annual budget and forecasting process.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information for the reported segments is not disclosed as it is not used by the CODM in evaluating the performance of, or making decisions about, the reported segments.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are strategic business units that offer different branded products. They are managed separately because each segment requires different technology and marketing strategies.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CODM is the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reportable segments information for the nine months ended September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DTC</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OEM</w:t>
            </w:r>
          </w:p>
        </w:tc>
        <w:tc>
          <w:tcPr>
            <w:tcW w:w="300" w:type="dxa"/>
            <w:vAlign w:val="bottom"/>
          </w:tcPr>
          <w:p>
            <w:pPr>
              <w:spacing w:after="0"/>
              <w:rPr>
                <w:sz w:val="20"/>
                <w:szCs w:val="20"/>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Net Sales</w:t>
            </w:r>
          </w:p>
        </w:tc>
        <w:tc>
          <w:tcPr>
            <w:tcW w:w="9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16,001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28,820</w:t>
            </w: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
                <w:szCs w:val="1"/>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750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
                <w:sz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45,571</w:t>
            </w:r>
          </w:p>
        </w:tc>
      </w:tr>
      <w:tr>
        <w:trPr>
          <w:trHeight w:val="201"/>
        </w:trPr>
        <w:tc>
          <w:tcPr>
            <w:tcW w:w="4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material</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17,070</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26,410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 labor</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1,497</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overhead and depreciation</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1,896</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3,291</w:t>
            </w:r>
          </w:p>
        </w:tc>
      </w:tr>
      <w:tr>
        <w:trPr>
          <w:trHeight w:val="209"/>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20,463</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32,302</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8,357</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13,269</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
        </w:trPr>
        <w:tc>
          <w:tcPr>
            <w:tcW w:w="4240" w:type="dxa"/>
            <w:vAlign w:val="bottom"/>
          </w:tcPr>
          <w:p>
            <w:pPr>
              <w:spacing w:after="0"/>
              <w:rPr>
                <w:sz w:val="20"/>
                <w:szCs w:val="20"/>
                <w:color w:val="auto"/>
              </w:rPr>
            </w:pPr>
            <w:r>
              <w:rPr>
                <w:rFonts w:ascii="Times New Roman" w:cs="Times New Roman" w:eastAsia="Times New Roman" w:hAnsi="Times New Roman"/>
                <w:sz w:val="1"/>
                <w:szCs w:val="1"/>
                <w:color w:val="auto"/>
              </w:rPr>
              <w:t>Research &amp; development</w:t>
            </w:r>
          </w:p>
        </w:tc>
        <w:tc>
          <w:tcPr>
            <w:tcW w:w="940" w:type="dxa"/>
            <w:vAlign w:val="bottom"/>
          </w:tcPr>
          <w:p>
            <w:pPr>
              <w:spacing w:after="0" w:line="20" w:lineRule="exact"/>
              <w:rPr>
                <w:sz w:val="1"/>
                <w:szCs w:val="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
                <w:szCs w:val="1"/>
                <w:color w:val="auto"/>
              </w:rPr>
              <w:t>2,277</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2,277</w:t>
            </w: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adjustment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&amp; amazon transaction fees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Other general &amp; administrative</w:t>
            </w:r>
          </w:p>
        </w:tc>
        <w:tc>
          <w:tcPr>
            <w:tcW w:w="9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15,890</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15,890</w:t>
            </w:r>
          </w:p>
        </w:tc>
      </w:tr>
      <w:tr>
        <w:trPr>
          <w:trHeight w:val="201"/>
        </w:trPr>
        <w:tc>
          <w:tcPr>
            <w:tcW w:w="4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821</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stock compensation</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wages</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943</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spend</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Unallocated sales and marketing stock compensation</w:t>
            </w:r>
          </w:p>
        </w:tc>
        <w:tc>
          <w:tcPr>
            <w:tcW w:w="9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46</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46</w:t>
            </w:r>
          </w:p>
        </w:tc>
      </w:tr>
      <w:tr>
        <w:trPr>
          <w:trHeight w:val="197"/>
        </w:trPr>
        <w:tc>
          <w:tcPr>
            <w:tcW w:w="4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
        </w:trPr>
        <w:tc>
          <w:tcPr>
            <w:tcW w:w="42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Unallocated sales and marketing wages</w:t>
            </w:r>
          </w:p>
        </w:tc>
        <w:tc>
          <w:tcPr>
            <w:tcW w:w="940" w:type="dxa"/>
            <w:vAlign w:val="bottom"/>
          </w:tcPr>
          <w:p>
            <w:pPr>
              <w:spacing w:after="0" w:line="20" w:lineRule="exact"/>
              <w:rPr>
                <w:sz w:val="1"/>
                <w:szCs w:val="1"/>
                <w:color w:val="auto"/>
              </w:rPr>
            </w:pPr>
          </w:p>
        </w:tc>
        <w:tc>
          <w:tcPr>
            <w:tcW w:w="700" w:type="dxa"/>
            <w:vAlign w:val="bottom"/>
            <w:gridSpan w:val="2"/>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line="19" w:lineRule="exact"/>
              <w:rPr>
                <w:sz w:val="20"/>
                <w:szCs w:val="20"/>
                <w:color w:val="auto"/>
              </w:rPr>
            </w:pPr>
            <w:r>
              <w:rPr>
                <w:rFonts w:ascii="Times New Roman" w:cs="Times New Roman" w:eastAsia="Times New Roman" w:hAnsi="Times New Roman"/>
                <w:sz w:val="2"/>
                <w:szCs w:val="2"/>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1,033</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1,033</w:t>
            </w: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&amp; marketing</w:t>
            </w:r>
          </w:p>
        </w:tc>
        <w:tc>
          <w:tcPr>
            <w:tcW w:w="9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line="233" w:lineRule="exact"/>
              <w:rPr>
                <w:sz w:val="20"/>
                <w:szCs w:val="20"/>
                <w:color w:val="auto"/>
              </w:rPr>
            </w:pPr>
            <w:r>
              <w:rPr>
                <w:rFonts w:ascii="Times New Roman" w:cs="Times New Roman" w:eastAsia="Times New Roman" w:hAnsi="Times New Roman"/>
                <w:sz w:val="17"/>
                <w:szCs w:val="17"/>
                <w:color w:val="auto"/>
              </w:rPr>
              <w:t>603</w:t>
            </w:r>
            <w:r>
              <w:rPr>
                <w:rFonts w:ascii="Times New Roman" w:cs="Times New Roman" w:eastAsia="Times New Roman" w:hAnsi="Times New Roman"/>
                <w:sz w:val="27"/>
                <w:szCs w:val="27"/>
                <w:color w:val="auto"/>
                <w:vertAlign w:val="superscript"/>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10"/>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2,056</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26,242</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6,301</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(12,973)</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(16,552)</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(16,552)</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FMV of warrant liability</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4,624</w:t>
            </w:r>
          </w:p>
        </w:tc>
      </w:tr>
      <w:tr>
        <w:trPr>
          <w:trHeight w:val="210"/>
        </w:trPr>
        <w:tc>
          <w:tcPr>
            <w:tcW w:w="4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9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(11,928)</w:t>
            </w:r>
          </w:p>
        </w:tc>
      </w:tr>
      <w:tr>
        <w:trPr>
          <w:trHeight w:val="216"/>
        </w:trPr>
        <w:tc>
          <w:tcPr>
            <w:tcW w:w="4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9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6,301</w:t>
            </w:r>
          </w:p>
        </w:tc>
        <w:tc>
          <w:tcPr>
            <w:tcW w:w="3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(24,901)</w:t>
            </w:r>
          </w:p>
        </w:tc>
      </w:tr>
      <w:tr>
        <w:trPr>
          <w:trHeight w:val="209"/>
        </w:trPr>
        <w:tc>
          <w:tcPr>
            <w:tcW w:w="4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6,301</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(31,027)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(24,901)</w:t>
            </w:r>
          </w:p>
        </w:tc>
      </w:tr>
      <w:tr>
        <w:trPr>
          <w:trHeight w:val="210"/>
        </w:trPr>
        <w:tc>
          <w:tcPr>
            <w:tcW w:w="4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169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7" w:lineRule="exact"/>
        <w:rPr>
          <w:sz w:val="20"/>
          <w:szCs w:val="20"/>
          <w:color w:val="auto"/>
        </w:rPr>
      </w:pPr>
    </w:p>
    <w:p>
      <w:pPr>
        <w:ind w:left="893" w:hanging="893"/>
        <w:spacing w:after="0"/>
        <w:tabs>
          <w:tab w:leader="none" w:pos="8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9169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69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9169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7" w:space="720"/>
            <w:col w:w="1553"/>
          </w:cols>
          <w:pgMar w:left="320" w:top="684"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which is not considered a segment as it is currently immaterial</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including employee costs related to new products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Engineering employee costs along with legal, insurance, professional fees related to administration and other general office expenses</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sales and marketing employee cost and other marketing expenses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related to debt and change in fair market value of warrant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 revenues from the Company’s DTC segment for the nine months ended September 30,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from one customer of the Company’s OEM segment represent approximately $13,021, or 29%, of the Company’s consolidated revenues for the nine months ended September 30,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reportable segments information for the nine months ended September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DTC</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OEM</w:t>
            </w:r>
          </w:p>
        </w:tc>
        <w:tc>
          <w:tcPr>
            <w:tcW w:w="300" w:type="dxa"/>
            <w:vAlign w:val="bottom"/>
          </w:tcPr>
          <w:p>
            <w:pPr>
              <w:spacing w:after="0"/>
              <w:rPr>
                <w:sz w:val="20"/>
                <w:szCs w:val="20"/>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16,890</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21,376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38,433</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material</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13,896</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 labor</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1,379</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overhead and depreciation</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1,632</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2,897</w:t>
            </w:r>
          </w:p>
        </w:tc>
      </w:tr>
      <w:tr>
        <w:trPr>
          <w:trHeight w:val="209"/>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12,438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16,907</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29,345</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4,469</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9,088</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
        </w:trPr>
        <w:tc>
          <w:tcPr>
            <w:tcW w:w="4240" w:type="dxa"/>
            <w:vAlign w:val="bottom"/>
          </w:tcPr>
          <w:p>
            <w:pPr>
              <w:spacing w:after="0"/>
              <w:rPr>
                <w:sz w:val="20"/>
                <w:szCs w:val="20"/>
                <w:color w:val="auto"/>
              </w:rPr>
            </w:pPr>
            <w:r>
              <w:rPr>
                <w:rFonts w:ascii="Times New Roman" w:cs="Times New Roman" w:eastAsia="Times New Roman" w:hAnsi="Times New Roman"/>
                <w:sz w:val="1"/>
                <w:szCs w:val="1"/>
                <w:color w:val="auto"/>
              </w:rPr>
              <w:t>Research &amp; development</w:t>
            </w:r>
          </w:p>
        </w:tc>
        <w:tc>
          <w:tcPr>
            <w:tcW w:w="940" w:type="dxa"/>
            <w:vAlign w:val="bottom"/>
          </w:tcPr>
          <w:p>
            <w:pPr>
              <w:spacing w:after="0" w:line="20" w:lineRule="exact"/>
              <w:rPr>
                <w:sz w:val="1"/>
                <w:szCs w:val="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
                <w:szCs w:val="1"/>
                <w:color w:val="auto"/>
              </w:rPr>
              <w:t>4,495</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4,495</w:t>
            </w: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adjustment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&amp; amazon transaction fees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Other general &amp; administrative</w:t>
            </w:r>
          </w:p>
        </w:tc>
        <w:tc>
          <w:tcPr>
            <w:tcW w:w="94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14,367</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14,367</w:t>
            </w:r>
          </w:p>
        </w:tc>
      </w:tr>
      <w:tr>
        <w:trPr>
          <w:trHeight w:val="201"/>
        </w:trPr>
        <w:tc>
          <w:tcPr>
            <w:tcW w:w="4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815</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stock compensation</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wages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1,088</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spend</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Unallocated sales and marketing stock compensation</w:t>
            </w:r>
          </w:p>
        </w:tc>
        <w:tc>
          <w:tcPr>
            <w:tcW w:w="94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
                <w:szCs w:val="1"/>
                <w:color w:val="auto"/>
              </w:rPr>
              <w:t>-</w:t>
            </w: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42</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42</w:t>
            </w:r>
          </w:p>
        </w:tc>
      </w:tr>
      <w:tr>
        <w:trPr>
          <w:trHeight w:val="197"/>
        </w:trPr>
        <w:tc>
          <w:tcPr>
            <w:tcW w:w="4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
        </w:trPr>
        <w:tc>
          <w:tcPr>
            <w:tcW w:w="42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Unallocated sales and marketing wages</w:t>
            </w:r>
          </w:p>
        </w:tc>
        <w:tc>
          <w:tcPr>
            <w:tcW w:w="940" w:type="dxa"/>
            <w:vAlign w:val="bottom"/>
          </w:tcPr>
          <w:p>
            <w:pPr>
              <w:spacing w:after="0" w:line="20" w:lineRule="exact"/>
              <w:rPr>
                <w:sz w:val="1"/>
                <w:szCs w:val="1"/>
                <w:color w:val="auto"/>
              </w:rPr>
            </w:pPr>
          </w:p>
        </w:tc>
        <w:tc>
          <w:tcPr>
            <w:tcW w:w="680" w:type="dxa"/>
            <w:vAlign w:val="bottom"/>
            <w:gridSpan w:val="2"/>
          </w:tcPr>
          <w:p>
            <w:pPr>
              <w:jc w:val="right"/>
              <w:ind w:right="160"/>
              <w:spacing w:after="0" w:line="19" w:lineRule="exact"/>
              <w:rPr>
                <w:sz w:val="20"/>
                <w:szCs w:val="20"/>
                <w:color w:val="auto"/>
              </w:rPr>
            </w:pPr>
            <w:r>
              <w:rPr>
                <w:rFonts w:ascii="Times New Roman" w:cs="Times New Roman" w:eastAsia="Times New Roman" w:hAnsi="Times New Roman"/>
                <w:sz w:val="2"/>
                <w:szCs w:val="2"/>
                <w:color w:val="auto"/>
              </w:rPr>
              <w:t>-</w:t>
            </w: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line="19" w:lineRule="exact"/>
              <w:rPr>
                <w:sz w:val="20"/>
                <w:szCs w:val="20"/>
                <w:color w:val="auto"/>
              </w:rPr>
            </w:pPr>
            <w:r>
              <w:rPr>
                <w:rFonts w:ascii="Times New Roman" w:cs="Times New Roman" w:eastAsia="Times New Roman" w:hAnsi="Times New Roman"/>
                <w:sz w:val="2"/>
                <w:szCs w:val="2"/>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1,031</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1,031</w:t>
            </w:r>
          </w:p>
        </w:tc>
      </w:tr>
      <w:tr>
        <w:trPr>
          <w:trHeight w:val="19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&amp; marketing</w:t>
            </w:r>
          </w:p>
        </w:tc>
        <w:tc>
          <w:tcPr>
            <w:tcW w:w="9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line="233" w:lineRule="exact"/>
              <w:rPr>
                <w:sz w:val="20"/>
                <w:szCs w:val="20"/>
                <w:color w:val="auto"/>
              </w:rPr>
            </w:pPr>
            <w:r>
              <w:rPr>
                <w:rFonts w:ascii="Times New Roman" w:cs="Times New Roman" w:eastAsia="Times New Roman" w:hAnsi="Times New Roman"/>
                <w:sz w:val="17"/>
                <w:szCs w:val="17"/>
                <w:color w:val="auto"/>
              </w:rPr>
              <w:t>2,032</w:t>
            </w:r>
            <w:r>
              <w:rPr>
                <w:rFonts w:ascii="Times New Roman" w:cs="Times New Roman" w:eastAsia="Times New Roman" w:hAnsi="Times New Roman"/>
                <w:sz w:val="27"/>
                <w:szCs w:val="27"/>
                <w:color w:val="auto"/>
                <w:vertAlign w:val="superscript"/>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2,032</w:t>
            </w:r>
          </w:p>
        </w:tc>
      </w:tr>
      <w:tr>
        <w:trPr>
          <w:trHeight w:val="210"/>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2,382</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27,702</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2,087</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(21,800)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(18,614)</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50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(15,253)</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(15,253)</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FMV of warrant liability</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line="230" w:lineRule="exact"/>
              <w:rPr>
                <w:sz w:val="20"/>
                <w:szCs w:val="20"/>
                <w:color w:val="auto"/>
              </w:rPr>
            </w:pPr>
            <w:r>
              <w:rPr>
                <w:rFonts w:ascii="Times New Roman" w:cs="Times New Roman" w:eastAsia="Times New Roman" w:hAnsi="Times New Roman"/>
                <w:sz w:val="16"/>
                <w:szCs w:val="16"/>
                <w:color w:val="auto"/>
              </w:rPr>
              <w:t>3,130</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r>
      <w:tr>
        <w:trPr>
          <w:trHeight w:val="210"/>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(12,159)</w:t>
            </w:r>
          </w:p>
        </w:tc>
      </w:tr>
      <w:tr>
        <w:trPr>
          <w:trHeight w:val="216"/>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taxes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2,087</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(30,773)</w:t>
            </w:r>
          </w:p>
        </w:tc>
      </w:tr>
      <w:tr>
        <w:trPr>
          <w:trHeight w:val="209"/>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(33,959)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(30,773)</w:t>
            </w:r>
          </w:p>
        </w:tc>
      </w:tr>
      <w:tr>
        <w:trPr>
          <w:trHeight w:val="20"/>
        </w:trPr>
        <w:tc>
          <w:tcPr>
            <w:tcW w:w="4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93" w:hanging="893"/>
        <w:spacing w:after="0"/>
        <w:tabs>
          <w:tab w:leader="none" w:pos="8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916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7" w:space="720"/>
            <w:col w:w="1553"/>
          </w:cols>
          <w:pgMar w:left="320" w:top="684"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ind w:left="360" w:hanging="29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including employee costs related to new products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Engineering employee costs along with legal, insurance, professional fees related to administration and other general office expenses</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sales and marketing employee cost and other marketing expenses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related to debt and change in fair market value of warrant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 revenues from the Company’s DTC segment for the nine months ended September 30, 2024.</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from one customer of the Company’s OEM segment represent approximately $5,534, or 15%, of the Company’s consolidated revenues for the nine months ended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following table presents the reportable segments information for the three months ended September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DTC</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OEM</w:t>
            </w:r>
          </w:p>
        </w:tc>
        <w:tc>
          <w:tcPr>
            <w:tcW w:w="300" w:type="dxa"/>
            <w:vAlign w:val="bottom"/>
          </w:tcPr>
          <w:p>
            <w:pPr>
              <w:spacing w:after="0"/>
              <w:rPr>
                <w:sz w:val="20"/>
                <w:szCs w:val="20"/>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b w:val="1"/>
                <w:bCs w:val="1"/>
                <w:color w:val="auto"/>
              </w:rPr>
              <w:t>Net Sales</w:t>
            </w:r>
          </w:p>
        </w:tc>
        <w:tc>
          <w:tcPr>
            <w:tcW w:w="98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
                <w:szCs w:val="1"/>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5,038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
                <w:szCs w:val="1"/>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10,679</w:t>
            </w: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
                <w:szCs w:val="1"/>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250</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
                <w:sz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15,967</w:t>
            </w:r>
          </w:p>
        </w:tc>
      </w:tr>
      <w:tr>
        <w:trPr>
          <w:trHeight w:val="201"/>
        </w:trPr>
        <w:tc>
          <w:tcPr>
            <w:tcW w:w="4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material</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6,317</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 labor</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overhead and depreciation</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r>
      <w:tr>
        <w:trPr>
          <w:trHeight w:val="209"/>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7,457</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11,231</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3,222</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4,736</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
        </w:trPr>
        <w:tc>
          <w:tcPr>
            <w:tcW w:w="4240" w:type="dxa"/>
            <w:vAlign w:val="bottom"/>
          </w:tcPr>
          <w:p>
            <w:pPr>
              <w:spacing w:after="0"/>
              <w:rPr>
                <w:sz w:val="20"/>
                <w:szCs w:val="20"/>
                <w:color w:val="auto"/>
              </w:rPr>
            </w:pPr>
            <w:r>
              <w:rPr>
                <w:rFonts w:ascii="Times New Roman" w:cs="Times New Roman" w:eastAsia="Times New Roman" w:hAnsi="Times New Roman"/>
                <w:sz w:val="1"/>
                <w:szCs w:val="1"/>
                <w:color w:val="auto"/>
              </w:rPr>
              <w:t>Research &amp; development</w:t>
            </w:r>
          </w:p>
        </w:tc>
        <w:tc>
          <w:tcPr>
            <w:tcW w:w="980" w:type="dxa"/>
            <w:vAlign w:val="bottom"/>
          </w:tcPr>
          <w:p>
            <w:pPr>
              <w:spacing w:after="0" w:line="20" w:lineRule="exact"/>
              <w:rPr>
                <w:sz w:val="1"/>
                <w:szCs w:val="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
                <w:szCs w:val="1"/>
                <w:color w:val="auto"/>
              </w:rPr>
              <w:t>585</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585</w:t>
            </w:r>
          </w:p>
        </w:tc>
      </w:tr>
      <w:tr>
        <w:trPr>
          <w:trHeight w:val="197"/>
        </w:trPr>
        <w:tc>
          <w:tcPr>
            <w:tcW w:w="4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adjustment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&amp; amazon transaction fees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Other general &amp; administrative</w:t>
            </w:r>
          </w:p>
        </w:tc>
        <w:tc>
          <w:tcPr>
            <w:tcW w:w="98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5,125</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5,125</w:t>
            </w:r>
          </w:p>
        </w:tc>
      </w:tr>
      <w:tr>
        <w:trPr>
          <w:trHeight w:val="201"/>
        </w:trPr>
        <w:tc>
          <w:tcPr>
            <w:tcW w:w="4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stock compensation</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wages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spend</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Unallocated sales and marketing stock compensation</w:t>
            </w:r>
          </w:p>
        </w:tc>
        <w:tc>
          <w:tcPr>
            <w:tcW w:w="98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15</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15</w:t>
            </w:r>
          </w:p>
        </w:tc>
      </w:tr>
      <w:tr>
        <w:trPr>
          <w:trHeight w:val="197"/>
        </w:trPr>
        <w:tc>
          <w:tcPr>
            <w:tcW w:w="4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
        </w:trPr>
        <w:tc>
          <w:tcPr>
            <w:tcW w:w="42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Unallocated sales and marketing wages</w:t>
            </w:r>
          </w:p>
        </w:tc>
        <w:tc>
          <w:tcPr>
            <w:tcW w:w="980" w:type="dxa"/>
            <w:vAlign w:val="bottom"/>
          </w:tcPr>
          <w:p>
            <w:pPr>
              <w:spacing w:after="0" w:line="20" w:lineRule="exact"/>
              <w:rPr>
                <w:sz w:val="1"/>
                <w:szCs w:val="1"/>
                <w:color w:val="auto"/>
              </w:rPr>
            </w:pPr>
          </w:p>
        </w:tc>
        <w:tc>
          <w:tcPr>
            <w:tcW w:w="660" w:type="dxa"/>
            <w:vAlign w:val="bottom"/>
            <w:gridSpan w:val="2"/>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line="19" w:lineRule="exact"/>
              <w:rPr>
                <w:sz w:val="20"/>
                <w:szCs w:val="20"/>
                <w:color w:val="auto"/>
              </w:rPr>
            </w:pPr>
            <w:r>
              <w:rPr>
                <w:rFonts w:ascii="Times New Roman" w:cs="Times New Roman" w:eastAsia="Times New Roman" w:hAnsi="Times New Roman"/>
                <w:sz w:val="2"/>
                <w:szCs w:val="2"/>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409</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409</w:t>
            </w:r>
          </w:p>
        </w:tc>
      </w:tr>
      <w:tr>
        <w:trPr>
          <w:trHeight w:val="197"/>
        </w:trPr>
        <w:tc>
          <w:tcPr>
            <w:tcW w:w="4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&amp; marketing</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0"/>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8,514</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(3,778)</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(6,409)</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(6,409)</w:t>
            </w: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FMV of warrant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09"/>
        </w:trPr>
        <w:tc>
          <w:tcPr>
            <w:tcW w:w="4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(7,292)</w:t>
            </w:r>
          </w:p>
        </w:tc>
      </w:tr>
      <w:tr>
        <w:trPr>
          <w:trHeight w:val="216"/>
        </w:trPr>
        <w:tc>
          <w:tcPr>
            <w:tcW w:w="4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9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(11,070)</w:t>
            </w:r>
          </w:p>
        </w:tc>
      </w:tr>
      <w:tr>
        <w:trPr>
          <w:trHeight w:val="210"/>
        </w:trPr>
        <w:tc>
          <w:tcPr>
            <w:tcW w:w="4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(13,375)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(11,070)</w:t>
            </w:r>
          </w:p>
        </w:tc>
      </w:tr>
      <w:tr>
        <w:trPr>
          <w:trHeight w:val="209"/>
        </w:trPr>
        <w:tc>
          <w:tcPr>
            <w:tcW w:w="4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16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7" w:lineRule="exact"/>
        <w:rPr>
          <w:sz w:val="20"/>
          <w:szCs w:val="20"/>
          <w:color w:val="auto"/>
        </w:rPr>
      </w:pPr>
    </w:p>
    <w:p>
      <w:pPr>
        <w:ind w:left="893" w:hanging="893"/>
        <w:spacing w:after="0"/>
        <w:tabs>
          <w:tab w:leader="none" w:pos="8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9169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69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40005</wp:posOffset>
            </wp:positionV>
            <wp:extent cx="9169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7" w:space="720"/>
            <w:col w:w="1553"/>
          </w:cols>
          <w:pgMar w:left="320" w:top="684"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0" w:name="page41"/>
    <w:bookmarkEnd w:id="4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ind w:left="360" w:hanging="29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which is not considered a segment as it is currently immaterial</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including employee costs related to new products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Engineering employee costs along with legal, insurance, professional fees related to administration and other general office expenses</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sales and marketing employee cost and other marketing expenses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related to debt and change in fair market value of warrant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 revenues from the Company’s DTC segment for the three months ended September 30, 2025.</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from one customer of the Company’s OEM segment represents approximately $5,575, or 35%, of the Company’s consolidated revenues for the three months ended September 30, 2025.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reportable segments information for the three months ended September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DTC</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OEM</w:t>
            </w:r>
          </w:p>
        </w:tc>
        <w:tc>
          <w:tcPr>
            <w:tcW w:w="300" w:type="dxa"/>
            <w:vAlign w:val="bottom"/>
          </w:tcPr>
          <w:p>
            <w:pPr>
              <w:spacing w:after="0"/>
              <w:rPr>
                <w:sz w:val="20"/>
                <w:szCs w:val="20"/>
                <w:color w:val="auto"/>
              </w:rPr>
            </w:pPr>
          </w:p>
        </w:tc>
        <w:tc>
          <w:tcPr>
            <w:tcW w:w="15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5,153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7,400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12,720</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material</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4,986</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Direct labor</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overhead and depreciation</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09"/>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5,837</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9,850</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5"/>
        </w:trPr>
        <w:tc>
          <w:tcPr>
            <w:tcW w:w="4240" w:type="dxa"/>
            <w:vAlign w:val="bottom"/>
          </w:tcPr>
          <w:p>
            <w:pPr>
              <w:spacing w:after="0"/>
              <w:rPr>
                <w:sz w:val="20"/>
                <w:szCs w:val="20"/>
                <w:color w:val="auto"/>
              </w:rPr>
            </w:pPr>
            <w:r>
              <w:rPr>
                <w:rFonts w:ascii="Times New Roman" w:cs="Times New Roman" w:eastAsia="Times New Roman" w:hAnsi="Times New Roman"/>
                <w:sz w:val="1"/>
                <w:szCs w:val="1"/>
                <w:color w:val="auto"/>
              </w:rPr>
              <w:t>Research &amp; development</w:t>
            </w:r>
          </w:p>
        </w:tc>
        <w:tc>
          <w:tcPr>
            <w:tcW w:w="980" w:type="dxa"/>
            <w:vAlign w:val="bottom"/>
          </w:tcPr>
          <w:p>
            <w:pPr>
              <w:spacing w:after="0" w:line="20" w:lineRule="exact"/>
              <w:rPr>
                <w:sz w:val="1"/>
                <w:szCs w:val="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
                <w:szCs w:val="1"/>
                <w:color w:val="auto"/>
              </w:rPr>
              <w:t>1,631</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
                <w:szCs w:val="1"/>
                <w:color w:val="auto"/>
              </w:rPr>
              <w:t>1,631</w:t>
            </w:r>
          </w:p>
        </w:tc>
      </w:tr>
      <w:tr>
        <w:trPr>
          <w:trHeight w:val="197"/>
        </w:trPr>
        <w:tc>
          <w:tcPr>
            <w:tcW w:w="4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adjustment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&amp; amazon transaction fees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Other general &amp; administrative</w:t>
            </w:r>
          </w:p>
        </w:tc>
        <w:tc>
          <w:tcPr>
            <w:tcW w:w="98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4,212</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4,212</w:t>
            </w:r>
          </w:p>
        </w:tc>
      </w:tr>
      <w:tr>
        <w:trPr>
          <w:trHeight w:val="201"/>
        </w:trPr>
        <w:tc>
          <w:tcPr>
            <w:tcW w:w="4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Shipping</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stock compensation</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wages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spend</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1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Unallocated sales and marketing stock compensation</w:t>
            </w:r>
          </w:p>
        </w:tc>
        <w:tc>
          <w:tcPr>
            <w:tcW w:w="980" w:type="dxa"/>
            <w:vAlign w:val="bottom"/>
            <w:shd w:val="clear" w:color="auto" w:fill="CCEEFF"/>
          </w:tcPr>
          <w:p>
            <w:pPr>
              <w:spacing w:after="0" w:line="20" w:lineRule="exact"/>
              <w:rPr>
                <w:sz w:val="1"/>
                <w:szCs w:val="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rPr>
              <w:t>-</w:t>
            </w: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w:t>
            </w:r>
          </w:p>
        </w:tc>
        <w:tc>
          <w:tcPr>
            <w:tcW w:w="3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
                <w:szCs w:val="1"/>
                <w:color w:val="auto"/>
              </w:rPr>
              <w:t>17</w:t>
            </w: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color w:val="auto"/>
              </w:rPr>
              <w:t>17</w:t>
            </w:r>
          </w:p>
        </w:tc>
      </w:tr>
      <w:tr>
        <w:trPr>
          <w:trHeight w:val="197"/>
        </w:trPr>
        <w:tc>
          <w:tcPr>
            <w:tcW w:w="4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
        </w:trPr>
        <w:tc>
          <w:tcPr>
            <w:tcW w:w="42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Unallocated sales and marketing wages</w:t>
            </w:r>
          </w:p>
        </w:tc>
        <w:tc>
          <w:tcPr>
            <w:tcW w:w="980" w:type="dxa"/>
            <w:vAlign w:val="bottom"/>
          </w:tcPr>
          <w:p>
            <w:pPr>
              <w:spacing w:after="0" w:line="20" w:lineRule="exact"/>
              <w:rPr>
                <w:sz w:val="1"/>
                <w:szCs w:val="1"/>
                <w:color w:val="auto"/>
              </w:rPr>
            </w:pPr>
          </w:p>
        </w:tc>
        <w:tc>
          <w:tcPr>
            <w:tcW w:w="660" w:type="dxa"/>
            <w:vAlign w:val="bottom"/>
            <w:gridSpan w:val="2"/>
          </w:tcPr>
          <w:p>
            <w:pPr>
              <w:jc w:val="right"/>
              <w:ind w:right="180"/>
              <w:spacing w:after="0" w:line="19" w:lineRule="exact"/>
              <w:rPr>
                <w:sz w:val="20"/>
                <w:szCs w:val="20"/>
                <w:color w:val="auto"/>
              </w:rPr>
            </w:pPr>
            <w:r>
              <w:rPr>
                <w:rFonts w:ascii="Times New Roman" w:cs="Times New Roman" w:eastAsia="Times New Roman" w:hAnsi="Times New Roman"/>
                <w:sz w:val="2"/>
                <w:szCs w:val="2"/>
                <w:color w:val="auto"/>
              </w:rPr>
              <w:t>-</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jc w:val="right"/>
              <w:ind w:right="320"/>
              <w:spacing w:after="0" w:line="19" w:lineRule="exact"/>
              <w:rPr>
                <w:sz w:val="20"/>
                <w:szCs w:val="20"/>
                <w:color w:val="auto"/>
              </w:rPr>
            </w:pPr>
            <w:r>
              <w:rPr>
                <w:rFonts w:ascii="Times New Roman" w:cs="Times New Roman" w:eastAsia="Times New Roman" w:hAnsi="Times New Roman"/>
                <w:sz w:val="2"/>
                <w:szCs w:val="2"/>
                <w:color w:val="auto"/>
              </w:rPr>
              <w:t>-</w:t>
            </w:r>
          </w:p>
        </w:tc>
        <w:tc>
          <w:tcPr>
            <w:tcW w:w="300" w:type="dxa"/>
            <w:vAlign w:val="bottom"/>
          </w:tcPr>
          <w:p>
            <w:pPr>
              <w:spacing w:after="0" w:line="20" w:lineRule="exact"/>
              <w:rPr>
                <w:sz w:val="1"/>
                <w:szCs w:val="1"/>
                <w:color w:val="auto"/>
              </w:rPr>
            </w:pPr>
          </w:p>
        </w:tc>
        <w:tc>
          <w:tcPr>
            <w:tcW w:w="1500" w:type="dxa"/>
            <w:vAlign w:val="bottom"/>
            <w:gridSpan w:val="2"/>
          </w:tcPr>
          <w:p>
            <w:pPr>
              <w:jc w:val="right"/>
              <w:ind w:right="360"/>
              <w:spacing w:after="0" w:line="19" w:lineRule="exact"/>
              <w:rPr>
                <w:sz w:val="20"/>
                <w:szCs w:val="20"/>
                <w:color w:val="auto"/>
              </w:rPr>
            </w:pPr>
            <w:r>
              <w:rPr>
                <w:rFonts w:ascii="Times New Roman" w:cs="Times New Roman" w:eastAsia="Times New Roman" w:hAnsi="Times New Roman"/>
                <w:sz w:val="2"/>
                <w:szCs w:val="2"/>
                <w:color w:val="auto"/>
              </w:rPr>
              <w:t>374</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jc w:val="right"/>
              <w:ind w:right="100"/>
              <w:spacing w:after="0" w:line="19" w:lineRule="exact"/>
              <w:rPr>
                <w:sz w:val="20"/>
                <w:szCs w:val="20"/>
                <w:color w:val="auto"/>
              </w:rPr>
            </w:pPr>
            <w:r>
              <w:rPr>
                <w:rFonts w:ascii="Times New Roman" w:cs="Times New Roman" w:eastAsia="Times New Roman" w:hAnsi="Times New Roman"/>
                <w:sz w:val="2"/>
                <w:szCs w:val="2"/>
                <w:color w:val="auto"/>
              </w:rPr>
              <w:t>374</w:t>
            </w:r>
          </w:p>
        </w:tc>
      </w:tr>
      <w:tr>
        <w:trPr>
          <w:trHeight w:val="197"/>
        </w:trPr>
        <w:tc>
          <w:tcPr>
            <w:tcW w:w="4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 &amp; marketing</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704</w:t>
            </w: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8,896</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(6,026)</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500" w:type="dxa"/>
            <w:vAlign w:val="bottom"/>
            <w:gridSpan w:val="2"/>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(5,615)</w:t>
            </w:r>
            <w:r>
              <w:rPr>
                <w:rFonts w:ascii="Times New Roman" w:cs="Times New Roman" w:eastAsia="Times New Roman" w:hAnsi="Times New Roman"/>
                <w:sz w:val="29"/>
                <w:szCs w:val="29"/>
                <w:color w:val="auto"/>
                <w:vertAlign w:val="superscript"/>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(5,615)</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FMV of warrant liability</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line="230" w:lineRule="exact"/>
              <w:rPr>
                <w:sz w:val="20"/>
                <w:szCs w:val="20"/>
                <w:color w:val="auto"/>
              </w:rPr>
            </w:pPr>
            <w:r>
              <w:rPr>
                <w:rFonts w:ascii="Times New Roman" w:cs="Times New Roman" w:eastAsia="Times New Roman" w:hAnsi="Times New Roman"/>
                <w:sz w:val="16"/>
                <w:szCs w:val="16"/>
                <w:color w:val="auto"/>
              </w:rPr>
              <w:t>4,875</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w:t>
            </w:r>
          </w:p>
        </w:tc>
      </w:tr>
      <w:tr>
        <w:trPr>
          <w:trHeight w:val="210"/>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(753)</w:t>
            </w:r>
          </w:p>
        </w:tc>
      </w:tr>
      <w:tr>
        <w:trPr>
          <w:trHeight w:val="216"/>
        </w:trPr>
        <w:tc>
          <w:tcPr>
            <w:tcW w:w="4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(6,779)</w:t>
            </w:r>
          </w:p>
        </w:tc>
      </w:tr>
      <w:tr>
        <w:trPr>
          <w:trHeight w:val="210"/>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(7,524)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(6,779)</w:t>
            </w:r>
          </w:p>
        </w:tc>
      </w:tr>
      <w:tr>
        <w:trPr>
          <w:trHeight w:val="20"/>
        </w:trPr>
        <w:tc>
          <w:tcPr>
            <w:tcW w:w="4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393"/>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73" w:hanging="973"/>
        <w:spacing w:after="0"/>
        <w:tabs>
          <w:tab w:leader="none" w:pos="9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9169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7" w:space="720"/>
            <w:col w:w="1553"/>
          </w:cols>
          <w:pgMar w:left="320" w:top="684" w:right="339" w:bottom="1440" w:gutter="0" w:footer="0" w:header="0"/>
          <w:type w:val="continuous"/>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REPORTABLE SEGMENTS (CONTINUED)</w:t>
      </w:r>
    </w:p>
    <w:p>
      <w:pPr>
        <w:spacing w:after="0" w:line="229" w:lineRule="exact"/>
        <w:rPr>
          <w:sz w:val="20"/>
          <w:szCs w:val="20"/>
          <w:color w:val="auto"/>
        </w:rPr>
      </w:pPr>
    </w:p>
    <w:p>
      <w:pPr>
        <w:ind w:left="360" w:hanging="29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including employee costs related to new products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Engineering employee costs along with legal, insurance, professional fees related to administration and other general office expenses</w:t>
      </w:r>
    </w:p>
    <w:p>
      <w:pPr>
        <w:spacing w:after="0" w:line="53"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sales and marketing employee cost and other marketing expenses</w:t>
      </w:r>
    </w:p>
    <w:p>
      <w:pPr>
        <w:spacing w:after="0" w:line="11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related to debt and change in fair market value of warrant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customer revenues from the Company’s DTC segment for the three months ended September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one customer of the Company’s OEM segment represent approximately $2,007, or 16%, of the Company’s consolidated revenues for the three months ended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6, 2025, the Company entered into the First Offering Underwriting Agreement with Canaccord, as representative of the First Offering Underwriters, relating to the First October 2025 Offering of 20,000,000 shares of common stock, at a price to the public of $1.25 per share. Pursuant to the terms of the First Offering Underwriting Agreement, the Company granted to the First Offering Underwriters a 30-day option to purchase up to an additional 3,000,000 shares of common stock in the First October 2025 Offering at the public price which the First Offering Underwriters exercised. On October 7, 2025, the Company completed the First October 2025 Offering of 23,000,000 shares of common stock raising gross proceeds of approximately $27,025 and net proceeds of $26,925 after deducting underwriting discounts and commissions and other estimated offering expenses payable by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15, 2025 at the 2025 Annual Meeting of Stockholders (the “Annual Meeting”) of the Company, the Company’s stockholders approved an amendment (the “Plan Amendment”) to the Company’s 2022 Equity Incentive Plan (the “2022 Plan”) increasing the number of shares available for issuance under the 2022 Plan by 9,000,000 shares. The Plan Amendment became effective following its approval by the Company’s stockholders.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16, 2025, the Company entered into the Second Offering Underwriting Agreement with Canaccord, as representative of the Second Offering Underwriters, relating to the Second October 2025 Offering of (i) 36,000,000 shares of common stock, at a price to the public of $1.35 per share and (ii) pre-funded warrants to purchase up to 5,000,000 shares of common stock at a price to the public of $1.3499 per pre-funded warrant. On October 17, 2025, the Company completed the Second October 2025 Offering raising gross proceeds of approximately $52,028 and net proceeds of $51,928 after deducting underwriting discounts and commissions and other estimated offering expenses payable by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20, 2025, the Company entered into the Sixth Amendment to the Term Loan Agreement to, among other matters, (i) adjust the fixed interest rate of the remaining outstanding principal amount under the Term Loan Agreement to a fixed interest rate of 12% per annum, payable monthly commencing December 31, 2025 that will mature in October 2027, and (ii) waive any applicable financial covenants (except for a financial covenant requiring the Company to maintain cash and cash equivalents equal to or greater than $5,000) through December 31, 2026. In connection with the Sixth Amendment, (i) the Company made a prepayment of $45,000 of outstanding indebtedness under the Term Loan Agreement from the net proceeds from the Second October 2025 Offering, (ii) the lenders forgave the repayment of $5,000 of the outstanding principal under the Term Loan Agreement, (iii) the Company paid a fee to the lenders equal to approximately $450 in cash and $450 added to principal outstanding amount of the loan under the Term Loan Agreement; and (iv) the Company agreed to issue 25,000 shares of newly created Series B Preferred Stock of the Company in exchange for $25,000 outstanding principal amount of the Term Loan.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prepayments made as part of the First Offering in the amount of $4,000 and the effects of the Sixth Amendment to the Term Loan Agreement, the remaining debt is $18,612.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4, 2025, the Company and the lenders entered into the Exchange Agreement pursuant to which the Company issued 25,000 shares of newly created Series B Preferred Stock in exchange for $25,000 outstanding principal amount of the Term Loan.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2025, the Company filed a Certificate of Designation of the Powers, Preferences and Relative, Participating, Optional and Other Restrictions of Series B Convertible Preferred Stock of the Company (the “Series B Certificate of Designation”) with the Secretary of State of the State of Nevada to establish the rights, privileges, preferences, and restrictions of the Series B Preferred Stock. As set forth in the Certificate of Designation, the Company designated 25,000 shares of preferred stock as Series B Preferred Stock with a stated value of $1,000 per share.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4, 2025, the Company issued 25,000 shares of Series B Preferred Stock to the lenders pursuant to the Exchange Agreement. The Series B Preferred Stock (i) is convertible into shares of common stock at the option of the lenders at a conversion price of $3.15 per share, or an aggregate of 7,936,508 shares of common stock, (ii) has a dividend of 8% per annum payable quarterly in cash and (iii) has a dividend of 2% per annum payable quarterly in kind (“PIK Dividends”), which includes the aggregate amount of all paid PIK Dividends and any accrued and unpaid PIK Dividends on the applicable dividend date. In addition, the Company has a right to redeem any outstanding shares of the Series B Preferred Stock at its option at the greater of (i) the stated value plus any accrued and unpaid dividends and (ii) the as-converted value of the shares of common stock underlying the Series B Preferred Stock at the time of redemption (the “Optional Redemption Price”). The lenders have also agreed not to convert any shares of the Series B Preferred Stock for a period of six months following the issuance of the Series B Preferred Stock. In connection with any future equity offerings, the Company will be required to use 50% of the net proceeds from such offering to redeem outstanding shares of the Series B Preferred Stock at the Optional Redemption Price. In the event the Company has not redeemed the outstanding shares of Series B Preferred Stock by October 7, 2027 or upon the occurrence of a Non-Payment Event (as defined in the Series B Certificate of Designation), the holders will have the right to require the Company to redeem the Series B Preferred Stock at the Optional Redemption Price.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References in this report (the “Quarterly Report”) to “we,” “us,” “our” or the “Company” refer to Dragonfly Energy Holdings Corp., a Nevada corporation. References to “Legacy Dragonfly” refer to Dragonfly Energy Corp., a Nevada corporation and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2024 included in our Annual Report on Form 10-K filed with the Securities and Exchange Commission (the “SEC”) on March 31, 2025 (the “Annual Report”),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made pursuant to the safe harbor provisions of the Private Securities Litigation Reform Act of 1995 under Section 27A of the Securities Act of 1933, as amended (the “Securities Act”),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 (“Stryten”);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Part I-Item 1A-Risk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our Annual Report and in this Quarterly Report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2020, we have sold over 360,000 batteries. For the quarters ended September 30, 2025, and September 30, 2024, we sold 10,977 and 10,283 batteries, respectively, and had $16.0 million and $12.7 million in net sales, respectively. For the nine months ended September 30, 2025 and September 30, 2024, we sold 33,956 and 32,907 batteries, respectively, and had $45.6 million and $38.4 million in net sales, respectively. 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We primarily sell “Battle Born” branded batteries directly to consumers (“DTC”) and “Dragonfly” branded batteries to original equipment manufacturers (“OEMs”).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increase in sales is a reflection of a slight recovery in the motorized RV market and increased market penetration as compared to prior quarter and prior year. Although our existing RV OEM customers have only slightly increased their year-over-year production rates, the incorporation of lithium storage systems has accelerated faster than the increase in RV units shipped. This is in contrast to the de-contenting trend that had occurred over the previous 18 months. DTC sales remained relatively flat, indicating generally constant consumer sentiment in the space.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we continued to implement our corporate optimization initiative, prioritizing product development to drive near 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(“LFP”)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we completed the construction of our proprietary and patented cell electrode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we had cash totaling $3.8 million. Our net loss for the quarter ended September, 2025 was $11.1 million and our net loss for the quarter ended September 30, 2024 was $6.8 million. As set forth below, we raised additional capital and reduced a portion of our outstanding indebtedness after September 30, 2025.</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we expect that we will need to raise additional funds, including through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License Agreement with Stryten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29, 2024, Legacy Dragonfly and Battle Born Battery Products, LLC (“Battle Born LLC”), a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$5,000,000 (the “Initial Licensing Fee”), which was paid on August 29, 2024.</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License Agreement provides for mid-single digit royalty payments based on net sales using the Licensed Trademarks, with a tiered structure reaching up to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$15,000,000 after five (5)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addition to the initial merger consideration in connection with our business combination in October of 2022, up to 4,444,445 additional shares of common stock (“Earnout Shares”) may be issued based on achieving specified milestones in three tranches:</w:t>
      </w:r>
    </w:p>
    <w:p>
      <w:pPr>
        <w:spacing w:after="0" w:line="162" w:lineRule="exact"/>
        <w:rPr>
          <w:sz w:val="20"/>
          <w:szCs w:val="20"/>
          <w:color w:val="auto"/>
        </w:rPr>
      </w:pPr>
    </w:p>
    <w:p>
      <w:pPr>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Tranche (1,666,667 shares): Issuable if 2023 total audited revenue is at least $250 million and audited operating income is at least $35 million. This milestone was not achieved for 2023.</w:t>
      </w: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Tranche (1,388,889 shares): Issuable if the volume-weighted average trading price of common stock reaches $202.50 over any 20 trading days within a 30-day period, on or before December 31, 2026.</w:t>
      </w:r>
    </w:p>
    <w:p>
      <w:pPr>
        <w:ind w:left="66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Tranche (1,388,889 shares): Issuable if the volume-weighted average trading price of common stock reaches $292.50 over any 20 trading days within a 30-day period, on or before December 31, 2028.</w:t>
      </w:r>
    </w:p>
    <w:p>
      <w:pPr>
        <w:spacing w:after="0" w:line="1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Chardan Capital Markets LLC, a New York limited liability company (“CCM LLC”) entered into a purchase agreement (as amended, the “ChEF Purchase Agreement”) and a Registration Rights Agreement in connection with our merger in October 2022 (the “Business Combination”). Pursuant to the Original Purchase Agreement, we have the right to sell to CCM LLC an amount of shares of common stock, up to a maximum aggregate purchase price of $150 million, pursuant to the terms of the ChEF Purchase Agreement (the “ChEF Equity Facility”), subject to certain restrictions set forth in the Term Loan Agreement (as defined below). The ChEF Purchase Agreement terminates in December 2025. In connection with the October 2025 Public Offering, we agreed not to sell shares of our common stock for a period of 90 days following the closing of the offering, subject to certain exceptions.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8" w:name="page49"/>
    <w:bookmarkEnd w:id="48"/>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February 2025 Registered Direct Offering and Concurrent Private Placement, Fifth Amendment to Term Loan Agreement and April 2025 Private Placement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we entered into a securities purchase agreement with a single institutional investor, pursuant to which we sold in a registered direct offering (the “Registered Direct Offering”) 180 shares of Series A Convertible Preferred Stock, par value $0.0001 per share (the “Series A Preferred Stock”), at a price of $10,000 per share, initially convertible into shares of our common stock, at a conversion price of $2.332 per share of common stock. The Series A Preferred Stock was also convertible by the investor at an adjusted conversion price, subject to the applicable floor price.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and, together with the Registered Direct Offering, the “Initial Offerings”),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Convertible Preferred Warrants”) to purchase up to an aggregate of 4,000 shares of Series A Preferred Stock (the “Private Placement Warrant Shares”), with an exercise price of $10,000 per share of Series A Preferred Stock, and a term as described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exercise price under each Private Placement Convertible Preferred Warrant was $10,000 per share of Series A Preferred Stock. Each Private Placement Convertible Preferred Warrant was exercisable for 200 shares of Series A Preferred Stock in minimum increments of $500,000. The Private Placement Convertible Preferred Warrants had a term beginning on the issuance date and ending on or prior to the earlier of (i) the thirty-three (33) month anniversary of the date the shares of common stock issued or issuable upon the conversion of the Series A Preferred Stock issued in the concurrent Private Placement were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was subject to appropriate adjustment in the event of share dividends, share splits, reorganizations or similar events affecting shares of our common stock.</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2025, pursuant to the Purchase Agreement, we sold to the Purchaser, in the second closing of the Private Placement (the “Second Closing”) 450 Preferred Shares at a price of $10,000 per share, initially convertible into shares of common stock at a conversion price of $0.594 per share, subject to adjustment.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to us from the Initial Offerings and the Second Offering, after deducting the placement agent’s fees and expenses and estimated offering expenses, were approximately $3.2 million and $4.2 million, respectively, excluding the net proceeds, if any, from the exercise of the Private Placement Convertible Preferred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condition precedent to the closing of the Initial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23, 2025, we and the holder of Private Placement Convertible Preferred Warrants agreed to cancel such holder’s Private Placement Convertible Preferred Warrants to purchase up to an aggregate of 4,000 shares of Series A Preferred Stock, with an exercise price of $10,000 per share of Series A Preferred Stock. As a result, the Private Placement Convertible Preferred Warrants are no longer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On July 20, 2025, we entered into a Settlement and Release Agreement (the “Release Agreement”) with the holder of the outstanding shares of Series A Preferred Stock. Pursuant to the terms of the Release Agreement, we issued and delivered 2,100,000 shares of common stock to the holder and the holder surrendered to the Company all of the outstanding shares of Series A Preferred Stock. In addition, under the Release Agreement, upon the issuance of the shares of common stock, our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We have no further obligation to issue any shares of common stock or Series A Preferred Stock to the holder under the Purchase Agreement or otherwise. Under the Release Agreement, each party also provided a full release to the other party.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2025, we entered into an underwriting agreement with Canaccord Genuity LLC (“Canaccord”), as representative of the several underwriters named in the certain underwriting agreement, relating to an underwritten public offering (the “July 2025 Public Offering”) of 21,980,000 shares of common stock, at a price to the public of $0.25 per share. On July 31, 2025, we completed the July 2025 Public Offering raising gross proceeds of approximately $5.5 million and net proceeds of $4.7 million after deducting underwriting discounts and commissions and other estimated offering expenses payable by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Offerings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6, 2025, we entered into an underwriting agreement with Canaccord, as representative of the several underwriters (the “First Offering Underwriters”) named in the underwriting agreement dated October 6, 2025, relating to an underwritten public offering (the “First October 2025 Offering”) of 20,000,000 shares of common stock at a price to the public of $1.25 per share, which includes the First Offering Underwriters’ option to purchase an additional 3,000,000 shares of common stock, at a public offering price of $1.25 per share. On October 8, 2025, we completed the First October 2025 Offering, including the full exercise of the additional 3,000,000 shares of common stock, raising gross proceeds of approximately $28.8 million and net proceeds of $26.9 million after deducting underwriting discounts and commissions and other estimated offering expenses payable by us. On October 8, 2025 upon a request from our Term Loan Lenders under the term loan agreement, we repaid $4.0 million of principal to satisfy a portion of its outstanding principal under the Term Loan Agreement. On October 16, 2025, we entered into an additional underwriting agreement with Canaccord, as representative of the several underwriters (the “Second Offering Underwriters”) named in the underwriting agreement, dated October 17, 2025 (the “Second Offering Underwriting Agreement”), relating to an underwritten public offering (the “Second October 2025 Offering”) of 36,000,000 shares of common stock at a price to the public of $1.35 per share, and (ii) prefunded warrants (the “October 2025 Pre-Funded Warrants”) to purchase up to 5,000,000 shares of common stock (the “Pre-Funded Warrant Shares”) at a price to the public of $1.3499 per October 2025 Pre-Funded Warrant, which represents the per share public offering price for the Shares (as defined below) less the $0.0001 per share exercise price for each such Pre-Funded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 Amendment to Term Loan, Series B Preferred Stock Issuance and 2025 Debt Restructuring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our existing Term Loan Agreement (as defined below) with the Term Loan Lenders (as defined below) was amended on October 20, 2025 (the “Sixth Amendment”) to restructure our outstanding indebtedness. On November 4, 2025, we entered into an exchange agreement (the “Exchange Agreement”) with the Term Loan Lenders pursuant to we issued 25,000 shares of newly created Series B Convertible Preferred Stock (the “Series B Preferred Stock”) in exchange for $25.0 million outstanding principal amount of the Term Loan. Please see </w:t>
      </w:r>
      <w:r>
        <w:rPr>
          <w:rFonts w:ascii="Times New Roman" w:cs="Times New Roman" w:eastAsia="Times New Roman" w:hAnsi="Times New Roman"/>
          <w:sz w:val="18"/>
          <w:szCs w:val="18"/>
          <w:i w:val="1"/>
          <w:iCs w:val="1"/>
          <w:color w:val="auto"/>
        </w:rPr>
        <w:t>“- Liquidity and Capital Resources</w:t>
      </w:r>
      <w:r>
        <w:rPr>
          <w:rFonts w:ascii="Times New Roman" w:cs="Times New Roman" w:eastAsia="Times New Roman" w:hAnsi="Times New Roman"/>
          <w:sz w:val="18"/>
          <w:szCs w:val="18"/>
          <w:color w:val="auto"/>
        </w:rPr>
        <w:t>” below for additional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DTC and (2) through OEMs, particularly in the RV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decrease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 We have also focused on optimizing our manufacturing efficiency and throughput, enabling us to increase our production capacity without the need for increased headcount.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hanging="8"/>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are primarily generated from the sale of our LFP batteries to OEMs and directly to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consists primarily of interest expense, the change in fair value of the warrant liability and amortization of debt issuance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Three months ended September 30, 2025, and September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September 30, 2025 and September 30, 2024. This data should be read together with our financial statements and related notes included elsewhere in this Quarterly Report,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0"/>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center"/>
              <w:ind w:left="390"/>
              <w:spacing w:after="0" w:line="188" w:lineRule="exact"/>
              <w:rPr>
                <w:sz w:val="20"/>
                <w:szCs w:val="20"/>
                <w:color w:val="auto"/>
              </w:rPr>
            </w:pPr>
            <w:r>
              <w:rPr>
                <w:rFonts w:ascii="Times New Roman" w:cs="Times New Roman" w:eastAsia="Times New Roman" w:hAnsi="Times New Roman"/>
                <w:sz w:val="18"/>
                <w:szCs w:val="18"/>
                <w:b w:val="1"/>
                <w:bCs w:val="1"/>
                <w:color w:val="auto"/>
              </w:rPr>
              <w:t>% Net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 Net</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15,967</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12,720</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11,231</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9,850</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77.4</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585</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1,631</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5,299</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4,361</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2,630</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2,904</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w:t>
            </w: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(6,409)</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(883)</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4,875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38.3</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3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(11,070)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(11,070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8"/>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5,153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10,679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Fee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15,967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12,720</w:t>
            </w:r>
          </w:p>
        </w:tc>
      </w:tr>
      <w:tr>
        <w:trPr>
          <w:trHeight w:val="425"/>
        </w:trPr>
        <w:tc>
          <w:tcPr>
            <w:tcW w:w="3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increased by $3.2 million, or 25.5%, to $16.0 million for the three months ended September 30, 2025, as compared to $12.7 million for the three months ended September 30, 2024. This increase was primarily due to higher OEM battery and accessory sales of new models to existing customers. We expect our sales to increase in the coming quarters as our customers expand the number of models that include our battery systems in the new model year and our entrance into new markets, trucking and industrials, with new product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increased by $1.4 million, or 14.0%, to $11.2 million for the three months ended September 30, 2025, as compared to $9.9 million for the three months ended September 30, 2024. This increase was primarily due to product and labor costs due to higher unit volume of OEM accessories. Overhead also increased due to allocation of expense related for the new lease. We expect our Cost of Goods Sold to increase in conjunction with the anticipated increase in revenue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$1.9 million, or 65.0%, to $4.7 million for the three months ended September 30, 2025, as compared to $2.9 million for the three months ended September 30, 2024. The increase in gross profit was primarily due to a higher unit volume of OEM accessory sales. Gross Profit percentage increased by 7.1% to 29.7% for the three months ended September 30, 2025, as compared to 22.6% for the three months ended September 30, 2024. This is primarily due to sales of higher margin accessory units and assemblies.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$1.0 million, or 64.1%, to $0.6 million for the three months ended September 30, 2025, as compared to $1.6 million for the three months ended September 30, 2024. The decrease was primarily a result of lower wage expense in the amount of $0.7 million due to change in bonus accrual and reduced headcount. Overhead expense allocation is lower by $0.2 million and reduced spend of $0.1 million on patents and materials and supplies. We expect Research and Development expenses to be lower than last year as we change our focus from Solid State to Product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$0.9 million, or 21.5%, to $5.3 million for the three months ended September 30, 2025, as compared to $4.4 million for the three months ended September 30, 2024. This increase was primarily due to an increase wage expense of $0.3 million due to increased headcount associated with the focus on product development, an increase in lease and depreciation expense and the impairment of one lease and related leasehold improvements in the amount of $0.6 million. We expect General and Administrative Expenses, as a percentage of revenue, to be relatively stable over the next 12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$0.3 million, or 9.4%, to $2.6 million for the three months ended September 30, 2025, as compared to $2.9 million for the three months ended September 30, 2024. This decrease was primarily due to lower employee-related costs. We expect our Selling and Marketing Expenses to be relatively stable over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$7.3 million for the three months ended September 30, 2025 as compared to total other expense of $0.8 million for the three months ended September 30, 2024. Other expense of $7.3 million in three months ended September 30, 2025 was comprised primarily of interest expense of $6.4 million related to our debt securities and a negative change in fair market value of warrant liability in the amount of $0.9 million. The $0.8 million of other expense in three months ended September 30, 2024 was comprised primarily of interest expense of $5.6 million related to our debt securities offset by a positive change in fair market value of warrant liability in the amount of $4.9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tax expense recorded for the three months ended September 30, 2025 or the three months ended September 30, 2024. Based on available evidence as of September 30, 2025 and September 30, 2024, management believes it is more likely than not that some or all the deferred tax assets will not be realized. Accordingly, we established a 100% valuation allowance. As a result of the full valuation allowance, we did not record a tax benefit during the three months ended September 30, 2025 or the three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$11.1 million for the three months ended September 30, 2025, as compared to net loss of $6.8 million for the three months ended September 30, 2024. As described above, this result was driven by higher sales of higher margin accessory units, lower operating expenses, and an increase in other expense (due to higher interest expense and the change in fair market value of our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Nine months ended September 30, 2025 and September 30, 2024</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2025, and the nine months ended September 30, 2024. This data should be read together with our financial statements and related notes included elsewhere in this Quarterly Report,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0"/>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center"/>
              <w:ind w:left="390"/>
              <w:spacing w:after="0" w:line="188" w:lineRule="exact"/>
              <w:rPr>
                <w:sz w:val="20"/>
                <w:szCs w:val="20"/>
                <w:color w:val="auto"/>
              </w:rPr>
            </w:pPr>
            <w:r>
              <w:rPr>
                <w:rFonts w:ascii="Times New Roman" w:cs="Times New Roman" w:eastAsia="Times New Roman" w:hAnsi="Times New Roman"/>
                <w:sz w:val="18"/>
                <w:szCs w:val="18"/>
                <w:b w:val="1"/>
                <w:bCs w:val="1"/>
                <w:color w:val="auto"/>
              </w:rPr>
              <w:t>% Net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 Net</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10"/>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45,571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100.0</w:t>
            </w:r>
          </w:p>
        </w:tc>
        <w:tc>
          <w:tcPr>
            <w:tcW w:w="640" w:type="dxa"/>
            <w:vAlign w:val="bottom"/>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38,433</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32,302</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29,345</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76.4</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2,277</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4,495</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16,275</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14,878</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7,690</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8,329</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26,242</w:t>
            </w:r>
          </w:p>
        </w:tc>
        <w:tc>
          <w:tcPr>
            <w:tcW w:w="3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27,702</w:t>
            </w:r>
          </w:p>
        </w:tc>
        <w:tc>
          <w:tcPr>
            <w:tcW w:w="3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(12,973)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97"/>
              </w:rPr>
              <w:t>(16,552)</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color w:val="auto"/>
              </w:rPr>
              <w:t>(15,253)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4,624</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color w:val="auto"/>
              </w:rPr>
              <w:t>3,130</w:t>
            </w: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(11,928</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(24,901)</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(24,901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8"/>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16,890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 Net Sales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21,376</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fee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45,571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38,433</w:t>
            </w:r>
          </w:p>
        </w:tc>
      </w:tr>
      <w:tr>
        <w:trPr>
          <w:trHeight w:val="425"/>
        </w:trPr>
        <w:tc>
          <w:tcPr>
            <w:tcW w:w="3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555"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increased by $7.1 million, or 18.6%, to $45.6 million for the nine months ended September 30, 2025, as compared to $38.4 million for the nine months ended September 30, 2024. This increase was primarily due to higher OEM battery and accessory sales of new models to existing customers and licensing revenue which is part of the Stryten agreement entered into the second half of 2024. We expect our sales to increase in the next 12 months as our customers expand the number of models they include our battery systems in for the new model year and our entrance into new markets, trucking and industrials, with new product offerings.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increased by $3.0 million, or 10.1%, to $32.3 million for the nine months ended September 30, 2025, as compared to $29.3 million for the nine months ended September 30, 2024. This increase was primarily due to product and labor costs related to higher unit volume of accessory units. Overhead increased due to allocation of expense related to the new lease. We expect our Cost of goods sold to increase in conjunction with the anticipated increase in revenue and higher tariffs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$4.2 million, or 46.0%, to $13.3 million for the nine months ended September 30, 2025, as compared to $9.1 million for the nine months ended September 30, 2024. The increase in gross profit was primarily due to a higher unit volume of accessory sales. Gross Profit percentage increased by 5.5% to 29.1% for the nine months ended September 30, 2025, as compared to 23.6% for the nine months ended September 30, 2024. This is primarily due to sales of higher margin accessory units and assemblies.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$2.2 million, or 49.3%, to $2.3 million for the nine months ended September 30, 2025, as compared to $4.5 million for the nine months ended September 30, 2024. The decrease was primarily a result of lower employee related expense in the amount of $1.6 million due to change in bonus accrual and reduced headcount along with lower rent, travel and supplies. We expect Research and Development expenses to be lower than last year as we change our focus from Solid State to Product Development.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or 9.4%, to $16.3 million for the nine months ended September 30, 2025, as compared to $14.9 million for the nine months ended September 30, 2024. This increase was primarily due the allocation of lease and depreciation expense of $1.7 million on our properties and impairment of one lease and related leasehold improvements of $0.6 million partially offset by a decrease in legal and professional services of $0.8 million. We expect General and Administrative Expenses, as a percentage of revenue, to be relatively stable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$0.6 million, or 7.7%, to $7.7 million for the nine months ended September 30, 2025, as compared to $8.3 million for the nine months ended September 30, 2024. This decrease was primarily due to lower employee related costs in the amount of $0.9 million primarily related to a change in bonus accrual and lower headcount. Partially offsetting this decrease is higher shipping costs in the amount of $0.3 million related to an increase in units sold. We expected Selling and Marketing Expenses, as a percentage of revenue, to be relatively stable over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totaled $11.9 million for the nine months ended September 30, 2025 as compared to total other expense of $12.2 million for the nine months ended September 30, 2024. Other expense for the nine months ended September 30, 2025 is comprised of $16.5 million in interest expense related to our debt securities partially offset by a positive change in fair market value of our warrants in the amount of $4.6 million. Other expense for the nine months ended September 30, 2024 is comprised of $15.3 million in interest expense related to our debt securities partially offset by a positive change in fair market value of our warrants in the amount of $3.1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tax expense recorded for the nine months ended September 30, 2025 or the nine months ended September 30, 2024. Based on available evidence as of September 30, 2025 and September 30, 2024, management believes it is more likely than not that some or all the deferred tax assets will not be realized. Accordingly, we established a 100% valuation allowance. As a result of the full valuation allowance, we did not record a tax benefit during the nine months ended September 30, 2025 or the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generated a net loss of $24.9 million for the nine months ended September 30, 2025, as compared to net loss of $30.8 million for the nine months ended September 30, 2024. As described above, this result was driven by higher sales of higher margin accessory sales and lower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our accompanying condensed consolidated financial statements for information on the warrants. Changes in assumptions used to estimate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could occur from stock pricing volatility depending on our performance and our position in the industry and changes in market interest rates which can result in materially different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To be conservative in our estimate, we chose to use the high-end average as our incremental borrowing rate for all lease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Arrangement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import certain components used in the manufacturing of our products and are responsible for calculating and paying the applicable tariffs. Tariff obligations involve significant judgment, including interpretation of customs classifications, trade agreements, and dutiable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includes a non-generally accepted account principles within the United States (“U.S. GAAP”) measure that we use to supplement our results presented in accordance with U.S. GAAP. Earnings before interest tax and amortization (“EBITDA”)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our adjusted EBITDA, reconciled to net (loss) income for the three and nine months ended September 30, 2025, and September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(11,070)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(24,901)</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(30,773)</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6,409</w:t>
            </w:r>
          </w:p>
        </w:tc>
        <w:tc>
          <w:tcPr>
            <w:tcW w:w="9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5,615</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15,253</w:t>
            </w:r>
          </w:p>
        </w:tc>
      </w:tr>
      <w:tr>
        <w:trPr>
          <w:trHeight w:val="230"/>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0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w:t>
            </w:r>
          </w:p>
        </w:tc>
        <w:tc>
          <w:tcPr>
            <w:tcW w:w="980" w:type="dxa"/>
            <w:vAlign w:val="bottom"/>
          </w:tcPr>
          <w:p>
            <w:pPr>
              <w:spacing w:after="0"/>
              <w:rPr>
                <w:sz w:val="22"/>
                <w:szCs w:val="22"/>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56"/>
        </w:trPr>
        <w:tc>
          <w:tcPr>
            <w:tcW w:w="40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883</w:t>
            </w:r>
          </w:p>
        </w:tc>
        <w:tc>
          <w:tcPr>
            <w:tcW w:w="9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(3,130)</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Non-Recurring/One-Time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0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Litigation Fees and loss on settlement </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Prior year tariff estimate adjustment</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2"/>
                <w:szCs w:val="22"/>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Preferred Stock Financing Expenses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40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Impairment of right-of-use asset and disposal of</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404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associated assets</w:t>
            </w:r>
            <w:r>
              <w:rPr>
                <w:rFonts w:ascii="Times New Roman" w:cs="Times New Roman" w:eastAsia="Times New Roman" w:hAnsi="Times New Roman"/>
                <w:sz w:val="29"/>
                <w:szCs w:val="29"/>
                <w:color w:val="auto"/>
                <w:vertAlign w:val="superscript"/>
              </w:rPr>
              <w:t>(6)</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611</w:t>
            </w:r>
          </w:p>
        </w:tc>
        <w:tc>
          <w:tcPr>
            <w:tcW w:w="98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Debt Restructure</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354</w:t>
            </w:r>
          </w:p>
        </w:tc>
        <w:tc>
          <w:tcPr>
            <w:tcW w:w="9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9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Reverse Stock Split</w:t>
            </w:r>
            <w:r>
              <w:rPr>
                <w:rFonts w:ascii="Times New Roman" w:cs="Times New Roman" w:eastAsia="Times New Roman" w:hAnsi="Times New Roman"/>
                <w:sz w:val="29"/>
                <w:szCs w:val="29"/>
                <w:color w:val="auto"/>
                <w:vertAlign w:val="superscript"/>
              </w:rPr>
              <w:t>(8)</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(2,137)</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(8,022)</w:t>
            </w:r>
          </w:p>
        </w:tc>
        <w:tc>
          <w:tcPr>
            <w:tcW w:w="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(16,900)</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from January 1, 2025 through September 30, 2025 and January 1, 2024 through September 30, 2024,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Fees and Loss on Settlement includes legal fees and expenses and settlement related to the International Trade Commission ‘ITC’ LithiumHub patent infringement case and other.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estimate of prior year tariff underpayment.</w:t>
      </w:r>
    </w:p>
    <w:p>
      <w:pPr>
        <w:sectPr>
          <w:pgSz w:w="11900" w:h="16838" w:orient="portrait"/>
          <w:cols w:equalWidth="0" w:num="1">
            <w:col w:w="11240"/>
          </w:cols>
          <w:pgMar w:left="320" w:top="684" w:right="339" w:bottom="0" w:gutter="0" w:footer="0" w:header="0"/>
        </w:sectPr>
      </w:pPr>
    </w:p>
    <w:bookmarkStart w:id="60" w:name="page61"/>
    <w:bookmarkEnd w:id="60"/>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Financing is comprised of the expense relating to the Offerings.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Lease and leasehold improvements from our previous main office.</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Restructure expenses including legal and professional services.</w:t>
      </w:r>
    </w:p>
    <w:p>
      <w:pPr>
        <w:spacing w:after="0" w:line="225" w:lineRule="exact"/>
        <w:rPr>
          <w:rFonts w:ascii="Times New Roman" w:cs="Times New Roman" w:eastAsia="Times New Roman" w:hAnsi="Times New Roman"/>
          <w:sz w:val="18"/>
          <w:szCs w:val="18"/>
          <w:color w:val="auto"/>
        </w:rPr>
      </w:pPr>
    </w:p>
    <w:p>
      <w:pPr>
        <w:ind w:left="5532" w:right="1299" w:hanging="5532"/>
        <w:spacing w:after="0" w:line="532" w:lineRule="auto"/>
        <w:tabs>
          <w:tab w:leader="none" w:pos="3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Stock Split includes transfer agent and legal expenses and fees related to the reverse stock split with the SEC.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12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2025, we had cash totaling $3.8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September 30, 2025, we completed the First October 2025 Offering and the Second October 2025 Offering for net proceeds of approximately $26.9 million and $51.9 million, respectively. Please see “-</w:t>
      </w:r>
      <w:r>
        <w:rPr>
          <w:rFonts w:ascii="Times New Roman" w:cs="Times New Roman" w:eastAsia="Times New Roman" w:hAnsi="Times New Roman"/>
          <w:sz w:val="18"/>
          <w:szCs w:val="18"/>
          <w:i w:val="1"/>
          <w:iCs w:val="1"/>
          <w:color w:val="auto"/>
        </w:rPr>
        <w:t>October 2025 Offerings</w:t>
      </w:r>
      <w:r>
        <w:rPr>
          <w:rFonts w:ascii="Times New Roman" w:cs="Times New Roman" w:eastAsia="Times New Roman" w:hAnsi="Times New Roman"/>
          <w:sz w:val="18"/>
          <w:szCs w:val="18"/>
          <w:color w:val="auto"/>
        </w:rPr>
        <w:t>” above for additional information.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20, 2205, we entered into the Sixth Amendment to the Term Loan Agreement with the Term Loan Lenders to, among other matters, (i) adjust the fixed interest rate of the remaining outstanding principal amount under the Term Loan Agreement to a fixed interest rate of 12% per annum, payable monthly commencing December 31, 2025 that will mature in October 2027, and (ii) waive any applicable financial covenants (except for a financial covenant requiring us to maintain cash and cash equivalents equal to or greater than $5.0 million) through December 31, 2026. In connection with the Sixth Amendment, (i) we made a prepayment of $45.0 million of outstanding indebtedness under the Term Loan Agreement from the net proceeds from the Second October 2025 Offering (the “Loan Prepayment”), (ii) the Term Loan Lenders forgave the repayment of $5.0 million of the outstanding principal under the Term Loan Agreement, (iii) we paid a fee to the Term Loan Lenders equal to approximately $450,000 in cash and $450,000 added to principal outstanding amount of the loan under the Term Loan Agreement; and (iv) we issued 25,000 shares of Series B Preferred Stock in exchange for $25.0 million outstanding principal amount of the Term Loan. The remaining outstanding principal amount under the Term Loan Agreement of approximately $19.0 million, after the repayment and forgiveness disclosed above, will have a fixed interest rate of 12% per annum, payable monthly commencing December 31, 2025 and will mature in October 2027. In addition, certain covenants under the Term Loan Agreement have been waived through December 31, 2026, and we have agreed to a minimum liquidity covenant of $5.0 million calculated on a monthly basis.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2025, we filed a Certificate of Designation of the Powers, Preferences and Relative, Participating, Optional and Other Restrictions of Series B Convertible Preferred Stock (the “Series B Certificate of Designation”) with the Secretary of State of the State of Nevada to establish the rights, privileges, preferences, and restrictions of the Series B Preferred Stock. As set forth in the Certificate of Designation, we designated 25,000 shares of preferred stock as Series B Preferred Stock with a stated value of $1,000 per share. The Series B Preferred Stock is convertible into shares of common stock at the option of the Term Lenders at a conversion price of $3.15 per share, or an aggregate of 7,936,508 shares of common stock.</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4, 2025, we entered into the Exchange Agreement with the Term Loan Lenders pursuant to we issued 25,000 shares of newly created Series B Preferred Stock in exchange for $25.0 million outstanding principal amount of the Term Loan. The Series B Preferred Stock (i) is convertible into shares of common stock at the option of the Term Loan Lenders at a conversion price of $3.15 per share, or an aggregate of 7,936,508 shares of common stock,</w:t>
      </w:r>
    </w:p>
    <w:p>
      <w:pPr>
        <w:spacing w:after="0" w:line="1" w:lineRule="exact"/>
        <w:rPr>
          <w:sz w:val="20"/>
          <w:szCs w:val="20"/>
          <w:color w:val="auto"/>
        </w:rPr>
      </w:pPr>
    </w:p>
    <w:p>
      <w:pPr>
        <w:jc w:val="both"/>
        <w:ind w:firstLine="8"/>
        <w:spacing w:after="0" w:line="251"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dividend of 8% per annum payable quarterly in cash and (iii) has a dividend of 2% per annum payable quarterly in kind (“PIK Dividends”), which includes the aggregate amount of all paid PIK Dividends and any accrued and unpaid PIK Dividends on the applicable dividend date. In addition, we have a right to redeem any outstanding shares of the Series B Preferred Stock at our option at the greater of (i) the stated value plus any outstanding dividends and (ii) the as-converted value of the shares of common stock underlying the Series B Preferred Stock (the “Optional Redemption Price”). The Term Loan Lenders have also agreed not to convert any shares of the Series B Preferred Stock for a period of six months following the issuance of the Series B Preferred Stock. In connection with any future equity offerings, we will be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Series B Certificate of Designation), the holders will have the right to require us to redeem the Series B Preferred Stock at the Optional Redemption Price.</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24, 2021, we issued $45.0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and, as amended, the “Term Loan Agreement”) by and among, us, Legacy Dragonfly, Alter Domus (US) LLC, as the Agent to the lenders time-to-time party thereto (such lenders, the “Term Loan Lenders”), the proceeds of which were used to repay the $45 million fixed rate senior notes, and ChEF Equity Facility.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above, under the Sixth Amendment, we (i) prepaid $45.0 million of principal using proceeds from the Second October 2025 Offering, (ii) exchanged $25.0 million of principal for Series B Preferred Stock (convertible at $3.15 per share, with 8% cash and 2% “in kind” dividends), and (iii) had $5.0 million of principal forgiven by the Term Loan Lenders. Following these transactions, approximately $19.0 million of principal remained outstanding under the Term Loan, bearing 12% interest payable monthly and maturing in October 2027. We paid $0.9 million in fees (half in cash, half added to principal) and obtained covenant waivers through December 2026, subject to maintaining $5.0 million of minimum liquidity.</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Sixth Amendment significantly improved our liquidity by reducing total debt from $72.0 million to approximately $19.0 million and deferring near-term cash interest requirements through the preferred stock exchange and covenant waivers.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67" w:lineRule="auto"/>
        <w:tabs>
          <w:tab w:leader="none" w:pos="33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fees and expenses in connection with the foregoing, (iv) to provide additional growth capital and (v) for other general/corporate purposes. The Term Loan will mature on October 7, 2027,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is secured by substantially all assets of the Company, Battle Born LLC and Legacy Dragonfly, and we pledged our equity interests in Battle Born LLC and Legacy Dragonfly as additional collateral. In connection with the Business Combination, the Term Loan Lenders also received Penny Warrants and $10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issued 350,423 shares pursuant to the ChEF Purchase Agreement with CCM LLC for aggregate proceeds to us of $2,043,885. During the nine months ended September 30, 2025, we issued 23,160 shares pursuant to the ChEF Purchase Agreement for aggregate proceeds to us of $62,846. Subsequent to the quarter ended September 30, 2025, we have not issued any shares pursuant to the ChEF Purchase Agreement. The ChEF Purchase Agreement terminates in December 2025. In connection with the July 2025 Offering, we agreed not to sell shares of our common stock for a period of 90 days following the closing of the offering, subject to certain exceptions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identified an underpayment of tariffs to U.S. Customs and Border Protection (“CBP”) in the amount of approximately $1.66 million in the aggregate, related to the improper classification and valuation of certain of the products used in our batteries. We have reported the underpayment to CBP. In June 2025, after a comprehensive review of this tariff calculation, an additional $0.29 million was discovered and also reported to CBP and a payment plan of $0.05 million per week was put into 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 ended September 30, 2025, we generated a net loss of $11.1 million and had a negative cash flow from operations. As of September 30, 2025, we had approximately $3.8 million in cash and cash equivalents and working capital of $8.8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20" w:hanging="8"/>
        <w:spacing w:after="0" w:line="284" w:lineRule="auto"/>
        <w:rPr>
          <w:sz w:val="20"/>
          <w:szCs w:val="20"/>
          <w:color w:val="auto"/>
        </w:rPr>
      </w:pPr>
      <w:r>
        <w:rPr>
          <w:rFonts w:ascii="Times New Roman" w:cs="Times New Roman" w:eastAsia="Times New Roman" w:hAnsi="Times New Roman"/>
          <w:sz w:val="18"/>
          <w:szCs w:val="18"/>
          <w:color w:val="auto"/>
        </w:rPr>
        <w:t>In addition, as described above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we completed 2 offerings raising $78.8 million and on October 20, 2025, we entered into the Sixth Amendment to restructure our outstanding indebtedness.</w:t>
      </w:r>
    </w:p>
    <w:p>
      <w:pPr>
        <w:spacing w:after="0" w:line="160"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These strategic initiatives, along with continued revenue generation anticipated in the next twelve months and our ability to maintain covenant compliance, we have concluded that the substantial doubt regarding our ability to continue as a going concern has been mitigated.</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performed the following pro-forma financials as of September 30, 2025 to take into consideration the transactions above had they occurred as of the current quarter end: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1"/>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60" w:type="dxa"/>
            <w:vAlign w:val="bottom"/>
          </w:tcPr>
          <w:p>
            <w:pPr>
              <w:spacing w:after="0"/>
              <w:rPr>
                <w:sz w:val="20"/>
                <w:szCs w:val="20"/>
                <w:color w:val="auto"/>
              </w:rPr>
            </w:pPr>
          </w:p>
        </w:tc>
        <w:tc>
          <w:tcPr>
            <w:tcW w:w="16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Capital Raise</w:t>
            </w:r>
          </w:p>
        </w:tc>
        <w:tc>
          <w:tcPr>
            <w:tcW w:w="140" w:type="dxa"/>
            <w:vAlign w:val="bottom"/>
          </w:tcPr>
          <w:p>
            <w:pPr>
              <w:spacing w:after="0"/>
              <w:rPr>
                <w:sz w:val="20"/>
                <w:szCs w:val="20"/>
                <w:color w:val="auto"/>
              </w:rPr>
            </w:pPr>
          </w:p>
        </w:tc>
        <w:tc>
          <w:tcPr>
            <w:tcW w:w="15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Pro-forma</w:t>
            </w:r>
          </w:p>
        </w:tc>
      </w:tr>
      <w:tr>
        <w:trPr>
          <w:trHeight w:val="232"/>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300" w:type="dxa"/>
            <w:vAlign w:val="bottom"/>
            <w:tcBorders>
              <w:top w:val="single" w:sz="8" w:color="auto"/>
            </w:tcBorders>
            <w:gridSpan w:val="5"/>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34,509</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74,854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(45,466)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63,897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 Term Assets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39,334</w:t>
            </w:r>
          </w:p>
        </w:tc>
        <w:tc>
          <w:tcPr>
            <w:tcW w:w="160" w:type="dxa"/>
            <w:vAlign w:val="bottom"/>
          </w:tcPr>
          <w:p>
            <w:pPr>
              <w:spacing w:after="0"/>
              <w:rPr>
                <w:sz w:val="18"/>
                <w:szCs w:val="18"/>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39,334</w:t>
            </w: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74,854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(45,466)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103,231</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tcPr>
          <w:p>
            <w:pPr>
              <w:spacing w:after="0"/>
              <w:rPr>
                <w:sz w:val="18"/>
                <w:szCs w:val="18"/>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69,745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(32,733)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33,012</w:t>
            </w:r>
          </w:p>
        </w:tc>
      </w:tr>
      <w:tr>
        <w:trPr>
          <w:trHeight w:val="263"/>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95,420</w:t>
            </w:r>
          </w:p>
        </w:tc>
        <w:tc>
          <w:tcPr>
            <w:tcW w:w="3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58,729</w:t>
            </w:r>
          </w:p>
        </w:tc>
        <w:tc>
          <w:tcPr>
            <w:tcW w:w="100" w:type="dxa"/>
            <w:vAlign w:val="bottom"/>
            <w:tcBorders>
              <w:bottom w:val="single" w:sz="8" w:color="CCEEFF"/>
            </w:tcBorders>
          </w:tcPr>
          <w:p>
            <w:pPr>
              <w:spacing w:after="0"/>
              <w:rPr>
                <w:sz w:val="22"/>
                <w:szCs w:val="22"/>
                <w:color w:val="auto"/>
              </w:rPr>
            </w:pPr>
          </w:p>
        </w:tc>
      </w:tr>
      <w:tr>
        <w:trPr>
          <w:trHeight w:val="196"/>
        </w:trPr>
        <w:tc>
          <w:tcPr>
            <w:tcW w:w="4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Series B 25,000 shares at $0.0001 par</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authorized,</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85,472</w:t>
            </w:r>
          </w:p>
        </w:tc>
        <w:tc>
          <w:tcPr>
            <w:tcW w:w="160" w:type="dxa"/>
            <w:vAlign w:val="bottom"/>
          </w:tcPr>
          <w:p>
            <w:pPr>
              <w:spacing w:after="0"/>
              <w:rPr>
                <w:sz w:val="18"/>
                <w:szCs w:val="18"/>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78,854</w:t>
            </w:r>
          </w:p>
        </w:tc>
        <w:tc>
          <w:tcPr>
            <w:tcW w:w="14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164,326</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(107,055)</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(144,829)</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(21,577)</w:t>
            </w:r>
          </w:p>
        </w:tc>
        <w:tc>
          <w:tcPr>
            <w:tcW w:w="160" w:type="dxa"/>
            <w:vAlign w:val="bottom"/>
          </w:tcPr>
          <w:p>
            <w:pPr>
              <w:spacing w:after="0"/>
              <w:rPr>
                <w:sz w:val="19"/>
                <w:szCs w:val="19"/>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78,854</w:t>
            </w:r>
          </w:p>
        </w:tc>
        <w:tc>
          <w:tcPr>
            <w:tcW w:w="14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44,502</w:t>
            </w:r>
          </w:p>
        </w:tc>
      </w:tr>
      <w:tr>
        <w:trPr>
          <w:trHeight w:val="178"/>
        </w:trPr>
        <w:tc>
          <w:tcPr>
            <w:tcW w:w="4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Redeemable Preferred Stock and</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73,843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74,854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(45,466)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103,231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4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2025, and September 30, 2024</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(11,245)</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(4,685)</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(1,808)</w:t>
            </w:r>
          </w:p>
        </w:tc>
        <w:tc>
          <w:tcPr>
            <w:tcW w:w="7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12,042</w:t>
            </w:r>
          </w:p>
        </w:tc>
        <w:tc>
          <w:tcPr>
            <w:tcW w:w="7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$11.2 million for the nine months ended September 30, 2025, primarily due to a net loss of $24.9 million partially offset by $11.2 million of payment in-kind interest accrued on the Term Loan.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$4.7 million for nine months ended September 30, 2024, primarily due to a net loss of $30.8 million partially offset by $4.8 million in deferred revenue related to the License Agreement, $6.6 million of payment in-kind interest accrued on the Term Loan and $14.8 million decrease in inventory as a result of management’s decision to lower overall stocking levels to adjust for more modest demand.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$1.8 million for the nine months ended September 30, 2025, as compared to net cash used in investing activities of $1.7 million for the nine months ended September 30, 2024. The cash used in investing activities was primarily due to capital expenses to support our core battery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$12.0 million for the nine months ended September 30, 2025, primarily related to net proceeds of $7.3 million as part of the Purchase Agreement entered into in February 2025 and $4.7 million as part of the public offering in July 2025. This is compared to $1.7 million net cash provided in financing activities primarily from proceeds of issuing and selling shares under ChEF Equity Facility for the nine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September 30, 2025, we had $2.9 million in short-term operating lease and financing liabilities and $21.1 million in long-term operating and financing lease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above, we have a Term Loan and as of September 30, 2025, the principal amount outstanding under the Term Loan was $69.9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September 30, 2025. Based on that evaluation, management concluded that as of September 30, 2025, we did maintain effective disclosure 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by Rules 13a-15(f) and 15d-15(f) under the Exchange Act) occurred during the quarter ended September 30, 2025,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in this report, you should carefully consider the factors discussed in Part I, “Item 1A. Risk Factors” in our Annual Report on Form 10-K for the year ended December 31, 2024 filed with the SEC on March 31, 2025,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were no material changes to the risk factors previously disclosed in our Annual Report on Form 10-K except as noted below.</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meet the continued listing requirements for The Nasdaq Capital Market, our common stock may be delisted, which could affect the market price and liquidity for our common stock and reduce our ability to raise additional capital.</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are currently listed for trading on The Nasdaq Capital Market. We must satisfy the continued listing requirements of Nasdaq to maintain the listing of our securities on The Nasdaq Capital Market.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we received a written notice (the “Notice”) from the Listing Qualifications Staff (the “Staff”) of the Nasdaq Stock Market, LLC (“Nasdaq”)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14, 2025, we received a letter (the “Letter”) from the Staff indicating that, based upon our non-compliance with the $1.00 minimum bid price requirement set forth in Nasdaq Listing Rule 5550(a)(2) for continued listing on The Nasdaq Capital Market (the “Bid Price Requirement”), the Staff had determined to delist our securities from Nasdaq unless we timely request a hearing before the Nasdaq Hearings Panel (the “Panel”). Pursuant to Listing Rule 5810(c)(3)(A)(iv), we are not eligible for any compliance period due to the fact that we have effected a reverse stock split over the prior one-year period. We timely requested a hearing before the Panel.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2025, we received an additional staff determination letter indicating that, based upon our non-compliance with the MVLS Requirement, the Staff had determined such non-compliance served as an additional basis for delisting our securities from Nasdaq.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notice from Nasdaq that, based on the plan of compliance that we had submitted, the Panel had granted us an exception until November 10, 2025 (the “Exception”) to regain compliance with the Bid Price Requirement and the MVLS Requirement, subject to our achievement of certain milestones.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20, 2025, we received a letter from the Nasdaq Hearings Panel of the Nasdaq Stock Market, LLC stating that because our common stock, par value $0.0001, had a closing bid price at or above $1.00 per share for a minimum of 10 consecutive business days, we had regained compliance with the minimum bid price requirement of $1.00 per share for continued listing on the Nasdaq Capital Market (the “Minimum Bid Price Requirement”), as set forth in Nasdaq Listing Rule 5550(a)(2). Additionally, the Letter stated that because the our market value of listed securities had been $35 million or greater for a minimum of 10 consecutive business days, we had also regained compliance with the minimum market value of listed securities requirement for continued listing on the Nasdaq Capital Market (the “MVLS Requirement”), as set forth in Nasdaq Listing Rule 5550(b)(2). Accordingly, as of such date, we were in full compliance with Nasdaq’s continued listing requirements, and these matters are now closed. Pursuant to Nasdaq Listing Rule 5815(d)(4)(B), we will be subject to a Mandatory Panel Monitor through October 20, 2026. If, within that one-year monitoring period, we fail to maintain compliance with the Minimum Bid Price Requirement, the staff of the Nasdaq Listing Qualifications Department (the “Staff”) will issue a Delist Determination Letter, and we will have an opportunity to request a new hearing with the initial Panel or a newly convened Panel if the initial Panel is unavailable. Notwithstanding Nasdaq Listing Rule 5810(c)(2), we will not be permitted to provide the Staff with a plan of compliance with respect to any deficiency that arises during the one-year monitoring period, and the Staff will not be permitted to grant additional time for us to regain compliance with respect to any deficiency. Currently, our common stock is trading at less than $1.00, and in the event we are unable to continue to meet the Minimum Bid Price Requirement, we will need to complete a reverse stock split of our common stock. In October 2025, our stockholders approved a proposal to authorize our board of directors, in its discretion at any time within one year after such stockholder approval, to effect a reverse stock split of only the then-outstanding shares of our common stock (with no change to our authorized capital stock), at a ratio of not less than one-for-two (1:2) and not greater than one-for-fifty (1:50), with the exact ratio to be determined by our board of directors and included in a public announcement.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satisfy Nasdaq’s continued listing requirements, including, among other things, the Minimum Bid Price Requirement and the MVLS Requirement, or risk delisting, which could have a material adverse effect on our business. 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 There can be no assurance that we will be able to maintain compliance with the Minimum Bid Price Requirement or comply with the other continued listing standards of the Nasdaq Capital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ectPr>
          <w:pgSz w:w="11900" w:h="16860" w:orient="portrait"/>
          <w:cols w:equalWidth="0" w:num="1">
            <w:col w:w="11240"/>
          </w:cols>
          <w:pgMar w:left="320" w:top="684" w:right="339" w:bottom="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under the Exchange Act) adopted or terminated any “Rule 10b5-1 trading arrangement” or “non-Rule 10b5-1 trading arrangement,” as each term is defined in Item 408(c)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by Reference</w:t>
            </w:r>
          </w:p>
        </w:tc>
        <w:tc>
          <w:tcPr>
            <w:tcW w:w="0" w:type="dxa"/>
            <w:vAlign w:val="bottom"/>
          </w:tcPr>
          <w:p>
            <w:pPr>
              <w:spacing w:after="0"/>
              <w:rPr>
                <w:sz w:val="1"/>
                <w:szCs w:val="1"/>
                <w:color w:val="auto"/>
              </w:rPr>
            </w:pPr>
          </w:p>
        </w:tc>
      </w:tr>
      <w:tr>
        <w:trPr>
          <w:trHeight w:val="180"/>
        </w:trPr>
        <w:tc>
          <w:tcPr>
            <w:tcW w:w="90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80" w:type="dxa"/>
            <w:vAlign w:val="bottom"/>
            <w:gridSpan w:val="21"/>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6780" w:type="dxa"/>
            <w:vAlign w:val="bottom"/>
            <w:tcBorders>
              <w:top w:val="single" w:sz="8" w:color="auto"/>
              <w:bottom w:val="single" w:sz="8" w:color="0000EE"/>
            </w:tcBorders>
            <w:gridSpan w:val="16"/>
          </w:tcPr>
          <w:p>
            <w:pPr>
              <w:spacing w:after="0" w:line="169"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Underwriting Agreement, dated October 6, 2025, by and between Dragonfly Energy Holdings</w:t>
              </w:r>
            </w:hyperlink>
          </w:p>
        </w:tc>
        <w:tc>
          <w:tcPr>
            <w:tcW w:w="280" w:type="dxa"/>
            <w:vAlign w:val="bottom"/>
            <w:tcBorders>
              <w:top w:val="single" w:sz="8" w:color="auto"/>
            </w:tcBorders>
            <w:gridSpan w:val="8"/>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98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w w:val="97"/>
              </w:rPr>
              <w:t>10/06/2025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Corp. and Canaccord Genuity LLC.</w:t>
              </w:r>
            </w:hyperlink>
          </w:p>
        </w:tc>
        <w:tc>
          <w:tcPr>
            <w:tcW w:w="4600" w:type="dxa"/>
            <w:vAlign w:val="bottom"/>
            <w:gridSpan w:val="22"/>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7"/>
                <w:szCs w:val="17"/>
                <w:color w:val="auto"/>
              </w:rPr>
            </w:pPr>
          </w:p>
        </w:tc>
        <w:tc>
          <w:tcPr>
            <w:tcW w:w="7180" w:type="dxa"/>
            <w:vAlign w:val="bottom"/>
            <w:gridSpan w:val="2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Underwriting Agreement, dated October 16, 2025, by and between Dragonfly Energy Holdings</w:t>
              </w:r>
            </w:hyperlink>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8-K/A</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10/16/2025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Corp. and Canaccord Genuity LLC.</w:t>
              </w:r>
            </w:hyperlink>
          </w:p>
        </w:tc>
        <w:tc>
          <w:tcPr>
            <w:tcW w:w="4280" w:type="dxa"/>
            <w:vAlign w:val="bottom"/>
            <w:tcBorders>
              <w:top w:val="single" w:sz="8" w:color="0000EE"/>
            </w:tcBorders>
            <w:gridSpan w:val="15"/>
          </w:tcPr>
          <w:p>
            <w:pPr>
              <w:spacing w:after="0"/>
              <w:rPr>
                <w:sz w:val="17"/>
                <w:szCs w:val="17"/>
                <w:color w:val="auto"/>
              </w:rPr>
            </w:pPr>
          </w:p>
        </w:tc>
        <w:tc>
          <w:tcPr>
            <w:tcW w:w="320" w:type="dxa"/>
            <w:vAlign w:val="bottom"/>
            <w:gridSpan w:val="7"/>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7180" w:type="dxa"/>
            <w:vAlign w:val="bottom"/>
            <w:gridSpan w:val="2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Articles of Incorporation of Dragonfly Energy Holdings Corp.</w:t>
              </w:r>
            </w:hyperlink>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03/31/2023</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Bylaws of Dragonfly Energy Holdings Corp.</w:t>
              </w:r>
            </w:hyperlink>
          </w:p>
        </w:tc>
        <w:tc>
          <w:tcPr>
            <w:tcW w:w="1240" w:type="dxa"/>
            <w:vAlign w:val="bottom"/>
            <w:tcBorders>
              <w:top w:val="single" w:sz="8" w:color="0000EE"/>
            </w:tcBorders>
            <w:gridSpan w:val="2"/>
          </w:tcPr>
          <w:p>
            <w:pPr>
              <w:spacing w:after="0"/>
              <w:rPr>
                <w:sz w:val="17"/>
                <w:szCs w:val="17"/>
                <w:color w:val="auto"/>
              </w:rPr>
            </w:pPr>
          </w:p>
        </w:tc>
        <w:tc>
          <w:tcPr>
            <w:tcW w:w="2700" w:type="dxa"/>
            <w:vAlign w:val="bottom"/>
            <w:gridSpan w:val="17"/>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03/31/2023</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6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Certificate of Amendment to the Articles of Incorporation of Dragonfly Energy Holdings Corp.,</w:t>
              </w:r>
            </w:hyperlink>
          </w:p>
        </w:tc>
        <w:tc>
          <w:tcPr>
            <w:tcW w:w="260" w:type="dxa"/>
            <w:vAlign w:val="bottom"/>
            <w:gridSpan w:val="6"/>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04/28/2025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dated April 25, 2025.</w:t>
              </w:r>
            </w:hyperlink>
          </w:p>
        </w:tc>
        <w:tc>
          <w:tcPr>
            <w:tcW w:w="5640" w:type="dxa"/>
            <w:vAlign w:val="bottom"/>
            <w:gridSpan w:val="24"/>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68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Certificate of Designation of the Powers, Preferences and Relative, Participating, Optional and</w:t>
              </w:r>
            </w:hyperlink>
          </w:p>
        </w:tc>
        <w:tc>
          <w:tcPr>
            <w:tcW w:w="360" w:type="dxa"/>
            <w:vAlign w:val="bottom"/>
            <w:gridSpan w:val="8"/>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11/04/2025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gridSpan w:val="2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Other Restrictions of Series B Convertible Preferred Stock.</w:t>
              </w:r>
            </w:hyperlink>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42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October 2025 Pre-Funded Warrant.</w:t>
              </w:r>
            </w:hyperlink>
          </w:p>
        </w:tc>
        <w:tc>
          <w:tcPr>
            <w:tcW w:w="2920" w:type="dxa"/>
            <w:vAlign w:val="bottom"/>
            <w:gridSpan w:val="18"/>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10/16/2025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6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Settlement and Mutual Release Agreement, dated July 20, 2025, by and between the</w:t>
              </w:r>
            </w:hyperlink>
          </w:p>
        </w:tc>
        <w:tc>
          <w:tcPr>
            <w:tcW w:w="480" w:type="dxa"/>
            <w:vAlign w:val="bottom"/>
            <w:gridSpan w:val="11"/>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07/21/2025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Company and the investor party thereto.</w:t>
              </w:r>
            </w:hyperlink>
          </w:p>
        </w:tc>
        <w:tc>
          <w:tcPr>
            <w:tcW w:w="4280" w:type="dxa"/>
            <w:vAlign w:val="bottom"/>
            <w:gridSpan w:val="21"/>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6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Amendment to the Dragonfly Energy Holdings Corp.’s 2022 Equity Incentive Plan.</w:t>
              </w:r>
            </w:hyperlink>
          </w:p>
        </w:tc>
        <w:tc>
          <w:tcPr>
            <w:tcW w:w="1160" w:type="dxa"/>
            <w:vAlign w:val="bottom"/>
            <w:gridSpan w:val="15"/>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10/15/2025</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7180" w:type="dxa"/>
            <w:vAlign w:val="bottom"/>
            <w:gridSpan w:val="2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Sixth Amendment to Term Loan, Guarantee and Security Agreement, dated as of October 20,</w:t>
              </w:r>
            </w:hyperlink>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10/20/2025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2025, by and among the Company, Dragonfly Energy Corp., Battle Born Battery Products, LLC,</w:t>
              </w:r>
            </w:hyperlink>
          </w:p>
        </w:tc>
        <w:tc>
          <w:tcPr>
            <w:tcW w:w="22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gridSpan w:val="2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the lenders from time to time party thereto and Alter Domus (US) LLC.</w:t>
              </w:r>
            </w:hyperlink>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70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Exchange Agreement, dated November 4, 2025, by and among Dragonfly Energy Holdings Corp.</w:t>
              </w:r>
            </w:hyperlink>
          </w:p>
        </w:tc>
        <w:tc>
          <w:tcPr>
            <w:tcW w:w="140" w:type="dxa"/>
            <w:vAlign w:val="bottom"/>
            <w:gridSpan w:val="2"/>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7"/>
              </w:rPr>
              <w:t>11/04/2025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and the lenders party thereto.</w:t>
              </w:r>
            </w:hyperlink>
          </w:p>
        </w:tc>
        <w:tc>
          <w:tcPr>
            <w:tcW w:w="5080" w:type="dxa"/>
            <w:vAlign w:val="bottom"/>
            <w:gridSpan w:val="23"/>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0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Securities Exchange Act Rules 13a-14(a)</w:t>
            </w:r>
          </w:p>
        </w:tc>
        <w:tc>
          <w:tcPr>
            <w:tcW w:w="18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and 15(d)-14(a), as adopted Pursuant to Section 302 of the Sarbanes-Oxley Act of 2002.</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60" w:type="dxa"/>
            <w:vAlign w:val="bottom"/>
            <w:gridSpan w:val="11"/>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7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15(d)-14(a), as adopted Pursuant to Section 302 of the Sarbanes-Oxley Act of 2002.</w:t>
            </w:r>
          </w:p>
        </w:tc>
        <w:tc>
          <w:tcPr>
            <w:tcW w:w="24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60" w:type="dxa"/>
            <w:vAlign w:val="bottom"/>
            <w:gridSpan w:val="11"/>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7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18 U.S.C.</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Sarbanes-Oxley Act of 2002.</w:t>
            </w:r>
          </w:p>
        </w:tc>
        <w:tc>
          <w:tcPr>
            <w:tcW w:w="340" w:type="dxa"/>
            <w:vAlign w:val="bottom"/>
            <w:tcBorders>
              <w:top w:val="single" w:sz="8" w:color="0000EE"/>
            </w:tcBorders>
            <w:gridSpan w:val="2"/>
          </w:tcPr>
          <w:p>
            <w:pPr>
              <w:spacing w:after="0"/>
              <w:rPr>
                <w:sz w:val="17"/>
                <w:szCs w:val="17"/>
                <w:color w:val="auto"/>
              </w:rPr>
            </w:pPr>
          </w:p>
        </w:tc>
        <w:tc>
          <w:tcPr>
            <w:tcW w:w="68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as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hanging="972"/>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Interim Chief Financial Officer</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Dragonfly Energy Holdings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Dragonfly Energy Holdings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quarter ended September 30, 2025 (the “</w:t>
      </w:r>
      <w:r>
        <w:rPr>
          <w:rFonts w:ascii="Times New Roman" w:cs="Times New Roman" w:eastAsia="Times New Roman" w:hAnsi="Times New Roman"/>
          <w:sz w:val="18"/>
          <w:szCs w:val="18"/>
          <w:b w:val="1"/>
          <w:bCs w:val="1"/>
          <w:color w:val="auto"/>
        </w:rPr>
        <w:t>Quarterly Report</w:t>
      </w:r>
      <w:r>
        <w:rPr>
          <w:rFonts w:ascii="Times New Roman" w:cs="Times New Roman" w:eastAsia="Times New Roman" w:hAnsi="Times New Roman"/>
          <w:sz w:val="18"/>
          <w:szCs w:val="18"/>
          <w:color w:val="auto"/>
        </w:rPr>
        <w:t>”), Denis Phares, as Chief Executive Officer and Interim Chief Financial Officer, certifies in his capacity as such officer of the Company, that to his knowledge:</w:t>
      </w:r>
    </w:p>
    <w:p>
      <w:pPr>
        <w:spacing w:after="0" w:line="183"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By: /s/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Roman"/>
      <w:start w:val="2"/>
    </w:lvl>
  </w:abstractNum>
  <w:abstractNum w:abstractNumId="3">
    <w:nsid w:val="109CF92E"/>
    <w:multiLevelType w:val="hybridMultilevel"/>
    <w:lvl w:ilvl="0">
      <w:lvlJc w:val="left"/>
      <w:lvlText w:val="%1."/>
      <w:numFmt w:val="decimal"/>
      <w:start w:val="815"/>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Roman"/>
      <w:start w:val="2"/>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97" Type="http://schemas.openxmlformats.org/officeDocument/2006/relationships/hyperlink" Target="https://www.sec.gov/Archives/edgar/data/1847986/000149315225017102/ex1-1.htm" TargetMode="External"/><Relationship Id="rId98" Type="http://schemas.openxmlformats.org/officeDocument/2006/relationships/hyperlink" Target="https://www.sec.gov/Archives/edgar/data/1847986/000149315225018340/ex1-1.htm" TargetMode="External"/><Relationship Id="rId99" Type="http://schemas.openxmlformats.org/officeDocument/2006/relationships/hyperlink" Target="https://www.sec.gov/Archives/edgar/data/1847986/000149315223010262/ex3-1.htm" TargetMode="External"/><Relationship Id="rId100" Type="http://schemas.openxmlformats.org/officeDocument/2006/relationships/hyperlink" Target="https://www.sec.gov/Archives/edgar/data/1847986/000149315223010262/ex3-2.htm" TargetMode="External"/><Relationship Id="rId101" Type="http://schemas.openxmlformats.org/officeDocument/2006/relationships/hyperlink" Target="https://www.sec.gov/Archives/edgar/data/1847986/000164117225006463/ex3-1.htm" TargetMode="External"/><Relationship Id="rId102" Type="http://schemas.openxmlformats.org/officeDocument/2006/relationships/hyperlink" Target="https://www.sec.gov/Archives/edgar/data/1847986/000149315225020907/ex3-1.htm" TargetMode="External"/><Relationship Id="rId103" Type="http://schemas.openxmlformats.org/officeDocument/2006/relationships/hyperlink" Target="https://www.sec.gov/Archives/edgar/data/1847986/000149315225018340/ex4-1.htm" TargetMode="External"/><Relationship Id="rId104" Type="http://schemas.openxmlformats.org/officeDocument/2006/relationships/hyperlink" Target="https://www.sec.gov/Archives/edgar/data/1847986/000164117225020360/ex10-1.htm" TargetMode="External"/><Relationship Id="rId105" Type="http://schemas.openxmlformats.org/officeDocument/2006/relationships/hyperlink" Target="https://www.sec.gov/Archives/edgar/data/1847986/000149315225018142/ex10-1.htm" TargetMode="External"/><Relationship Id="rId106" Type="http://schemas.openxmlformats.org/officeDocument/2006/relationships/hyperlink" Target="https://www.sec.gov/Archives/edgar/data/1847986/000149315225018691/ex10-1.htm" TargetMode="External"/><Relationship Id="rId107" Type="http://schemas.openxmlformats.org/officeDocument/2006/relationships/hyperlink" Target="https://www.sec.gov/Archives/edgar/data/1847986/00014931522502090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2025-11-14T15:29:12Z</dcterms:created>
  <dcterms:modified xsi:type="dcterms:W3CDTF">2025-11-14T15:29:12Z</dcterms:modified>
</cp:coreProperties>
</file>