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5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tc>
        <w:tc>
          <w:tcPr>
            <w:tcW w:w="0" w:type="dxa"/>
            <w:vAlign w:val="bottom"/>
          </w:tcPr>
          <w:p>
            <w:pPr>
              <w:spacing w:after="0"/>
              <w:rPr>
                <w:sz w:val="1"/>
                <w:szCs w:val="1"/>
                <w:color w:val="auto"/>
              </w:rPr>
            </w:pPr>
          </w:p>
        </w:tc>
      </w:tr>
      <w:tr>
        <w:trPr>
          <w:trHeight w:val="194"/>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 the Prospectus Dated November 24, 2023)</w:t>
            </w:r>
          </w:p>
        </w:tc>
        <w:tc>
          <w:tcPr>
            <w:tcW w:w="5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140" w:type="dxa"/>
            <w:vAlign w:val="bottom"/>
            <w:vMerge w:val="continue"/>
          </w:tcPr>
          <w:p>
            <w:pPr>
              <w:spacing w:after="0"/>
              <w:rPr>
                <w:sz w:val="11"/>
                <w:szCs w:val="11"/>
                <w:color w:val="auto"/>
              </w:rPr>
            </w:pPr>
          </w:p>
        </w:tc>
        <w:tc>
          <w:tcPr>
            <w:tcW w:w="5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333-275559</w:t>
            </w:r>
          </w:p>
        </w:tc>
        <w:tc>
          <w:tcPr>
            <w:tcW w:w="0" w:type="dxa"/>
            <w:vAlign w:val="bottom"/>
          </w:tcPr>
          <w:p>
            <w:pPr>
              <w:spacing w:after="0"/>
              <w:rPr>
                <w:sz w:val="1"/>
                <w:szCs w:val="1"/>
                <w:color w:val="auto"/>
              </w:rPr>
            </w:pPr>
          </w:p>
        </w:tc>
      </w:tr>
      <w:tr>
        <w:trPr>
          <w:trHeight w:val="108"/>
        </w:trPr>
        <w:tc>
          <w:tcPr>
            <w:tcW w:w="6140" w:type="dxa"/>
            <w:vAlign w:val="bottom"/>
          </w:tcPr>
          <w:p>
            <w:pPr>
              <w:spacing w:after="0"/>
              <w:rPr>
                <w:sz w:val="9"/>
                <w:szCs w:val="9"/>
                <w:color w:val="auto"/>
              </w:rPr>
            </w:pPr>
          </w:p>
        </w:tc>
        <w:tc>
          <w:tcPr>
            <w:tcW w:w="5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137160</wp:posOffset>
            </wp:positionV>
            <wp:extent cx="171450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 Shares of Series A Convertible Preferred Stock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1,800,000 Shares of Common Stock underlying 180 Shares of Series A Convertible Preferred Stock</w:t>
      </w:r>
    </w:p>
    <w:p>
      <w:pPr>
        <w:spacing w:after="0" w:line="207"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offering to a single institutional investor 180 shares of our Series A Convertible Preferred Stock, par value $0.0001 per share (the “Series A Preferred Stock”), at a price of $10,000 per share, initially convertible into shares of common stock, par value $0.0001 per share, at a conversion price of $2.332 per share of common stock. The Series A Preferred Stock is also convertible at an adjusted conversion price, subject to a floor, as described under “</w:t>
      </w:r>
      <w:r>
        <w:rPr>
          <w:rFonts w:ascii="Times New Roman" w:cs="Times New Roman" w:eastAsia="Times New Roman" w:hAnsi="Times New Roman"/>
          <w:sz w:val="18"/>
          <w:szCs w:val="18"/>
          <w:i w:val="1"/>
          <w:iCs w:val="1"/>
          <w:color w:val="auto"/>
        </w:rPr>
        <w:t>Description of the Securities We Are Offering – Series A Preferred Stock.</w:t>
      </w:r>
      <w:r>
        <w:rPr>
          <w:rFonts w:ascii="Times New Roman" w:cs="Times New Roman" w:eastAsia="Times New Roman" w:hAnsi="Times New Roman"/>
          <w:sz w:val="18"/>
          <w:szCs w:val="18"/>
          <w:color w:val="auto"/>
        </w:rPr>
        <w:t xml:space="preserve"> This offering also relates to the shares of common stock issuable upon conversion of the Series A Preferred Stock offered by this prospectus supplement and the accompanying prospectus. The number of shares of common stock set forth on the cover page of this prospectus supplement is based on the floor price of $1.00 for the Series A Preferred Stock offered hereby.</w:t>
      </w:r>
    </w:p>
    <w:p>
      <w:pPr>
        <w:spacing w:after="0" w:line="187" w:lineRule="exact"/>
        <w:rPr>
          <w:sz w:val="24"/>
          <w:szCs w:val="24"/>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 concurrent private placement (the “Private Placement”), we are also initially selling to the investor at the initial closing of the Private Placement (i) 170 shares of Series A Preferred Stock at the same offering price as the Series A Preferred Stock offered by this prospectus supplement and the accompanying prospectus, initially convertible into shares of common stock, at a conversion price of $2.332 per share of common stock and (ii) warrants (the “Private Placement Warrants”) to purchase up to an aggregate of 4,000 shares of Series A Preferred Stock (the “Private Placement Warrant Shares”), with an exercise price of $10,000 per share of Series A Preferred Stock, and a term of 33 months from the initial closing of the Private Placement. The terms of the Series A Preferred Stock offered by this prospectus and sold in the initial closing of the Private Placement have identical terms, other than a floor price of $0.424 for the shares of Preferred Stock issued in the Private Placement. In addition, upon receipt of Stockholder Approval (as defined below) and the effectiveness of a registration statement (the “Resale Registration”) filed pursuant to the Securities Act of 1933, as amended (the “Securities Act”), registering for resale the shares of common stock issuable upon conversion of the shares of Series A Preferred Stock sold at the initial closing of the Private Placement and the Second Closing (as defined below), the investor shall be automatically required to purchase (the “Second Closing”) an additional 450 shares of Series A Preferred Stock (the “Second Closing Preferred Shares”). The Second Closing Preferred Shares shall be identical to the Series A Preferred Stock offered by this prospectus supplement and accompanying prospectus and sold in the initial closing of the Private Placement other than the conversion price and the floor price which will be determined as described under “</w:t>
      </w:r>
      <w:r>
        <w:rPr>
          <w:rFonts w:ascii="Times New Roman" w:cs="Times New Roman" w:eastAsia="Times New Roman" w:hAnsi="Times New Roman"/>
          <w:sz w:val="18"/>
          <w:szCs w:val="18"/>
          <w:i w:val="1"/>
          <w:iCs w:val="1"/>
          <w:color w:val="auto"/>
        </w:rPr>
        <w:t>Private Placement of Series A Preferred Stock and Warrants</w:t>
      </w:r>
      <w:r>
        <w:rPr>
          <w:rFonts w:ascii="Times New Roman" w:cs="Times New Roman" w:eastAsia="Times New Roman" w:hAnsi="Times New Roman"/>
          <w:sz w:val="18"/>
          <w:szCs w:val="18"/>
          <w:color w:val="auto"/>
        </w:rPr>
        <w:t>”. The shares of Preferred Stock issued in the Private Placement, the Private Placement Warrant Shares, the shares of our common stock issuable under the Series A Preferred Stock and Private Placement Warrants Shares issued in connection with the concurrent Private Placement are not being offered pursuant to this prospectus supplement and the accompanying prospectus and are being offered pursuant to the exemption provided in Section 4(a)(2) under the Securities Act and Rule 506(b) promulgated thereunder. See “</w:t>
      </w:r>
      <w:r>
        <w:rPr>
          <w:rFonts w:ascii="Times New Roman" w:cs="Times New Roman" w:eastAsia="Times New Roman" w:hAnsi="Times New Roman"/>
          <w:sz w:val="18"/>
          <w:szCs w:val="18"/>
          <w:i w:val="1"/>
          <w:iCs w:val="1"/>
          <w:color w:val="auto"/>
        </w:rPr>
        <w:t>Private Placement of Series A Preferred Stock and Warrants</w:t>
      </w:r>
      <w:r>
        <w:rPr>
          <w:rFonts w:ascii="Times New Roman" w:cs="Times New Roman" w:eastAsia="Times New Roman" w:hAnsi="Times New Roman"/>
          <w:sz w:val="18"/>
          <w:szCs w:val="18"/>
          <w:color w:val="auto"/>
        </w:rPr>
        <w:t>” for additional information.</w:t>
      </w:r>
    </w:p>
    <w:p>
      <w:pPr>
        <w:spacing w:after="0" w:line="193"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to the extent we have obtained stockholder approval to comply with the applicable stockholder approval rules and regulations of the Nasdaq Stock Market (“Stockholder Approval”), the Series A Preferred Stock being offered by this prospectus supplement and the accompanying prospectus and in the Private Placement will not be convertible into shares of common stock in excess of 1,450,489 shares in the aggregate (the “Issuable Maximum”), which amount equals 19.99% of the number of shares of our common stock outstanding as of February 26, 2025. See “</w:t>
      </w:r>
      <w:r>
        <w:rPr>
          <w:rFonts w:ascii="Times New Roman" w:cs="Times New Roman" w:eastAsia="Times New Roman" w:hAnsi="Times New Roman"/>
          <w:sz w:val="18"/>
          <w:szCs w:val="18"/>
          <w:i w:val="1"/>
          <w:iCs w:val="1"/>
          <w:color w:val="auto"/>
        </w:rPr>
        <w:t>Description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We Are Offering – Series A Preferred Stock</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“Private Placement of Series A Preferred Stock and Warrants” </w:t>
      </w:r>
      <w:r>
        <w:rPr>
          <w:rFonts w:ascii="Times New Roman" w:cs="Times New Roman" w:eastAsia="Times New Roman" w:hAnsi="Times New Roman"/>
          <w:sz w:val="18"/>
          <w:szCs w:val="18"/>
          <w:color w:val="auto"/>
        </w:rPr>
        <w:t>for additional information.</w:t>
      </w:r>
    </w:p>
    <w:p>
      <w:pPr>
        <w:spacing w:after="0" w:line="183"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read this prospectus supplement and the accompanying prospectus, together with additional information described under the headings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carefully before you invest in any of our securities.</w:t>
      </w:r>
    </w:p>
    <w:p>
      <w:pPr>
        <w:spacing w:after="0" w:line="158"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We effected a 1-for-9 reverse stock split on November 22, 2024, pursuant to which every nine shares of our issued and outstanding common stock were converted into one share of common stock (the “Reverse Stock Split”). The Reverse Stock Split had no impact on the par value of our common stock or the authorized number of shares of our common stock. Unless otherwise indicated, all share and per share information in this prospectus supplement has been adjusted to reflect the Reverse Stock Split.</w:t>
      </w:r>
    </w:p>
    <w:p>
      <w:pPr>
        <w:spacing w:after="0" w:line="180"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no established trading market for the Series A Preferred Stock, and we do not expect a market to develop. In addition, we do not intend to list the Series A Preferred Stock on The Nasdaq Capital Market, any other national securities exchange or any other nationally recognized trading system. The Private Placement Warrants being issued in the concurrent Private Placement are not listed on any securities exchange, and we do not expect to list the Private Placement Warrants. Our common stock is listed on The Nasdaq Capital Market under the symbol “DFLI” and our public warrants are listed on The Nasdaq Capital Market under the symbol “DFLIW”. On February 26, 2025, the closing price per share of our common stock was $2.12 and the closing price of our public warrants was $0.036.</w:t>
      </w:r>
    </w:p>
    <w:p>
      <w:pPr>
        <w:spacing w:after="0" w:line="187"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February 26, 2025, the aggregate market value of our outstanding common stock held by non-affiliates (the public float) was approximately $20,933,890, which was calculated based on 5,409,274 shares of outstanding common stock held by non-affiliates and at a price per share of $3.87, the closing price of our common stock on January 6, 2025. In no event will we sell our common stock in a public primary offering with a value exceeding more than one-third of our public float in any 12 calendar month period so long as our public float remains below $75.0 million. During the 12 calendar month period that ends on, and includes, the date of this prospectus supplement (but excluding this offering) we have not previously offered and sold any securities pursuant to General Instruction I.B.6 of Form S-3.</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S-6 of this prospectus supplement.</w:t>
      </w:r>
    </w:p>
    <w:p>
      <w:pPr>
        <w:spacing w:after="0" w:line="229"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engaged Chardan Capital Markets, LLC to act as our exclusive placement agent in connection with this offering. The placement agent is not purchasing the securities offered by us in this offering and is not required to arrange the purchase or sale of any specific number or dollar amount of securities, but will use its reasonable best efforts to arrange for the sale of the Series A Preferred Stock offered in this offering.</w:t>
      </w:r>
    </w:p>
    <w:p>
      <w:pPr>
        <w:spacing w:after="0" w:line="176"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that delivery of the securities being offered pursuant to this prospectus supplement and the accompanying prospectus will be made on or about February 27, 2025, subject to the satisfaction of certain customary closing conditions.</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supplement and the accompanying prospectus is truthful or complete. Any representation to the</w:t>
      </w:r>
    </w:p>
    <w:p>
      <w:pPr>
        <w:sectPr>
          <w:pgSz w:w="11900" w:h="16930" w:orient="portrait"/>
          <w:cols w:equalWidth="0" w:num="1">
            <w:col w:w="11240"/>
          </w:cols>
          <w:pgMar w:left="320" w:top="44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contrary is a criminal offense.</w:t>
            </w: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 Share of</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 (1)</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 (2)</w:t>
            </w:r>
          </w:p>
        </w:tc>
        <w:tc>
          <w:tcPr>
            <w:tcW w:w="2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9,500</w:t>
            </w:r>
          </w:p>
        </w:tc>
        <w:tc>
          <w:tcPr>
            <w:tcW w:w="6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1,710,000</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any fees payable in the concurrent Private Placement. Includes a cash fee of 5.0% of the gross proceeds of this offering. We have also agreed to reimburse the placement agent for actual and reasonable out-of-pocket expenses. For additional information about the compensation paid to the placement agent,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offering proceeds to us presented in this table does not give effect to the concurrent Private Placement or any exercise of the Private Placement Warrants being issued in the concurrent Private Placement.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Chardan Capital Markets, LLC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1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80" w:type="dxa"/>
            <w:vAlign w:val="bottom"/>
          </w:tcPr>
          <w:p>
            <w:pPr>
              <w:spacing w:after="0"/>
              <w:rPr>
                <w:sz w:val="20"/>
                <w:szCs w:val="20"/>
                <w:color w:val="auto"/>
              </w:rPr>
            </w:pPr>
          </w:p>
        </w:tc>
      </w:tr>
      <w:tr>
        <w:trPr>
          <w:trHeight w:val="432"/>
        </w:trPr>
        <w:tc>
          <w:tcPr>
            <w:tcW w:w="86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58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196"/>
        </w:trPr>
        <w:tc>
          <w:tcPr>
            <w:tcW w:w="86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2580" w:type="dxa"/>
            <w:vAlign w:val="bottom"/>
            <w:shd w:val="clear" w:color="auto" w:fill="CCEEFF"/>
          </w:tcPr>
          <w:p>
            <w:pPr>
              <w:jc w:val="center"/>
              <w:ind w:left="1850"/>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34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5220" w:type="dxa"/>
            <w:vAlign w:val="bottom"/>
            <w:tcBorders>
              <w:top w:val="single" w:sz="8" w:color="CCEEFF"/>
            </w:tcBorders>
            <w:gridSpan w:val="7"/>
          </w:tcPr>
          <w:p>
            <w:pPr>
              <w:spacing w:after="0"/>
              <w:rPr>
                <w:sz w:val="15"/>
                <w:szCs w:val="15"/>
                <w:color w:val="auto"/>
              </w:rPr>
            </w:pPr>
          </w:p>
        </w:tc>
        <w:tc>
          <w:tcPr>
            <w:tcW w:w="2580" w:type="dxa"/>
            <w:vAlign w:val="bottom"/>
            <w:tcBorders>
              <w:top w:val="single" w:sz="8" w:color="CCEEFF"/>
            </w:tcBorders>
          </w:tcPr>
          <w:p>
            <w:pPr>
              <w:jc w:val="center"/>
              <w:ind w:left="1850"/>
              <w:spacing w:after="0" w:line="176" w:lineRule="exact"/>
              <w:rPr>
                <w:sz w:val="20"/>
                <w:szCs w:val="20"/>
                <w:color w:val="auto"/>
              </w:rPr>
            </w:pPr>
            <w:r>
              <w:rPr>
                <w:rFonts w:ascii="Times New Roman" w:cs="Times New Roman" w:eastAsia="Times New Roman" w:hAnsi="Times New Roman"/>
                <w:sz w:val="18"/>
                <w:szCs w:val="18"/>
                <w:color w:val="auto"/>
                <w:w w:val="95"/>
              </w:rPr>
              <w:t>S-2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6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580" w:type="dxa"/>
            <w:vAlign w:val="bottom"/>
            <w:shd w:val="clear" w:color="auto" w:fill="CCEEFF"/>
          </w:tcPr>
          <w:p>
            <w:pPr>
              <w:jc w:val="center"/>
              <w:ind w:left="1850"/>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380" w:type="dxa"/>
            <w:vAlign w:val="bottom"/>
            <w:tcBorders>
              <w:top w:val="single" w:sz="8" w:color="CCEEFF"/>
            </w:tcBorders>
            <w:gridSpan w:val="21"/>
          </w:tcPr>
          <w:p>
            <w:pPr>
              <w:spacing w:after="0"/>
              <w:rPr>
                <w:sz w:val="15"/>
                <w:szCs w:val="15"/>
                <w:color w:val="auto"/>
              </w:rPr>
            </w:pPr>
          </w:p>
        </w:tc>
        <w:tc>
          <w:tcPr>
            <w:tcW w:w="2580" w:type="dxa"/>
            <w:vAlign w:val="bottom"/>
            <w:tcBorders>
              <w:top w:val="single" w:sz="8" w:color="CCEEFF"/>
            </w:tcBorders>
          </w:tcPr>
          <w:p>
            <w:pPr>
              <w:jc w:val="center"/>
              <w:ind w:left="1850"/>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60" w:type="dxa"/>
            <w:vAlign w:val="bottom"/>
            <w:tcBorders>
              <w:bottom w:val="single" w:sz="8" w:color="CCEEFF"/>
            </w:tcBorders>
            <w:gridSpan w:val="2"/>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176"/>
        </w:trPr>
        <w:tc>
          <w:tcPr>
            <w:tcW w:w="86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80" w:type="dxa"/>
            <w:vAlign w:val="bottom"/>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6"/>
        </w:trPr>
        <w:tc>
          <w:tcPr>
            <w:tcW w:w="86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2580" w:type="dxa"/>
            <w:vAlign w:val="bottom"/>
            <w:shd w:val="clear" w:color="auto" w:fill="CCEEFF"/>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SECURITIES WE ARE OFFERING</w:t>
            </w:r>
          </w:p>
        </w:tc>
        <w:tc>
          <w:tcPr>
            <w:tcW w:w="2580" w:type="dxa"/>
            <w:vAlign w:val="bottom"/>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6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PRIVATE PLACEMENT OF SERIES A PREFERRED STOCK AND WARRANTS</w:t>
            </w:r>
          </w:p>
        </w:tc>
        <w:tc>
          <w:tcPr>
            <w:tcW w:w="2580" w:type="dxa"/>
            <w:vAlign w:val="bottom"/>
            <w:shd w:val="clear" w:color="auto" w:fill="CCEEFF"/>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175"/>
        </w:trPr>
        <w:tc>
          <w:tcPr>
            <w:tcW w:w="610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560" w:type="dxa"/>
            <w:vAlign w:val="bottom"/>
            <w:tcBorders>
              <w:top w:val="single" w:sz="8" w:color="CCEEFF"/>
            </w:tcBorders>
          </w:tcPr>
          <w:p>
            <w:pPr>
              <w:spacing w:after="0"/>
              <w:rPr>
                <w:sz w:val="15"/>
                <w:szCs w:val="15"/>
                <w:color w:val="auto"/>
              </w:rPr>
            </w:pPr>
          </w:p>
        </w:tc>
        <w:tc>
          <w:tcPr>
            <w:tcW w:w="2580" w:type="dxa"/>
            <w:vAlign w:val="bottom"/>
            <w:tcBorders>
              <w:top w:val="single" w:sz="8" w:color="CCEEFF"/>
            </w:tcBorders>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6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80" w:type="dxa"/>
            <w:vAlign w:val="bottom"/>
            <w:shd w:val="clear" w:color="auto" w:fill="CCEEFF"/>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200" w:type="dxa"/>
            <w:vAlign w:val="bottom"/>
            <w:tcBorders>
              <w:top w:val="single" w:sz="8" w:color="CCEEFF"/>
            </w:tcBorders>
            <w:gridSpan w:val="20"/>
          </w:tcPr>
          <w:p>
            <w:pPr>
              <w:spacing w:after="0"/>
              <w:rPr>
                <w:sz w:val="15"/>
                <w:szCs w:val="15"/>
                <w:color w:val="auto"/>
              </w:rPr>
            </w:pPr>
          </w:p>
        </w:tc>
        <w:tc>
          <w:tcPr>
            <w:tcW w:w="2580" w:type="dxa"/>
            <w:vAlign w:val="bottom"/>
            <w:tcBorders>
              <w:top w:val="single" w:sz="8" w:color="CCEEFF"/>
            </w:tcBorders>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6"/>
        </w:trPr>
        <w:tc>
          <w:tcPr>
            <w:tcW w:w="86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580" w:type="dxa"/>
            <w:vAlign w:val="bottom"/>
            <w:shd w:val="clear" w:color="auto" w:fill="CCEEFF"/>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80" w:type="dxa"/>
            <w:vAlign w:val="bottom"/>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453"/>
        </w:trPr>
        <w:tc>
          <w:tcPr>
            <w:tcW w:w="518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480" w:type="dxa"/>
            <w:vAlign w:val="bottom"/>
            <w:gridSpan w:val="3"/>
          </w:tcPr>
          <w:p>
            <w:pPr>
              <w:spacing w:after="0"/>
              <w:rPr>
                <w:sz w:val="24"/>
                <w:szCs w:val="24"/>
                <w:color w:val="auto"/>
              </w:rPr>
            </w:pPr>
          </w:p>
        </w:tc>
        <w:tc>
          <w:tcPr>
            <w:tcW w:w="258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20" w:type="dxa"/>
            <w:vAlign w:val="bottom"/>
            <w:tcBorders>
              <w:bottom w:val="single" w:sz="8" w:color="CCEEFF"/>
            </w:tcBorders>
            <w:gridSpan w:val="14"/>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center"/>
              <w:ind w:left="18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86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80" w:type="dxa"/>
            <w:vAlign w:val="bottom"/>
          </w:tcPr>
          <w:p>
            <w:pPr>
              <w:jc w:val="center"/>
              <w:ind w:left="185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400" w:type="dxa"/>
            <w:vAlign w:val="bottom"/>
            <w:tcBorders>
              <w:bottom w:val="single" w:sz="8" w:color="CCEEFF"/>
            </w:tcBorders>
            <w:gridSpan w:val="22"/>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center"/>
              <w:ind w:left="185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86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580" w:type="dxa"/>
            <w:vAlign w:val="bottom"/>
          </w:tcPr>
          <w:p>
            <w:pPr>
              <w:jc w:val="center"/>
              <w:ind w:left="18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5"/>
        </w:trPr>
        <w:tc>
          <w:tcPr>
            <w:tcW w:w="86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80" w:type="dxa"/>
            <w:vAlign w:val="bottom"/>
            <w:shd w:val="clear" w:color="auto" w:fill="CCEEFF"/>
          </w:tcPr>
          <w:p>
            <w:pPr>
              <w:jc w:val="center"/>
              <w:ind w:left="185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2580" w:type="dxa"/>
            <w:vAlign w:val="bottom"/>
          </w:tcPr>
          <w:p>
            <w:pPr>
              <w:jc w:val="center"/>
              <w:ind w:left="185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5780" w:type="dxa"/>
            <w:vAlign w:val="bottom"/>
            <w:tcBorders>
              <w:bottom w:val="single" w:sz="8" w:color="CCEEFF"/>
            </w:tcBorders>
            <w:gridSpan w:val="11"/>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center"/>
              <w:ind w:left="185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86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580" w:type="dxa"/>
            <w:vAlign w:val="bottom"/>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5540" w:type="dxa"/>
            <w:vAlign w:val="bottom"/>
            <w:tcBorders>
              <w:bottom w:val="single" w:sz="8" w:color="CCEEFF"/>
            </w:tcBorders>
            <w:gridSpan w:val="8"/>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86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580" w:type="dxa"/>
            <w:vAlign w:val="bottom"/>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6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580" w:type="dxa"/>
            <w:vAlign w:val="bottom"/>
            <w:shd w:val="clear" w:color="auto" w:fill="CCEEFF"/>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20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6640" w:type="dxa"/>
            <w:vAlign w:val="bottom"/>
            <w:tcBorders>
              <w:top w:val="single" w:sz="8" w:color="CCEEFF"/>
            </w:tcBorders>
            <w:gridSpan w:val="17"/>
          </w:tcPr>
          <w:p>
            <w:pPr>
              <w:spacing w:after="0"/>
              <w:rPr>
                <w:sz w:val="15"/>
                <w:szCs w:val="15"/>
                <w:color w:val="auto"/>
              </w:rPr>
            </w:pPr>
          </w:p>
        </w:tc>
        <w:tc>
          <w:tcPr>
            <w:tcW w:w="2580" w:type="dxa"/>
            <w:vAlign w:val="bottom"/>
            <w:tcBorders>
              <w:top w:val="single" w:sz="8" w:color="CCEEFF"/>
            </w:tcBorders>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00" w:type="dxa"/>
            <w:vAlign w:val="bottom"/>
            <w:tcBorders>
              <w:bottom w:val="single" w:sz="8" w:color="CCEEFF"/>
            </w:tcBorders>
            <w:gridSpan w:val="16"/>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86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80" w:type="dxa"/>
            <w:vAlign w:val="bottom"/>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880" w:type="dxa"/>
            <w:vAlign w:val="bottom"/>
            <w:tcBorders>
              <w:bottom w:val="single" w:sz="8" w:color="CCEEFF"/>
            </w:tcBorders>
            <w:gridSpan w:val="24"/>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86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2580" w:type="dxa"/>
            <w:vAlign w:val="bottom"/>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75"/>
        </w:trPr>
        <w:tc>
          <w:tcPr>
            <w:tcW w:w="86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80" w:type="dxa"/>
            <w:vAlign w:val="bottom"/>
            <w:shd w:val="clear" w:color="auto" w:fill="CCEEFF"/>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this prospectus supplement, “Company,” “we,” “us,” “our” or “ours” and any related terms refer to Dragonfly Energy Holdings Corp., a Nevada corporation, and its consolidated subsidiaries.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trademarks or trade names referred to in this prospectus supplement are the property of their respective owners. Solely for convenience, the trademarks and trade names in this prospectus supplement are referred to without the ® 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adds to and updates information contained in the accompanying prospectus. The second part, the prospectus, provides more general information, some of which may not apply to this offering. Generally, when we refer to this prospectus, we are referring to both parts of this document combined. To the extent there is a conflict between the information contained in this prospectus supplement and the information contained in the accompanying prospectus, you should rely on the information in this prospectus supplement.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offering of shares of our Series A Preferred Stock and the securities issuable upon conversion of the Series A Preferred Stock. Before buying the shares of Series A Preferred Stock offered hereby, we urge you to carefully read this prospectus supplement and the accompanying prospectus, together with the information incorporated herein by reference as described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These documents contain important information that you should consider when making your investment decision. This prospectus supplement contains information about the Series A Preferred Stock and the securities issuable upon conversion of the Series A Preferred Stock offered hereby and may add, update or change information in the accompanying prospectus.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or incorporated by reference in this prospectus supplement and the accompanying prospectus. Neither we nor the placement agent (or any of our or its respective affiliates) have authorized any other person to provide you with different information. If anyone provides you with different or inconsistent information, you should not rely on it.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the placement agent are not making offers to sell or solicitations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in this prospectus supplement and the accompanying prospectus is accurate only as of the date on the front of the document and that any information that we have incorporated by reference is accurate only as of the date of the document incorporated by reference, regardless of the time of delivery of this prospectus supplement, the accompanying prospectus, or any sale of a security.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as exhibits to the registration statement of which this prospectus is a part or as exhibits to documents incorporated by reference herein, and you may obtain copies of those documents as described below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by reference certain market data and industry statistics and forecasts that are based on studies sponsored by us, independent industry publications and other publicly available information. Although we believe these sources are reliable, estimates as they relate to projections involve numerous assumptions, are subject to risks and uncertainties, and are subject to change based on various factors, including those discussed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the accompanying prospectus and under similar headings in the documents incorporated by reference herein and therein. Accordingly, investors should not place undue reliance on this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429895</wp:posOffset>
            </wp:positionV>
            <wp:extent cx="7136130" cy="6476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This summary does not contain all of the information that you should consider before deciding to invest in our securities. You should read this entire prospectus carefully, including the “Risk Factors” section in this prospectus and under similar captions in the documents incorporated by reference into this prospectus. In this prospectus, unless otherwise stated or the context otherwise requires, references to “Dragonfly”, “Company”, “we”, “us”, “our” or similar references mean Dragonfly Energy Holdings Corp. and its subsidiaries on a consolidated basis.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On November 22, 2024, we effected a reverse stock split for our issued and outstanding common stock at a ratio of 1-for-9. All of our historical share and per share information related to issued and outstanding common stock and outstanding options and warrants exercisable for common stock included in this prospectus have been adjusted, on a retroactive basis, to reflect the reverse stock splits. See “Corporate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caters to customers in the consumer industry (including the recreational vehicle (“RV”), marine vessel, solar and off-grid industries), and industrial and energy storage markets, with proprietary, patented and disruptive battery cell manufacturing and non-flammable solid-state cell technology currently under development.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offer several lines of batteries across our “Battle Born” and “Dragonfly” brands, each differentiated by size, power and capacity, consisting of seven different models, which come with an option for internal heat for cold temperature operation or an option for wireless communication using our Dragonfly InelLigence feature. We primarily sell “Battle Born” branded batteries directly to consumers (“DTC”) and “Dragonfly” branded batteries to original equipment manufacturers (“OEMs”). Our RV OEM customers currently include Keystone, THOR Industries, Airstream, and REV, and we are in ongoing discussions with a number of additional RV OEMs to further increase adoption of our products.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 In April 2022, we also acquired the assets, including the Wakespeed Offshore brand (“Wakespeed”) of Thomason Jones, allowing us to include our own alternator regulator in systems that we sell.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 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have developed sample cells for prospective customers across a variety of chemistries and end-markets and are designing equipment for scaled production of full cells.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887"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429895</wp:posOffset>
            </wp:positionV>
            <wp:extent cx="7136130" cy="5653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653405"/>
                    </a:xfrm>
                    <a:prstGeom prst="rect">
                      <a:avLst/>
                    </a:prstGeom>
                    <a:noFill/>
                  </pic:spPr>
                </pic:pic>
              </a:graphicData>
            </a:graphic>
          </wp:anchor>
        </w:drawing>
        <w:t>Emerging Growth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On November 22, 2024, we effected a reverse stock split of our issued and outstanding common stock at a ratio of 1-for-9 (the “Reverse Stock Split”). Shares of common stock underlying outstanding stock options and other equity instruments convertible into common stock were proportionately reduced and the respective exercise prices, if applicable, were proportionately increased in accordance with the terms of the agreements governing such securities in connection with the Reverse Stock Split. No fractional shares were issued in connection with the Reverse Stock Split. Any fractional shares of common stock resulting from the Reverse Stock Split were rounded up to the nearest whole number. All of our historical share and per share information related to issued and outstanding common stock and outstanding options and warrants exercisable for common stock included or incorporated by reference in this prospectus have been adjusted, on a retroactive basis, to reflect the Reverse Stock Split.</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mailing address of our principal executive office is 12915 Old Virginia Road, Reno, Nevada 89521, and our telephone number is (775) 622-3448. Our website is www.dragonflyenergy.com. Our website and the information contained on, or that can be accessed through, our website shall not be deemed to be incorporated by reference in, and are not considered part of, this prospectus. You should not rely on any such information in making your decision whether to purchase our common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887" w:right="47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449"/>
        </w:trPr>
        <w:tc>
          <w:tcPr>
            <w:tcW w:w="3420" w:type="dxa"/>
            <w:vAlign w:val="bottom"/>
            <w:tcBorders>
              <w:top w:val="single" w:sz="8" w:color="auto"/>
              <w:left w:val="single" w:sz="8" w:color="auto"/>
            </w:tcBorders>
          </w:tcPr>
          <w:p>
            <w:pPr>
              <w:spacing w:after="0"/>
              <w:rPr>
                <w:sz w:val="24"/>
                <w:szCs w:val="24"/>
                <w:color w:val="auto"/>
              </w:rPr>
            </w:pPr>
          </w:p>
        </w:tc>
        <w:tc>
          <w:tcPr>
            <w:tcW w:w="7820" w:type="dxa"/>
            <w:vAlign w:val="bottom"/>
            <w:tcBorders>
              <w:top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14"/>
        </w:trPr>
        <w:tc>
          <w:tcPr>
            <w:tcW w:w="34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Series A Preferred Stock Offered by Us</w:t>
            </w: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180 shares of Series A Preferred Stock. This prospectus also relates to the offering of shares of</w:t>
            </w:r>
          </w:p>
        </w:tc>
      </w:tr>
      <w:tr>
        <w:trPr>
          <w:trHeight w:val="234"/>
        </w:trPr>
        <w:tc>
          <w:tcPr>
            <w:tcW w:w="3420" w:type="dxa"/>
            <w:vAlign w:val="bottom"/>
            <w:tcBorders>
              <w:left w:val="single" w:sz="8" w:color="auto"/>
            </w:tcBorders>
          </w:tcPr>
          <w:p>
            <w:pPr>
              <w:spacing w:after="0"/>
              <w:rPr>
                <w:sz w:val="20"/>
                <w:szCs w:val="20"/>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common stock issuable upon conversion of the Series A Preferred Stock.</w:t>
            </w:r>
          </w:p>
        </w:tc>
      </w:tr>
      <w:tr>
        <w:trPr>
          <w:trHeight w:val="414"/>
        </w:trPr>
        <w:tc>
          <w:tcPr>
            <w:tcW w:w="34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Series A Preferred Stock</w:t>
            </w: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The Series A Preferred Stock will be convertible into shares of our common stock (subject to</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adjustment as provided in the Certificate of Designation of Rights and Preferences of the Series A</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Convertible Preferred Stock (the “Certificate of Designation”) and to the Beneficial Ownership</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Limitation (as defined herein) of 4.99%) at any time after the initial issuance date at the option of the</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holder, at an initial stated value of $10,000 per share of Series A Preferred Stock and a conversion</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price of $2.332, up to the Issuable Maximum until such time as we obtain Stockholder Approval. Such</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Issuable Maximum shall be applied collectively, when any conversions of Series A Preferred Stock are</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aggregated together with all shares of common stock issuable in respect of certain related transactions</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described herein, including the Private Placement. The Series A Preferred Stock is also convertible at</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an adjusted conversion price, subject to a floor price, and provides for dividends, payable quarterly in</w:t>
            </w:r>
          </w:p>
        </w:tc>
      </w:tr>
      <w:tr>
        <w:trPr>
          <w:trHeight w:val="214"/>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arrears in cash or shares of Series A Preferred Stock, at the dividend rate of 8% per annum, subject to</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adjustment, in each case as described herein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i w:val="1"/>
                <w:iCs w:val="1"/>
                <w:color w:val="auto"/>
              </w:rPr>
              <w:t>Description of Securities We Are Offering - Series A</w:t>
            </w:r>
          </w:p>
        </w:tc>
      </w:tr>
      <w:tr>
        <w:trPr>
          <w:trHeight w:val="218"/>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for a discussion of the terms of the Series A Preferred Stock and additional</w:t>
            </w:r>
          </w:p>
        </w:tc>
      </w:tr>
      <w:tr>
        <w:trPr>
          <w:trHeight w:val="234"/>
        </w:trPr>
        <w:tc>
          <w:tcPr>
            <w:tcW w:w="3420" w:type="dxa"/>
            <w:vAlign w:val="bottom"/>
            <w:tcBorders>
              <w:left w:val="single" w:sz="8" w:color="auto"/>
            </w:tcBorders>
          </w:tcPr>
          <w:p>
            <w:pPr>
              <w:spacing w:after="0"/>
              <w:rPr>
                <w:sz w:val="20"/>
                <w:szCs w:val="20"/>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information.</w:t>
            </w:r>
          </w:p>
        </w:tc>
      </w:tr>
      <w:tr>
        <w:trPr>
          <w:trHeight w:val="414"/>
        </w:trPr>
        <w:tc>
          <w:tcPr>
            <w:tcW w:w="34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 the Private Placement, we are also initially selling to the investor at the initial closing of the Private</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Placement (i) 170 shares of Series A Preferred Stock at the same offering price as the Series A</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Preferred Stock offered by this prospectus supplement and the accompanying prospectus, initially</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convertible into shares of common stock, at a conversion price of $2.332 per share of common stock</w:t>
            </w:r>
          </w:p>
        </w:tc>
      </w:tr>
      <w:tr>
        <w:trPr>
          <w:trHeight w:val="214"/>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and (ii) the Private Placement Warrants to purchase up to an aggregate of 4,000 Private Placement</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Warrant Shares, with an exercise price and term as described under “</w:t>
            </w:r>
            <w:r>
              <w:rPr>
                <w:rFonts w:ascii="Times New Roman" w:cs="Times New Roman" w:eastAsia="Times New Roman" w:hAnsi="Times New Roman"/>
                <w:sz w:val="18"/>
                <w:szCs w:val="18"/>
                <w:i w:val="1"/>
                <w:iCs w:val="1"/>
                <w:color w:val="auto"/>
              </w:rPr>
              <w:t>Private Placement of Series A</w:t>
            </w:r>
          </w:p>
        </w:tc>
      </w:tr>
      <w:tr>
        <w:trPr>
          <w:trHeight w:val="218"/>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Preferred Stock and Warrants</w:t>
            </w:r>
            <w:r>
              <w:rPr>
                <w:rFonts w:ascii="Times New Roman" w:cs="Times New Roman" w:eastAsia="Times New Roman" w:hAnsi="Times New Roman"/>
                <w:sz w:val="18"/>
                <w:szCs w:val="18"/>
                <w:color w:val="auto"/>
              </w:rPr>
              <w:t>”. The terms of the Series A Preferred Stock offered by this prospectus</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and sold in the initial closing of the Private Placement have identical terms, other than the floor price.</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 addition, upon receipt of Stockholder Approval and the effectiveness of the Resale Registration</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under the Securities Act, the investor shall be automatically required to purchase at the Second Closing</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an additional 450 shares of Series A Preferred Stock. The Second Closing Preferred Shares shall be</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identical to the Series A Preferred Stock offered by this prospectus supplement and accompanying</w:t>
            </w:r>
          </w:p>
        </w:tc>
      </w:tr>
      <w:tr>
        <w:trPr>
          <w:trHeight w:val="214"/>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prospectus and sold in the initial closing of the Private Placement other than the conversion price and</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the floor price, which will be determined as described under “</w:t>
            </w:r>
            <w:r>
              <w:rPr>
                <w:rFonts w:ascii="Times New Roman" w:cs="Times New Roman" w:eastAsia="Times New Roman" w:hAnsi="Times New Roman"/>
                <w:sz w:val="18"/>
                <w:szCs w:val="18"/>
                <w:i w:val="1"/>
                <w:iCs w:val="1"/>
                <w:color w:val="auto"/>
              </w:rPr>
              <w:t>Private Placement of Series A Preferred</w:t>
            </w:r>
          </w:p>
        </w:tc>
      </w:tr>
      <w:tr>
        <w:trPr>
          <w:trHeight w:val="218"/>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Stock and Warrants</w:t>
            </w:r>
            <w:r>
              <w:rPr>
                <w:rFonts w:ascii="Times New Roman" w:cs="Times New Roman" w:eastAsia="Times New Roman" w:hAnsi="Times New Roman"/>
                <w:sz w:val="18"/>
                <w:szCs w:val="18"/>
                <w:color w:val="auto"/>
              </w:rPr>
              <w:t>”. The shares of Preferred Stock issued in the Private Placement, the Private</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Placement Warrant Shares, the shares of our common stock issuable under the Series A Preferred</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Stock and Private Placement Warrants Shares issued in connection with the concurrent Private</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Placement are not being offered pursuant to this prospectus supplement and the accompanying</w:t>
            </w:r>
          </w:p>
        </w:tc>
      </w:tr>
      <w:tr>
        <w:trPr>
          <w:trHeight w:val="214"/>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prospectus and are being offered pursuant to the exemption provided in Section 4(a)(2) under the</w:t>
            </w:r>
          </w:p>
        </w:tc>
      </w:tr>
      <w:tr>
        <w:trPr>
          <w:trHeight w:val="216"/>
        </w:trPr>
        <w:tc>
          <w:tcPr>
            <w:tcW w:w="3420" w:type="dxa"/>
            <w:vAlign w:val="bottom"/>
            <w:tcBorders>
              <w:left w:val="single" w:sz="8" w:color="auto"/>
            </w:tcBorders>
          </w:tcPr>
          <w:p>
            <w:pPr>
              <w:spacing w:after="0"/>
              <w:rPr>
                <w:sz w:val="18"/>
                <w:szCs w:val="18"/>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Securities Act and Rule 506(b) promulgated thereunder. See “</w:t>
            </w:r>
            <w:r>
              <w:rPr>
                <w:rFonts w:ascii="Times New Roman" w:cs="Times New Roman" w:eastAsia="Times New Roman" w:hAnsi="Times New Roman"/>
                <w:sz w:val="18"/>
                <w:szCs w:val="18"/>
                <w:i w:val="1"/>
                <w:iCs w:val="1"/>
                <w:color w:val="auto"/>
              </w:rPr>
              <w:t>Private Placement of Series A Preferred</w:t>
            </w:r>
          </w:p>
        </w:tc>
      </w:tr>
      <w:tr>
        <w:trPr>
          <w:trHeight w:val="236"/>
        </w:trPr>
        <w:tc>
          <w:tcPr>
            <w:tcW w:w="3420" w:type="dxa"/>
            <w:vAlign w:val="bottom"/>
            <w:tcBorders>
              <w:left w:val="single" w:sz="8" w:color="auto"/>
            </w:tcBorders>
          </w:tcPr>
          <w:p>
            <w:pPr>
              <w:spacing w:after="0"/>
              <w:rPr>
                <w:sz w:val="20"/>
                <w:szCs w:val="20"/>
                <w:color w:val="auto"/>
              </w:rPr>
            </w:pPr>
          </w:p>
        </w:tc>
        <w:tc>
          <w:tcPr>
            <w:tcW w:w="7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i w:val="1"/>
                <w:iCs w:val="1"/>
                <w:color w:val="auto"/>
              </w:rPr>
              <w:t>Stock and Warrants</w:t>
            </w:r>
            <w:r>
              <w:rPr>
                <w:rFonts w:ascii="Times New Roman" w:cs="Times New Roman" w:eastAsia="Times New Roman" w:hAnsi="Times New Roman"/>
                <w:sz w:val="18"/>
                <w:szCs w:val="18"/>
                <w:color w:val="auto"/>
              </w:rPr>
              <w:t>” for additional information.</w:t>
            </w:r>
          </w:p>
        </w:tc>
      </w:tr>
      <w:tr>
        <w:trPr>
          <w:trHeight w:val="226"/>
        </w:trPr>
        <w:tc>
          <w:tcPr>
            <w:tcW w:w="3420" w:type="dxa"/>
            <w:vAlign w:val="bottom"/>
            <w:tcBorders>
              <w:left w:val="single" w:sz="8" w:color="auto"/>
              <w:bottom w:val="single" w:sz="8" w:color="auto"/>
            </w:tcBorders>
          </w:tcPr>
          <w:p>
            <w:pPr>
              <w:spacing w:after="0"/>
              <w:rPr>
                <w:sz w:val="19"/>
                <w:szCs w:val="19"/>
                <w:color w:val="auto"/>
              </w:rPr>
            </w:pPr>
          </w:p>
        </w:tc>
        <w:tc>
          <w:tcPr>
            <w:tcW w:w="7820" w:type="dxa"/>
            <w:vAlign w:val="bottom"/>
            <w:tcBorders>
              <w:bottom w:val="single" w:sz="8" w:color="auto"/>
              <w:right w:val="single" w:sz="8" w:color="auto"/>
            </w:tcBorders>
          </w:tcPr>
          <w:p>
            <w:pPr>
              <w:spacing w:after="0"/>
              <w:rPr>
                <w:sz w:val="19"/>
                <w:szCs w:val="19"/>
                <w:color w:val="auto"/>
              </w:rPr>
            </w:pPr>
          </w:p>
        </w:tc>
      </w:tr>
      <w:tr>
        <w:trPr>
          <w:trHeight w:val="429"/>
        </w:trPr>
        <w:tc>
          <w:tcPr>
            <w:tcW w:w="34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240"/>
          </w:cols>
          <w:pgMar w:left="320" w:top="656" w:right="339" w:bottom="1440" w:gutter="0" w:footer="0" w:header="0"/>
        </w:sectPr>
      </w:pPr>
    </w:p>
    <w:bookmarkStart w:id="7" w:name="page8"/>
    <w:bookmarkEnd w:id="7"/>
    <w:p>
      <w:pPr>
        <w:spacing w:after="0" w:line="268" w:lineRule="auto"/>
        <w:rPr>
          <w:sz w:val="20"/>
          <w:szCs w:val="20"/>
          <w:color w:val="auto"/>
        </w:rPr>
      </w:pPr>
      <w:r>
        <w:rPr>
          <w:rFonts w:ascii="Times New Roman" w:cs="Times New Roman" w:eastAsia="Times New Roman" w:hAnsi="Times New Roman"/>
          <w:sz w:val="18"/>
          <w:szCs w:val="18"/>
          <w:b w:val="1"/>
          <w:bCs w:val="1"/>
          <w:color w:val="auto"/>
        </w:rPr>
        <w:t>Shares of common stock outstanding before this offering and the Private Placement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7,256,076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-266700</wp:posOffset>
            </wp:positionV>
            <wp:extent cx="7136130" cy="6613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r>
    </w:p>
    <w:p>
      <w:pPr>
        <w:spacing w:after="0" w:line="653" w:lineRule="exact"/>
        <w:rPr>
          <w:sz w:val="20"/>
          <w:szCs w:val="20"/>
          <w:color w:val="auto"/>
        </w:rPr>
      </w:pPr>
    </w:p>
    <w:p>
      <w:pPr>
        <w:sectPr>
          <w:pgSz w:w="11900" w:h="16838" w:orient="portrait"/>
          <w:cols w:equalWidth="0" w:num="2">
            <w:col w:w="2820" w:space="680"/>
            <w:col w:w="7440"/>
          </w:cols>
          <w:pgMar w:left="480" w:top="887" w:right="479" w:bottom="1440" w:gutter="0" w:footer="0" w:header="0"/>
        </w:sect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Shares of common stock to be outstanding after this offering and the initial closing of the Private Placement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symbol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8,756,933 shares of common stock, assuming that all shares of Series A Preferred Stock offered by this prospectus and sold at the initial closing of the Private Placement are converted into shares of common stock at the initial conversion price.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intend to use the aggregate net proceeds from this offering for working capital and other general corporate purposes, subject to certain limitations under the Securities Purchase Agreement we entered into with the investor on February 26, 2025 (the “Purchase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 page S-12 of this prospectus supplement for additional information.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“DFLI” and our public warrants are currently listed on The Nasdaq Capital Market under the symbol “DFLIW.”</w:t>
      </w:r>
    </w:p>
    <w:p>
      <w:pPr>
        <w:spacing w:after="0" w:line="16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significant risks. Before making a decision whether to invest in our securities, please read the information contained in or incorporated by reference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the documents we have incorporated by reference herein, and under similar headings in other documents filed after the date hereof and incorporated by reference into this prospectus. See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ectPr>
          <w:pgSz w:w="11900" w:h="16838" w:orient="portrait"/>
          <w:cols w:equalWidth="0" w:num="2">
            <w:col w:w="3240" w:space="260"/>
            <w:col w:w="7440"/>
          </w:cols>
          <w:pgMar w:left="480" w:top="887" w:right="479" w:bottom="1440" w:gutter="0" w:footer="0" w:header="0"/>
          <w:type w:val="continuous"/>
        </w:sectPr>
      </w:pPr>
    </w:p>
    <w:p>
      <w:pPr>
        <w:spacing w:after="0"/>
        <w:tabs>
          <w:tab w:leader="none" w:pos="3480" w:val="left"/>
        </w:tabs>
        <w:rPr>
          <w:sz w:val="20"/>
          <w:szCs w:val="20"/>
          <w:color w:val="auto"/>
        </w:rPr>
      </w:pPr>
      <w:r>
        <w:rPr>
          <w:rFonts w:ascii="Times New Roman" w:cs="Times New Roman" w:eastAsia="Times New Roman" w:hAnsi="Times New Roman"/>
          <w:sz w:val="18"/>
          <w:szCs w:val="18"/>
          <w:b w:val="1"/>
          <w:bCs w:val="1"/>
          <w:color w:val="auto"/>
        </w:rPr>
        <w:t>Listing</w:t>
      </w:r>
      <w:r>
        <w:rPr>
          <w:sz w:val="20"/>
          <w:szCs w:val="20"/>
          <w:color w:val="auto"/>
        </w:rPr>
        <w:tab/>
      </w:r>
      <w:r>
        <w:rPr>
          <w:rFonts w:ascii="Times New Roman" w:cs="Times New Roman" w:eastAsia="Times New Roman" w:hAnsi="Times New Roman"/>
          <w:sz w:val="18"/>
          <w:szCs w:val="18"/>
          <w:color w:val="auto"/>
        </w:rPr>
        <w:t>There is no established public trading market for the Series A Preferred Stock and we do not expect a</w:t>
      </w:r>
    </w:p>
    <w:p>
      <w:pPr>
        <w:spacing w:after="0" w:line="31" w:lineRule="exact"/>
        <w:rPr>
          <w:sz w:val="20"/>
          <w:szCs w:val="20"/>
          <w:color w:val="auto"/>
        </w:rPr>
      </w:pPr>
    </w:p>
    <w:p>
      <w:pPr>
        <w:ind w:left="3500" w:right="20"/>
        <w:spacing w:after="0" w:line="260" w:lineRule="auto"/>
        <w:rPr>
          <w:sz w:val="20"/>
          <w:szCs w:val="20"/>
          <w:color w:val="auto"/>
        </w:rPr>
      </w:pPr>
      <w:r>
        <w:rPr>
          <w:rFonts w:ascii="Times New Roman" w:cs="Times New Roman" w:eastAsia="Times New Roman" w:hAnsi="Times New Roman"/>
          <w:sz w:val="18"/>
          <w:szCs w:val="18"/>
          <w:color w:val="auto"/>
        </w:rPr>
        <w:t>market to develop. In addition, we do not intend to apply for listing of the Series A Preferred Stock on The Nasdaq Capital Market or on any national securities or other national recognized trading system.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shares of Series A Preferred Stock outstanding as of February 26,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discussion is based on 7,256,076 shares of our common stock outstanding as of February 26, 2025 and excludes up to:</w:t>
      </w:r>
    </w:p>
    <w:p>
      <w:pPr>
        <w:spacing w:after="0" w:line="225" w:lineRule="exact"/>
        <w:rPr>
          <w:sz w:val="20"/>
          <w:szCs w:val="20"/>
          <w:color w:val="auto"/>
        </w:rPr>
      </w:pPr>
    </w:p>
    <w:p>
      <w:pPr>
        <w:ind w:left="660" w:right="20" w:hanging="327"/>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common stock reserved for issuance in the event of certain financial achievements per our $75,000,000 term loan (the “Term Loan”);</w:t>
      </w:r>
    </w:p>
    <w:p>
      <w:pPr>
        <w:ind w:left="660" w:right="20" w:hanging="327"/>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1,213,768 shares of common stock issuable upon exercise of public warrants outstanding as of February 26, 2025, with an exercise price of $103.50 per share;</w:t>
      </w:r>
    </w:p>
    <w:p>
      <w:pPr>
        <w:ind w:left="660" w:hanging="327"/>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1,741,942 shares of common stock issuable upon exercise of penny warrants outstanding as of February 26, 2025, with a weighted average exercise price of $0.06 per share;</w:t>
      </w:r>
    </w:p>
    <w:p>
      <w:pPr>
        <w:ind w:left="660" w:hanging="327"/>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1,300,240 shares of common stock issuable upon exercise of certain warrants outstanding as of February 26, 2025, with a weighed average exercise price of $18.22 per share;</w:t>
      </w:r>
    </w:p>
    <w:p>
      <w:pPr>
        <w:ind w:left="660" w:right="20" w:hanging="327"/>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163,567 shares of common stock underlying outstanding options as of February 26, 2025, with a weighted average exercise price of $25.67 per share; and</w:t>
      </w:r>
    </w:p>
    <w:p>
      <w:pPr>
        <w:ind w:left="660" w:hanging="327"/>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335,016 shares of common stock underlying outstanding restricted stock units as of February 26, 2025.</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contained in this prospectus supplement assumes no exercise of the Private Placement Warrants sold in the concurrent Private Placement.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887" w:right="47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Before deciding whether to purchase our securities, including the shares of Series A Preferred Stock offered by this prospectus, you should carefully consider the risks and uncertainties described under “Risk Factors” in our Annual Report on Form 10-K for the fiscal year ended December 31, 2023, any subsequent Quarterly Report on Form 10-Q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believe are immaterial may also significantly impair our business operations. If any of these risks occur, our business, results of operations or financial condition and prospects could be harmed. In that event, the market price of our common stock and the value of the warrants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suffer immediate and substantial dilution as a result of this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the effective offering price per common share is higher than the as adjusted net tangible book value per share of common stock after giving effect to this offering, you will suffer substantial dilution in the net tangible book value of the securities you purchase in this offering. For a further description of the dilution that investors in this offering will experience, see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Investors in this offering will also be subject to increased dilution upon the exercise of outstanding stock options and warrants.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common stock or other securities convertible into or exchangeable for our common stock at prices that may not be the same as the effective offering price per share of common stock in this offering. Subject to the restrictions set forth in the Certificate of Designation and the Purchase Agreement, we may sell shares or other securities in any other offering at a price per share that is less than the effective offering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(on a fully-converted basis). Furthermore, sales of a substantial number of shares of our common stock in the public markets, or the perception that such sales could occur, could depress the market price of our common stock.</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Stockholder Approval and the effectiveness of the Resale Registration under the Securities Act, the shares of common stock issuable upon conversion of the Series A Preferred Stock and the Private Placement Warrant Shares underlying the Private Placement Warrants issued in the Private Placement will be freely tradable without restriction under the Securities Act. Future sales of our common stock in the public market, or the availability of such shares for sale in the public market, could adversely affect market prices prevailing from time to time.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Stockholders may experience dilution of their ownership interest due to the issuance of additional shares of common stock upon the conversion of the Series A Preferred Stock, especially since the Series A Preferred Stock has fluctuating conversion rates that are set at a discount to the market price of our common stock during the period immediately prior to conversion.</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have raised approximately $3.5 million in financing through the issuance of, among other securities, shares of Series A Preferred Stock in this offering and the initial closing of the concurrent Private Placement, and expect to issue an additional $4.5 million of additional shares of Series A Preferred Stock upon Stockholder Approval and the effectiveness of the Resale Registration and may issue additional shares of Series A Preferred Stock upon exercise of the Private Placement Warrants for up to $40,000,000. The shares of Series A Preferred Stock are convertible into shares of our common stock, subject to certain conditions and limitations, at the lesser of (i) the applicable conversion price and (ii) 90% of the lowest VWAP during the 10 trading days prior to exercise, subject to the floor price set forth in the Series A Preferred Stock. This could result in material dilution to our existing stockholders. Because the conversion price is based upon a discount to the trading price of our common stock at the time of conversion, the number of shares into which the Series A Preferred Stock may be converted may increase without an upper bound, subject to the floor price of the respective series of the Series A Preferred Stock. See </w:t>
      </w:r>
      <w:r>
        <w:rPr>
          <w:rFonts w:ascii="Times New Roman" w:cs="Times New Roman" w:eastAsia="Times New Roman" w:hAnsi="Times New Roman"/>
          <w:sz w:val="18"/>
          <w:szCs w:val="18"/>
          <w:i w:val="1"/>
          <w:iCs w:val="1"/>
          <w:color w:val="auto"/>
        </w:rPr>
        <w:t>“Description of the Securities We are Offering.”</w:t>
      </w:r>
      <w:r>
        <w:rPr>
          <w:rFonts w:ascii="Times New Roman" w:cs="Times New Roman" w:eastAsia="Times New Roman" w:hAnsi="Times New Roman"/>
          <w:sz w:val="18"/>
          <w:szCs w:val="18"/>
          <w:color w:val="auto"/>
        </w:rPr>
        <w:t xml:space="preserve"> If the trading prices of our common stock is low when the conversion price of the Series A Preferred Stock is determined, we would be required to issue a greater number of shares of common stock to the holder, which could cause substantial dilution to our stockholders. In addition, if the holder of the Series A Preferred Stock converts and then sells our common stock, this could result in an imbalance of supply and demand for our common stock and reduce our stock price in the market significantly. The further our stock price declines, the further the adjustment of the conversion price will fall and the greater the number of shares of common stock we will have to issue upon conversion, resulting in further dilution to our stockholders. Market price-based conversion formulas, like the one contained in the Series A Preferred Stock can lead to dramatic stock price reductions and corresponding negative effects on both us and our stockholders.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Series A Preferred Stock being offered by us in this offering.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Series A Preferred Stock, and we do not expect a market to develop. In addition, we do not intend to apply to list the Series A Preferred Stock on any national securities exchange or other nationally recognized trading system. Without an active market, the liquidity of the Series A Preferred Stock will be limited.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Series A Preferred Stock offered hereby will have no rights as common shareholders with respect to the common stock underlying the Series A Preferred Stock until such holders convert such Series A Preferred Stock and acquire our common stock.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holders of the Series A Preferred Stock acquire our common stock upon exercise thereof, such holders will have no rights with respect to the common stock underlying such Series A Preferred Stock. Upon conversion of the Series A Preferred Stock, the holders will be entitled to exercise the rights of a common stockholder only as to matters for which the record date occurs after the conversion date.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how we use the net proceeds of this offering. We may not use these proceeds effectively, which could affect our results of operations and cause our stock price to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have considerable discretion in the application of the net proceeds of this offering, including for any of the purposes described in the section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We intend to use the net proceeds received by us from this offering for working capital and other general corporate purposes, subject to certain limitations under the Purchase Agreement.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additional information.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subject us to securities class action litigation and prevent you from being able to sell your shares at or above the offering price.</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may be unable to sell your shares of common stock at or above the offering price. The market price for our common stock has been and may continue to be volatile and subject to wide fluctuations in response to factors including the following:</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potential sales of substantial amounts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licensors or product manufacturers;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developments relating to our patents or other proprietary rights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energy storage and transportation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and legislation;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anticipated or actual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change in securities analysts’ estimates of our performance, or our failure to meet analysts’ expectations; foreign currency values and fluctuations; and</w:t>
      </w:r>
    </w:p>
    <w:p>
      <w:pPr>
        <w:spacing w:after="0" w:line="257" w:lineRule="exact"/>
        <w:rPr>
          <w:rFonts w:ascii="Times New Roman" w:cs="Times New Roman" w:eastAsia="Times New Roman" w:hAnsi="Times New Roman"/>
          <w:sz w:val="34"/>
          <w:szCs w:val="34"/>
          <w:color w:val="auto"/>
          <w:vertAlign w:val="subscript"/>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conditions.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control. The stock markets in general has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will experience dilution by exercises of outstanding warrants and options.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February 26, 2025, there were (i) 1,213,768 shares of common stock issuable upon exercise of outstanding public warrants with an exercise price of $103.50 per share; (ii) 1,741,942 shares of common stock issuable upon exercise of outstanding penny warrants, with a weighted average exercise price of $0.06 per share; (iii) 1,300,240 shares of our common stock issuable upon the exercise of certain outstanding warrants, with a weighted average exercise price of $18.22 per share, and options to purchase an aggregate of up to 163,567 shares of our common stock, with a weighted average exercise price of $25.67 per share.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exercise of such warrants and options will result in dilution of your investment. As a result of this dilution, you may receive significantly less than the full purchase price you paid for our securities in the event of liquidation.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Series A Preferred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this offering, we will have Series A Preferred Stock outstanding. Our articles of incorporation authorizes our board of directors to create new series of preferred stock without further approval by our stockholders, which could adversely affect the rights of the holders of our common stock.</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(the “Board”) has the authority to fix and determine the relative rights and preferences of preferred stock. Our Board also has the authority to issue preferred stock without further stockholder approval.</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After the offering pursuant to this prospectus supplement and accompanying prospectus and the initial closing of the Private Placement, we will initially have 350 shares of Series A Preferred Stock outstanding, with a stated value of $10,000 (the “Series A Stated Value”) per share, which will be initially convertible, subject to the Beneficial Ownership Limitation and the Issuable Maximum (such Issuable Maximum applied collectively when any conversions of Series A Preferred Stock are aggregated together with all shares of common stock issuable in respect of certain related transactions described herein), at the holder’s option at any time, into shares of common stock at a conversion price of $2.332, subject to specified adjustments for stock splits, cash or stock dividends, reorganizations, reclassifications other similar events as set forth in the Certificate of Designation. The Series A Preferred Stock is also convertible at an adjusted conversion price, subject to a floor, as set forth in the Certificate of Designation.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Series A Preferred Stock gives its holders, subject to the preference and priority to the holders of our common stock, the preferred right to receive dividends, commencing from the date of issuance of the Series A Preferred Stock. The Series A Preferred Stock provides for dividends, payable quarterly in arrears in cash or shares of Series A Preferred Stock, at the dividend rate of 8% per annum. See “</w:t>
      </w:r>
      <w:r>
        <w:rPr>
          <w:rFonts w:ascii="Times New Roman" w:cs="Times New Roman" w:eastAsia="Times New Roman" w:hAnsi="Times New Roman"/>
          <w:sz w:val="18"/>
          <w:szCs w:val="18"/>
          <w:i w:val="1"/>
          <w:iCs w:val="1"/>
          <w:color w:val="auto"/>
        </w:rPr>
        <w:t>Description of Securities We Are Offering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Series A Preferred Stock</w:t>
      </w:r>
      <w:r>
        <w:rPr>
          <w:rFonts w:ascii="Times New Roman" w:cs="Times New Roman" w:eastAsia="Times New Roman" w:hAnsi="Times New Roman"/>
          <w:sz w:val="18"/>
          <w:szCs w:val="18"/>
          <w:color w:val="auto"/>
        </w:rPr>
        <w:t>” for additional information.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Certificate of Designation, each share of Series A Preferred Stock carries a liquidation preference equal to the greater of (A) the Conversion Amount, as defined in the Certificate of Designation, of such Series A Preferred Stock on the date of such payment and (B) the amount per share such holder would receive if such holder converted such Series A Preferred Stock into common stock immediately prior to the date of such payment.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obligations to the holders of the Series A Preferred Stock could limit our ability to obtain additional financing or increase our borrowing costs, which could have an adverse effect on our financial condition and hinder the accomplishment of our corporate goals.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Series A Preferred Stock, our Board could authorize the issuance of additional series of preferred stock with such rights preferential to the rights of our common stock, including the issuance of a series of preferred stock that has greater voting power than our common stock or that is convertible into our common stock, which could decrease the relative voting power of our common stock or result in dilution to our existing stockholders.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have no rights with respect to our common stock until your shares of Series A Preferred Stock are converted, but you may be adversely affected by certain changes made with respect to our common stock.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will have no rights with respect to our common stock, including voting rights, rights to respond to common stock tender offers, if any, and rights to receive dividends or other distributions on shares of our common stock, if any, prior to the conversion date with respect to a conversion of the Series A Preferred Stock, but your investment in the Series A Preferred Stock may be negatively affected by these events. Upon conversion, you will be entitled to exercise the rights of a holder of shares of our common stock only as to matters for which the record date occurs on or after the conversion date. For example, in the event that an amendment is proposed to our articles of incorporation or our bylaws requiring stockholder approval and the record date for determining the stockholders of record entitled to vote on the amendment occurs prior to the conversion date, you will not be entitled to vote on the amendment (subject to certain limited exceptions, unless it would adversely affect the special rights, preferences, privileges and voting powers of the Series A Preferred Stock), although you will nevertheless be subject to any changes in the powers, preferences or special rights of our common stock, even if your Series A Preferred Stock has been converted into shares of our common stock prior to the effective date of such change.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and exercise, as applicable, of certain of the shares of Series A Preferred Stock and Private Placement Warrants are contingent upon stockholder approval.</w:t>
      </w:r>
    </w:p>
    <w:p>
      <w:pPr>
        <w:spacing w:after="0" w:line="15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To ensure that we have a sufficient number of authorized shares of common stock to cover all of the shares of common stock issuable upon conversion of the Series A Preferred Stock issuable pursuant to this offering and the concurrent Private Placement and upon the exercise in full of all of the Private Placement Warrants issued in the concurrent Private Placement, we have agreed to seek stockholder approval for an increase in the number of authorized shares of common stock from 250,000,000 to 400,000,000.</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pursuant to Nasdaq Listing Rule 5635, stockholder approval is required for the issuance of any shares of common stock in excess of 1,450,489 shares of common stock in the aggregate, referred to herein as the “Issuable Maximum,” which amount is equal to 19.99% of the shares of common stock issued and outstanding on February 26, 2025. We will apply the Issuable Maximum collectively, with conversions processed in the order in which we receive them, aggregating shares of common stock issuable upon conversion of Series A Preferred Stock together with all shares of common stock issuable upon conversion of any securities issued in certain related transactions to this offering and the Private Placement.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Accordingly, we are required pursuant to the Purchase Agreement relating to this offering and the concurrent Private Placement to hold a meeting of our stockholders within 60 days after the closing date for this offering (the “Meeting Deadline”) to seek approval for (i) the issuance, upon conversion of the Series A Preferred Stock, of the number of shares of common stock which would exceed the Issuable Maximum (the “Nasdaq Approval”), and (ii) an increase in the number of authorized shares of common stock from 250,000,000 to 400,000,000 (the “Authorized Share Approval” and, together with the Nasdaq Approval, the “Stockholder Approval”).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stockholders may reject such proposals, which could delay or prevent the ability of holders to convert all of their shares of Series A Preferred Stock into shares of common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the Stockholder Approval is not received on or prior to the Meeting Deadline, we must hold an additional meeting of our stockholders every sixty (60) days thereafter until the Stockholder Approval is obtained.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in this prospectus contains forward-looking statements that involve substantial risks and uncertainties for purposes of the safe harbor provided by the Private Securities Litigation Reform Act of 1995. All statements contained in this prospectus other than statements of historical fact, including statements regarding our strategy, future operations, future financial position, liquidity, future revenue, projected expenses, results of operations, expectations concerning the timing and our ability to commence and subsequently report data from planned non-clinical studies and clinical trials, prospects, plans and objectives of management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business, financial condition and results of operations. These forward-looking statements are subject to a number of risks, uncertainties, and assumptions,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and under a similar heading in any other annual, periodic or current report incorporated by reference into this prospectus or that we may file with the SEC in the future. These factors include, but are not limited to:</w:t>
      </w:r>
    </w:p>
    <w:p>
      <w:pPr>
        <w:spacing w:after="0" w:line="180"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and public warrants on The Nasdaq Capital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produce lithium battery cells in the United States in a timely manner or at all, or to scale to mass production;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achieve the anticipated benefits of our recent licensing arrangement with Stryten Energy LLC;</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committed equity facility;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one manufacturing facility;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geopolitical events, including the Russia-Ukraine conflict and Hamas’ attack on Israel, and their effects on our operations; and</w:t>
      </w:r>
    </w:p>
    <w:p>
      <w:pPr>
        <w:spacing w:after="0" w:line="15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the section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and in our most recent Annual Report on Form 10-K.</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do not protect any forward-looking statements that we make in connection with this offering. All forward-looking statements included in this prospectus and in the documents incorporated by reference in this prospectus are based on information available to us on the date of this prospectus or the date of the applicable document incorporated by reference.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and in the documents incorporated by reference in this prospectus. We qualify all of our forward-looking statements by these cautionary statements.</w:t>
      </w:r>
    </w:p>
    <w:p>
      <w:pPr>
        <w:spacing w:after="0" w:line="19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You should also read carefully the factors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 and under a similar heading in any other annual, periodic or current report incorporated by reference into this prospectus, to better understand the risks and uncertainties inherent in our business and underlying any forward-looking statements. You are advised to consult any further disclosures we make on related subjects in our future public filings.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gross proceeds to us in this offering and the initial closing of the concurrent Private Placement, in the aggregate, will be $3.5 million. We estimate that the net proceeds to us from this offering and the concurrent Private Placement, in the aggregate, after deducting placement agent fees and paying estimated offering expenses payable by us, and excluding the proceeds we may receive from the Second Closing or the exercise of the Private Placement Warrants, will be approximately $3.2 million.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both from this offering and from the concurrent Private Placement for working capital and other general corporate purposes.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upon our current plans and business conditions, and our management will retain broad discretion as to the ultimate allocation of the proceeds, subject to the restrictions under the Purchase Agreement. We may temporarily invest funds that we do not immediately need for these purposes in investment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invest in our securities in this offering, your ownership interest will be immediately diluted to the extent of the difference between the price per share you pay in this offering and the as adjusted net tangible book value per share of our common stock immediately after this offering.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historical net tangible book value is the amount of our total tangible assets less our total liabilities. Net historical tangible book value per share is our historical net tangible book value divided by the number of shares of common stock outstanding as of September 30, 2024. Our historical net tangible book value as of September 30, 2024 was $(0.3) million, or $(0.04) per share of common stock.</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adjusted net book value is our net tangible book value, plus the effect of the sale of the Series A Preferred Stock sold in this offering and in the initial closing of the concurrent Private Placement at $10,000 per share, convertible at the conversion price of $2.332, assuming the conversion in full of the 350 shares of Series A Preferred Stock into an aggregate of 1,500,857 shares of common stock immediately upon issuance without giving effect to the limitations on issuance above the Issuable Maximum and the Beneficial Ownership Limitation, but no exercise of any related Private Placement Warrants, resulting in the effective offering price per share of common stock of $2.33 per share, and after deducting placement agent fees and estimated expenses payable by us. Our as adjusted net book value as of September 30, 2024 would have been approximately $2.8 million, or $0.33 per share. This amount represents an immediate increase in as adjusted net tangible book value of $0.37 per share to our existing stockholders, and an immediate dilution of $2.00 per share to new investors participating in this offering. Dilution per share to new investors is determined by subtracting as adjusted net tangible book value per share after this offering from the effective offering price per share paid by new investors.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tc>
        <w:tc>
          <w:tcPr>
            <w:tcW w:w="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6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offering price per share</w:t>
            </w:r>
          </w:p>
        </w:tc>
        <w:tc>
          <w:tcPr>
            <w:tcW w:w="94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September 30, 2024</w:t>
            </w:r>
          </w:p>
        </w:tc>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(0.04)</w:t>
            </w:r>
          </w:p>
        </w:tc>
        <w:tc>
          <w:tcPr>
            <w:tcW w:w="1180" w:type="dxa"/>
            <w:vAlign w:val="bottom"/>
          </w:tcPr>
          <w:p>
            <w:pPr>
              <w:spacing w:after="0"/>
              <w:rPr>
                <w:sz w:val="18"/>
                <w:szCs w:val="18"/>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as of September 30, 2024, attributable to new</w:t>
            </w:r>
          </w:p>
        </w:tc>
        <w:tc>
          <w:tcPr>
            <w:tcW w:w="9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w:t>
            </w:r>
          </w:p>
        </w:tc>
        <w:tc>
          <w:tcPr>
            <w:tcW w:w="9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0.37</w:t>
            </w:r>
          </w:p>
        </w:tc>
        <w:tc>
          <w:tcPr>
            <w:tcW w:w="1180" w:type="dxa"/>
            <w:vAlign w:val="bottom"/>
            <w:shd w:val="clear" w:color="auto" w:fill="CCEEFF"/>
          </w:tcPr>
          <w:p>
            <w:pPr>
              <w:spacing w:after="0"/>
              <w:rPr>
                <w:sz w:val="20"/>
                <w:szCs w:val="20"/>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 adjusted net tangible book value per share as of September 30, 2024, after giving effect to</w:t>
            </w:r>
          </w:p>
        </w:tc>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this offering and the concurrent Private Placement</w:t>
            </w:r>
          </w:p>
        </w:tc>
        <w:tc>
          <w:tcPr>
            <w:tcW w:w="940" w:type="dxa"/>
            <w:vAlign w:val="bottom"/>
          </w:tcPr>
          <w:p>
            <w:pPr>
              <w:spacing w:after="0"/>
              <w:rPr>
                <w:sz w:val="20"/>
                <w:szCs w:val="20"/>
                <w:color w:val="auto"/>
              </w:rPr>
            </w:pPr>
          </w:p>
        </w:tc>
        <w:tc>
          <w:tcPr>
            <w:tcW w:w="22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of as adjusted net tangible book value per share to new investor</w:t>
            </w:r>
          </w:p>
        </w:tc>
        <w:tc>
          <w:tcPr>
            <w:tcW w:w="94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discussion and table are based on 6,974,221 shares of common stock outstanding on September 30, 2024 and excludes up to:</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common stock reserved for issuance in the event of certain financial achievements per our $75,000,000 Term Loan;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1,213,768 shares of common stock issuable upon exercise of public warrants outstanding as of September 30, 2024, with an exercise price of $103.50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1,061,567 shares of common stock issuable upon exercise of penny warrants outstanding as of September 30, 2024, with an exercise price of $0.09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1,300,240 shares of common stock issuable upon exercise of certain warrants outstanding as of September 30, 2024, with a weighed average exercise price of $18.22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194,299 shares of common stock underlying outstanding options as of September 30, 2024, with a weighted average exercise price of $23.67 per share;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343,778 shares of common stock underlying outstanding restricted stock units as of September 30, 2024.</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options or warrants are exercised, new options are issued under our equity incentive plans, or we issue additional shares of common stock in the future, there may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this offering, we are offering shares of our Series A Preferred Stock to purchase shares of common stock (and the shares of common stock issuable from time to time upon conversion of the Series A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material terms and provisions of our common stock and each other class of our securities that qualifies or limits our common stock are described under the caption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in the accompanying prospectus. Our common stock is listed on The Nasdaq Capital Market under the symbol “DFLI.” Our transfer agent is Equiniti Trust Company,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Series A Preferred Stock that are being offered. This summary is subject to and qualified in its entirety by the Certificate of Designation, which will be filed with the SEC as an exhibit to a Current Report on Form 8-K in connection with this offering.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designated 5,000 shares as Series A Preferred Stock.</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Each share of Series A Preferred Stock has a stated value of $10,000 per share (the “Series A Stated Value”) and, when issued, the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Preferred Stock will be fully paid and non-assessable.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The Series A Preferred Stock, with respect to the payment of dividends, distributions and payments upon the liquidation, dissolution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winding up of the Company, ranks senior to all of our capital stock, unless the Required Holder (as defined in the Certificate of Designation) consents to our creation of other capital stock that is senior or equal in rank to the Series A Preferred Stock.</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Series A Preferred Stock will be entitled to receive dividends, commencing from the date of issuance of the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payable in cash and/or shares of Series A Preferred Stock at our election. Unless we notify the holders otherwise, such dividends will be paid in kind by increasing the amount of the Series A Stated Value for the applicable shares of Series A Preferred Stock on each dividend date by the applicable dividend amount. Such dividends are payable quarterly in arrears on the first trading day of each fiscal quarter commencing on the first trading day of the initial fiscal quarter after the date of issuance, at the dividend rate of 8% per year (the “Dividend Rate”). Upon the occurrence and continuation of a Triggering Event (as defined in the Certificate of Designation), the Dividend Rate will increase to the lesser of 18% per year or the maximum rate permitted under applicable law until such Triggering Event has been cured or has ceased.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Conversion at Option of Holder</w:t>
      </w:r>
      <w:r>
        <w:rPr>
          <w:rFonts w:ascii="Times New Roman" w:cs="Times New Roman" w:eastAsia="Times New Roman" w:hAnsi="Times New Roman"/>
          <w:sz w:val="18"/>
          <w:szCs w:val="18"/>
          <w:color w:val="auto"/>
        </w:rPr>
        <w:t>. At any time from and after the first date of issuance of any shares of Series A Preferred Stock,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Ownership Limitation (as defined below) and the Issuable Maximum, each holder of Series A Preferred Stock may convert all, or any part, of the outstanding Series A Preferred Stock, at any time at such holder’s option at any time, into common stock at a conversion rate equal to the quotient of (i) the Conversion Amount (as defined below) divided by (ii) the Conversion Price (as defined below), subject to the Floor Price (as defined below). The initial “Conversion Price” for the shares of Series A Preferred Stock issued pursuant to this prospectus supplement and accompanying prospectus is $2.332 per share (the “Initial Conversion Price”), subject to proportional adjustment upon the occurrence of any stock split, stock dividend, stock combination and/or similar transactions and further adjustment, including full ratchet antidilution, as set forth in the Certificate of Designation.</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Voluntary Adjustment Right. </w:t>
      </w:r>
      <w:r>
        <w:rPr>
          <w:rFonts w:ascii="Times New Roman" w:cs="Times New Roman" w:eastAsia="Times New Roman" w:hAnsi="Times New Roman"/>
          <w:sz w:val="18"/>
          <w:szCs w:val="18"/>
          <w:color w:val="auto"/>
        </w:rPr>
        <w:t>Subject to the rules and regulations of the Nasdaq, we have the right, at any time, with the written consent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Holder, to lower the fixed conversion price to any amount and for any period of time deemed appropriate by the Board.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Alternate Conversion at the Holder’s Election. </w:t>
      </w:r>
      <w:r>
        <w:rPr>
          <w:rFonts w:ascii="Times New Roman" w:cs="Times New Roman" w:eastAsia="Times New Roman" w:hAnsi="Times New Roman"/>
          <w:sz w:val="18"/>
          <w:szCs w:val="18"/>
          <w:color w:val="auto"/>
        </w:rPr>
        <w:t>At the holder’s option, at any time, the holder may convert (an “Alternate Conversion”) some 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holder’s Series A Preferred Shares at a conversion price equal to the lower of (i) the applicable Conversion Price as in effect on the date of such Alternate Conversion, and (ii) the greater of (x) the Floor Price (as defined below) and (y) 90% of the lowest VWAP (as defined in the Certificate of Designation) of the common stock during the ten (10) consecutive trading day period ending and including the trading day immediately preceding the delivery or deemed delivery of the applicable conversion notice as set forth in the Certificate of Designation.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each share of Series A Preferred Stock, as of the applicable date of determination, the “Conversion Amount” is equal to the sum of</w:t>
      </w:r>
    </w:p>
    <w:p>
      <w:pPr>
        <w:spacing w:after="0" w:line="27" w:lineRule="exact"/>
        <w:rPr>
          <w:sz w:val="20"/>
          <w:szCs w:val="20"/>
          <w:color w:val="auto"/>
        </w:rPr>
      </w:pPr>
    </w:p>
    <w:p>
      <w:pPr>
        <w:jc w:val="both"/>
        <w:ind w:firstLine="8"/>
        <w:spacing w:after="0" w:line="255" w:lineRule="auto"/>
        <w:tabs>
          <w:tab w:leader="none" w:pos="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of (i) the Series A Stated Value plus (ii) all declared and unpaid dividends on such shares as of such date of determination plus (2) any other amounts thereon owed to such holder, pursuant to the Certificate of Designation or any other Transaction Document (as defined in the Certificate of Designation) that have not otherwise been paid or satisfied.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“Floor Price” is equal to (i) for any Series A Preferred Stock offered pursuant to this prospectus, $1.00, (ii) for any Series A Preferred Stock sold in the initial closing of the Private Placement, $0.424 (20% of the Nasdaq Minimum Price of the common stock (as defined by Nasdaq) as of the trading day prior to execution of the Purchase Agreement), and (iii) for any Series A Preferred Stock issued after the initial closing of the Private Placement, including the Second Closing, 20% of the Nasdaq Minimum Price of the common stock as of the trading day ended immediately prior to the date the shares of Series A Preferred Stock are issued; provided, that if the Floor Price then in effect is higher than the Adjusted Floor Price (as defined in the Certificate of Designation) on any date following the six month anniversary of the initial date of issuance of the Series A Preferred Stock, then the Required Holder may elect to reduce the Floor Price to the Adjusted Floor Price, subject to approval of Nasdaq. The Floor Price and the Adjusted Floor Price are each subject to proportional adjustment upon the occurrence of any stock split, stock dividend, stock combination and/or similar transactions.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Other Adjustments</w:t>
      </w:r>
      <w:r>
        <w:rPr>
          <w:rFonts w:ascii="Times New Roman" w:cs="Times New Roman" w:eastAsia="Times New Roman" w:hAnsi="Times New Roman"/>
          <w:sz w:val="18"/>
          <w:szCs w:val="18"/>
          <w:color w:val="auto"/>
        </w:rPr>
        <w:t>. Until we have obtained the Stockholder Approval, we may not issue, upon conversion of the Series A Preferred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related transactions, a number of shares of common stock which would exceed the Issuable Maximum of 1,450,489, the amount equal to 19.99% of the number of shares of our common stock outstanding as of February 26, 2025. The Issuable Maximum shall be applied collectively, when any conversions of Series A Preferred Stock are aggregated together with all shares of Common Stock issuable upon conversion or exchange of any securities issued in certain related transactions to this offering and the Private Placement.</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at any time on or after the date of the Purchase Agreement, we issue any shares of common stock for a consideration per share (the “New Issuance Price”) less than a price equal to the Conversion Price in effect immediately prior to such issuance, the Conversion Price shall be reduced to the New Issuance Price.</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Purchase Rights. </w:t>
      </w:r>
      <w:r>
        <w:rPr>
          <w:rFonts w:ascii="Times New Roman" w:cs="Times New Roman" w:eastAsia="Times New Roman" w:hAnsi="Times New Roman"/>
          <w:sz w:val="18"/>
          <w:szCs w:val="18"/>
          <w:color w:val="auto"/>
        </w:rPr>
        <w:t>If at any time we grant, issue or sell any options, convertible securities, or rights to purchase stock, warrants, securities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pro rata to all or substantially all of the record holders of any class of common stock (the “Purchase Rights”), then each holder of Series A Preferred Stock will be entitled to acquire, upon the terms applicable to such Purchase Rights, the aggregate Purchase Rights which such holder could have acquired if such holder had held the number of shares of common stock acquirable upon complete conversion of all the Series A Preferred Stock held by such holder immediately prior to the date as of which the record holders of shares of common stock are to be determined for the grant, issue or sale of such Purchase Rights at the Alternate Conversion Price, subject to the Beneficial Ownership Limitation.</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Each share of Series A Preferred Stock carries a liquidation preference equal to the greater of (A) the Conversion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Series A Preferred Stock on the date of such payment and (B) the amount per share such holder would receive if such holder converted such Series A Preferred Stock into common stock immediately prior to the date of such payment.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Mandatory Redemption Triggering Event. </w:t>
      </w:r>
      <w:r>
        <w:rPr>
          <w:rFonts w:ascii="Times New Roman" w:cs="Times New Roman" w:eastAsia="Times New Roman" w:hAnsi="Times New Roman"/>
          <w:sz w:val="18"/>
          <w:szCs w:val="18"/>
          <w:color w:val="auto"/>
        </w:rPr>
        <w:t>Upon any Mandatory Triggering Event (as defined in the Certificate of Designation), we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redeem in cash all amounts due under the Series A Preferred Stock at a redemption price equal to the Conversion Amount to be redeemed.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8" w:name="page19"/>
    <w:bookmarkEnd w:id="18"/>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the Series A Preferred Stock shall have no voting power and no right to vote on any matter at any time, either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series or class or together with any other series or class of share of capital stock, and shall not be entitled to call a meeting of such holders for any purpose nor shall they be entitled to participate in any meeting of the holders of common stock, except as provided in the Certificate of Designation (or as otherwise required by applicable law). We may not take the following actions without the prior consent of the Required Holder: (a) alter or change adversely the powers, preferences or rights given to the Series A Preferred Stock or alter or amend the Certificate of Designation, (b) authorize or create any class of stock ranking as to dividends, redemption or distribution of assets upon a Liquidation Event (as defined in the Certificate of Designation) senior to, or otherwise pari passu with, the Series A Preferred Stock, or any junior stock that has a maturity date or other date requiring redemption or</w:t>
      </w:r>
    </w:p>
    <w:p>
      <w:pPr>
        <w:spacing w:after="0" w:line="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repayment of such shares of junior stock that is prior to the 91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calendar day after the date no shares of Series A Preferred Stock remain outstanding, (c) amend our articles of incorporation or other charter documents in any manner that adversely affects any rights of the holders of the Series A Preferred Stock, (d) increase or decrease the number of authorized shares of Series A Preferred Stock, (e) pay dividends or make any other distribution on any shares of common stock, (f) purchase or redeem any capital stock junior to the Series A Preferred Stock, (g) issue any shares of Series A Preferred Stock other than as contemplated by the Certificate of Designation, Purchase Agreement or Private Placement Warrants or (g) otherwise circumvent a right of the Series A Preferred Stock set forth under the Certificate of Designation.</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Change of Control Exchange</w:t>
      </w:r>
      <w:r>
        <w:rPr>
          <w:rFonts w:ascii="Times New Roman" w:cs="Times New Roman" w:eastAsia="Times New Roman" w:hAnsi="Times New Roman"/>
          <w:sz w:val="18"/>
          <w:szCs w:val="18"/>
          <w:color w:val="auto"/>
        </w:rPr>
        <w:t>. Upon a change of control of the Company, each holder may require the Company to exchange such holder’s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Series A Preferred Stock for consideration equal to the Conversion Amount (or (1) the Series A Stated Value thereof plus (2) all declared and unpaid dividends on such shares as of such date of determination plus (3) any other amounts thereon owed to such holder, pursuant to the Certificate of Designation or any other Transaction Document that have not otherwise been paid or satisfied, in the case of any shares of Series A Preferred Stock funded following the Announcement Time (as defined in the Certificate of Designation) but prior to the date of the change of control.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Company Optional Redemption. </w:t>
      </w:r>
      <w:r>
        <w:rPr>
          <w:rFonts w:ascii="Times New Roman" w:cs="Times New Roman" w:eastAsia="Times New Roman" w:hAnsi="Times New Roman"/>
          <w:sz w:val="18"/>
          <w:szCs w:val="18"/>
          <w:color w:val="auto"/>
        </w:rPr>
        <w:t>Under the Certificate of Designation, we have the right, at any time, to redeem all or part of the then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Series A Preferred Stock (a “Company Optional Redemption”) by delivering a written notice to each holder of Series A Preferred Stock (such delivery date, the “Company Optional Redemption Notice Date”). The shares of Series A Preferred Stock subject to redemption will be redeemed by us in cash at a price equal to the Conversion Amount, subject in certain instances at a price equal to the Stated Value, being redeemed as of the Company Optional Redemption Notice Date. If a Triggering Event has occurred and is continuing on the date the Company Optional Redemption takes effect, such price will equal the greater of (i) the Conversion Amount being redeemed as of the Company Optional Redemption Notice Date and (ii) the product of (1) the Conversion Rate (as defined in the Certificate of Designation) with respect to the Conversion Amount being redeemed as of such date multiplied by (2) the average of the five (5) highest daily VWAPs of the common stock during the period beginning on the date preceding such Company Optional Redemption Notice Date and ending on the trading day immediately prior to the date we make the entire payment required.</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The Certificate of Designation prohibits us from entering specified fundamental transactions (including,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mergers, business combinations and similar transactions) unless we (or our successor) assume in writing all of our obligations under the Certificate of Designation and the other Transaction Documents or otherwise redeem the then outstanding Series A Preferred Stock in full.</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The Certificate of Designation contains a variety of obligations on our part not to engage in specified activities. In particular,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not, and will cause our subsidiaries to not, redeem, repurchase or declare any dividend or distribution on any of our capital stock (other than as required under the Certificate of Designation) and will not incur any indebtedness (other than Permitted Indebtedness, as defined in the Purchase Agreement), enter into any transactions with Affiliates, or incur any liens, in each case without the prior written consent of the Required Holder and subject to certain exceptions, as applicable. In addition, we will not issue any shares of Series A Preferred Stock or issue any other securities (other than certain securities) that would cause a breach or default under the Certificate of Designation or any securities at a price less than the lowest Floor Price then in effect.</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Reservation Requirements</w:t>
      </w:r>
      <w:r>
        <w:rPr>
          <w:rFonts w:ascii="Times New Roman" w:cs="Times New Roman" w:eastAsia="Times New Roman" w:hAnsi="Times New Roman"/>
          <w:sz w:val="18"/>
          <w:szCs w:val="18"/>
          <w:color w:val="auto"/>
        </w:rPr>
        <w:t>. So long as any Series A Preferred Stock remains outstanding, we have agreed to at all times reserve at least 100%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of common stock as shall from time to time be necessary to effect the conversion of all Series A Preferred Stock then outstanding.</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Beneficial Ownership Limitation. </w:t>
      </w:r>
      <w:r>
        <w:rPr>
          <w:rFonts w:ascii="Times New Roman" w:cs="Times New Roman" w:eastAsia="Times New Roman" w:hAnsi="Times New Roman"/>
          <w:sz w:val="18"/>
          <w:szCs w:val="18"/>
          <w:color w:val="auto"/>
        </w:rPr>
        <w:t>Each holder of Series A Preferred Stock is restricted from acquiring shares of common stock upon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that would result in the number of shares beneficially owned by such holder and its affiliates exceeding 4.99% of the total number of shares of common stock outstanding immediately after giving effect to the conversion (the “Beneficial Ownership Limitation”).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Fractional Shares. </w:t>
      </w:r>
      <w:r>
        <w:rPr>
          <w:rFonts w:ascii="Times New Roman" w:cs="Times New Roman" w:eastAsia="Times New Roman" w:hAnsi="Times New Roman"/>
          <w:sz w:val="18"/>
          <w:szCs w:val="18"/>
          <w:color w:val="auto"/>
        </w:rPr>
        <w:t>No fractional shares of common stock will be issued upon conversion of the Series A Preferred Stock. Rather,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to be issued will be rounded up to the nearest whole number.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 Capital Market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“DFLI.” There is no established public trading market for the Series A Preferred Stock, and we do not expect a market to develop. We do not plan on making an application to list the Series A Preferred Stock on The Nasdaq Capital Market, any securities exchange or any recognized trading system.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OF SERIES A PREFERRED STOCK AND WARRANTS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Concurrently with this offering and pursuant to the terms of the Purchase Agreement between us and the investor, we are also selling to the investor at the initial closing of the Private Placement 170 shares of Series A Preferred Stock at the same offering price as the Series A Preferred Stock offered by this prospectus supplement and the accompanying prospectus and Private Placement Warrants to purchase an aggregate of up to 4,000 shares of Series A Preferred Stock, with an exercise price equal to $10,000 per share. In addition, upon receipt of Nasdaq Approval and the effectiveness of the Resale Registration, the investor shall be automatically required to purchase at the Second Closing an additional 450 shares of Series A Preferred Stock. The Second Closing Preferred Shares shall be identical to the Series A Preferred Stock other than the conversion price and the floor price which will be determined as described in this prospectus supplement. The Series A Preferred Stock, the Private Placement Warrants, the shares of our common stock issuable under the Series A Preferred Stock and Private Placement Warrants Shares issued in connection with the concurrent Private Placement, are not being offered pursuant to this prospectus supplement and the accompanying prospectus and are being offered pursuant to the exemption provided in Section 4(a)(2) under the Securities Act and Rule 506(b) promulgated thereunder.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the Securities We Are Offering – Series A Preferred Stock</w:t>
      </w:r>
      <w:r>
        <w:rPr>
          <w:rFonts w:ascii="Times New Roman" w:cs="Times New Roman" w:eastAsia="Times New Roman" w:hAnsi="Times New Roman"/>
          <w:sz w:val="18"/>
          <w:szCs w:val="18"/>
          <w:color w:val="auto"/>
        </w:rPr>
        <w:t>” for a description of the Series A Preferred Stock. The Series A Preferred Stock issued in the concurrent Private Placement are issued on the same terms and conditions as the Series A Preferred Stock offered by this prospectus, except that (i) the “Conversion Price” of the Series A Preferred Stock funded on the Second Closing shall equal the lower of (x) the Initial Conversion Price and (y) 110% of the last closing trade price (the “Closing Sale Price”) on the trading day immediately preceding the Second Closing, and</w:t>
      </w:r>
    </w:p>
    <w:p>
      <w:pPr>
        <w:spacing w:after="0" w:line="1" w:lineRule="exact"/>
        <w:rPr>
          <w:sz w:val="20"/>
          <w:szCs w:val="20"/>
          <w:color w:val="auto"/>
        </w:rPr>
      </w:pPr>
    </w:p>
    <w:p>
      <w:pPr>
        <w:jc w:val="both"/>
        <w:ind w:firstLine="8"/>
        <w:spacing w:after="0" w:line="253"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of the Series A Preferred Stock issued upon exercise of a Private Placement Warrant, including pursuant to the “Call Right” described below (the “Conversion Shares”), shall equal the lower of (x) the Initial Conversion Price and (y) 110% of the last Closing Sale Price on the trading day immediately preceding the delivery or deemed delivery of the applicable Exercise Notice or Call Notice (each as defined below) as the case may be (the “Notice Delivery Date”).</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in the event certain equity conditions specified in the Private Placement Warrant are not met on the applicable Funding Date (as defined below) and the Private Placement Warrant is exercised by the holder, (i) the “Conversion Price” of the Conversion Shares shall equal the lower of</w:t>
      </w:r>
    </w:p>
    <w:p>
      <w:pPr>
        <w:jc w:val="both"/>
        <w:ind w:firstLine="8"/>
        <w:spacing w:after="0" w:line="253" w:lineRule="auto"/>
        <w:tabs>
          <w:tab w:leader="none" w:pos="3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and (B) 110% of the Closing Sale Price on the trading day immediately preceding the Notice Delivery Date; and (ii) the “Conversion Price” of the Conversion Shares at any time following the Registration Effectiveness Date (as defined below) when the Closing Sale Price exceeds $10.00 for twenty (20) consecutive trading days shall equal 110% of the Closing Sale Price on the trading day immediately preceding the Notice Delivery Date, in each case, subject to adjustment.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Private Placement Warrants that are being offered in the concurrent Private Placement. This summary is subject to and qualified in its entirety by the form of Private Placement Warrant, which has been provided to the investor in this offering and the concurrent Private Placement and which will be filed with the SEC as an exhibit to a Current Report on Form 8-K in connection with this offering and the initial closing of the Private Placement.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Duration and Exercise Price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exercise price under each Private Placement Warrant will be $10,000 per share of Series A Preferred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Placement Warrants will have a term beginning on the issuance date and ending on or prior to the earlier of (i) the thirty-three (33) month anniversary of the date the shares of common stock issued or issuable upon the conversion of the Series A Preferred Stock issued in this offering and in the concurrent Private Placement are registered for resale pursuant to an effective registration statement (such date, the “Registration Effectiveness Date”) and</w:t>
      </w:r>
    </w:p>
    <w:p>
      <w:pPr>
        <w:spacing w:after="0" w:line="3" w:lineRule="exact"/>
        <w:rPr>
          <w:sz w:val="20"/>
          <w:szCs w:val="20"/>
          <w:color w:val="auto"/>
        </w:rPr>
      </w:pPr>
    </w:p>
    <w:p>
      <w:pPr>
        <w:jc w:val="both"/>
        <w:ind w:firstLine="8"/>
        <w:spacing w:after="0" w:line="253" w:lineRule="auto"/>
        <w:tabs>
          <w:tab w:leader="none" w:pos="2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consummation of a Change of Control (as defined in the Certificate of Designation) and (B) the consummation of a redemption of the then outstanding Series A Preferred Stock in full (the “Termination Date”). The exercise price and number of shares of Series A Preferred Stock issuable upon exercise are subject to appropriate adjustment in the event of share dividends, share splits, reorganizations or similar events affecting our shares of common stock. The Private Placement Warrants will be issued in certificated form only.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Call Right. </w:t>
      </w:r>
      <w:r>
        <w:rPr>
          <w:rFonts w:ascii="Times New Roman" w:cs="Times New Roman" w:eastAsia="Times New Roman" w:hAnsi="Times New Roman"/>
          <w:sz w:val="18"/>
          <w:szCs w:val="18"/>
          <w:color w:val="auto"/>
        </w:rPr>
        <w:t>If, no earlier than two (2) months following (1) the Registration Effectiveness Date and (2) the most recent call or exercise of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Warrant (but excluding any partial exercises of such Private Placement Warrant by the holder prior to the holder’s receipt of a Call Notice (as defined below)) (each, a “Funding Date”), (i) the VWAP for each of twenty (20) trading days (the “Measurement Period”) exceeds $3.00, (ii) the average daily volume for such Measurement Period exceeds $300,000 per trading day, (iii) the aggregate stated value of the outstanding Series A Preferred Stock is less than or equal to $1,500,000, (iv) the Private Placement Warrant Shares are registered for resale pursuant to an effective registration statement and (v) there has not been an Equity Conditions Failure (as defined below), then we may, within one (1) trading day of the end of such Measurement Period, require the holder to exercise in part or in full the number of shares of Series A Preferred Stock set forth in an irrevocable written notice (a “Call Notice”) for consideration equal to the applicable number of Series A Preferred Stock issuable upon exercise of the Private Placement Warrants.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Subject to the call right described above, the Private Placement Warrants will be exercisable at any time after the date of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Termination Date, at the option of each holder, in full or in increments of $500,000, by delivering to us a duly executed exercise notice (an “Exercise Notice”) (such delivery date, the “Exercise Date”) and (ii) payment in full for the number of shares of Series A Preferred Stock purchased upon such exercise within two trading days of the Exercise Date.</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In accordance with its terms and subject to applicable laws, a Private Placement Warrant may be transferred at the option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upon surrender of the Private Placement Warrant to us together with the appropriate instruments of transfer and payment of funds sufficient to pay any transfer taxes (if applicable).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No fractional shares of Series A Preferred Stock will be issued upon the exercise of the Private Placement Warrants.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Trading Market</w:t>
      </w:r>
      <w:r>
        <w:rPr>
          <w:rFonts w:ascii="Times New Roman" w:cs="Times New Roman" w:eastAsia="Times New Roman" w:hAnsi="Times New Roman"/>
          <w:sz w:val="18"/>
          <w:szCs w:val="18"/>
          <w:color w:val="auto"/>
        </w:rPr>
        <w:t>. There is no established trading market for the Private Placement Warrants, and we do not expect a market to develop. 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 to apply for a listing for the Private Placement Warrants on any securities exchange or other nationally recognized trading system. Without an active trading market, the liquidity of the Private Placement Warrants will be limited.</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Rights as a Shareholder</w:t>
      </w:r>
      <w:r>
        <w:rPr>
          <w:rFonts w:ascii="Times New Roman" w:cs="Times New Roman" w:eastAsia="Times New Roman" w:hAnsi="Times New Roman"/>
          <w:sz w:val="18"/>
          <w:szCs w:val="18"/>
          <w:color w:val="auto"/>
        </w:rPr>
        <w:t>. Except as otherwise provided in the Private Placement Warrants or by virtue of the holders’ ownership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the holders of Private Placement Warrants do not have the rights or privileges of holders of our shares of common stock, including any voting rights, until such time, if any, that the Private Placement Warrant holders exercise their warrants for Private Placement Warrant Shares and subsequently convert such Private Placement Warrant Shares into shares of common stock.</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Amendment and Waiver</w:t>
      </w:r>
      <w:r>
        <w:rPr>
          <w:rFonts w:ascii="Times New Roman" w:cs="Times New Roman" w:eastAsia="Times New Roman" w:hAnsi="Times New Roman"/>
          <w:sz w:val="18"/>
          <w:szCs w:val="18"/>
          <w:color w:val="auto"/>
        </w:rPr>
        <w:t>. A Private Placement Warrant may be modified or amended or the provisions thereof waived with the written consent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the holder of the Private Placement Warrant.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Registration Rights Agreement entered into with the investor in connection with this offering and the concurrent Private Placement (the “Registration Rights Agreement”), within 50 calendar days following the closing of this offering and the initial closing of the Private Placement, we are required to file a registration statement to register the shares of common stock issuable upon: (i) the conversion of the Series A Preferred Stock sold in the Private Placement, and (ii) the conversion of the Private Placement Warrant Shares, subject to adjustment in the number of shares between us and the investor; and to cause such and to cause such registration statement to be declared effective under the Securities Act as promptly as possible after the filing thereof, but in any event no later than 75 days following the closing date of this offering (or 120 days if such registration statement is subject to SEC review).</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agreed to use our best efforts to keep the Registration Statement of which this prospectus supplement forms a part and any resale registration statement continuously effective under the Securities Act until the date that all shares of Series A Preferred Stock, including the Private Placement Warrant Shares (collectively, the “Registrable Securities”) covered by this prospectus supplement or such resale registration statement, as applicable, have been sold or are otherwise able to be sold pursuant to Rule 144, in each case subject to certain exceptions and any restrictions pursuant to Rule 415. We will be subject to certain penalties in the event we do not satisfy our obligations under the Registration Rights Agreement. In addition, holders of Series A Preferred Stock will be entitled to certain piggyback registration rights in the event there is not an effective registration statement on file covering the Registrable Securities as set forth in the Registration Rights Agreement and such Registrable Securities are not otherwise eligible for resale under Rule 144 without restriction.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1" w:name="page22"/>
    <w:bookmarkEnd w:id="2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summary is subject to and qualified in its entirety by the Registration Rights Agreement, which will be filed with the SEC as an exhibit to a Current Report on Form 8-K in connection with this offering and the initial closing of the Private Placement.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Agreement Covenants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5635, stockholder approval is required for the issuance of any shares of common stock in excess of the Issuable Maximum, or 1,450,489 shares of common stock in the aggregate, to be applied collectively, with conversions processed in the order in which we receive them, aggregating shares of common stock issuable upon conversion of Series A Preferred Stock together with all shares of common stock issuable upon conversion of any securities issued in certain related transactions to this offering and the Private Placement.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ensure we have a sufficient number of authorized shares of common stock to cover all of the shares of common stock issuable upon the conversion of the Series A Preferred Stock issued, or obtained through exercise in full of all of the Private Placement Warrants, in the concurrent Private Placement, we have agreed to seek stockholder approval for an increase in the number of authorized shares of common stock from 250,000,000 to 400,000,000.</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Accordingly, we are required pursuant to the Purchase Agreement relating to this offering and the concurrent Private Placement to hold a meeting of our stockholders not later than sixty (60) days after the closing date of this offering to seek the Stockholder Approval for (i) the issuance, upon conversion of the Series A Preferred Stock, of the number of shares of common stock which would exceed the Issuable Maximum, and (ii) an increase in the number of authorized shares of common stock from 250,000,000 to 400,000,000. In the event the Stockholder Approval is not received on or prior to the Meeting Deadline, we must hold an additional meeting of our stockholders every sixty (60) days thereafter until the Stockholder Approval is obtained. Until we receive the Stockholder Approval, the Private Placement Warrant Shares will not be exercisable.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 we entered into a support agreement with the stockholder of the Company signatory thereto that hold in excess of 20% of our voting stock as of the date of the Purchase Agreement, by which such stockholder agreed to vote in favor of a proposal to obtain the Stockholder Approval and to vote against any proposal that would result in the breach of any representation or warranty under the Transaction Documents, or otherwise result in any of our obligations under the Transaction Documents from being fulfilled.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Purchase Agreement also includes customary affirmative and negative covenants with respect our operation of the business, reservation of shares as well as a variety of obligations on our part not to engage in certain transactions or activities, including effecting variable rate transactions, certain issuances of additional securities, and the filing of additional registration statements not related to the Series A Preferred Stock, in each case during the periods specified and subject to limited exceptions set forth in the Purchase Agreement. We will be obligated to make certain payments in the event we do not satisfy our obligations under the Purchase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summary is subject to and qualified in its entirety by the Purchase Agreement, which will be filed with the SEC as an exhibit to a Current Report on Form 8-K in connection with this offering and the initial closing of the Private Placement.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a letter agreement dated as of February 3, 2025, we have retained Chardan Capital Markets, LLC (“Chardan”), to act as our exclusive placement agent in connection with this offering. Under the terms of the engagement letter, Chardan is not purchasing or selling any of the securities offered by us in this offering, and is not required to arrange for the sale of any specific number or dollar amount of securities, other than to use its reasonable best efforts to arrange for the sale of such securities by us. The terms of this offering were subject to market conditions and negotiations between us, Chardan and the prospective investor.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entering into the Purchase Agreement, directly with a single institutional investor in connection with this offering of the Series A Preferred Stock pursuant to this prospectus, and we will only sell to the investor who has entered into the Purchase Agreement with us.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Chardan will have no authority to bind us by virtue of the engagement letter. Further, Chardan does not guarantee that it will be able to raise new capital in any prospective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Delivery of the securities offered hereby is expected to occur on or about February 27, 2025, subject to satisfaction or waiver of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and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agreed to pay Chardan a cash fee equal to 5.0% of the gross proceeds received from the investor who purchased securities in the offering (the “Financing Fee”). We have also agreed to reimburse Chardan for actual and reasonable out-of-pocket expenses, including travel, legal fees and other expenses in connection with this offering, up to $2,500. We have also agreed to pay certain expenses, including legal fees, of the investor up to (i) $95,000 with respect to this offering and the initial closing of the Private Placement, and (ii) $25,000 with respect to the exercise of any Private Placement Warrant and the Second Closing. We estimate the total offering expenses of this offering that will be payable by us, excluding the placement agent’s fees and expenses, will be approximately $400,000.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agreed to indemnify Chardan and specified other persons against certain liabilities, including liabilities arising under the Securities Act, relating to or arising out of Chardan’s activities under the engagement letter and to contribute to payments that Chardan may be required to make in respect of such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 and Issuance Restrictions</w:t>
      </w:r>
    </w:p>
    <w:p>
      <w:pPr>
        <w:spacing w:after="0" w:line="22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Pursuant to the Purchase Agreement, we have agreed, subject to limited exceptions, not to (1) issue, enter into any agreement to issue or announce the issuance or proposed issuance of any shares of common stock or common stock equivalents until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after the Applicable Date (as defined below) or (2) file any registration statement other than as contemplated pursuant to the Registration Rights agreement entered into in connection with the Private Placement without the prior written consent of the Required Holder until the later of (i) the day we obtain the Nasdaq Approval and (ii) the earlier to occur of (A) the first date on which the resale registration statement to be filed pursuant to the Registration Rights Agreement is declared effective or (B) the first date on which all of the Registrable Securities, other than the Private Placement Warrant Shares, are eligible for resale pursuant to Rule 144 (the “Applicable Date”).</w:t>
      </w:r>
    </w:p>
    <w:p>
      <w:pPr>
        <w:spacing w:after="0" w:line="20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We have also agreed, subject to certain exceptions, so long as any shares of Series A Preferred Stock or Private Placement Warrants remain outstanding, from the period beginning on the date of the Purchase Agreement and ending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after the Applicable Date not to (i) issue any shares of Series A Preferred Stock other than as contemplated by the Purchase Agreement and the Certificate of Designation, (ii) issue any other securities (other than certain securities) that would otherwise cause a breach or default under the Certificate of Designation, or (iii) issue any securities (other than certain securities) at an issuance price less than the lowest Floor Price then in effect.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so long as any shares of Series A Preferred Stock remain outstanding, we have agreed not to (i) issue or sell any debt or equity securities (excluding certain securities as set forth in the Certificate of Designation) that are convertible into, exchangeable or exercisable for, or include the right to receive, additional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our business or the market for the common stock or (ii) enter into, or effect a transaction under, any agreement, including, but not limited to, an equity line of credit, whereby we may issue securities at a future determined price.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Purchase Agreement will be included as an exhibit to a Current Report on Form 8-K that we have filed with the SEC and that is incorporated by reference into the registration statement of which this prospectus supplement forms a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Tail Period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engagement letter, we have agreed that Chardan will be entitled to the Financing Fee for any transactions involving the investor (or its affiliates) with respect to which Chardan provided services set forth in the engagement letter that occurs within 36-months of the expiration or termination of the engagement letter. If a financing is consummated that results in a Financing Fee being payable, Chardan is also entitled to a financing fee with respect to any investments made by ATW within 36 months following expiration or termination of the engagement letter. The engagement letter terminates upon the earlier of (i) March 15, 2025 and (ii) the initial closing of this offering and the concurrent Private Placement, subject to earlier termination by either party immediately in the event of a material breach remains uncured for seven (7) days following notice by the non-breaching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Relationships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our underwritten offering that closed on June 22, 2023, Chardan served as an underwriter and was compensated as such in that capacity. In addition, we entered into the ChEF Purchase Agreement with Chardan on October 7, 2022 (the “ChEF Purchase Agreement”). Pursuant to, on the terms of, and subject to the satisfaction of the conditions in the ChEF Purchase Agreement, we have the right from time to time at our option to direct Chardan to purchase an amount of shares of common stock, up to a maximum aggregate purchase price of $150 million, over the term of the equity facility. As of February 26, 2025, we have sold 432,342 shares under the ChEF Equity Facility for aggregate net proceeds to us of $3,372,138.</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Chardan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Chardan for any further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Parsons Behle &amp; Latimer, Reno, Nevada.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incorporated by reference in this prospectus supplement, the accompanying prospectus and elsewhere in the registration statement have been incorporated by reference in reliance upon the report of Marcum LLP, independent registered public accounting firm, upon the authority of said firm as experts in accounting and auditing. The report on the consolidated financial statements contains an explanatory paragraph regarding the Company’s ability to continue as a going concern. The report also contains an explanatory paragraph regarding adjustments described in Note 15 of such report that were applied to revise the 2022 financial statements to correct an error. They were not engaged to audit, review or apply any procedures to the 2022 financial statements other than with respect to the adjustments.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(the Company) as of December 31, 2022 and for the year then ended before the effects of the adjustments for the correction of the error described in Note 15 (not separately included or incorporated by reference in the Prospectus), have been audited by BDO USA, LLP (n/k/a BDO USA, P.C.), an independent registered public accounting firm. The adjustments to those consolidated financial statements to correct the error described in Note 15 have been audited by Marcum LLP, an independent registered public accounting firm. The consolidated financial statements as of December 31, 2022 and for the year then ended incorporated by reference in this prospectus and in the Registration Statement, have been so incorporated in reliance on (i) the report (which contains an explanatory paragraph regarding the Company’s ability to continue as a going concern) of BDO USA, LLP (n/k/a BDO USA, P.C.) solely with respect to those consolidated financial statements before the effects of the adjustments to correct the error described in Note 15, and (ii) the report of Marcum LLP solely with respect to the adjustments to those financial statements to correct the error described in Note 15, given on the authority of said firms as experts in auditing and accounting.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we file annual, quarterly, and other reports, proxy statements and other information with the SEC under the Exchange Act. Such reports, proxy statements and other information, including the Registration Statement, and exhibits and schedules thereto, are available to the public through the SEC’s website at www.sec.gov.</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otherwise furnish it to the SEC.</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at prescribed rates, from the SEC at the address listed above, or for free at www.sec.gov. The registration statement and the documents referred to below under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are also available on our website, https://www.dragonflyenergy.com/.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incorporated by reference into this prospectus the information on our website, and you should not consider it to be a part of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supplement and the accompanying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supplement, the accompanying prospectus and any accompanying prospectus supplement.</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year ended December 31, 2023 (the “Form 10-K”) filed with the SEC on </w:t>
      </w:r>
      <w:hyperlink r:id="rId35">
        <w:r>
          <w:rPr>
            <w:rFonts w:ascii="Times New Roman" w:cs="Times New Roman" w:eastAsia="Times New Roman" w:hAnsi="Times New Roman"/>
            <w:sz w:val="18"/>
            <w:szCs w:val="18"/>
            <w:u w:val="single" w:color="auto"/>
            <w:color w:val="0000EE"/>
          </w:rPr>
          <w:t>April 16, 2024</w:t>
        </w:r>
      </w:hyperlink>
      <w:r>
        <w:rPr>
          <w:rFonts w:ascii="Times New Roman" w:cs="Times New Roman" w:eastAsia="Times New Roman" w:hAnsi="Times New Roman"/>
          <w:sz w:val="18"/>
          <w:szCs w:val="18"/>
          <w:color w:val="auto"/>
        </w:rPr>
        <w:t xml:space="preserve">, as amended on </w:t>
      </w:r>
      <w:hyperlink r:id="rId36">
        <w:r>
          <w:rPr>
            <w:rFonts w:ascii="Times New Roman" w:cs="Times New Roman" w:eastAsia="Times New Roman" w:hAnsi="Times New Roman"/>
            <w:sz w:val="18"/>
            <w:szCs w:val="18"/>
            <w:u w:val="single" w:color="auto"/>
            <w:color w:val="0000EE"/>
          </w:rPr>
          <w:t>April 29, 2024</w:t>
        </w:r>
      </w:hyperlink>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auto"/>
          </w:rPr>
          <w:t xml:space="preserve">our Quarterly Report on Form 10-Q for the quarters ended March 31, 2024, June 30, 2024 and September 30, 2024 filed with the SEC on </w:t>
        </w:r>
        <w:r>
          <w:rPr>
            <w:rFonts w:ascii="Times New Roman" w:cs="Times New Roman" w:eastAsia="Times New Roman" w:hAnsi="Times New Roman"/>
            <w:sz w:val="18"/>
            <w:szCs w:val="18"/>
            <w:u w:val="single" w:color="auto"/>
            <w:color w:val="0000EE"/>
          </w:rPr>
          <w:t>May 15,</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 xml:space="preserve">August 14, 2024 </w:t>
        </w:r>
      </w:hyperlink>
      <w:hyperlink r:id="rId37">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November 14, 2024</w:t>
        </w:r>
      </w:hyperlink>
      <w:hyperlink r:id="rId37">
        <w:r>
          <w:rPr>
            <w:rFonts w:ascii="Times New Roman" w:cs="Times New Roman" w:eastAsia="Times New Roman" w:hAnsi="Times New Roman"/>
            <w:sz w:val="18"/>
            <w:szCs w:val="18"/>
            <w:color w:val="000000"/>
          </w:rPr>
          <w:t>, respectively;</w:t>
        </w:r>
      </w:hyperlink>
    </w:p>
    <w:p>
      <w:pPr>
        <w:spacing w:after="0" w:line="161" w:lineRule="exact"/>
        <w:rPr>
          <w:rFonts w:ascii="Times New Roman" w:cs="Times New Roman" w:eastAsia="Times New Roman" w:hAnsi="Times New Roman"/>
          <w:sz w:val="18"/>
          <w:szCs w:val="18"/>
          <w:color w:val="0000EE"/>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1,</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30,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18,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w:t>
        </w:r>
      </w:hyperlink>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3, 2025</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42">
        <w:r>
          <w:rPr>
            <w:rFonts w:ascii="Times New Roman" w:cs="Times New Roman" w:eastAsia="Times New Roman" w:hAnsi="Times New Roman"/>
            <w:sz w:val="18"/>
            <w:szCs w:val="18"/>
            <w:u w:val="single" w:color="auto"/>
            <w:color w:val="0000EE"/>
          </w:rPr>
          <w:t xml:space="preserve">February 5, 2025 </w:t>
        </w:r>
      </w:hyperlink>
      <w:hyperlink r:id="rId41">
        <w:r>
          <w:rPr>
            <w:rFonts w:ascii="Times New Roman" w:cs="Times New Roman" w:eastAsia="Times New Roman" w:hAnsi="Times New Roman"/>
            <w:sz w:val="18"/>
            <w:szCs w:val="18"/>
            <w:color w:val="000000"/>
          </w:rPr>
          <w:t>(in each case, excluding any information deemed furnished under Items 2.02 or 7.01 of Form 8-K, including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related exhibits, which information is not incorporated by reference herein); and</w:t>
      </w:r>
    </w:p>
    <w:p>
      <w:pPr>
        <w:spacing w:after="0" w:line="179"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of the Company contained in our Registration Statement on Form </w:t>
      </w:r>
      <w:hyperlink r:id="rId43">
        <w:r>
          <w:rPr>
            <w:rFonts w:ascii="Times New Roman" w:cs="Times New Roman" w:eastAsia="Times New Roman" w:hAnsi="Times New Roman"/>
            <w:sz w:val="18"/>
            <w:szCs w:val="18"/>
            <w:u w:val="single" w:color="auto"/>
            <w:color w:val="0000EE"/>
          </w:rPr>
          <w:t>8-A</w:t>
        </w:r>
      </w:hyperlink>
      <w:r>
        <w:rPr>
          <w:rFonts w:ascii="Times New Roman" w:cs="Times New Roman" w:eastAsia="Times New Roman" w:hAnsi="Times New Roman"/>
          <w:sz w:val="18"/>
          <w:szCs w:val="18"/>
          <w:color w:val="auto"/>
        </w:rPr>
        <w:t xml:space="preserve">, filed on August 10, 2021 under Section 12(b) of the Exchange Act including any amendments or reports filed for the purpose of updating such description, including </w:t>
      </w:r>
      <w:hyperlink r:id="rId44">
        <w:r>
          <w:rPr>
            <w:rFonts w:ascii="Times New Roman" w:cs="Times New Roman" w:eastAsia="Times New Roman" w:hAnsi="Times New Roman"/>
            <w:sz w:val="18"/>
            <w:szCs w:val="18"/>
            <w:u w:val="single" w:color="auto"/>
            <w:color w:val="0000EE"/>
          </w:rPr>
          <w:t>Exhibit 4.10</w:t>
        </w:r>
      </w:hyperlink>
      <w:r>
        <w:rPr>
          <w:rFonts w:ascii="Times New Roman" w:cs="Times New Roman" w:eastAsia="Times New Roman" w:hAnsi="Times New Roman"/>
          <w:sz w:val="18"/>
          <w:szCs w:val="18"/>
          <w:color w:val="auto"/>
        </w:rPr>
        <w:t xml:space="preserve"> to the Form 10-K.</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All reports and other documents that we file with the SEC under Sections 13(a), 13(c), 14 or 15(d) of the Exchange Act after the date of the initial registration statement and prior to effectiveness of the registration statement, and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all reports, exhibits and other information that we “furnish” to the SEC will not be considered incorporated by reference into this prospectus. Any statement contained in a document incorporated by reference in this prospectus or any subsequent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subsequent prospectus supplement.</w:t>
      </w:r>
    </w:p>
    <w:p>
      <w:pPr>
        <w:spacing w:after="0" w:line="19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Dragonfly Energy Holdings Corp., Attn: Chief Executive Officer, 12915 Old Virginia Road, Reno, Nevada 89521. You may also direct any requests for documents to us by telephone at (775) 622-3448.</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BASE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156845</wp:posOffset>
            </wp:positionV>
            <wp:extent cx="1842770" cy="8826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84277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issue and sell from time to time together or separately, in one or more offerings, any combination of (i) our common stock, (ii) our preferred stock, which we may issue in one or more series, (iii) warrants, (iv) senior or subordinated debt securities, (v) subscription rights and (vi) units. The debt securities may consist of debentures, notes, or other types of debt. The debt securities, preferred stock, warrants and subscription rights may be convertible into, or exercisable or exchangeable for, common or preferred stock or other securities of ours. The units may consist of any combination of the securities listed above.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public offering price of the securities that we may offer will not exceed $150,000,000. We will offer the securities in an amount and on terms that market conditions will determine at the time of the offering. Our common stock, par value $0.0001 per share, is currently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“DFLI” and our public warrants are currently listed on the Nasdaq Capital Market under the symbol “DFLIW”. On November 9, 2023, the last reported sale price of our common stock was $0.716 per share. On November 9, 2023, the last reported sale price of our public warrants was $0.056. You are urged to obtain current market quotations of our common stock and public warrants. We have no preferred stock, debt securities, subscription rights or units listed on any market. Each prospectus supplement will indicate if the securities offered thereby will be listed on any securities exchange.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You should carefully consider the risks that we refer you to under the section captioned “Risk Factors” in this prospectus on page 3 before buying our securities.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we offer any of the securities described in this prospectus, we will provide you with the specific terms of the particular securities being offered in supplements to this prospectus. You should read this prospectus and any supplement, together with additional information described under the headings “Additional Information” and “Incorporation of Certain Information by Reference” carefully before you invest. This prospectus may not be used to sell securities unless accompanied by a prospectus supplement.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these securities directly to our stockholders or to other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840" w:type="dxa"/>
            <w:vAlign w:val="bottom"/>
          </w:tcPr>
          <w:p>
            <w:pPr>
              <w:jc w:val="right"/>
              <w:ind w:right="3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32"/>
        </w:trPr>
        <w:tc>
          <w:tcPr>
            <w:tcW w:w="64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12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60" w:type="dxa"/>
            <w:vAlign w:val="bottom"/>
            <w:tcBorders>
              <w:bottom w:val="single" w:sz="8" w:color="CCEEFF"/>
            </w:tcBorders>
            <w:gridSpan w:val="11"/>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440" w:type="dxa"/>
            <w:vAlign w:val="bottom"/>
            <w:tcBorders>
              <w:bottom w:val="single" w:sz="8" w:color="CCEEFF"/>
            </w:tcBorders>
            <w:gridSpan w:val="1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5820" w:type="dxa"/>
            <w:vAlign w:val="bottom"/>
            <w:tcBorders>
              <w:bottom w:val="single" w:sz="8" w:color="CCEEFF"/>
            </w:tcBorders>
            <w:gridSpan w:val="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5580" w:type="dxa"/>
            <w:vAlign w:val="bottom"/>
            <w:tcBorders>
              <w:bottom w:val="single" w:sz="8" w:color="CCEEFF"/>
            </w:tcBorders>
            <w:gridSpan w:val="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20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6680" w:type="dxa"/>
            <w:vAlign w:val="bottom"/>
            <w:tcBorders>
              <w:top w:val="single" w:sz="8" w:color="CCEEFF"/>
            </w:tcBorders>
            <w:gridSpan w:val="14"/>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40" w:type="dxa"/>
            <w:vAlign w:val="bottom"/>
            <w:tcBorders>
              <w:bottom w:val="single" w:sz="8" w:color="CCEEFF"/>
            </w:tcBorders>
            <w:gridSpan w:val="13"/>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920" w:type="dxa"/>
            <w:vAlign w:val="bottom"/>
            <w:tcBorders>
              <w:bottom w:val="single" w:sz="8" w:color="CCEEFF"/>
            </w:tcBorders>
            <w:gridSpan w:val="19"/>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Dragonfly Energy Holdings Corp. is referred to herein as “Dragonfly Energy,” “the Company,” “we,” “us,” and “our,” unless the context otherwise indicates.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may only rely on the information contained in this prospectus and the accompanying prospectus supplement or that we have referred you to. We have not authorized anyone to provide you with different information. This prospectus and any prospectus supplement do not constitute an offer to sell or a solicitation of an offer to buy any securities other than the securities offered by this prospectus and the prospectus supplement. This prospectus and any prospectus supplement do not constitute an offer to sell or a solicitation of an offer to buy any securities in any circumstances in which such offer or solicitation is unlawful. Neither the delivery of this prospectus or any prospectus supplement nor any sale made hereunder shall, under any circumstances, create any implication that there has been no change in our affairs since the date of this prospectus or such prospectus supplement or that the information contained by reference to this prospectus or any prospectus supplement is correct as of any time after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using a “shelf” registration process. Under this shelf registration process, we may from time to time offer and sell, in one or more offerings, any or all of the securities described in this prospectus, separately or together, up to an aggregate offering price of $150,000,000. This prospectus provides you with a general description of our securities being offered. When we issue the securities being offered by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“Additional Information” and “Incorporation of Certain Information by Reference.”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highlights some information from this prospectus. It is not complete and does not contain all of the information that you should consider before making an investment decision. You should read this entire prospectus, including the “Risk Factors” section on page 3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vehicles, marine vessel, solar and off-grid residence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2020, we have sold over 281,000 batteries.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battery offerings, we also offer our line of proprietary Wakespeed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accessories, we are also a reseller of accessories for battery systems. These include chargers, inverters, monitors, controllers, solar panels and other system accessories from brands such as Victron Energy, Progressive Dynamics, REDARK, Rich Solar, and Sterling Power.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addition to our conventional lithium iron phosphate (“</w:t>
      </w:r>
      <w:r>
        <w:rPr>
          <w:rFonts w:ascii="Times New Roman" w:cs="Times New Roman" w:eastAsia="Times New Roman" w:hAnsi="Times New Roman"/>
          <w:sz w:val="18"/>
          <w:szCs w:val="18"/>
          <w:b w:val="1"/>
          <w:bCs w:val="1"/>
          <w:color w:val="auto"/>
        </w:rPr>
        <w:t>LFP</w:t>
      </w:r>
      <w:r>
        <w:rPr>
          <w:rFonts w:ascii="Times New Roman" w:cs="Times New Roman" w:eastAsia="Times New Roman" w:hAnsi="Times New Roman"/>
          <w:sz w:val="18"/>
          <w:szCs w:val="18"/>
          <w:color w:val="auto"/>
        </w:rPr>
        <w:t>”)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unique competitive advantage of our cell manufacturing process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 In October 2023, we announced the successful dry deposition of anode and cathode electrodes at scale using our patented battery manufacturing process. We expect to begin producing LFP cells in the United States by the end of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2022, Chardan NexTech 2 Acquisition Corp., a Delaware company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consummated the merger pursuant to the Agreement and Plan of Merger, dated as of May 15, 2022 (as amended,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Agreement</w:t>
      </w:r>
      <w:r>
        <w:rPr>
          <w:rFonts w:ascii="Times New Roman" w:cs="Times New Roman" w:eastAsia="Times New Roman" w:hAnsi="Times New Roman"/>
          <w:sz w:val="18"/>
          <w:szCs w:val="18"/>
          <w:color w:val="auto"/>
        </w:rPr>
        <w:t>”), by and among CNTQ, Bronco Merger Sub, Inc., a Delaware corporation and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Legacy Dragonfly. Pursuant to the Business Combination Agreement, Merger Sub merged with and into Legacy Dragonfly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the other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Legacy Dragonfly continuing as the surviving corporation in the Merger and as our wholly owned subsidiary. In connection with the Business Combination, we changed our name from “Chardan NexTech Acquisition 2 Corp.” to “Dragonfly Energy Holdings Corp.” Following the Business Combination, our business is the business of Legacy Dragonfly.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ectPr>
          <w:pgSz w:w="11900" w:h="16838" w:orient="portrait"/>
          <w:cols w:equalWidth="0" w:num="1">
            <w:col w:w="11240"/>
          </w:cols>
          <w:pgMar w:left="320" w:top="684" w:right="339" w:bottom="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address is 1190 Trademark Dr. #108, Reno, Nevada 89521, and our telephone number is (775) 622-3448. Our corporate website is: www.dragonflyenergy.com. The content of our website shall not be deemed incorporated by reference in this prospectus and you should not consider such information as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significant risks. Before making an investment decision, you should carefully consider the risks and other information we include or incorporate by reference in this prospectus and any prospectus supplement. In particular, you should consider the risk factors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most recent Annual Report on Form 10-K, as may be revised or supplemented by our subsequent Quarterly Reports on Form 10-Q or Current Reports on Form 8-K, each of which are on file with the SEC and are incorporated herein by reference, and which may be amended, supplemented or superseded from time to time by other reports we file with the SEC in the future. The risks and uncertainties we have described are not the only ones facing our company. Additional risks and uncertainties not currently known to us may also affect our business operations. Additional risk factors may be included in a prospectus supplement relating to a particular offering of securities. Our business, financial condition or results of operations could be materially adversely affected by any of these risks. The trading price of our securities could decline due to any of these risks, and you may lose all or part of your investment. This prospectus is qualified in its entirety by these risk factors.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contains forward-looking statements as that term is defined in the federal securities laws. The events described in forward-looking statements contained in this prospectus, including the documents that we incorporate by reference, may not occur. Generally, these statements relate to our business plans or strategies, projected or anticipated benefits or other consequences of our plans or strategies, financing plans, projected or anticipated benefits from acquisitions that we may make, or projections involving anticipated revenues, earnings or other aspects of our operating results or financial position, and the outcome of any contingencies. Any such forward-looking statements are based on current expectations, estimates and projections of management. We intend for these forward-looking statements to be covered by the safe-harbor provisions for forward-looking statements. Words such as “may,”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that may affect our results include, but are not limited to, the risks and uncertainties discussed in the “Risk Factors” section on page 3 of this prospectus, in our Annual Report on Form 10-K for the fiscal year ended December 31, 2022 or in other reports we file with the SEC.</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We have not authorized any other person to provide you with different information. If anyone provides you with different or inconsistent information, you should not rely upon 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relating to a particular offering of securities, we will use the net proceeds from the sale of the securities offered by this prospectus and the exercise price from the exercise of any convertible securities, if any, for the repayment of all or a portion of our outstanding debt and for working capital and other general corporate purposes, which may include funding acquisitions or investments in businesses, products or technologies that are complementary to our own.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particular securities are offered, the prospectus supplement relating to that offering will set forth our intended use of the net proceeds received from the sale of those securities we sell. Pending the application of the net proceeds for these purposes, we expect to invest the proceeds in short-term, interest-bearing instruments or other investment-grade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all of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may also include in the prospectus supplement information about material United States federal income tax considerations relating to the securities, and the securities exchange, if any, on which the securities will be listed.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from time to time, in one or more offerings: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or 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shares of common stock, preferred stock or debt securities;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combination of the securities listed above.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this prospectus, we refer to the common stock, preferred stock, warrants, debt securities, subscription rights and units collectively as “securities.” The total dollar amount of all securities that we may sell pursuant to this prospectus will not exceed $150,000,000.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prospectus may not be used to consummate a sale of securities unless it is accompanied by a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You are encouraged to read the applicable provisions of the Nevada Revised Statutes, as amended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our Articles of Incorporation and our Bylaws in their entirety for a complete description of the rights and preferences of our securities. Copies of our Articles of Incorporation and Bylaws are filed as exhibits to our Annual Report on Form 10-K for the year ended December 31, 2022, filed with the SEC on April 17, 2023, as amended on May 1, 2023, and forms of securities, copies of which are filed as exhibits to the registration statement of which this prospectus forms a part, which are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175,000,000 shares of capital stock authorized under our Articles of Incorporation, which consists of 170,000,000 shares of common stock with a par value of $0.0001 per share and 5,000,000 shares of preferred stock with par value $0.0001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there were 59,550,812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October 7, 2022, we issued public warrants to purchase 9,487,500 shares of our common stock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As of November 9, 2023, Public Warrants to purchase up to 9,422,905 shares of our common stock were issued and outstanding.</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exercise price for the Public Warrants is subject to adjustment for stock splits or combinations, stock dividends and distributions, reclassifications, subdivisions, and other similar transactions. Pursuant to the Warrant Agreement (as defined below),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2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Public Warrants have certain anti-dilution and adjustment rights upon certain events.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between American Stock Transfer &amp; Trust Company, LLC, as warrant agent, and us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The Warrant Agreement provides that the terms of the Public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we issued warrants to purchase 4,627,858 shares of our common stock (the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to an affiliate of Chardan NexTech Investments 2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in a private placement. 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 As of November 9, 2023, Private Warrants to purchase up to 1,501,386 shares of our common stock were issued and outstanding.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Holders of our Private Warrants are entitled to certain registration rights. The Private Warrants purchased by Sponsor will not be exercisable on or after August 10, 2026, in accordance with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 5110(g), as long as Sponsor or any of its related persons beneficially own the Private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7, 2022, we issued warrants to purchase 2,593,056 shares of our common stock at an exercise price of $0.01 per share (the “</w:t>
      </w:r>
      <w:r>
        <w:rPr>
          <w:rFonts w:ascii="Times New Roman" w:cs="Times New Roman" w:eastAsia="Times New Roman" w:hAnsi="Times New Roman"/>
          <w:sz w:val="18"/>
          <w:szCs w:val="18"/>
          <w:b w:val="1"/>
          <w:bCs w:val="1"/>
          <w:color w:val="auto"/>
        </w:rPr>
        <w:t>Penny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Penny Warrants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October 7, 2022, issuances pursuant to agreements in effect as of October 7, 2022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equity facility with Chardan Capital Markets LLC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Penny Warrants to purchase up to 597,834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June 22, 2023, we issued warrants to purchase 11,405,000 shares of our common stock at an exercise price of $2.00 per share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in an underwritten public offering (the “</w:t>
      </w:r>
      <w:r>
        <w:rPr>
          <w:rFonts w:ascii="Times New Roman" w:cs="Times New Roman" w:eastAsia="Times New Roman" w:hAnsi="Times New Roman"/>
          <w:sz w:val="18"/>
          <w:szCs w:val="18"/>
          <w:b w:val="1"/>
          <w:bCs w:val="1"/>
          <w:color w:val="auto"/>
        </w:rPr>
        <w:t>June 2023 Offering</w:t>
      </w:r>
      <w:r>
        <w:rPr>
          <w:rFonts w:ascii="Times New Roman" w:cs="Times New Roman" w:eastAsia="Times New Roman" w:hAnsi="Times New Roman"/>
          <w:sz w:val="18"/>
          <w:szCs w:val="18"/>
          <w:color w:val="auto"/>
        </w:rPr>
        <w:t>”). The Investor Warrants expire on June 22, 2028 and were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upon issuable.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Investor Warrants to purchase up to 11,131,900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Underwriters’ Warrants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570,250 underwriters’ warrants issued in connection with our June 2023 Offering (the “</w:t>
      </w:r>
      <w:r>
        <w:rPr>
          <w:rFonts w:ascii="Times New Roman" w:cs="Times New Roman" w:eastAsia="Times New Roman" w:hAnsi="Times New Roman"/>
          <w:sz w:val="18"/>
          <w:szCs w:val="18"/>
          <w:b w:val="1"/>
          <w:bCs w:val="1"/>
          <w:color w:val="auto"/>
        </w:rPr>
        <w:t>Underwriters’ Warrants</w:t>
      </w:r>
      <w:r>
        <w:rPr>
          <w:rFonts w:ascii="Times New Roman" w:cs="Times New Roman" w:eastAsia="Times New Roman" w:hAnsi="Times New Roman"/>
          <w:sz w:val="18"/>
          <w:szCs w:val="18"/>
          <w:color w:val="auto"/>
        </w:rPr>
        <w:t>”) were exercisable upon issuance and will expire on June 20, 2028. The initial exercise price of the Underwriters’ Warrants is $2.50 per share. The Underwriters’ Warrants have substantially the same rights as the Investor Warrants. As of November 9, 2023, Underwriters’ Warrants to purchase up to 570,250 shares of our common stock were issued and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Public Warrants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Articles of Incorporation authorizes a total of 5,000,000 shares of preferred stock, par value $0.0001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w:t>
      </w:r>
    </w:p>
    <w:p>
      <w:pPr>
        <w:jc w:val="both"/>
        <w:ind w:firstLine="8"/>
        <w:spacing w:after="0" w:line="253" w:lineRule="auto"/>
        <w:tabs>
          <w:tab w:leader="none" w:pos="2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Articles of Incorporation, the Bylaws and Nevada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Articles of Incorporation, we have not opted out of the business combination provisions of NRS 78.411 to 78.444, inclusive.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Articles of Incorporation and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“DFLI” and our Public Warrants are currently listed on the Nasdaq Capital Market under the symbol “DFLIW”.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debt securities that we may offer. The debt securities may be issued pursuant to, in the case of senior debt securities, a senior indenture, and in the case of subordinated debt securities, a subordinated indenture, in each case in the forms filed as exhibits to this registration statement, which we refer to as the “indentures.” The indentures will be entered into between us and a trustee to be named prior to the issuance of any debt securities, which we refer to as the “trustee.” The indentures will not limit the amount of debt securities that can be issued thereunder and will provide that the debt securities may be issued from time to time in one or more series pursuant to the terms of one or more securities resolutions or supplemental indentures creating such series.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for any offering of debt securities. These descriptions are only summaries, and you should refer to the relevant indenture for the particular offering of debt securities itself which will describe completely the terms and definitions of the offered debt securities and contain additional information about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or composite currency and denominations;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debt securities will be issued and, if an index formula or other method is used, the method for determining amounts of principal or interest;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other dates, if any, on which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and on which interest will be payable, and the record dates for the payment of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interest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mandatory or optional redemption by us or any third party including any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conversion or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redemption at the option of holders or put by the 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indemnity provisions;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provide that payments of principal or interest may be made in a currency other than that in which the debt securities are denominated, the manner for determining such payments;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payable upon acceleration of a Discounted Debt Security (as defined below);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may be defeased;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the issuance of debt securities in uncertificated form;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Debt securities of any series may be issued as registered debt securities or uncertificated debt securities, in such denominations as specified in the terms of the series.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may be issued under the indentures as Discounted Debt Securities to be offered and sold at a substantial discount from the principal amount thereof. Special United States federal income tax and other considerations applicable thereto will be described in the prospectus supplement relating to such Discounted Debt Securities. “Discounted Debt Security” means a security where the amount of principal due upon acceleration is less than the stated principal amount.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258"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senior debt securities will rank equally with all of our other senior and unsubordinated debt. Our secured debt, if any, will be effectively senior to the senior debt securities to the extent of the value of the assets securing such debt. The subordinated debt securities will be subordinate and junior in right of payment to all of our present and future senior indebtedness to the extent and in the manner described in the prospectus supplement and as set forth in the board resolution, officer’s certificate or supplemental indenture relating to such offering.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only a stockholder’s claim on the assets of our subsidiaries. This stockholder’s claim is junior to the claims that creditors of our subsidiaries have against our subsidiaries. Holders of our debt securities will be our creditors and not creditors of any of our subsidiaries. As a result, all the existing and future liabilities of our subsidiaries, including any claims of their creditors, will effectively be senior to the debt securities with respect to the assets of our subsidiaries. In addition, to the extent that we issue any secured debt, the debt securities will be effectively subordinated to such secured debt to the extent of the value of the assets securing such secured debt.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debt securities will be obligations exclusively of Dragonfly Energy Holdings Corp. To the extent that our ability to service our debt, including the debt securities, may be dependent upon the earnings of our future subsidiaries, if any, our ability to do so will be dependent on the ability of our subsidiaries to distribute those earnings to us as dividends, loans or other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covenants that may apply to a particular series of debt securities will be described in the prospectus supplement relating thereto.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 Obligor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provide that, unless otherwise specified in the securities resolution or supplemental indenture establishing a series of debt securities, we shall not consolidate with or merge into, or transfer all or substantially all of our assets to, any person in any transaction in which we are not the survivor, unless:</w:t>
      </w:r>
    </w:p>
    <w:p>
      <w:pPr>
        <w:spacing w:after="0" w:line="17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organized under the laws of the United States or a jurisdiction within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assumes by supplemental indenture all of our obligations under the relevant indenture, the debt securities and any coupons;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Default (as defined below) exists;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opinion of counsel stating that the transaction complies with the foregoing requirements and that all conditions precedent provided for in the indenture relating to the transaction have been complied with.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such event, the successor will be substituted for us, and thereafter all of our obligations under the relevant indenture, the debt securities and any coupons will terminate.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provide that these limitations shall not apply if our board of directors makes a good faith determination that the principal purpose of the transaction is to change our state of incorporation.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Exchange of Debt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Registered debt securities may be exchanged for an equal aggregate principal amount of registered debt securities of the same series and date of maturity in such authorized denominations as may be requested upon surrender of the registered debt securities at an agency of the Company maintained for such purpose and upon fulfillment of all other requirements of such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and Remedies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establishing the series otherwise provides (in which event the prospectus supplement will so state), an “Event of Default” with respect to a series of debt securities will occur if:</w:t>
      </w:r>
    </w:p>
    <w:p>
      <w:pPr>
        <w:spacing w:after="0" w:line="162"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any payment of interest on any debt securities of such series when the same becomes due and payable and the default continues for a period of 30 days;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of all or any part of the principal and premium, if any, of any debt securities of such series when the same becomes due and payable at maturity or upon redemption, acceleration or otherwise and such default shall continue for five or more days;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performance of any of our other agreements applicable to the series and the default continues for 30 days after the notice specified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(as defined below) that: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in an involuntary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(as defined below)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us, and the order or decree remains unstayed and in effect for 90 consecutive days;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against us in an involuntary case,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Custodian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general assignment for the benefit of our creditors; or</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for in such series.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of the United States Code or any similar Federal or State law for the relief of debtors. The term “Custodian” means any receiver, trustee, assignee, liquidator or a similar official under any Bankruptcy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“Default” means any event which is, or after notice or passage of time would be, an Event of Default. A Default under subparagraph (3) above is not an Event of Default until the trustee or the holders of at least 25% in principal amount of the series notify us of the Default and we do not cure the Default within the time specified after receipt of the notice.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may require indemnity satisfactory to it before it enforces the indentures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securityholders of such series notice of any continuing Default if the trustee determines that withholding notice is in the interest of such securityholders. We are required to furnish the trustee annually a brief certificate as to our compliance with all conditions and covenants under the indentures.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do not have cross-default provisions. Thus, a default by us on any other debt, including any other series of debt securities, would not constitute an Event of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or any coupons of the series may be amended, and any Default may be waived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otherwise provides (in which event the applicable prospectus supplement will so state), the debt securities and the indentures may be amended with the consent of the holders of a majority in principal amount of the debt securities of all series affected voting as one class. Unless the securities resolution or supplemental indenture otherwise provides (in which event the applicable prospectus supplement will so state), a Default other than a Default in payment on a particular series may be waived with the consent of the holders of a majority in principal amount of the debt securities of the series. However, without the consent of each securityholder affected, no amendment or waiver may:</w:t>
      </w:r>
    </w:p>
    <w:p>
      <w:pPr>
        <w:spacing w:after="0" w:line="183"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fixed maturity of or the time for payment of interest on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premium or interest payable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of a debt security or the currency in which the principal or interest on a debt security is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for calculating any redemption or repurchase price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 to receive payment of principal and interest or to institute suit for the enforcement of any such payment;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or waiver;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materially adversely affects the right to convert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in payment of principal of or interest on a debt security;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rights with respect to redemption or repurchase of a debt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consent of any securityholder, the indentures or the debt securities may be amended to:</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assumption of our obligations to securityholders in the event of a merger or consolidation requiring such assumption;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terms of the debt securities to the description thereof in the prospectus and prospectus supplement offering such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series and establish its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acceptance of appointment by a successor trustee or to facilitate the administration of the trusts by more than one trustee;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or unregistered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securityholder;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to the indentures so long as no debt securities are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securities resolution or supplemental indenture establishing a series of debt securities may provide that the debt securities of such series will be convertible at the option of the holders thereof into or for our common stock or other equity or debt instruments. The securities resolution or supplemental indenture may establish, among other things, (1) the number or amount of shares of common stock or other equity or debt instruments for which $1,000 aggregate principal amount of the debt securities of the series is convertible, as may be adjusted pursuant to the terms of the relevant indenture and the securities resolution; and (2) provisions for adjustments to the conversion rate and limitations upon exercise of the conversion right. The indentures provide that we will not be required to make an adjustment in the conversion rate unless the adjustment would require a cumulative change of at least 1% in the conversion rate. However, we will carry forward any adjustments that are less than 1% of the conversion rate and take them into account in any subsequent adjustment of the conversion 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debt securities and coupons and to maintain paying agencies in respect of the debt securities) with respect to the debt securities of the series and any related coupons and the relevant indenture, which we refer to as legal defeasance. We at any time may terminate as to a series our obligations with respect to any restrictive covenants which may be applicable to a particular series, which we refer to as covenant defeasance.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exercise either defeasance option as to a series, we must (1) irrevocably deposit in trust with the trustee (or another trustee) money or U.S. Government Obligations (as defined below), 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such series to maturity or redemption, as the case may be; and (2) comply with certain other conditions. In particular, we must obtain an opinion of tax counsel that the defeasance will not result in recognition of any gain or loss to holders for federal income tax purposes.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trustee will also act as depository of funds, transfer agent, paying agent and conversion agent, as applicable, with respect to the debt securities. In certain circumstances, we or the securityholders may remove the trustee as the trustee under a given indenture. The indenture trustee may also provide additional unrelated services to us as a depository of funds, registrar, trustee and similar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New York law, except to the extent that the Trust Indenture Act of 1939 is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STOCK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summarize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together with common or preferred stock as units or separately, warrants for the purchase of shares of our common or preferred stock. The terms of each warrant will be discussed in the applicable prospectus supplement relating to the particular series of warrants. The form(s) of certificate representing the warrants and/or the warrant agreement will be, in each case, filed with the SEC as an exhibit to a document incorporated by reference in the registration statement of which this prospectus is a part on or prior to the date of any prospectus supplement relating to an offering of the particular warrant. The following summary of material provisions of the warrants and the warrant agreements are subject to, and qualified in their entirety by reference to, all the provisions of the warrant agreement and warrant certificate applicable to a particular series of warrants.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series of warrants that are offered by this prospectus will describe, among other things, the following terms to the extent they are applicable to that series of warrants:</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if any, issued with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any related shares of our common or preferred stock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which may be purchased upon exercise of the warrants and the price or prices at which the shares may be purchased upon exercise;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United States federal income tax considerations applicable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provisions of the warrants, if 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may entitle the holder to purchase for cash, or, in limited circumstances, by effecting a cashless exercise for, the number of shares of our common or preferred stock at the exercise price that is described in the applicable prospectus supplement. Warrants will be exercisable during the period of time described in the applicable prospectus supplement. After that period, unexercised warrants will be void. Warrants may be exercised in the manner described in the applicable prospectus supplement.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 of a warrant will not have any of the rights of a holder of our common or preferred stock before the stock is purchased upon exercise of the warrant. Therefore, before a warrant is exercised, the holder of the warrant will not be entitled to receive any dividend payments or exercise any voting or other rights associated with shares of our common or preferred stock which may be purchased when the warrant is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if any, for any warrants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equity securities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62"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equity securities or debt securities upon the exercise of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equity securities and debt securities which may be purchased per each subscription right;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(but, to the extent convertible securities are included in the units, the holder of the units will be deemed the holder of the convertible securities and not the holder of the underlying securities). The unit agreement under which a unit is issued, if any, may provide that the securities included in the unit may not be held or transferred separately, at any time or at any time before a specified date. The applicable prospectus supplement may describe:</w:t>
      </w:r>
    </w:p>
    <w:p>
      <w:pPr>
        <w:spacing w:after="0" w:line="183" w:lineRule="exact"/>
        <w:rPr>
          <w:sz w:val="20"/>
          <w:szCs w:val="20"/>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 agreement governing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considerations relevant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global form.</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debt security, and to the extent applicable, warrant, subscription right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and, to the extent applicable, warrants, subscription rights and units,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Principal, premium, if any,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the Company, the trustees, the warrant agents or any other agent of the Company, the trustees or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Securities Exchange Act of 1934, as amended, or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or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Offering and Sale of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set forth in a prospectus supplement accompanying this prospectus, we may sell the securities being offered hereby, from time to time, by one or more of the following methods:</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underwriting syndicates represented by managing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without a syndicate for them to offer and sell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or agents;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 in negotiated sales or in competitively bid transactions.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Offerings of securities covered by this prospectus also may be made into an existing trading market for those securities in transactions at other than a fixed price, either:</w:t>
      </w:r>
    </w:p>
    <w:p>
      <w:pPr>
        <w:spacing w:after="0" w:line="162" w:lineRule="exact"/>
        <w:rPr>
          <w:sz w:val="20"/>
          <w:szCs w:val="20"/>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Nasdaq or the Nasdaq Capital Market or any other securities exchange or quotation or trading service on which those securities may be listed, quoted, or traded at the time of sale; and/or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securities exchanges or quotation or trading services set forth above.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Those at-the-market offerings, if any, will be conducted by underwriters acting as principal or agent of the Company, who may also be third-party sellers of securities as described above. The prospectus supplement with respect to the offered securities will set forth the terms of the offering of the offered securities, including:</w:t>
      </w:r>
    </w:p>
    <w:p>
      <w:pPr>
        <w:spacing w:after="0" w:line="176"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offered securities and the proceeds to us from such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commissions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such offered securities may be listed;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underwriter, agent or dealer involved in the offer and sale of any series of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fixed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prospectus supplement will set forth the manner and terms of an offering of securities including:</w:t>
      </w:r>
    </w:p>
    <w:p>
      <w:pPr>
        <w:spacing w:after="0" w:line="225"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offering is being made to underwriters, through agents or directly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procedures for any auction or bidding process, if used;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price or initial public offering price;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we anticipate from the sale of the securities, if 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The applicable prospectus supplement may indicate, in connection with such a transaction, that the third parties may sell securities covered by and pursuant to this prospectus and an applicable prospectus supplement. If so, the third party may use securities pledged by us or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Sales Through Underwriters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of some or all of the securities covered by this prospectus, the underwriters will acquire the securities for their own account. The underwriters may resell the securities, either directly to the public or to securities dealers, at various times in one or more transactions, including negotiated transactions, at a fixed public offering price or at varying prices determined at the time of sale. The obligations of the underwriters to purchase the securities will be subject to certain conditions. Unless indicated otherwise in a prospectus supplement, the underwriters will be obligated to purchase all the securities of the series offered if any of the securities are purchased.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initial public offering price and any concessions allowed or reallowed to dealers may be changed intermittently.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Through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when securities are sold through an agent, the designated agent will agree, for the period of its appointment as agent, to use specified efforts to sell the securities for our account and will receive commissions from us as will be set forth in the applicable prospectus supplement.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bought in accordance with a redemption or repayment under their terms also may be offered and sold, if so indicated in the applicable prospectus supplement, in connection with a remarketing by one or more firms acting as principals for their own accounts or as agents for us. Any remarketing firm will be identified and the terms of its agreement, if any, with us and its compensation will be described in the prospectus supplement. Remarketing firms may be deemed to be underwriters in connection with the securities remarketed by them.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may authorize agents, underwriters or dealers to solicit offers by certain specified institutions to purchase securities at a price set forth in the prospectus supplement pursuant to delayed delivery contracts providing for payment and delivery on a future date specified in the prospectus supplement. These contracts will be subject only to those conditions set forth in the applicable prospectus supplement, and the prospectus supplement will set forth the commissions payable for solicitation of these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sell offered securities directly to institutional investors or others. In this case, no underwriters or agents would be involved. The terms of such sales will be described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Broker-dealers, agents or underwriters may receive compensation in the form of discounts, concessions or commissions from us and/or the purchasers of securities for whom such broker-dealers, agents or underwriters may act as agents or to whom they sell as principal, or both. This compensation to a particular broker-dealer might be in excess of customary commissions.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Underwriters, dealers and agents that participate in any distribution of the offered securities may be deemed “underwriters” within the meaning of the Securities Act of 1933, as amended, or the Securities Act, so any discounts or commissions they receive in connection with the distribution may be deemed to be underwriting compensation. Those underwriters and agents may be entitled, under their agreements with us, to indemnification by us against certain civil liabilities, including liabilities under the Securities Act, or to contribution by us to payments that they may be required to make in respect of those civil liabilities. Certain of those underwriters or agents may be customers of, engage in transactions with, or perform services for, us or our affiliates in the ordinary course of business. We will identify any underwriters or agents, and describe their compensation, in a prospectus supplement. Any institutional investors or others that purchase offered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 supplement to this prospectus, if required, pursuant to Rule 424(b) under the Securities Act, if we enter into any material arrangement with a broker, dealer, agent or underwriter for the sale of securities through a block trade, special offering, exchange distribution or secondary distribution or a purchase by a broker or dealer. Such prospectus supplement will disclose:</w:t>
      </w:r>
    </w:p>
    <w:p>
      <w:pPr>
        <w:spacing w:after="0" w:line="176"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participating broker, dealer, agent or underwriter;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securities involved;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securities were sold;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securities may be listed;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paid or discounts or concessions allowed to any such broker, dealer, agent or underwriter, where applicable;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facilitate the offering of certain securities under this prospectus or an applicable prospectus supplement, certain persons participating in the offering of those securities may engage in transactions that stabilize, maintain or otherwise affect the price of those securities during and after the offering of those securities. Specifically, if the applicable prospectus supplement permits, the underwriters of those securities may over-allot or otherwise create a short position in those securities for their own account by selling more of those securities than have been sold to them by us and may elect to cover any such short position by purchasing those securities in the open market.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underwriters may stabilize or maintain the price of those securities by bidding for or purchasing those securities in the open market and may impose penalty bids, under which selling concessions allowed to syndicate members or other broker-dealers participating in the offering are reclaimed if securities previously distributed in the offering are repurchased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securities to the extent that it discourages resales of the securities. No representation is made as to the magnitude or effect of any such stabilization or other transactions. Such transactions, if commenced, may be discontinued at any time.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Rule 15c6-1 under the Exchange Act generally requires that trades in the secondary market settle in two business days, unless the parties to any such trade expressly agree otherwise. Your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any applicable prospectus supplement and any applicable pricing supplement in electronic format may be made available on the Internet sites of, or through other online services maintained by, us and/or one or more of the agents and/or dealers participating in an offering of securities, or by their affiliates. In those cases, prospective investors may be able to view offering terms online and, depending upon the particular agent or dealer, prospective investors may be allowed to place orders online.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this prospectus, any applicable prospectus supplement and any applicable pricing supplement in electronic format, the information on our website or the website of any agent or dealer, and any information contained in any other website maintained by any agent or dealer:</w:t>
      </w:r>
    </w:p>
    <w:p>
      <w:pPr>
        <w:spacing w:after="0" w:line="162" w:lineRule="exact"/>
        <w:rPr>
          <w:sz w:val="20"/>
          <w:szCs w:val="20"/>
          <w:color w:val="auto"/>
        </w:rPr>
      </w:pPr>
    </w:p>
    <w:p>
      <w:pPr>
        <w:ind w:left="980" w:right="44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part of this prospectus, any applicable prospectus supplement or any applicable pricing supplement or the registration statement of which they form a part;</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approved or endorsed by us or by any agent or dealer in its capacity as an agent or dealer, except, in each case, with respect to the respective website maintained by such entity;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relied upon by investors.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we will sell all or any of the securities offered by this prospectus.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may also be used in connection with any issuance of common stock or preferred stock upon exercise of a warrant if such issuance is not exempt from the registration requirements of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 In some cases, we or dealers acting with us or on our behalf may also 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hereby will be passed upon for us by Parsons Behle &amp; Latimer, Reno, Nevada and Lowenstein Sandler LLP, New York, New York.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2021 and for each of the two years in the period ended December 31, 2022 included in this Prospectus and in the Registration Statement have been so included in reliance on the report of BDO USA, LLP (n/k/a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 relating to the shares of our securities being offered hereby. This prospectus does not contain all of the information in the Registration Statement and its exhibits. The Registration Statement, its exhibits and the documents incorporated by reference in this prospectus and their exhibits, all contain information that is material to the offering of the securities hereby. Whenever a reference is made in this prospectus to any of our contracts or other documents, the reference may not be complete. You should refer to the exhibits that are a part of the Registration Statement in order to review a copy of the contract or documents. The Registration Statement and the exhibits are available at the SEC’s Public Reference Room or through its website.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www.dragonflyenergy.com. We have included our website address as an inactive textual reference only and our website and the information contained on, or that can be accessed through, our website will not be deemed to be incorporated by reference in, and are not considered part of, this prospectus.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an electronic or paper copy of any or all reports, proxy statements and other documents we file with the SEC, as well as any or all of the documents incorporated by reference in this prospectus (other than exhibits to such documents unless such exhibits are specifically incorporated by reference into such documents). Requests for such copies should be directed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Denis Phares, Chairman of the Board, President,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(775) 622-3488</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and the additional information described above and under the heading “Incorporation of Certain Information by Reference” below. We have not authorized any other person to provide you with different information. If anyone provides you with different or inconsistent information, you should not rely upon it. We are not making an offer to sell these securities in any jurisdiction where such offer or sale is not permitted. You should assume that the information in this prospectus was accurate on the date of the front cover of this prospectus only. Our business, financial condition, results of operations and prospects may have changed since that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auto"/>
          </w:rPr>
          <w:t xml:space="preserve">our Annual Report on Form 10-K for the year ended December 31, 2022, as filed with the SEC on </w:t>
        </w:r>
        <w:r>
          <w:rPr>
            <w:rFonts w:ascii="Times New Roman" w:cs="Times New Roman" w:eastAsia="Times New Roman" w:hAnsi="Times New Roman"/>
            <w:sz w:val="18"/>
            <w:szCs w:val="18"/>
            <w:u w:val="single" w:color="auto"/>
            <w:color w:val="0000EE"/>
          </w:rPr>
          <w:t>April 17, 2023</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May 1,</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78">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u w:val="single" w:color="auto"/>
            <w:color w:val="0000EE"/>
          </w:rPr>
          <w:t>June 30,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0">
        <w:r>
          <w:rPr>
            <w:rFonts w:ascii="Times New Roman" w:cs="Times New Roman" w:eastAsia="Times New Roman" w:hAnsi="Times New Roman"/>
            <w:sz w:val="18"/>
            <w:szCs w:val="18"/>
            <w:u w:val="single" w:color="auto"/>
            <w:color w:val="0000EE"/>
          </w:rPr>
          <w:t>September 30, 2023</w:t>
        </w:r>
      </w:hyperlink>
      <w:r>
        <w:rPr>
          <w:rFonts w:ascii="Times New Roman" w:cs="Times New Roman" w:eastAsia="Times New Roman" w:hAnsi="Times New Roman"/>
          <w:sz w:val="18"/>
          <w:szCs w:val="18"/>
          <w:color w:val="auto"/>
        </w:rPr>
        <w:t>, as filed with the SEC on May 15, 2023, August 21, 2023 and November 14, 2023, respectively;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1"/>
        </w:numPr>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auto"/>
          </w:rPr>
          <w:t xml:space="preserve">our Current Reports on Form 8-K as filed with the SEC on </w:t>
        </w:r>
        <w:r>
          <w:rPr>
            <w:rFonts w:ascii="Times New Roman" w:cs="Times New Roman" w:eastAsia="Times New Roman" w:hAnsi="Times New Roman"/>
            <w:sz w:val="18"/>
            <w:szCs w:val="18"/>
            <w:u w:val="single" w:color="auto"/>
            <w:color w:val="0000EE"/>
          </w:rPr>
          <w:t>March 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10,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2">
        <w:r>
          <w:rPr>
            <w:rFonts w:ascii="Times New Roman" w:cs="Times New Roman" w:eastAsia="Times New Roman" w:hAnsi="Times New Roman"/>
            <w:sz w:val="18"/>
            <w:szCs w:val="18"/>
            <w:u w:val="single" w:color="auto"/>
            <w:color w:val="0000EE"/>
          </w:rPr>
          <w:t xml:space="preserve">May 1, 2023 </w:t>
        </w:r>
      </w:hyperlink>
      <w:hyperlink r:id="rId8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83">
        <w:r>
          <w:rPr>
            <w:rFonts w:ascii="Times New Roman" w:cs="Times New Roman" w:eastAsia="Times New Roman" w:hAnsi="Times New Roman"/>
            <w:sz w:val="18"/>
            <w:szCs w:val="18"/>
            <w:u w:val="single" w:color="auto"/>
            <w:color w:val="0000EE"/>
          </w:rPr>
          <w:t>June 21, 2023</w:t>
        </w:r>
      </w:hyperlink>
      <w:hyperlink r:id="rId81">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jc w:val="both"/>
        <w:ind w:left="1300" w:hanging="644"/>
        <w:spacing w:after="0" w:line="261"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and Warrants contained in our Registration Statement on </w:t>
      </w:r>
      <w:hyperlink r:id="rId4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2021 under Section 12 of the Exchange Act, including any amendments and reports filed for the purpose of updating such description, including the description of our common stock included as </w:t>
      </w:r>
      <w:hyperlink r:id="rId84">
        <w:r>
          <w:rPr>
            <w:rFonts w:ascii="Times New Roman" w:cs="Times New Roman" w:eastAsia="Times New Roman" w:hAnsi="Times New Roman"/>
            <w:sz w:val="18"/>
            <w:szCs w:val="18"/>
            <w:u w:val="single" w:color="auto"/>
            <w:color w:val="0000EE"/>
          </w:rPr>
          <w:t>Exhibit 4.7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2022, filed with the SEC on April 17, 2023.</w:t>
      </w:r>
    </w:p>
    <w:p>
      <w:pPr>
        <w:spacing w:after="0" w:line="180"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reports and other documents that we file with the SEC under Sections 13(a), 13(c), 14 or 15(d) of the Exchange Act after the date of the initial registration statement and prior to effectiveness of the registration statement, and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“Additional Information,” above.</w:t>
      </w:r>
    </w:p>
    <w:p>
      <w:pPr>
        <w:spacing w:after="0" w:line="1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448945</wp:posOffset>
            </wp:positionV>
            <wp:extent cx="2143125" cy="531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2143125" cy="53149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180 Shares of Series A Convertible Preferred Stock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Up to 1,800,000 Shares of Common Stock underlying 180 Shares of Series A Convertible Preferred Stock</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Chardan Capital Markets, LLC</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302895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lowerRoman"/>
      <w:start w:val="2"/>
    </w:lvl>
  </w:abstractNum>
  <w:abstractNum w:abstractNumId="9">
    <w:nsid w:val="436C6125"/>
    <w:multiLevelType w:val="hybridMultilevel"/>
    <w:lvl w:ilvl="0">
      <w:lvlJc w:val="left"/>
      <w:lvlText w:val="(%1)"/>
      <w:numFmt w:val="upperLetter"/>
      <w:start w:val="1"/>
    </w:lvl>
  </w:abstractNum>
  <w:abstractNum w:abstractNumId="10">
    <w:nsid w:val="628C895D"/>
    <w:multiLevelType w:val="hybridMultilevel"/>
    <w:lvl w:ilvl="0">
      <w:lvlJc w:val="left"/>
      <w:lvlText w:val="(%1)"/>
      <w:numFmt w:val="lowerRoman"/>
      <w:start w:val="2"/>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lvl w:ilvl="1">
      <w:lvlJc w:val="left"/>
      <w:lvlText w:val="(%2)"/>
      <w:numFmt w:val="upperLetter"/>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jpe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jpeg"/><Relationship Id="rId87" Type="http://schemas.openxmlformats.org/officeDocument/2006/relationships/image" Target="media/image62.png"/><Relationship Id="rId35" Type="http://schemas.openxmlformats.org/officeDocument/2006/relationships/hyperlink" Target="https://www.sec.gov/Archives/edgar/data/1847986/000149315224014831/form10-k.htm" TargetMode="External"/><Relationship Id="rId36" Type="http://schemas.openxmlformats.org/officeDocument/2006/relationships/hyperlink" Target="https://www.sec.gov/Archives/edgar/data/1847986/000149315224017000/form10-ka.htm" TargetMode="External"/><Relationship Id="rId37" Type="http://schemas.openxmlformats.org/officeDocument/2006/relationships/hyperlink" Target="https://www.sec.gov/Archives/edgar/data/1847986/000149315224019360/form10-q.htm" TargetMode="External"/><Relationship Id="rId38" Type="http://schemas.openxmlformats.org/officeDocument/2006/relationships/hyperlink" Target="https://www.sec.gov/Archives/edgar/data/1847986/000149315224032322/form10-q.htm" TargetMode="External"/><Relationship Id="rId39" Type="http://schemas.openxmlformats.org/officeDocument/2006/relationships/hyperlink" Target="https://www.sec.gov/Archives/edgar/data/1847986/000149315224045922/form10-q.htm" TargetMode="External"/><Relationship Id="rId40" Type="http://schemas.openxmlformats.org/officeDocument/2006/relationships/hyperlink" Target="https://www.sec.gov/Archives/edgar/data/1847986/000149315224025664/form8-k.htm" TargetMode="External"/><Relationship Id="rId41" Type="http://schemas.openxmlformats.org/officeDocument/2006/relationships/hyperlink" Target="https://www.sec.gov/Archives/edgar/data/1847986/000149315225000307/form8-k.htm" TargetMode="External"/><Relationship Id="rId42" Type="http://schemas.openxmlformats.org/officeDocument/2006/relationships/hyperlink" Target="https://www.sec.gov/Archives/edgar/data/1847986/000149315225005013/form8-k.htm" TargetMode="External"/><Relationship Id="rId43" Type="http://schemas.openxmlformats.org/officeDocument/2006/relationships/hyperlink" Target="https://www.sec.gov/Archives/edgar/data/1847986/000110465921102670/tm2124648d1_8a12b.htm" TargetMode="External"/><Relationship Id="rId44" Type="http://schemas.openxmlformats.org/officeDocument/2006/relationships/hyperlink" Target="https://www.sec.gov/Archives/edgar/data/1847986/000149315224014831/ex4-10.htm" TargetMode="External"/><Relationship Id="rId77" Type="http://schemas.openxmlformats.org/officeDocument/2006/relationships/hyperlink" Target="https://www.sec.gov/ix?doc=/Archives/edgar/data/1847986/000149315223014966/form10-ka.htm" TargetMode="External"/><Relationship Id="rId78" Type="http://schemas.openxmlformats.org/officeDocument/2006/relationships/hyperlink" Target="https://www.sec.gov/Archives/edgar/data/1847986/000149315223017432/form10-q.htm" TargetMode="External"/><Relationship Id="rId79" Type="http://schemas.openxmlformats.org/officeDocument/2006/relationships/hyperlink" Target="https://www.sec.gov/Archives/edgar/data/1847986/000149315223029680/form10-q.htm" TargetMode="External"/><Relationship Id="rId80" Type="http://schemas.openxmlformats.org/officeDocument/2006/relationships/hyperlink" Target="https://www.sec.gov/ix?doc=/Archives/edgar/data/1847986/000149315223041072/form10-q.htm" TargetMode="External"/><Relationship Id="rId81" Type="http://schemas.openxmlformats.org/officeDocument/2006/relationships/hyperlink" Target="https://www.sec.gov/ix?doc=/Archives/edgar/data/0001847986/000149315223010262/form8-k.htm" TargetMode="External"/><Relationship Id="rId82" Type="http://schemas.openxmlformats.org/officeDocument/2006/relationships/hyperlink" Target="https://www.sec.gov/ix?doc=/Archives/edgar/data/0001847986/000149315223014971/form8-k.htm" TargetMode="External"/><Relationship Id="rId83" Type="http://schemas.openxmlformats.org/officeDocument/2006/relationships/hyperlink" Target="https://www.sec.gov/ix?doc=/Archives/edgar/data/0001847986/000149315223021997/form8-k.htm" TargetMode="External"/><Relationship Id="rId84" Type="http://schemas.openxmlformats.org/officeDocument/2006/relationships/hyperlink" Target="https://www.sec.gov/Archives/edgar/data/1847986/000149315223012533/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2025-02-27T06:16:50Z</dcterms:created>
  <dcterms:modified xsi:type="dcterms:W3CDTF">2025-02-27T06:16:50Z</dcterms:modified>
</cp:coreProperties>
</file>