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by Chardan NexTech Acquisition 2 Corp. pursuant to</w:t>
            </w:r>
          </w:p>
        </w:tc>
      </w:tr>
      <w:tr>
        <w:trPr>
          <w:trHeight w:val="216"/>
        </w:trPr>
        <w:tc>
          <w:tcPr>
            <w:tcW w:w="182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tc>
      </w:tr>
      <w:tr>
        <w:trPr>
          <w:trHeight w:val="216"/>
        </w:trPr>
        <w:tc>
          <w:tcPr>
            <w:tcW w:w="182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tc>
      </w:tr>
      <w:tr>
        <w:trPr>
          <w:trHeight w:val="238"/>
        </w:trPr>
        <w:tc>
          <w:tcPr>
            <w:tcW w:w="1820" w:type="dxa"/>
            <w:vAlign w:val="bottom"/>
          </w:tcPr>
          <w:p>
            <w:pPr>
              <w:spacing w:after="0"/>
              <w:rPr>
                <w:sz w:val="20"/>
                <w:szCs w:val="20"/>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tc>
      </w:tr>
      <w:tr>
        <w:trPr>
          <w:trHeight w:val="410"/>
        </w:trPr>
        <w:tc>
          <w:tcPr>
            <w:tcW w:w="182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tc>
      </w:tr>
      <w:tr>
        <w:trPr>
          <w:trHeight w:val="238"/>
        </w:trPr>
        <w:tc>
          <w:tcPr>
            <w:tcW w:w="1820" w:type="dxa"/>
            <w:vAlign w:val="bottom"/>
          </w:tcPr>
          <w:p>
            <w:pPr>
              <w:spacing w:after="0"/>
              <w:rPr>
                <w:sz w:val="20"/>
                <w:szCs w:val="20"/>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Nicole Petallides.: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Dragonfly Energy announcing today that it will be going public via a SPAC merger and to discuss this deal, let's welcome in</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Dr. Denis Phares, CEO of Dragonfly. Congratulations on the deal. I'd love to hear more about the business itself, and then</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we'll get into some of the specifics in the world of batteries. Tell me a little bit about this.</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Well, thank you for having me on the program today. First of all, Dragonfly Energy is a lithium ion battery technology</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company. Our focus is ultimately on reducing the cost of energy storage in order to facilitate more intermittent sources of</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electricity like solar and wind.</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Nicole Petallides..: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You're reducing the cost of energy storage and moving into the world of green energy, right? So tell me why now? What's</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plan for going public exactly as you do this SPAC deal?</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Well, we're a pretty unique technology company because we also have a core business. We went to market with a line of</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battery packs that we call Battle Born batteries on our retail side, and Dragonfly Energy for our original equipment</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manufacturers. And the goal of these products is to replace lead acid batteries on the consumer side of things. So for folks</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that own RVs or boats and they're trying to be able to power their appliances on their boats, on their RVs. But ultimately, we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want to transition into industrial storage, work trucks, emergency vehicles, telecom, that sort of thing. And then finally to</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deploy the technologies that we're developing for grid level storage so that we can really accommodate a lot more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intermittency. The sun doesn't always shine, the wind doesn't always blow so you need to store the energy when the</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electricity's being produced and then deliver it when it's needed.</w:t>
            </w: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Nicole Petallides.: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DFLI, tell me about where would we find that symbol and when?</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Well, we just went through the merger agreement process, so we expect that the DFLI symbol will become active in about</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 or five months. After the de-SPAC process.</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Nicole Petallides.: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When you talk about the competitors in the business, I mean, you really talked about really trying to store energy. It's not</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sunny every day, to your point, and supplying not only autos and things like that, but even a whole grid, a power grid. That's</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big jump for a company like yours, right? I mean, you have some big sites set ahead. You're starting off here at 500</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million, right?</w:t>
            </w:r>
          </w:p>
        </w:tc>
      </w:tr>
      <w:tr>
        <w:trPr>
          <w:trHeight w:val="432"/>
        </w:trPr>
        <w:tc>
          <w:tcPr>
            <w:tcW w:w="182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 of 4</w:t>
            </w:r>
          </w:p>
        </w:tc>
      </w:tr>
      <w:tr>
        <w:trPr>
          <w:trHeight w:val="459"/>
        </w:trPr>
        <w:tc>
          <w:tcPr>
            <w:tcW w:w="18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Yeah. That's absolutely true. And that's why we started at the consumer level. Right now, what we're trying to displace is the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incumbent lead acid battery technology. Those are the typical types of batteries that folks use on their RVs, on their boats,</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their smaller off grid storage systems. But we are developing the technologies, we're growing our product line and</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ultimately, we're raising the capital to be able to deploy our manufacturing processes that we've developed in order to</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produce the correct battery for grid storage. We're not focused on propulsion, we're focused on the cost of energy storage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that's a safe and effective solution that can store energy generated from the sun during the day, delivered at night. That's the</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ultimate goal.</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Nicole Petallides.: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Yeah. What do you think is the biggest hurdle? Is it getting the elements needed for these types of batteries. When we talk</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about... you know, I think about electric batteries for vehicles, right? Talking about nickel and all of these things, or is it</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more the grid and getting the grid ready for more electrification because we neither have the batteries, nor do we have the</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power needed to power these batteries when we have them, right?</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Well, it's a chicken and the egg problem. In order to accommodate more of these intermittent sources, you have to have</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storage on the grid. The grid can't accommodate a lot of intermittency now. We have to get the right battery developed and</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you're right, there are issues with supply chain. Nickel is in short supply. Cobalt is in short supply. We focus on lithium iron</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phosphate chemistry, so we don't have nickel or cobalt, but it is very important that we establish a long term lithium supply</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chain. It's not an accident that we're in the state of Nevada. There's a lot of lithium in the ground in Nevada.</w:t>
            </w:r>
          </w:p>
        </w:tc>
      </w:tr>
      <w:tr>
        <w:trPr>
          <w:trHeight w:val="41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Nicole Petallides.:</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Yeah. Congratulations. I look forward to chatting with you more, particularly in the next few months as you really hop up to</w:t>
            </w: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get to that five month block where we'll see more about DFLI. We'll watch for that ticker symbol, Dragonfly. Dr. Denis</w:t>
            </w:r>
          </w:p>
        </w:tc>
      </w:tr>
      <w:tr>
        <w:trPr>
          <w:trHeight w:val="234"/>
        </w:trPr>
        <w:tc>
          <w:tcPr>
            <w:tcW w:w="1820" w:type="dxa"/>
            <w:vAlign w:val="bottom"/>
          </w:tcPr>
          <w:p>
            <w:pPr>
              <w:spacing w:after="0"/>
              <w:rPr>
                <w:sz w:val="20"/>
                <w:szCs w:val="20"/>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Phares, thank you very much. Good to see you.</w:t>
            </w:r>
          </w:p>
        </w:tc>
      </w:tr>
      <w:tr>
        <w:trPr>
          <w:trHeight w:val="432"/>
        </w:trPr>
        <w:tc>
          <w:tcPr>
            <w:tcW w:w="1820" w:type="dxa"/>
            <w:vAlign w:val="bottom"/>
          </w:tcPr>
          <w:p>
            <w:pPr>
              <w:spacing w:after="0"/>
              <w:rPr>
                <w:sz w:val="24"/>
                <w:szCs w:val="24"/>
                <w:color w:val="auto"/>
              </w:rPr>
            </w:pPr>
          </w:p>
        </w:tc>
        <w:tc>
          <w:tcPr>
            <w:tcW w:w="9420" w:type="dxa"/>
            <w:vAlign w:val="bottom"/>
          </w:tcPr>
          <w:p>
            <w:pPr>
              <w:ind w:left="8600"/>
              <w:spacing w:after="0"/>
              <w:rPr>
                <w:sz w:val="20"/>
                <w:szCs w:val="20"/>
                <w:color w:val="auto"/>
              </w:rPr>
            </w:pPr>
            <w:r>
              <w:rPr>
                <w:rFonts w:ascii="Times New Roman" w:cs="Times New Roman" w:eastAsia="Times New Roman" w:hAnsi="Times New Roman"/>
                <w:sz w:val="18"/>
                <w:szCs w:val="18"/>
                <w:color w:val="auto"/>
                <w:w w:val="98"/>
              </w:rPr>
              <w:t>Page 2 of 4</w:t>
            </w:r>
          </w:p>
        </w:tc>
      </w:tr>
      <w:tr>
        <w:trPr>
          <w:trHeight w:val="459"/>
        </w:trPr>
        <w:tc>
          <w:tcPr>
            <w:tcW w:w="18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 10-K for the year ended December 31, 2021 and registration statement on Form S-4 with the SEC, which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relates to a proposed transaction between CNTQ and Dragonfly. CNTQ intends to file a registration statement on Form S-4 with the SEC, which will include a document that serves as a prospectus and proxy statement of CNTQ, referred to as a proxy statement/prospectus. A proxy statement/prospectus will be sent to all CNTQ stockholders. CNTQ also will file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and security holders will be able to obtain free copies of the registration statement, the proxy statement/prospectus and all other relevant documents filed or that will be filed with the SEC by CNTQ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180"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8"/>
          <w:szCs w:val="18"/>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2022-05-18T05:15:16Z</dcterms:created>
  <dcterms:modified xsi:type="dcterms:W3CDTF">2022-05-18T05:15:16Z</dcterms:modified>
</cp:coreProperties>
</file>