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13, 2021 (August 10,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r>
        <w:rPr>
          <w:rFonts w:ascii="Arial" w:cs="Arial" w:eastAsia="Arial" w:hAnsi="Arial"/>
          <w:sz w:val="17"/>
          <w:szCs w:val="17"/>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right="1010"/>
              <w:spacing w:after="0"/>
              <w:rPr>
                <w:sz w:val="20"/>
                <w:szCs w:val="20"/>
                <w:color w:val="auto"/>
              </w:rPr>
            </w:pPr>
            <w:r>
              <w:rPr>
                <w:rFonts w:ascii="Arial" w:cs="Arial" w:eastAsia="Arial" w:hAnsi="Arial"/>
                <w:sz w:val="18"/>
                <w:szCs w:val="18"/>
                <w:color w:val="auto"/>
                <w:w w:val="90"/>
              </w:rPr>
              <w:t>001-40730</w:t>
            </w:r>
          </w:p>
        </w:tc>
        <w:tc>
          <w:tcPr>
            <w:tcW w:w="3900" w:type="dxa"/>
            <w:vAlign w:val="bottom"/>
            <w:gridSpan w:val="4"/>
          </w:tcPr>
          <w:p>
            <w:pPr>
              <w:jc w:val="center"/>
              <w:ind w:left="490"/>
              <w:spacing w:after="0"/>
              <w:rPr>
                <w:sz w:val="20"/>
                <w:szCs w:val="20"/>
                <w:color w:val="auto"/>
              </w:rPr>
            </w:pPr>
            <w:r>
              <w:rPr>
                <w:rFonts w:ascii="Arial" w:cs="Arial" w:eastAsia="Arial" w:hAnsi="Arial"/>
                <w:sz w:val="18"/>
                <w:szCs w:val="18"/>
                <w:color w:val="auto"/>
                <w:w w:val="91"/>
              </w:rPr>
              <w:t>85-1873463</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jc w:val="center"/>
              <w:ind w:right="99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jc w:val="center"/>
              <w:ind w:right="47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502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89"/>
              </w:rPr>
              <w:t>17 State Street, 21st Floor</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New York, NY</w:t>
            </w:r>
          </w:p>
        </w:tc>
        <w:tc>
          <w:tcPr>
            <w:tcW w:w="2280" w:type="dxa"/>
            <w:vAlign w:val="bottom"/>
          </w:tcPr>
          <w:p>
            <w:pPr>
              <w:spacing w:after="0"/>
              <w:rPr>
                <w:sz w:val="20"/>
                <w:szCs w:val="20"/>
                <w:color w:val="auto"/>
              </w:rPr>
            </w:pPr>
          </w:p>
        </w:tc>
        <w:tc>
          <w:tcPr>
            <w:tcW w:w="390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10004</w:t>
            </w:r>
          </w:p>
        </w:tc>
        <w:tc>
          <w:tcPr>
            <w:tcW w:w="20" w:type="dxa"/>
            <w:vAlign w:val="bottom"/>
          </w:tcPr>
          <w:p>
            <w:pPr>
              <w:spacing w:after="0"/>
              <w:rPr>
                <w:sz w:val="20"/>
                <w:szCs w:val="20"/>
                <w:color w:val="auto"/>
              </w:rPr>
            </w:pPr>
          </w:p>
        </w:tc>
      </w:tr>
      <w:tr>
        <w:trPr>
          <w:trHeight w:val="224"/>
        </w:trPr>
        <w:tc>
          <w:tcPr>
            <w:tcW w:w="20" w:type="dxa"/>
            <w:vAlign w:val="bottom"/>
            <w:tcBorders>
              <w:top w:val="single" w:sz="8" w:color="auto"/>
            </w:tcBorders>
          </w:tcPr>
          <w:p>
            <w:pPr>
              <w:spacing w:after="0"/>
              <w:rPr>
                <w:sz w:val="19"/>
                <w:szCs w:val="19"/>
                <w:color w:val="auto"/>
              </w:rPr>
            </w:pPr>
          </w:p>
        </w:tc>
        <w:tc>
          <w:tcPr>
            <w:tcW w:w="7300" w:type="dxa"/>
            <w:vAlign w:val="bottom"/>
            <w:tcBorders>
              <w:top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20" w:type="dxa"/>
            <w:vAlign w:val="bottom"/>
            <w:tcBorders>
              <w:top w:val="single" w:sz="8" w:color="auto"/>
            </w:tcBorders>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6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6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Units, consisting of one share of Common Stock, par value $0.0001 per share, and three-</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quarters of one Redeemable Warrant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CNTQU</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6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par value $0.0001 per share, included as part of the Units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CNTQ</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66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Redeemable Warrants included as part of the Units, each exercisable for one share of</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0"/>
        </w:trPr>
        <w:tc>
          <w:tcPr>
            <w:tcW w:w="6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Stock for $11.50 per share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CNTQW</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10, 2021, the registration statement (File No. 333-254010) relating to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was declared effective by the U.S. Securities and Exchange Commission, and the Company subsequently filed, on August 11, 2021, a registration statement on Form S-1 (File No. 333-258699) pursuant to Rule 462(b) under the Securities Act of 1933, as amended, which was effective immediately upon filing (collectively,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therewith, the Company entered into the following agreements, the forms of which were previously filed as exhibits to the Registration Statement:</w:t>
      </w:r>
    </w:p>
    <w:p>
      <w:pPr>
        <w:spacing w:after="0" w:line="166" w:lineRule="exact"/>
        <w:rPr>
          <w:sz w:val="20"/>
          <w:szCs w:val="20"/>
          <w:color w:val="auto"/>
        </w:rPr>
      </w:pP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August 10, 2021, by and between the Company and Chardan Capital Markets, LLC (“</w:t>
      </w:r>
      <w:r>
        <w:rPr>
          <w:rFonts w:ascii="Arial" w:cs="Arial" w:eastAsia="Arial" w:hAnsi="Arial"/>
          <w:sz w:val="18"/>
          <w:szCs w:val="18"/>
          <w:b w:val="1"/>
          <w:bCs w:val="1"/>
          <w:color w:val="auto"/>
        </w:rPr>
        <w:t>Chardan</w:t>
      </w:r>
      <w:r>
        <w:rPr>
          <w:rFonts w:ascii="Arial" w:cs="Arial" w:eastAsia="Arial" w:hAnsi="Arial"/>
          <w:sz w:val="18"/>
          <w:szCs w:val="18"/>
          <w:color w:val="auto"/>
        </w:rPr>
        <w:t xml:space="preserve">”), as representative of the underwriters, a copy of which is attached as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hereto and incorporated by reference;</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Business Combination Marketing Agreement, dated August 10, 2021, by and between the Company and Chardan, a copy of which is attached as </w:t>
      </w:r>
      <w:r>
        <w:rPr>
          <w:rFonts w:ascii="Arial" w:cs="Arial" w:eastAsia="Arial" w:hAnsi="Arial"/>
          <w:sz w:val="18"/>
          <w:szCs w:val="18"/>
          <w:u w:val="single" w:color="auto"/>
          <w:color w:val="auto"/>
        </w:rPr>
        <w:t>Exhibit 1.2</w:t>
      </w:r>
      <w:r>
        <w:rPr>
          <w:rFonts w:ascii="Arial" w:cs="Arial" w:eastAsia="Arial" w:hAnsi="Arial"/>
          <w:sz w:val="18"/>
          <w:szCs w:val="18"/>
          <w:color w:val="auto"/>
        </w:rPr>
        <w:t xml:space="preserve"> hereto and incorporated by reference;</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Agreement, dated August 10, 2021, by and between the Company and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xml:space="preserve">”), as warrant agent, a copy of which is attached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hereto and incorporated by reference;</w:t>
      </w:r>
    </w:p>
    <w:p>
      <w:pPr>
        <w:jc w:val="both"/>
        <w:ind w:left="34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Letter Agreement, dated August 10, 2021, by and among the Company, its officers, its directors, the Company’s sponsor, Chardan NexTech Investments 2 LLC, a Delaware limited liability company (the “</w:t>
      </w:r>
      <w:r>
        <w:rPr>
          <w:rFonts w:ascii="Arial" w:cs="Arial" w:eastAsia="Arial" w:hAnsi="Arial"/>
          <w:sz w:val="17"/>
          <w:szCs w:val="17"/>
          <w:b w:val="1"/>
          <w:bCs w:val="1"/>
          <w:color w:val="auto"/>
        </w:rPr>
        <w:t>Sponsor</w:t>
      </w:r>
      <w:r>
        <w:rPr>
          <w:rFonts w:ascii="Arial" w:cs="Arial" w:eastAsia="Arial" w:hAnsi="Arial"/>
          <w:sz w:val="17"/>
          <w:szCs w:val="17"/>
          <w:color w:val="auto"/>
        </w:rPr>
        <w:t>”), and Chardan NexTech 2 Warrant Holdings LLC, a Delaware limited liability company (“</w:t>
      </w:r>
      <w:r>
        <w:rPr>
          <w:rFonts w:ascii="Arial" w:cs="Arial" w:eastAsia="Arial" w:hAnsi="Arial"/>
          <w:sz w:val="17"/>
          <w:szCs w:val="17"/>
          <w:b w:val="1"/>
          <w:bCs w:val="1"/>
          <w:color w:val="auto"/>
        </w:rPr>
        <w:t>Warrant Holdings</w:t>
      </w:r>
      <w:r>
        <w:rPr>
          <w:rFonts w:ascii="Arial" w:cs="Arial" w:eastAsia="Arial" w:hAnsi="Arial"/>
          <w:sz w:val="17"/>
          <w:szCs w:val="17"/>
          <w:color w:val="auto"/>
        </w:rPr>
        <w:t xml:space="preserve">”), a copy of which is attached as </w:t>
      </w:r>
      <w:r>
        <w:rPr>
          <w:rFonts w:ascii="Arial" w:cs="Arial" w:eastAsia="Arial" w:hAnsi="Arial"/>
          <w:sz w:val="17"/>
          <w:szCs w:val="17"/>
          <w:u w:val="single" w:color="auto"/>
          <w:color w:val="auto"/>
        </w:rPr>
        <w:t>Exhibit 10.1</w:t>
      </w:r>
      <w:r>
        <w:rPr>
          <w:rFonts w:ascii="Arial" w:cs="Arial" w:eastAsia="Arial" w:hAnsi="Arial"/>
          <w:sz w:val="17"/>
          <w:szCs w:val="17"/>
          <w:color w:val="auto"/>
        </w:rPr>
        <w:t xml:space="preserve"> hereto and incorporated herein by reference;</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 Investment Management Trust Agreement, dated August 10, 2021, by and between the Company and CST, as trustee, a copy of which is attached as </w:t>
      </w:r>
      <w:r>
        <w:rPr>
          <w:rFonts w:ascii="Arial" w:cs="Arial" w:eastAsia="Arial" w:hAnsi="Arial"/>
          <w:sz w:val="18"/>
          <w:szCs w:val="18"/>
          <w:u w:val="single" w:color="auto"/>
          <w:color w:val="auto"/>
        </w:rPr>
        <w:t>Exhibit 10.2</w:t>
      </w:r>
      <w:r>
        <w:rPr>
          <w:rFonts w:ascii="Arial" w:cs="Arial" w:eastAsia="Arial" w:hAnsi="Arial"/>
          <w:sz w:val="18"/>
          <w:szCs w:val="18"/>
          <w:color w:val="auto"/>
        </w:rPr>
        <w:t xml:space="preserve"> hereto and incorporated by reference;</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Stock Escrow Agreement, dated August 10, 2021, by and among the Company, CST, as escrow agent, and each of the initial shareholders of the Company, a copy of which is attached as </w:t>
      </w:r>
      <w:r>
        <w:rPr>
          <w:rFonts w:ascii="Arial" w:cs="Arial" w:eastAsia="Arial" w:hAnsi="Arial"/>
          <w:sz w:val="18"/>
          <w:szCs w:val="18"/>
          <w:u w:val="single" w:color="auto"/>
          <w:color w:val="auto"/>
        </w:rPr>
        <w:t>Exhibit 10.3</w:t>
      </w:r>
      <w:r>
        <w:rPr>
          <w:rFonts w:ascii="Arial" w:cs="Arial" w:eastAsia="Arial" w:hAnsi="Arial"/>
          <w:sz w:val="18"/>
          <w:szCs w:val="18"/>
          <w:color w:val="auto"/>
        </w:rPr>
        <w:t xml:space="preserve"> hereto and incorporated by reference;</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Registration Rights Agreement, dated August 10, 2021, by and among the Company, Warrant Holdings, and each of the initial shareholders of the Company, a copy of which is attached as </w:t>
      </w:r>
      <w:r>
        <w:rPr>
          <w:rFonts w:ascii="Arial" w:cs="Arial" w:eastAsia="Arial" w:hAnsi="Arial"/>
          <w:sz w:val="18"/>
          <w:szCs w:val="18"/>
          <w:u w:val="single" w:color="auto"/>
          <w:color w:val="auto"/>
        </w:rPr>
        <w:t>Exhibit 10.4</w:t>
      </w:r>
      <w:r>
        <w:rPr>
          <w:rFonts w:ascii="Arial" w:cs="Arial" w:eastAsia="Arial" w:hAnsi="Arial"/>
          <w:sz w:val="18"/>
          <w:szCs w:val="18"/>
          <w:color w:val="auto"/>
        </w:rPr>
        <w:t xml:space="preserve"> hereto and incorporated by reference;</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Indemnity Agreements, dated August 10, 2021, by and between the Company and each of the directors and officers of the Company, a form of which is attached as </w:t>
      </w:r>
      <w:r>
        <w:rPr>
          <w:rFonts w:ascii="Arial" w:cs="Arial" w:eastAsia="Arial" w:hAnsi="Arial"/>
          <w:sz w:val="18"/>
          <w:szCs w:val="18"/>
          <w:u w:val="single" w:color="auto"/>
          <w:color w:val="auto"/>
        </w:rPr>
        <w:t>Exhibit 10.5</w:t>
      </w:r>
      <w:r>
        <w:rPr>
          <w:rFonts w:ascii="Arial" w:cs="Arial" w:eastAsia="Arial" w:hAnsi="Arial"/>
          <w:sz w:val="18"/>
          <w:szCs w:val="18"/>
          <w:color w:val="auto"/>
        </w:rPr>
        <w:t xml:space="preserve"> hereto and incorporated by reference;</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 Administrative Services Agreement, dated August 10, 2021, by and between the Company and the Sponsor, a copy of which is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 xml:space="preserve"> hereto and incorporated by reference; and</w:t>
      </w:r>
    </w:p>
    <w:p>
      <w:pPr>
        <w:ind w:left="340" w:right="2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Private Placement Warrants Purchase Agreement, dated August 10, 2021, by and between the Company and Warrant Holdings, a copy of which is attached as </w:t>
      </w:r>
      <w:r>
        <w:rPr>
          <w:rFonts w:ascii="Arial" w:cs="Arial" w:eastAsia="Arial" w:hAnsi="Arial"/>
          <w:sz w:val="18"/>
          <w:szCs w:val="18"/>
          <w:u w:val="single" w:color="auto"/>
          <w:color w:val="auto"/>
        </w:rPr>
        <w:t>Exhibit 10.7</w:t>
      </w:r>
      <w:r>
        <w:rPr>
          <w:rFonts w:ascii="Arial" w:cs="Arial" w:eastAsia="Arial" w:hAnsi="Arial"/>
          <w:sz w:val="18"/>
          <w:szCs w:val="18"/>
          <w:color w:val="auto"/>
        </w:rPr>
        <w:t xml:space="preserve"> hereto and incorporated by reference.</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August 13, 2021, the Company consummated the IPO of 11,000,000 units (the “</w:t>
      </w:r>
      <w:r>
        <w:rPr>
          <w:rFonts w:ascii="Arial" w:cs="Arial" w:eastAsia="Arial" w:hAnsi="Arial"/>
          <w:sz w:val="16"/>
          <w:szCs w:val="16"/>
          <w:b w:val="1"/>
          <w:bCs w:val="1"/>
          <w:color w:val="auto"/>
        </w:rPr>
        <w:t>Units</w:t>
      </w:r>
      <w:r>
        <w:rPr>
          <w:rFonts w:ascii="Arial" w:cs="Arial" w:eastAsia="Arial" w:hAnsi="Arial"/>
          <w:sz w:val="16"/>
          <w:szCs w:val="16"/>
          <w:color w:val="auto"/>
        </w:rPr>
        <w:t>”). Each Unit consists of one share of common stock, $0.0001 par value (“</w:t>
      </w:r>
      <w:r>
        <w:rPr>
          <w:rFonts w:ascii="Arial" w:cs="Arial" w:eastAsia="Arial" w:hAnsi="Arial"/>
          <w:sz w:val="16"/>
          <w:szCs w:val="16"/>
          <w:b w:val="1"/>
          <w:bCs w:val="1"/>
          <w:color w:val="auto"/>
        </w:rPr>
        <w:t>Common Stock</w:t>
      </w:r>
      <w:r>
        <w:rPr>
          <w:rFonts w:ascii="Arial" w:cs="Arial" w:eastAsia="Arial" w:hAnsi="Arial"/>
          <w:sz w:val="16"/>
          <w:szCs w:val="16"/>
          <w:color w:val="auto"/>
        </w:rPr>
        <w:t>”), and three-quarters of one redeemable warrant (each, a “</w:t>
      </w:r>
      <w:r>
        <w:rPr>
          <w:rFonts w:ascii="Arial" w:cs="Arial" w:eastAsia="Arial" w:hAnsi="Arial"/>
          <w:sz w:val="16"/>
          <w:szCs w:val="16"/>
          <w:b w:val="1"/>
          <w:bCs w:val="1"/>
          <w:color w:val="auto"/>
        </w:rPr>
        <w:t>Warrant</w:t>
      </w:r>
      <w:r>
        <w:rPr>
          <w:rFonts w:ascii="Arial" w:cs="Arial" w:eastAsia="Arial" w:hAnsi="Arial"/>
          <w:sz w:val="16"/>
          <w:szCs w:val="16"/>
          <w:color w:val="auto"/>
        </w:rPr>
        <w:t>”), with each whole Warrant entitling its holder to purchase one share of Common Stock at a price of $11.50. The Units were sold at an offering price of $10.00 per Unit, generating gross proceeds of $110,000,000. The Company granted the underwriters a 45-day option to purchase up to 1,650,000 additional Units to cover over-allotments, if any.</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August 13, 2021, a total of $111,650,000 of the net proceeds from the IPO and the Private Placement (as defined below) were deposited in a trust account established for the benefit of the Company’s public shareholders. An audited balance sheet as of August 13, 2021 reflecting receipt of the proceeds upon consummation of the IPO and the Private Placement will be filed within four business days of the consummation of the IPO.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Simultaneously with the closing of the IPO, the Company consummated the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with Warrant Holdings of 4,361,456 Warrants (the “</w:t>
      </w:r>
      <w:r>
        <w:rPr>
          <w:rFonts w:ascii="Arial" w:cs="Arial" w:eastAsia="Arial" w:hAnsi="Arial"/>
          <w:sz w:val="18"/>
          <w:szCs w:val="18"/>
          <w:b w:val="1"/>
          <w:bCs w:val="1"/>
          <w:color w:val="auto"/>
        </w:rPr>
        <w:t>Private Warrants</w:t>
      </w:r>
      <w:r>
        <w:rPr>
          <w:rFonts w:ascii="Arial" w:cs="Arial" w:eastAsia="Arial" w:hAnsi="Arial"/>
          <w:sz w:val="18"/>
          <w:szCs w:val="18"/>
          <w:color w:val="auto"/>
        </w:rPr>
        <w:t>”) to purchase 4,361,456 shares of Common Stock, each at a price of $0.93 per Private Warrant, generating total proceeds of $4,052,000.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7"/>
          <w:szCs w:val="17"/>
          <w:color w:val="auto"/>
        </w:rPr>
        <w:t>The Private Warrants are identical to the Warrants sold in the IPO except that the Private Warrants, so long as they are held by the initial purchasers or their respective permitted transferees, (i) will not be redeemable by the Company, (ii) may not, subject to certain limited exceptions, be transferred, assigned, or sold by the initial purchaser until 30 days after the completion of the Company’s business combination, and (iii) may be exercised by the holders on a cashless basis. No underwriting discounts or commissions were paid with respect to such sale.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the Private Warrants pursuant to the exemption from registration contained in Section 4(a)(2) of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On August 10, 2021, in connection with the IPO, the Company filed its Amended and Restated Certificate of Incorporation with the Delaware Secretary of State, a copy of which is filed hereto as </w:t>
      </w:r>
      <w:r>
        <w:rPr>
          <w:rFonts w:ascii="Arial" w:cs="Arial" w:eastAsia="Arial" w:hAnsi="Arial"/>
          <w:sz w:val="18"/>
          <w:szCs w:val="18"/>
          <w:u w:val="single" w:color="auto"/>
          <w:color w:val="auto"/>
        </w:rPr>
        <w:t>Exhibit 3.1</w:t>
      </w:r>
      <w:r>
        <w:rPr>
          <w:rFonts w:ascii="Arial" w:cs="Arial" w:eastAsia="Arial" w:hAnsi="Arial"/>
          <w:sz w:val="18"/>
          <w:szCs w:val="18"/>
          <w:color w:val="auto"/>
        </w:rPr>
        <w:t xml:space="preserve"> and incorporated herein by reference. The terms of the Amended and Restated Certificate of Incorporation are set forth in the Registration Statement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total of $111,650,000, comprised of the proceeds from the IPO after offering expenses and a portion of the proceeds of the sale of the Private Warrants, was placed in a U.S.-based trust account maintained by CST, acting as trustee. Except with respect to interest earned on the funds held in the trust account that may be released to the Company to pay its taxes, if any, and up to $100,000 of interest that may be needed to pay dissolution expenses, the funds held in the trust account will not be released from the trust account until the earliest of (i) the completion of the Company’s initial business combination within 12 months (or up to 18 months, as applicable) from the closing of the IPO and (ii) a redemption to public stockholders prior to any voluntary winding-up in the event the Company does not consummate its initial business combination within the applicable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August 10, 2021, the Company issued a press release announcing the pricing of the IPO, a copy of which is attached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Current Report on Form 8-K.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August 13, 2021, the Company issued a press release announcing the closing of the IPO, a copy of which is attached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0"/>
                <w:szCs w:val="20"/>
                <w:color w:val="auto"/>
              </w:rPr>
            </w:pPr>
          </w:p>
        </w:tc>
        <w:tc>
          <w:tcPr>
            <w:tcW w:w="102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rPr>
              <w:t>Description</w:t>
            </w:r>
          </w:p>
        </w:tc>
      </w:tr>
      <w:tr>
        <w:trPr>
          <w:trHeight w:val="190"/>
        </w:trPr>
        <w:tc>
          <w:tcPr>
            <w:tcW w:w="240" w:type="dxa"/>
            <w:vAlign w:val="bottom"/>
            <w:tcBorders>
              <w:bottom w:val="single" w:sz="8" w:color="0000EE"/>
            </w:tcBorders>
            <w:shd w:val="clear" w:color="auto" w:fill="CCEEFF"/>
          </w:tcPr>
          <w:p>
            <w:pPr>
              <w:spacing w:after="0" w:line="169"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40" w:type="dxa"/>
            <w:vAlign w:val="bottom"/>
            <w:tcBorders>
              <w:bottom w:val="single" w:sz="8" w:color="0000EE"/>
            </w:tcBorders>
            <w:gridSpan w:val="8"/>
            <w:shd w:val="clear" w:color="auto" w:fill="CCEEFF"/>
          </w:tcPr>
          <w:p>
            <w:pPr>
              <w:spacing w:after="0" w:line="16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August 10, 2021, by and between the Registrant and Chardan Capital Markets, LLC.</w:t>
              </w:r>
            </w:hyperlink>
          </w:p>
        </w:tc>
        <w:tc>
          <w:tcPr>
            <w:tcW w:w="1780" w:type="dxa"/>
            <w:vAlign w:val="bottom"/>
            <w:tcBorders>
              <w:bottom w:val="single" w:sz="8" w:color="CCEEFF"/>
            </w:tcBorders>
            <w:gridSpan w:val="7"/>
            <w:shd w:val="clear" w:color="auto" w:fill="CCEEFF"/>
          </w:tcPr>
          <w:p>
            <w:pPr>
              <w:spacing w:after="0"/>
              <w:rPr>
                <w:sz w:val="16"/>
                <w:szCs w:val="16"/>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600" w:type="dxa"/>
            <w:vAlign w:val="bottom"/>
          </w:tcPr>
          <w:p>
            <w:pPr>
              <w:spacing w:after="0"/>
              <w:rPr>
                <w:sz w:val="15"/>
                <w:szCs w:val="15"/>
                <w:color w:val="auto"/>
              </w:rPr>
            </w:pPr>
          </w:p>
        </w:tc>
        <w:tc>
          <w:tcPr>
            <w:tcW w:w="10320" w:type="dxa"/>
            <w:vAlign w:val="bottom"/>
            <w:gridSpan w:val="16"/>
          </w:tcPr>
          <w:p>
            <w:pPr>
              <w:ind w:left="100"/>
              <w:spacing w:after="0" w:line="17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Business Combination Marketing Agreement, dated August 10, 2021, by and between the Registrant and Chardan Capital Markets, LLC.</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Amended and Restated Certificate of Incorporation.</w:t>
              </w:r>
            </w:hyperlink>
          </w:p>
        </w:tc>
        <w:tc>
          <w:tcPr>
            <w:tcW w:w="648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0" w:type="dxa"/>
            <w:vAlign w:val="bottom"/>
          </w:tcPr>
          <w:p>
            <w:pPr>
              <w:spacing w:after="0"/>
              <w:rPr>
                <w:sz w:val="15"/>
                <w:szCs w:val="15"/>
                <w:color w:val="auto"/>
              </w:rPr>
            </w:pPr>
          </w:p>
        </w:tc>
        <w:tc>
          <w:tcPr>
            <w:tcW w:w="10320" w:type="dxa"/>
            <w:vAlign w:val="bottom"/>
            <w:gridSpan w:val="16"/>
          </w:tcPr>
          <w:p>
            <w:pPr>
              <w:ind w:lef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Warrant Agreement, dated August 10, 2021, by and between the Registrant and Continental Stock Transfer &amp; Trust Company.</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920" w:type="dxa"/>
            <w:vAlign w:val="bottom"/>
            <w:gridSpan w:val="3"/>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320" w:type="dxa"/>
            <w:vAlign w:val="bottom"/>
            <w:gridSpan w:val="16"/>
            <w:shd w:val="clear" w:color="auto" w:fill="CCEEFF"/>
          </w:tcPr>
          <w:p>
            <w:pPr>
              <w:ind w:left="100"/>
              <w:spacing w:after="0" w:line="17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Letter Agreements, dated August 10, 2021, among the Registrant, the Registrant’s officers and directors Chardan NexTech Investments 2</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LLC and Chardan NexTech 2 Warrant Holdings LLC.</w:t>
              </w:r>
            </w:hyperlink>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gridSpan w:val="3"/>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10220" w:type="dxa"/>
            <w:vAlign w:val="bottom"/>
            <w:gridSpan w:val="15"/>
          </w:tcPr>
          <w:p>
            <w:pPr>
              <w:spacing w:after="0" w:line="17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Investment Management Trust Agreement, dated August 10, 2021, by and between the Registrant and Continental Stock Transfer &amp;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Company.</w:t>
              </w:r>
            </w:hyperlink>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920" w:type="dxa"/>
            <w:vAlign w:val="bottom"/>
            <w:gridSpan w:val="3"/>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320" w:type="dxa"/>
            <w:vAlign w:val="bottom"/>
            <w:gridSpan w:val="16"/>
            <w:shd w:val="clear" w:color="auto" w:fill="CCEEFF"/>
          </w:tcPr>
          <w:p>
            <w:pPr>
              <w:ind w:left="100"/>
              <w:spacing w:after="0" w:line="17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Stock Escrow Agreement, dated August 10, 2021, by and among the Registrant, Continental Stock Transfer &amp; Trust Company and each of</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the initial stockholders of the Registrant.</w:t>
              </w:r>
            </w:hyperlink>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15"/>
                <w:szCs w:val="15"/>
                <w:color w:val="auto"/>
              </w:rPr>
            </w:pPr>
          </w:p>
        </w:tc>
        <w:tc>
          <w:tcPr>
            <w:tcW w:w="10220" w:type="dxa"/>
            <w:vAlign w:val="bottom"/>
            <w:gridSpan w:val="15"/>
          </w:tcPr>
          <w:p>
            <w:pPr>
              <w:spacing w:after="0" w:line="17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Registration Rights Agreement, dated August 10, 2021, by and among the Registrant, Chardan NexTech 2 Warrant Holdings LLC and each</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of the initial stockholders of the Registrant.</w:t>
              </w:r>
            </w:hyperlink>
          </w:p>
        </w:tc>
        <w:tc>
          <w:tcPr>
            <w:tcW w:w="10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920" w:type="dxa"/>
            <w:vAlign w:val="bottom"/>
            <w:gridSpan w:val="3"/>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320" w:type="dxa"/>
            <w:vAlign w:val="bottom"/>
            <w:gridSpan w:val="16"/>
            <w:shd w:val="clear" w:color="auto" w:fill="CCEEFF"/>
          </w:tcPr>
          <w:p>
            <w:pPr>
              <w:ind w:left="100"/>
              <w:spacing w:after="0" w:line="17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Form of Indemnity Agreement, dated August 1, 2021, by and among the Registrant and each of the directors and officers of the Registrant</w:t>
              </w:r>
            </w:hyperlink>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5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gridSpan w:val="3"/>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320" w:type="dxa"/>
            <w:vAlign w:val="bottom"/>
            <w:gridSpan w:val="16"/>
          </w:tcPr>
          <w:p>
            <w:pPr>
              <w:ind w:left="100"/>
              <w:spacing w:after="0" w:line="17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Administrative Services Agreement, dated August 10, 2021, by and between the Registrant and Chardan NexTech Investments 2 LLC</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5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920" w:type="dxa"/>
            <w:vAlign w:val="bottom"/>
            <w:gridSpan w:val="3"/>
            <w:shd w:val="clear" w:color="auto" w:fill="CCEEFF"/>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320" w:type="dxa"/>
            <w:vAlign w:val="bottom"/>
            <w:gridSpan w:val="16"/>
            <w:shd w:val="clear" w:color="auto" w:fill="CCEEFF"/>
          </w:tcPr>
          <w:p>
            <w:pPr>
              <w:ind w:left="100"/>
              <w:spacing w:after="0" w:line="17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Private Placement Warrants Purchase Agreement, dated August 10, 2021, by and between the Registrant and Chardan NexTech 2 Warrant</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Holdings LLC</w:t>
              </w:r>
            </w:hyperlink>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gridSpan w:val="3"/>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220" w:type="dxa"/>
            <w:vAlign w:val="bottom"/>
            <w:gridSpan w:val="15"/>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Press Release, dated August 10, 2021</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3"/>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1032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Press Release, dated August 13, 2021</w:t>
              </w:r>
            </w:hyperlink>
          </w:p>
        </w:tc>
      </w:tr>
      <w:tr>
        <w:trPr>
          <w:trHeight w:val="675"/>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5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Purchase of Firm Units</w:t>
      </w:r>
      <w:r>
        <w:rPr>
          <w:rFonts w:ascii="Arial" w:cs="Arial" w:eastAsia="Arial" w:hAnsi="Arial"/>
          <w:sz w:val="16"/>
          <w:szCs w:val="16"/>
          <w:color w:val="auto"/>
        </w:rPr>
        <w:t>. On the basis of the representations and warranties herein contained, but subject to the terms and conditions set forth herein, the Company agrees to issue and sell, severally and not jointly, to the several Underwriters, an aggregate of 11,000,000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three-quarters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4"/>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Payment and Delivery</w:t>
      </w:r>
      <w:r>
        <w:rPr>
          <w:rFonts w:ascii="Arial" w:cs="Arial" w:eastAsia="Arial" w:hAnsi="Arial"/>
          <w:sz w:val="16"/>
          <w:szCs w:val="16"/>
          <w:color w:val="auto"/>
        </w:rPr>
        <w:t>. Delivery and payment for the Firm Units shall be made at 10:00 A.M., New York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 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Payment for the Firm Units shall be made on the Closing Date at the Representative’s election by wire transfer in Federal (same day) funds or by certified or bank cashier’s check(s) in New York Clearing House funds. $111,650,000 ($128,397,500 if the Over-allotment Option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is exercised in full), or $10.15 per Unit, of the proceeds received by the Company for the Firm Units and from the Private Placement (as defined in </w:t>
      </w:r>
      <w:r>
        <w:rPr>
          <w:rFonts w:ascii="Arial" w:cs="Arial" w:eastAsia="Arial" w:hAnsi="Arial"/>
          <w:sz w:val="16"/>
          <w:szCs w:val="16"/>
          <w:u w:val="single" w:color="auto"/>
          <w:color w:val="auto"/>
        </w:rPr>
        <w:t>Section 1.4</w:t>
      </w:r>
      <w:r>
        <w:rPr>
          <w:rFonts w:ascii="Arial" w:cs="Arial" w:eastAsia="Arial" w:hAnsi="Arial"/>
          <w:sz w:val="16"/>
          <w:szCs w:val="16"/>
          <w:color w:val="auto"/>
        </w:rPr>
        <w:t>)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tabs>
          <w:tab w:leader="none" w:pos="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1,650,000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1,650,000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$10.15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Private Placement</w:t>
      </w:r>
      <w:r>
        <w:rPr>
          <w:rFonts w:ascii="Arial" w:cs="Arial" w:eastAsia="Arial" w:hAnsi="Arial"/>
          <w:sz w:val="17"/>
          <w:szCs w:val="17"/>
          <w:color w:val="auto"/>
        </w:rPr>
        <w:t>. Simultaneously with the Closing, Chardan NexTech 2 Warrant Holdings LLC (“</w:t>
      </w:r>
      <w:r>
        <w:rPr>
          <w:rFonts w:ascii="Arial" w:cs="Arial" w:eastAsia="Arial" w:hAnsi="Arial"/>
          <w:sz w:val="17"/>
          <w:szCs w:val="17"/>
          <w:b w:val="1"/>
          <w:bCs w:val="1"/>
          <w:color w:val="auto"/>
        </w:rPr>
        <w:t>Holdings</w:t>
      </w:r>
      <w:r>
        <w:rPr>
          <w:rFonts w:ascii="Arial" w:cs="Arial" w:eastAsia="Arial" w:hAnsi="Arial"/>
          <w:sz w:val="17"/>
          <w:szCs w:val="17"/>
          <w:color w:val="auto"/>
        </w:rPr>
        <w:t xml:space="preserve">”) shall purchase from the Company, pursuant to the Subscription Agreement (as defined in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hereof) an aggregate of 4,361,456 warrants (or up to 4,627,858 warrants depending on the extent to which the underwriters’ over-allotment option is exercised)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approximately $0.93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Qualified Independent Underwriter</w:t>
      </w:r>
      <w:r>
        <w:rPr>
          <w:rFonts w:ascii="Arial" w:cs="Arial" w:eastAsia="Arial" w:hAnsi="Arial"/>
          <w:sz w:val="17"/>
          <w:szCs w:val="17"/>
          <w:color w:val="auto"/>
        </w:rPr>
        <w:t>. The Company hereby confirms its engagement of B. Riley Securities, Inc. (“</w:t>
      </w:r>
      <w:r>
        <w:rPr>
          <w:rFonts w:ascii="Arial" w:cs="Arial" w:eastAsia="Arial" w:hAnsi="Arial"/>
          <w:sz w:val="17"/>
          <w:szCs w:val="17"/>
          <w:b w:val="1"/>
          <w:bCs w:val="1"/>
          <w:color w:val="auto"/>
        </w:rPr>
        <w:t>B. Riley</w:t>
      </w:r>
      <w:r>
        <w:rPr>
          <w:rFonts w:ascii="Arial" w:cs="Arial" w:eastAsia="Arial" w:hAnsi="Arial"/>
          <w:sz w:val="17"/>
          <w:szCs w:val="17"/>
          <w:color w:val="auto"/>
        </w:rPr>
        <w:t>”) as, and B. Riley hereby confirms its agreement with the Company to render services as, the “qualified independent underwriter,” within the meaning of Rule 5121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with respect to the offering and sale of the Public Securities. B. Riley, solely in its capacity as the qualified independent underwriter and not otherwise, is referred to herein as the “</w:t>
      </w:r>
      <w:r>
        <w:rPr>
          <w:rFonts w:ascii="Arial" w:cs="Arial" w:eastAsia="Arial" w:hAnsi="Arial"/>
          <w:sz w:val="17"/>
          <w:szCs w:val="17"/>
          <w:b w:val="1"/>
          <w:bCs w:val="1"/>
          <w:color w:val="auto"/>
        </w:rPr>
        <w:t>QIU</w:t>
      </w:r>
      <w:r>
        <w:rPr>
          <w:rFonts w:ascii="Arial" w:cs="Arial" w:eastAsia="Arial" w:hAnsi="Arial"/>
          <w:sz w:val="17"/>
          <w:szCs w:val="17"/>
          <w:color w:val="auto"/>
        </w:rPr>
        <w:t>.” As compensation for services rendered, on the Closing Date, the Company shall pay to the QIU, by wire transfer of immediately available funds on the Closing Date, a fee of $100,000 from the total underwriting discount. B. Riley hereby consents to the reference to it as set forth under the heading “Underwriting (Conflicts of Interest)” in the Preliminary Prospectus and the Prospectus (as defined herein) and any amendment or supplement thereto.</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720" w:hanging="712"/>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5:30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Pursuant to the Exchange Act</w:t>
      </w:r>
      <w:r>
        <w:rPr>
          <w:rFonts w:ascii="Arial" w:cs="Arial" w:eastAsia="Arial" w:hAnsi="Arial"/>
          <w:sz w:val="18"/>
          <w:szCs w:val="18"/>
          <w:color w:val="auto"/>
        </w:rPr>
        <w:t>. The Company has filed with the Commission a Form 8-A (Registration No. 001-40730), 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color w:val="auto"/>
        </w:rPr>
        <w:t>2.18.5 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Holdings has executed and delivered an agreement, the form of which is attached as an exhibit to the Registration Statement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Holdings, among other things, will purchase an aggregate of 4,361,456 (or up to 4,627,858 depending on the extent to which the underwriters’ over-allotment option is exercised)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right="20"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xml:space="preserve">. The Company will use all reasonable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i w:val="1"/>
          <w:iCs w:val="1"/>
          <w:color w:val="auto"/>
        </w:rPr>
        <w:t>Administrative Services.</w:t>
      </w:r>
      <w:r>
        <w:rPr>
          <w:rFonts w:ascii="Arial" w:cs="Arial" w:eastAsia="Arial" w:hAnsi="Arial"/>
          <w:sz w:val="18"/>
          <w:szCs w:val="18"/>
          <w:color w:val="auto"/>
        </w:rPr>
        <w:t xml:space="preserve"> The Company has entered into an administrative services agreement (the “</w:t>
      </w:r>
      <w:r>
        <w:rPr>
          <w:rFonts w:ascii="Arial" w:cs="Arial" w:eastAsia="Arial" w:hAnsi="Arial"/>
          <w:sz w:val="18"/>
          <w:szCs w:val="18"/>
          <w:b w:val="1"/>
          <w:bCs w:val="1"/>
          <w:color w:val="auto"/>
        </w:rPr>
        <w:t>Services Agreement</w:t>
      </w:r>
      <w:r>
        <w:rPr>
          <w:rFonts w:ascii="Arial" w:cs="Arial" w:eastAsia="Arial" w:hAnsi="Arial"/>
          <w:sz w:val="18"/>
          <w:szCs w:val="18"/>
          <w:color w:val="auto"/>
        </w:rPr>
        <w:t>”) with Chardan NexTech Investments 2 LLC (the “</w:t>
      </w:r>
      <w:r>
        <w:rPr>
          <w:rFonts w:ascii="Arial" w:cs="Arial" w:eastAsia="Arial" w:hAnsi="Arial"/>
          <w:sz w:val="18"/>
          <w:szCs w:val="18"/>
          <w:b w:val="1"/>
          <w:bCs w:val="1"/>
          <w:color w:val="auto"/>
        </w:rPr>
        <w:t>Sponsor</w:t>
      </w:r>
      <w:r>
        <w:rPr>
          <w:rFonts w:ascii="Arial" w:cs="Arial" w:eastAsia="Arial" w:hAnsi="Arial"/>
          <w:sz w:val="18"/>
          <w:szCs w:val="18"/>
          <w:color w:val="auto"/>
        </w:rPr>
        <w:t>”) in the form filed as an exhibit to the Registration Statement pursuant to which the Sponsor has made and will continue to make available to the Company general and administrative services including office space and utilities for the Company’s use for $10,000 per month until the consummation of a Business Combination.</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Financial Public Relations Firm</w:t>
      </w:r>
      <w:r>
        <w:rPr>
          <w:rFonts w:ascii="Arial" w:cs="Arial" w:eastAsia="Arial" w:hAnsi="Arial"/>
          <w:sz w:val="16"/>
          <w:szCs w:val="16"/>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2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3.8.2 </w:t>
      </w:r>
      <w:r>
        <w:rPr>
          <w:rFonts w:ascii="Arial" w:cs="Arial" w:eastAsia="Arial" w:hAnsi="Arial"/>
          <w:sz w:val="16"/>
          <w:szCs w:val="16"/>
          <w:i w:val="1"/>
          <w:iCs w:val="1"/>
          <w:color w:val="auto"/>
        </w:rPr>
        <w:t>Transfer Sheets</w:t>
      </w:r>
      <w:r>
        <w:rPr>
          <w:rFonts w:ascii="Arial" w:cs="Arial" w:eastAsia="Arial" w:hAnsi="Arial"/>
          <w:sz w:val="16"/>
          <w:szCs w:val="16"/>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6"/>
          <w:szCs w:val="16"/>
          <w:b w:val="1"/>
          <w:bCs w:val="1"/>
          <w:color w:val="auto"/>
        </w:rPr>
        <w:t>Transfer Agent</w:t>
      </w:r>
      <w:r>
        <w:rPr>
          <w:rFonts w:ascii="Arial" w:cs="Arial" w:eastAsia="Arial" w:hAnsi="Arial"/>
          <w:sz w:val="16"/>
          <w:szCs w:val="16"/>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6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tabs>
          <w:tab w:leader="none" w:pos="13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w:t>
      </w:r>
    </w:p>
    <w:p>
      <w:pPr>
        <w:spacing w:after="0" w:line="23" w:lineRule="exact"/>
        <w:rPr>
          <w:sz w:val="20"/>
          <w:szCs w:val="20"/>
          <w:color w:val="auto"/>
        </w:rPr>
      </w:pPr>
    </w:p>
    <w:p>
      <w:pPr>
        <w:jc w:val="both"/>
        <w:ind w:firstLine="8"/>
        <w:spacing w:after="0" w:line="267" w:lineRule="auto"/>
        <w:tabs>
          <w:tab w:leader="none" w:pos="269"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61" w:lineRule="auto"/>
        <w:tabs>
          <w:tab w:leader="none" w:pos="58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Conditions of Underwriters’ Obligations</w:t>
      </w:r>
      <w:r>
        <w:rPr>
          <w:rFonts w:ascii="Arial" w:cs="Arial" w:eastAsia="Arial" w:hAnsi="Arial"/>
          <w:sz w:val="18"/>
          <w:szCs w:val="18"/>
          <w:color w:val="auto"/>
        </w:rPr>
        <w:t>. The obligations of the QIU and the several Underwriters to purchase and pay for the Units,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5"/>
          <w:szCs w:val="15"/>
          <w:color w:val="auto"/>
        </w:rPr>
        <w:t>Statements as to such other matters incident to the transaction contemplated hereby as the Representative may reasonably request.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tabs>
          <w:tab w:leader="none" w:pos="1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w:t>
      </w:r>
    </w:p>
    <w:p>
      <w:pPr>
        <w:spacing w:after="0" w:line="2" w:lineRule="exact"/>
        <w:rPr>
          <w:sz w:val="20"/>
          <w:szCs w:val="20"/>
          <w:color w:val="auto"/>
        </w:rPr>
      </w:pPr>
    </w:p>
    <w:p>
      <w:pPr>
        <w:jc w:val="both"/>
        <w:ind w:firstLine="8"/>
        <w:spacing w:after="0" w:line="287" w:lineRule="auto"/>
        <w:tabs>
          <w:tab w:leader="none" w:pos="2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i w:val="1"/>
          <w:iCs w:val="1"/>
          <w:color w:val="auto"/>
        </w:rPr>
        <w:t>Contribution Rights</w:t>
      </w:r>
      <w:r>
        <w:rPr>
          <w:rFonts w:ascii="Arial" w:cs="Arial" w:eastAsia="Arial" w:hAnsi="Arial"/>
          <w:sz w:val="16"/>
          <w:szCs w:val="16"/>
          <w:color w:val="auto"/>
        </w:rPr>
        <w:t xml:space="preserve">. In order to provide for just and equitable contribution under the Act in any case in which: (i) any person 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296"/>
        <w:spacing w:after="0" w:line="269"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i w:val="1"/>
          <w:iCs w:val="1"/>
          <w:color w:val="auto"/>
        </w:rPr>
        <w:t>Contribution Procedure</w:t>
      </w:r>
      <w:r>
        <w:rPr>
          <w:rFonts w:ascii="Arial" w:cs="Arial" w:eastAsia="Arial" w:hAnsi="Arial"/>
          <w:sz w:val="17"/>
          <w:szCs w:val="17"/>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$111,650,000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$111,650,000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12 months (or up to 18 months, as applicable)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8"/>
        <w:spacing w:after="0" w:line="292" w:lineRule="auto"/>
        <w:tabs>
          <w:tab w:leader="none" w:pos="683"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color w:val="auto"/>
        </w:rPr>
      </w:pPr>
    </w:p>
    <w:p>
      <w:pPr>
        <w:ind w:left="68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1" w:lineRule="exact"/>
        <w:rPr>
          <w:sz w:val="20"/>
          <w:szCs w:val="20"/>
          <w:color w:val="auto"/>
        </w:rPr>
      </w:pPr>
    </w:p>
    <w:p>
      <w:pPr>
        <w:jc w:val="both"/>
        <w:ind w:firstLine="8"/>
        <w:spacing w:after="0" w:line="290" w:lineRule="auto"/>
        <w:tabs>
          <w:tab w:leader="none" w:pos="3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jgrossman@cnaq.com</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Riley Securities, Inc.</w:t>
      </w:r>
    </w:p>
    <w:p>
      <w:pPr>
        <w:ind w:left="660"/>
        <w:spacing w:after="0" w:line="202" w:lineRule="auto"/>
        <w:rPr>
          <w:sz w:val="20"/>
          <w:szCs w:val="20"/>
          <w:color w:val="auto"/>
        </w:rPr>
      </w:pPr>
      <w:r>
        <w:rPr>
          <w:rFonts w:ascii="Arial" w:cs="Arial" w:eastAsia="Arial" w:hAnsi="Arial"/>
          <w:sz w:val="18"/>
          <w:szCs w:val="18"/>
          <w:color w:val="auto"/>
        </w:rPr>
        <w:t>299 Park Avenue,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10171</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Jonathan Mitchell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jmitchell@brileyfin.com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(310) 966-1448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Shai 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Shai Gerson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Patrice McNicoll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Co-Head of Investment Banking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3020" w:type="dxa"/>
            <w:vAlign w:val="bottom"/>
          </w:tcPr>
          <w:p>
            <w:pPr>
              <w:spacing w:after="0"/>
              <w:rPr>
                <w:sz w:val="24"/>
                <w:szCs w:val="24"/>
                <w:color w:val="auto"/>
              </w:rPr>
            </w:pPr>
          </w:p>
        </w:tc>
        <w:tc>
          <w:tcPr>
            <w:tcW w:w="8220" w:type="dxa"/>
            <w:vAlign w:val="bottom"/>
            <w:gridSpan w:val="4"/>
          </w:tcPr>
          <w:p>
            <w:pPr>
              <w:jc w:val="center"/>
              <w:ind w:right="3000"/>
              <w:spacing w:after="0"/>
              <w:rPr>
                <w:sz w:val="20"/>
                <w:szCs w:val="20"/>
                <w:color w:val="auto"/>
              </w:rPr>
            </w:pPr>
            <w:r>
              <w:rPr>
                <w:rFonts w:ascii="Arial" w:cs="Arial" w:eastAsia="Arial" w:hAnsi="Arial"/>
                <w:sz w:val="18"/>
                <w:szCs w:val="18"/>
                <w:color w:val="auto"/>
                <w:w w:val="96"/>
              </w:rPr>
              <w:t>CHARDAN NEXTECH ACQUISITION 2 CORP.</w:t>
            </w:r>
          </w:p>
        </w:tc>
      </w:tr>
      <w:tr>
        <w:trPr>
          <w:trHeight w:val="418"/>
        </w:trPr>
        <w:tc>
          <w:tcPr>
            <w:tcW w:w="3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Number of Firm</w:t>
            </w:r>
          </w:p>
        </w:tc>
      </w:tr>
      <w:tr>
        <w:trPr>
          <w:trHeight w:val="216"/>
        </w:trPr>
        <w:tc>
          <w:tcPr>
            <w:tcW w:w="30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Units to be</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Underwriter</w:t>
            </w:r>
          </w:p>
        </w:tc>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6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 Riley Securities, Inc.</w:t>
            </w:r>
          </w:p>
        </w:tc>
        <w:tc>
          <w:tcPr>
            <w:tcW w:w="8220" w:type="dxa"/>
            <w:vAlign w:val="bottom"/>
            <w:gridSpan w:val="4"/>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11,000,000</w:t>
            </w:r>
          </w:p>
        </w:tc>
      </w:tr>
      <w:tr>
        <w:trPr>
          <w:trHeight w:val="648"/>
        </w:trPr>
        <w:tc>
          <w:tcPr>
            <w:tcW w:w="30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4"/>
          </w:tcPr>
          <w:p>
            <w:pPr>
              <w:jc w:val="center"/>
              <w:ind w:right="3000"/>
              <w:spacing w:after="0"/>
              <w:rPr>
                <w:sz w:val="20"/>
                <w:szCs w:val="20"/>
                <w:color w:val="auto"/>
              </w:rPr>
            </w:pPr>
            <w:r>
              <w:rPr>
                <w:rFonts w:ascii="Arial" w:cs="Arial" w:eastAsia="Arial" w:hAnsi="Arial"/>
                <w:sz w:val="18"/>
                <w:szCs w:val="18"/>
                <w:color w:val="auto"/>
                <w:w w:val="90"/>
              </w:rPr>
              <w:t>Schedule A-1</w:t>
            </w:r>
          </w:p>
        </w:tc>
      </w:tr>
    </w:tbl>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Final Prospectus of Chardan NexTech Acquisition 2 Corp. (the “Company”), dated August 10, 2021 (the “Prospectus”).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otherwise defined herein shall have the meanings assigned to them in the Prospectus.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$111,650,000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Final Prospectus of Chardan NexTech Acquisition 2 Corp. (the “Company”), dated August 10, 2021 (the “Prospectus”).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otherwise defined herein shall have the meanings assigned to them in the Prospectus.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$111,650,000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0240"/>
        <w:spacing w:after="0"/>
        <w:rPr>
          <w:sz w:val="20"/>
          <w:szCs w:val="20"/>
          <w:color w:val="auto"/>
        </w:rPr>
      </w:pPr>
      <w:r>
        <w:rPr>
          <w:rFonts w:ascii="Arial" w:cs="Arial" w:eastAsia="Arial" w:hAnsi="Arial"/>
          <w:sz w:val="19"/>
          <w:szCs w:val="19"/>
          <w:b w:val="1"/>
          <w:bCs w:val="1"/>
          <w:color w:val="auto"/>
        </w:rPr>
        <w:t>Exhibit 1.2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Capital Markets,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 State Street, Suite 2100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This is to confirm our agreement whereby Chardan NexTech Acquisition 2 Corp.,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 has requested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to assist it in connection with the Company engaging in a merger, capital stock exchange, asset acquisition, stock purchase, reorganization or similar business combination (in each case, a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one or more businesses (each a “</w:t>
      </w:r>
      <w:r>
        <w:rPr>
          <w:rFonts w:ascii="Arial" w:cs="Arial" w:eastAsia="Arial" w:hAnsi="Arial"/>
          <w:sz w:val="17"/>
          <w:szCs w:val="17"/>
          <w:b w:val="1"/>
          <w:bCs w:val="1"/>
          <w:color w:val="auto"/>
        </w:rPr>
        <w:t>Target</w:t>
      </w:r>
      <w:r>
        <w:rPr>
          <w:rFonts w:ascii="Arial" w:cs="Arial" w:eastAsia="Arial" w:hAnsi="Arial"/>
          <w:sz w:val="17"/>
          <w:szCs w:val="17"/>
          <w:color w:val="auto"/>
        </w:rPr>
        <w:t>”) as described in the Company’s Registration Statement on Form S-1 (File No. 333-254010), as amended, filed with the U.S. Securities and Exchange Commission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 connection with the Company’s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w:t>
      </w:r>
    </w:p>
    <w:p>
      <w:pPr>
        <w:spacing w:after="0" w:line="17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Services and Fees</w:t>
      </w:r>
      <w:r>
        <w:rPr>
          <w:rFonts w:ascii="Arial" w:cs="Arial" w:eastAsia="Arial" w:hAnsi="Arial"/>
          <w:sz w:val="18"/>
          <w:szCs w:val="18"/>
          <w:color w:val="auto"/>
        </w:rPr>
        <w:t>. (a) The Advisor will, from time to time, upon the Company’s request and in consultation with the Company:</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Assist the Company in arranging meetings with its stockholders to discuss one or more potential Business Combinations, including making calls to stockholders and providing business updates and marketing feedback, in all cases to the extent legally permissible;</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Introduce the Company to potential investors to purchase the Company’s publicly-traded securities in after-market transactions following the public announcement of the Business Combination;</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Provide financial advisory services to assist the Company in its efforts to obtain any stockholder approval for one or more Business Combinations, until such time as the Company has completed an initial Business Combination;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Assist the Company with any press releases and/or filings related to any Business Combination or related Targets (the activities described in the foregoing clauses (i)-(iv),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anything to the contrary contained herein, the Services will not include (x) any solicitation of potential investors in connection with the IPO or any Business Combination, (y) any solicitation of proxies in connection with the Business Combination, or (z) any provision of M&amp;A-related advisory services. In the event that the Company requests that the Advisor provide any placement agent and/or M&amp;A-related advisory services, such engagement will be set forth in one or more separate agreements between the Company and the Advisor.</w:t>
      </w:r>
    </w:p>
    <w:p>
      <w:pPr>
        <w:spacing w:after="0" w:line="171" w:lineRule="exact"/>
        <w:rPr>
          <w:sz w:val="20"/>
          <w:szCs w:val="20"/>
          <w:color w:val="auto"/>
        </w:rPr>
      </w:pPr>
    </w:p>
    <w:p>
      <w:pPr>
        <w:jc w:val="both"/>
        <w:ind w:firstLine="656"/>
        <w:spacing w:after="0" w:line="272" w:lineRule="auto"/>
        <w:tabs>
          <w:tab w:leader="none" w:pos="11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compensation for the Services, the Company will pay the Advisor a cash fee equal to, in the aggregate, 3.5% of the gross proceeds received by the Company from the sale of its equity securities pursuant to the Registration Statement in connection with the IPO, including any proceeds from the full or partial exercise of the underwriters’ over-allotment option described therein (the “</w:t>
      </w:r>
      <w:r>
        <w:rPr>
          <w:rFonts w:ascii="Arial" w:cs="Arial" w:eastAsia="Arial" w:hAnsi="Arial"/>
          <w:sz w:val="17"/>
          <w:szCs w:val="17"/>
          <w:b w:val="1"/>
          <w:bCs w:val="1"/>
          <w:color w:val="auto"/>
        </w:rPr>
        <w:t>Fee</w:t>
      </w:r>
      <w:r>
        <w:rPr>
          <w:rFonts w:ascii="Arial" w:cs="Arial" w:eastAsia="Arial" w:hAnsi="Arial"/>
          <w:sz w:val="17"/>
          <w:szCs w:val="17"/>
          <w:color w:val="auto"/>
        </w:rPr>
        <w:t>”). The Fee is due and payable to the Advisor by wire transfer at the closing of the initial Business Combination (“</w:t>
      </w:r>
      <w:r>
        <w:rPr>
          <w:rFonts w:ascii="Arial" w:cs="Arial" w:eastAsia="Arial" w:hAnsi="Arial"/>
          <w:sz w:val="17"/>
          <w:szCs w:val="17"/>
          <w:b w:val="1"/>
          <w:bCs w:val="1"/>
          <w:color w:val="auto"/>
        </w:rPr>
        <w:t>Closing</w:t>
      </w:r>
      <w:r>
        <w:rPr>
          <w:rFonts w:ascii="Arial" w:cs="Arial" w:eastAsia="Arial" w:hAnsi="Arial"/>
          <w:sz w:val="17"/>
          <w:szCs w:val="17"/>
          <w:color w:val="auto"/>
        </w:rPr>
        <w:t>”). If a proposed Business Combination is not consummated for any reason during the 24-month period (as such period may be extended pursuant to the Company’s amended and restated certificate of incorporation) from the closing of the IPO, no Fee shall be due or payable to the Advisor hereunder. The Fee shall be exclusive of any other fees which may become payable to the Advisor pursuant to any other agreement among the Advisor and the Company or any Target.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firstLine="656"/>
        <w:spacing w:after="0" w:line="311" w:lineRule="auto"/>
        <w:tabs>
          <w:tab w:leader="none" w:pos="107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At the Closing, the Company shall reimburse the Advisor for all reasonable and documented costs and out-of-pocket expenses incurred by the Advisor (including reasonable and documented fees and disbursements of outside counsel) in connection with the performance of the Services hereunder; provided, however, that such expenses shall not exceed $25,000 in the aggregate without the prior written consent of the Company.</w:t>
      </w:r>
    </w:p>
    <w:p>
      <w:pPr>
        <w:spacing w:after="0" w:line="148" w:lineRule="exact"/>
        <w:rPr>
          <w:rFonts w:ascii="Arial" w:cs="Arial" w:eastAsia="Arial" w:hAnsi="Arial"/>
          <w:sz w:val="16"/>
          <w:szCs w:val="16"/>
          <w:color w:val="auto"/>
        </w:rPr>
      </w:pPr>
    </w:p>
    <w:p>
      <w:pPr>
        <w:jc w:val="both"/>
        <w:ind w:firstLine="656"/>
        <w:spacing w:after="0" w:line="272" w:lineRule="auto"/>
        <w:tabs>
          <w:tab w:leader="none" w:pos="107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Company Cooperation; Information</w:t>
      </w:r>
      <w:r>
        <w:rPr>
          <w:rFonts w:ascii="Arial" w:cs="Arial" w:eastAsia="Arial" w:hAnsi="Arial"/>
          <w:sz w:val="17"/>
          <w:szCs w:val="17"/>
          <w:color w:val="auto"/>
        </w:rPr>
        <w:t>. The Company will provide full cooperation to the Advisor as may be necessary for the efficient performance by the Advisor of its obligations hereunder, including providing to the Advisor and its counsel, on a timely basis, all documents and information regarding the Company and any Target that the Advisor may reasonably request or that are otherwise relevant to the Advisor’s performance of its obligations hereunder (collectively, the “</w:t>
      </w:r>
      <w:r>
        <w:rPr>
          <w:rFonts w:ascii="Arial" w:cs="Arial" w:eastAsia="Arial" w:hAnsi="Arial"/>
          <w:sz w:val="17"/>
          <w:szCs w:val="17"/>
          <w:b w:val="1"/>
          <w:bCs w:val="1"/>
          <w:color w:val="auto"/>
        </w:rPr>
        <w:t>Information</w:t>
      </w:r>
      <w:r>
        <w:rPr>
          <w:rFonts w:ascii="Arial" w:cs="Arial" w:eastAsia="Arial" w:hAnsi="Arial"/>
          <w:sz w:val="17"/>
          <w:szCs w:val="17"/>
          <w:color w:val="auto"/>
        </w:rPr>
        <w:t>”); making the Company’s management, auditors, consultants and advisors available to the Advisor; and using commercially reasonable efforts to provide the Advisor with reasonable access to the management, auditors, suppliers, customers, consultants and advisors of any Target. The Company will promptly notify the Advisor of any change in facts or circumstances or new developments affecting the Company or any Target or that might reasonably be considered material to the Advisor’s engagement hereunder.</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7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The Company represents, warrants and covenants to the Advisor that all Information it makes available to the Advisor by or on behalf of the Company in connection with the performance of its obligations hereunder will not contain any untrue statement of a material fact or omit to state a material fact necessary in order to make statements made, in light of the circumstances under which they were made, not misleading as of the date thereof and as of the consummation of the Business Combination.</w:t>
      </w:r>
    </w:p>
    <w:p>
      <w:pPr>
        <w:spacing w:after="0" w:line="171" w:lineRule="exact"/>
        <w:rPr>
          <w:rFonts w:ascii="Arial" w:cs="Arial" w:eastAsia="Arial" w:hAnsi="Arial"/>
          <w:sz w:val="17"/>
          <w:szCs w:val="17"/>
          <w:color w:val="auto"/>
        </w:rPr>
      </w:pPr>
    </w:p>
    <w:p>
      <w:pPr>
        <w:ind w:right="20" w:firstLine="656"/>
        <w:spacing w:after="0" w:line="342" w:lineRule="auto"/>
        <w:tabs>
          <w:tab w:leader="none" w:pos="107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the Advisor and its affiliates and their respective directors, officers, employees, shareholders, representatives and agents in accordance with the indemnification provisions set forth in Annex I hereto, all of which are incorporated herein by reference.</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Notwithstanding the foregoing and Annex I, the Advisor agrees, if there is no Closing, (i) that it does not have any right, title, interest or claim of any kind in or to any monies in the Company’s trust account (“</w:t>
      </w:r>
      <w:r>
        <w:rPr>
          <w:rFonts w:ascii="Arial" w:cs="Arial" w:eastAsia="Arial" w:hAnsi="Arial"/>
          <w:sz w:val="16"/>
          <w:szCs w:val="16"/>
          <w:b w:val="1"/>
          <w:bCs w:val="1"/>
          <w:color w:val="auto"/>
        </w:rPr>
        <w:t>Trust Account</w:t>
      </w:r>
      <w:r>
        <w:rPr>
          <w:rFonts w:ascii="Arial" w:cs="Arial" w:eastAsia="Arial" w:hAnsi="Arial"/>
          <w:sz w:val="16"/>
          <w:szCs w:val="16"/>
          <w:color w:val="auto"/>
        </w:rPr>
        <w:t>”) established in connection with the IPO with respect to the Fee or any expenses provided for hereunder (each, a “</w:t>
      </w:r>
      <w:r>
        <w:rPr>
          <w:rFonts w:ascii="Arial" w:cs="Arial" w:eastAsia="Arial" w:hAnsi="Arial"/>
          <w:sz w:val="16"/>
          <w:szCs w:val="16"/>
          <w:b w:val="1"/>
          <w:bCs w:val="1"/>
          <w:color w:val="auto"/>
        </w:rPr>
        <w:t>Claim</w:t>
      </w:r>
      <w:r>
        <w:rPr>
          <w:rFonts w:ascii="Arial" w:cs="Arial" w:eastAsia="Arial" w:hAnsi="Arial"/>
          <w:sz w:val="16"/>
          <w:szCs w:val="16"/>
          <w:color w:val="auto"/>
        </w:rPr>
        <w:t>”); (ii) to waive any Claim it may have in the future as a result of, or arising out of, any Services provided to the Company hereunder; and (iii) to not seek recourse against the Trust Account with respect to the Fee or any expenses provided for hereunder.</w:t>
      </w:r>
    </w:p>
    <w:p>
      <w:pPr>
        <w:spacing w:after="0" w:line="157" w:lineRule="exact"/>
        <w:rPr>
          <w:sz w:val="20"/>
          <w:szCs w:val="20"/>
          <w:color w:val="auto"/>
        </w:rPr>
      </w:pPr>
    </w:p>
    <w:p>
      <w:pPr>
        <w:jc w:val="both"/>
        <w:ind w:firstLine="656"/>
        <w:spacing w:after="0" w:line="259" w:lineRule="auto"/>
        <w:tabs>
          <w:tab w:leader="none" w:pos="107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Use of Name and Reports</w:t>
      </w:r>
      <w:r>
        <w:rPr>
          <w:rFonts w:ascii="Arial" w:cs="Arial" w:eastAsia="Arial" w:hAnsi="Arial"/>
          <w:sz w:val="18"/>
          <w:szCs w:val="18"/>
          <w:color w:val="auto"/>
        </w:rPr>
        <w:t>. Without the Advisor’s prior written consent (which may be provided via email), neither the Company nor any of its affiliates (nor any director, officer, manager, partner, member, employee or agent thereof) shall quote or refer to in any public communication (i) the Advisor’s name or (ii) any advice rendered by the Advisor to the Company or any communication from the Advisor, in connection with performance of the Services, except as required by applicable federal or state law, regulation or securities exchange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56"/>
        <w:spacing w:after="0" w:line="273" w:lineRule="auto"/>
        <w:tabs>
          <w:tab w:leader="none" w:pos="10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Status as Independent Contractor</w:t>
      </w:r>
      <w:r>
        <w:rPr>
          <w:rFonts w:ascii="Arial" w:cs="Arial" w:eastAsia="Arial" w:hAnsi="Arial"/>
          <w:sz w:val="17"/>
          <w:szCs w:val="17"/>
          <w:color w:val="auto"/>
        </w:rPr>
        <w:t>. The Advisor shall perform the Services as an independent contractor and not as an employee of the Company or affiliate thereof. It is expressly understood and agreed to by the parties that the Advisor shall have no authority to act for, represent or bind the Company or any affiliate thereof in any manner, except as may be expressly agreed to by the Company in writing. In rendering such services, the Advisor will be acting solely pursuant to a contractual relationship on an arm’s-length basis. This Agreement is not intended to create a fiduciary relationship between the parties and neither the Advisor nor any of the Advisor’s officers, directors or personnel will owe any fiduciary duty to the Company or any other person in connection with any of the matters contemplated by this Agreement.</w:t>
      </w:r>
    </w:p>
    <w:p>
      <w:pPr>
        <w:spacing w:after="0" w:line="177" w:lineRule="exact"/>
        <w:rPr>
          <w:rFonts w:ascii="Arial" w:cs="Arial" w:eastAsia="Arial" w:hAnsi="Arial"/>
          <w:sz w:val="17"/>
          <w:szCs w:val="17"/>
          <w:color w:val="auto"/>
        </w:rPr>
      </w:pPr>
    </w:p>
    <w:p>
      <w:pPr>
        <w:jc w:val="both"/>
        <w:ind w:firstLine="656"/>
        <w:spacing w:after="0" w:line="271" w:lineRule="auto"/>
        <w:tabs>
          <w:tab w:leader="none" w:pos="10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Potential Conflicts</w:t>
      </w:r>
      <w:r>
        <w:rPr>
          <w:rFonts w:ascii="Arial" w:cs="Arial" w:eastAsia="Arial" w:hAnsi="Arial"/>
          <w:sz w:val="17"/>
          <w:szCs w:val="17"/>
          <w:color w:val="auto"/>
        </w:rPr>
        <w:t>. The Company acknowledges that the Advisor is a full-service securities firm engaged in securities trading and brokerage activities and providing investment banking and advisory services from which conflicting interests may arise. In the ordinary course of business, the Advisor and its affiliates may at any time hold long or short positions, and may trade or otherwise effect transactions, for its own account and the accounts of customers, in debt or equity securities of the Company, its affiliates or other entities that may be involved in the transactions contemplated hereby, and may provide advisory and other services to one or more actual or potential Targets, investors or other parties to any Business Combination or other transaction entered into by the Company, for which services the Advisor or one or more of its affiliates may be paid fees, including fees conditioned upon the closing of a particular Business Combination or other transaction or transactions. Nothing in this Agreement shall be construed to limit or restrict the Advisor or any of its affiliates in conducting any such business.</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07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among the parties with respect to the subject matter hereof and supersedes all prior agreements and understandings, oral or written, with respect thereto. This Agreement may not be modified or terminated orally or in any manner other than by an agreement in writing signed by the parties hereto.</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to be given hereunder shall be in writing and shall be deemed given when sent via email to each party at its respective address set forth below its signature and received by such party’s online access provider or mailed by certified mail or private courier service, return receipt requested, addressed to each party at its respective addresses set forth above, or such other address as may be given by a party in a notice given pursuant to this section.</w:t>
      </w:r>
    </w:p>
    <w:p>
      <w:pPr>
        <w:spacing w:after="0" w:line="186" w:lineRule="exact"/>
        <w:rPr>
          <w:rFonts w:ascii="Arial" w:cs="Arial" w:eastAsia="Arial" w:hAnsi="Arial"/>
          <w:sz w:val="18"/>
          <w:szCs w:val="18"/>
          <w:color w:val="auto"/>
        </w:rPr>
      </w:pPr>
    </w:p>
    <w:p>
      <w:pPr>
        <w:jc w:val="both"/>
        <w:ind w:right="20" w:firstLine="656"/>
        <w:spacing w:after="0" w:line="342" w:lineRule="auto"/>
        <w:tabs>
          <w:tab w:leader="none" w:pos="111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may not be assigned by any party without the written consent of the other parties hereto. This Agreement shall be binding upon and shall inure to the benefit of the parties hereto and, except where prohibited, to their successors and permitted assigns.</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Nothing herein shall be deemed to restrict or prohibit the engagement by the Company of other consultants providing the same or similar services or the payment by the Company of fees to such parties. The Company’s engagement of any other consultant(s) shall not affect the Advisor’s right to receive the Fee and reimbursement of expenses pursuant to this Agreement.</w:t>
      </w:r>
    </w:p>
    <w:p>
      <w:pPr>
        <w:spacing w:after="0" w:line="183"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Applicable Law; Venue</w:t>
      </w:r>
      <w:r>
        <w:rPr>
          <w:rFonts w:ascii="Arial" w:cs="Arial" w:eastAsia="Arial" w:hAnsi="Arial"/>
          <w:sz w:val="16"/>
          <w:szCs w:val="16"/>
          <w:color w:val="auto"/>
        </w:rPr>
        <w:t>. This Agreement shall be construed and enforced in accordance with the internal laws of the State of New York.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53" w:lineRule="auto"/>
        <w:rPr>
          <w:sz w:val="20"/>
          <w:szCs w:val="20"/>
          <w:color w:val="auto"/>
        </w:rPr>
      </w:pPr>
      <w:r>
        <w:rPr>
          <w:rFonts w:ascii="Arial" w:cs="Arial" w:eastAsia="Arial" w:hAnsi="Arial"/>
          <w:sz w:val="18"/>
          <w:szCs w:val="18"/>
          <w:b w:val="1"/>
          <w:bCs w:val="1"/>
          <w:color w:val="auto"/>
        </w:rPr>
        <w:t>IN THE EVENT OF ANY DISPUTE UNDER THIS AGREEMENT, EACH PARTY HERETO AGREES THAT THE DISPUTE SHALL BE BROUGHT AND ENFORCED IN THE COURTS OF THE STATE OF NEW YORK, COUNTY OF NEW YORK UNDER THE ACCELERATED ADJUDICATION PROCEDURES OF THE COMMERCIAL DIVISION. EACH PARTY IRREVOCABLY SUBMITS TO SUCH JURISDICTION, WHICH JURISDICTION SHALL BE EXCLUSIVE. EACH PARTY HEREBY WAIVES ANY OBJECTION TO SUCH EXCLUSIVE JURISDICTION AND THAT SUCH COURTS REPRESENT AN INCONVENIENT FORUM. ANY PROCESS OR SUMMONS TO BE SERVED IN SUCH A DISPUTE UPON A PARTY MAY BE SERVED BY TRANSMITTING A COPY THEREOF BY REGISTERED OR CERTIFIED MAIL, POSTAGE PREPAID, ADDRESSED TO SUCH PARTY AT THE ADDRESS FOR SUCH PARTY SET FORTH AT THE BEGINNING OF THIS AGREEMENT. SUCH MAILING SHALL BE DEEMED PERSONAL SERVICE AND SHALL BE LEGAL AND BINDING UPON THE PARTY BEING SERVED. THE PARTIES AGREE THAT THE PREVAILING PARTY(IES) IN ANY SUCH ACTION SHALL BE ENTITLED TO RECOVER FROM THE OTHER PARTY(IES) ALL OF SUCH PREVAILING PARTY’S(IES’) REASONABLE ATTORNEYS’ FEES AND EXPENSES RELATING TO SUCH ACTION OR PROCEEDING AND/OR INCURRED IN CONNECTION WITH THE PREPARATION THEREFOR.</w:t>
      </w:r>
    </w:p>
    <w:p>
      <w:pPr>
        <w:spacing w:after="0" w:line="194" w:lineRule="exact"/>
        <w:rPr>
          <w:sz w:val="20"/>
          <w:szCs w:val="20"/>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term “including” shall mean “including, but not limited to”.</w:t>
      </w:r>
    </w:p>
    <w:p>
      <w:pPr>
        <w:spacing w:after="0" w:line="225" w:lineRule="exact"/>
        <w:rPr>
          <w:rFonts w:ascii="Arial" w:cs="Arial" w:eastAsia="Arial" w:hAnsi="Arial"/>
          <w:sz w:val="18"/>
          <w:szCs w:val="18"/>
          <w:color w:val="auto"/>
        </w:rPr>
      </w:pPr>
    </w:p>
    <w:p>
      <w:pPr>
        <w:ind w:right="80" w:firstLine="656"/>
        <w:spacing w:after="0" w:line="277"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original or facsimile counterparts, each one of which shall constitute an original, and all of which together shall constitute but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648"/>
        <w:spacing w:after="0" w:line="342" w:lineRule="auto"/>
        <w:rPr>
          <w:sz w:val="20"/>
          <w:szCs w:val="20"/>
          <w:color w:val="auto"/>
        </w:rPr>
      </w:pPr>
      <w:r>
        <w:rPr>
          <w:rFonts w:ascii="Arial" w:cs="Arial" w:eastAsia="Arial" w:hAnsi="Arial"/>
          <w:sz w:val="16"/>
          <w:szCs w:val="16"/>
          <w:color w:val="auto"/>
        </w:rPr>
        <w:t>If the foregoing correctly sets forth the understanding among the Advisor and the Company with respect to the foregoing, please indicate your agreement by signing in the place provided below, and this letter shall become a binding contract as of the date first set forth above.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CHARDAN CAPITAL MARKETS, LLC</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Shai 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Shai Gerson</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Name:Jonas Grossman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Title:Managing Member</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Marketing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8" w:right="6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the Company’s engagement of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pursuant to that certain letter agreement (“</w:t>
      </w:r>
      <w:r>
        <w:rPr>
          <w:rFonts w:ascii="Arial" w:cs="Arial" w:eastAsia="Arial" w:hAnsi="Arial"/>
          <w:sz w:val="17"/>
          <w:szCs w:val="17"/>
          <w:b w:val="1"/>
          <w:bCs w:val="1"/>
          <w:color w:val="auto"/>
        </w:rPr>
        <w:t>Agreement</w:t>
      </w:r>
      <w:r>
        <w:rPr>
          <w:rFonts w:ascii="Arial" w:cs="Arial" w:eastAsia="Arial" w:hAnsi="Arial"/>
          <w:sz w:val="17"/>
          <w:szCs w:val="17"/>
          <w:color w:val="auto"/>
        </w:rPr>
        <w:t>”) of which this Annex forms a part, 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hereby agrees, subject to the second paragraph of Section 5 of the Agreement, to indemnify and hold harmless the Advisor and each of its affiliates and the respective directors, officers, employees, shareholders, representatives and agents of any of the foregoing (collectively, the “</w:t>
      </w:r>
      <w:r>
        <w:rPr>
          <w:rFonts w:ascii="Arial" w:cs="Arial" w:eastAsia="Arial" w:hAnsi="Arial"/>
          <w:sz w:val="17"/>
          <w:szCs w:val="17"/>
          <w:b w:val="1"/>
          <w:bCs w:val="1"/>
          <w:color w:val="auto"/>
        </w:rPr>
        <w:t>Indemnified Persons</w:t>
      </w:r>
      <w:r>
        <w:rPr>
          <w:rFonts w:ascii="Arial" w:cs="Arial" w:eastAsia="Arial" w:hAnsi="Arial"/>
          <w:sz w:val="17"/>
          <w:szCs w:val="17"/>
          <w:color w:val="auto"/>
        </w:rPr>
        <w:t>”), from and against any and all claims, actions, suits, proceedings (including those of stockholders), damages, liabilities and expenses incurred by any of them (including the reasonable fees and expenses of counsel), as incurred (collectively a “</w:t>
      </w:r>
      <w:r>
        <w:rPr>
          <w:rFonts w:ascii="Arial" w:cs="Arial" w:eastAsia="Arial" w:hAnsi="Arial"/>
          <w:sz w:val="17"/>
          <w:szCs w:val="17"/>
          <w:b w:val="1"/>
          <w:bCs w:val="1"/>
          <w:color w:val="auto"/>
        </w:rPr>
        <w:t>Claim</w:t>
      </w:r>
      <w:r>
        <w:rPr>
          <w:rFonts w:ascii="Arial" w:cs="Arial" w:eastAsia="Arial" w:hAnsi="Arial"/>
          <w:sz w:val="17"/>
          <w:szCs w:val="17"/>
          <w:color w:val="auto"/>
        </w:rPr>
        <w:t>”), that (A) are related to or arise out of (i) any actions taken or omitted to be taken (including any untrue statements made or any statements omitted to be made) by the Company, or (ii) any actions taken or omitted to be taken by any Indemnified Person, in connection with the Company’s engagement of the Advisor, or (B) otherwise relate to or arise out of the Advisor’s activities on the Company’s behalf under the Advisor’s engagement, and the Company shall reimburse any Indemnified Person for all expenses (including the reasonable fees and expenses of counsel) as incurred by such Indemnified Person in connection with investigating, preparing and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bad faith, gross negligence or willful misconduct of any Indemnified Person. The Company further agrees that no Indemnified Person shall have any liability to the Company for or in connection with the Company’s engagement of the Advisor except for any Claim incurred by the Company as a result of such Indemnified Person’s bad faith, gross negligence or willful misconduct.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further agrees that it will not, without the prior written consent of the Advisor,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an actual or potential conflict of interest or if the defendant in, or target of, any such Claim includes an Indemnified Person and the Company, and legal counsel to such Indemnified Person reasonably concludes that there may be actual or potential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for the reasonable fees and expenses of its counsel and all amounts paid as a result of such Claim or the compromise or settlement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88" w:lineRule="auto"/>
        <w:rPr>
          <w:sz w:val="20"/>
          <w:szCs w:val="20"/>
          <w:color w:val="auto"/>
        </w:rPr>
      </w:pPr>
      <w:r>
        <w:rPr>
          <w:rFonts w:ascii="Arial" w:cs="Arial" w:eastAsia="Arial" w:hAnsi="Arial"/>
          <w:sz w:val="16"/>
          <w:szCs w:val="16"/>
          <w:color w:val="auto"/>
        </w:rPr>
        <w:t>In addition, with respect to any Claim in which the Company assumes the defense, the Indemnified Person shall have the right to participate in such Claim and to retain his, her or its own counsel therefor at his, her or its own expense. The Company agrees that if any indemnity sought by an Indemnified Person hereunder is held by a court to be unavailable for any reason, then (whether or not the Advisor is an Indemnified Person) the Company and the Advisor shall contribute to the Claim for which such indemnity is held unavailable in such proportion as is appropriate to reflect the relative benefits to the Company, on the one hand, and the Advisor, on the other, in connection with the Advisor’ engagement referred to above, subject to the limitation that in no event shall the amount of any the Advisor’s contribution to such Claim exceed the amount of Fee actually received by the Advisor from the Company pursuant to such engagement. The Company hereby agrees that the relative benefits to the Company, on the one hand, and the Advisor, on the other, with respect to the Advisor’s engagement shall be deemed to be in the same proportion as (a) the total value paid or proposed to be paid or received by the Company or its stockholders, as the case may be, pursuant to the transaction (whether or not consummated) for which the Advisor are engaged to render services bears to (b) the Fee paid or proposed to be paid to the Advisor in connection with such engagement.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Chardan NexTech Acquisition 2 Corp.,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the Corporation is “Chardan NexTech Acquisition 2 Corp.”.</w:t>
      </w:r>
    </w:p>
    <w:p>
      <w:pPr>
        <w:spacing w:after="0" w:line="225"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June 23, 2020, and a Certificate of Amendment changing the name of the Corporation from Chardan Global Acquisition 3 Corp., was filed in the office of the Secretary of the State of Delaware on February 22, 2021.</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right="1920" w:hanging="652"/>
        <w:spacing w:after="0" w:line="56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text of the Certificate of Incorporation of the Corporation is hereby amended and restated to read in full as follows: FIRST: The name of the corporation is “Chardan NexTech Acquisition 2 Corp.” (hereinafter called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ind w:left="660" w:right="20"/>
        <w:spacing w:after="0" w:line="308" w:lineRule="auto"/>
        <w:rPr>
          <w:rFonts w:ascii="Arial" w:cs="Arial" w:eastAsia="Arial" w:hAnsi="Arial"/>
          <w:sz w:val="16"/>
          <w:szCs w:val="16"/>
          <w:color w:val="auto"/>
        </w:rPr>
      </w:pPr>
      <w:r>
        <w:rPr>
          <w:rFonts w:ascii="Arial" w:cs="Arial" w:eastAsia="Arial" w:hAnsi="Arial"/>
          <w:sz w:val="17"/>
          <w:szCs w:val="17"/>
          <w:color w:val="auto"/>
        </w:rPr>
        <w:t>SECOND: The registered office of the Corporation is to be located 3411 Silverside Road, Tatnall Building, #104, in the City of Wilmington, in the County of New Castle, Delaware 19901. The name of its registered agent at that address is Corporate Creations Network Inc.</w:t>
      </w:r>
    </w:p>
    <w:p>
      <w:pPr>
        <w:spacing w:after="0" w:line="146"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7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FOURTH:</w:t>
      </w:r>
    </w:p>
    <w:p>
      <w:pPr>
        <w:spacing w:after="0" w:line="225" w:lineRule="exact"/>
        <w:rPr>
          <w:rFonts w:ascii="Arial" w:cs="Arial" w:eastAsia="Arial" w:hAnsi="Arial"/>
          <w:sz w:val="16"/>
          <w:szCs w:val="16"/>
          <w:color w:val="auto"/>
        </w:rPr>
      </w:pP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The total number of shares of all classes of capital stock which the Corporation shall have authority to issue is 51,000,000, of which 50,000,000 shares shall be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 shares shall be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jc w:val="both"/>
        <w:ind w:left="1300" w:firstLine="4"/>
        <w:spacing w:after="0" w:line="270" w:lineRule="auto"/>
        <w:tabs>
          <w:tab w:leader="none" w:pos="1533" w:val="left"/>
        </w:tabs>
        <w:numPr>
          <w:ilvl w:val="1"/>
          <w:numId w:val="25"/>
        </w:numPr>
        <w:rPr>
          <w:rFonts w:ascii="Arial" w:cs="Arial" w:eastAsia="Arial" w:hAnsi="Arial"/>
          <w:sz w:val="17"/>
          <w:szCs w:val="17"/>
          <w:color w:val="auto"/>
        </w:rPr>
      </w:pPr>
      <w:r>
        <w:rPr>
          <w:rFonts w:ascii="Arial" w:cs="Arial" w:eastAsia="Arial" w:hAnsi="Arial"/>
          <w:sz w:val="17"/>
          <w:szCs w:val="17"/>
          <w:color w:val="auto"/>
        </w:rPr>
        <w:t>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left="640"/>
        <w:spacing w:after="0" w:line="308" w:lineRule="auto"/>
        <w:rPr>
          <w:sz w:val="20"/>
          <w:szCs w:val="20"/>
          <w:color w:val="auto"/>
        </w:rPr>
      </w:pPr>
      <w:r>
        <w:rPr>
          <w:rFonts w:ascii="Arial" w:cs="Arial" w:eastAsia="Arial" w:hAnsi="Arial"/>
          <w:sz w:val="17"/>
          <w:szCs w:val="17"/>
          <w:color w:val="auto"/>
        </w:rPr>
        <w:t>B. Common Stock. Except as otherwise required by law or as otherwise provided in any Preferred Stock Designation, the holders of the Common Stock shall exclusively possess all voting power and each share of Common Stock shall have one vote.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FIFTH: This Article Fifth shall apply during the period commencing upon the filing of this Certificate of Incorporation and terminating upon the consummation of any Business Combination (as defined below). A “</w:t>
      </w:r>
      <w:r>
        <w:rPr>
          <w:rFonts w:ascii="Arial" w:cs="Arial" w:eastAsia="Arial" w:hAnsi="Arial"/>
          <w:sz w:val="18"/>
          <w:szCs w:val="18"/>
          <w:b w:val="1"/>
          <w:bCs w:val="1"/>
          <w:color w:val="auto"/>
        </w:rPr>
        <w:t>Business Combination</w:t>
      </w:r>
      <w:r>
        <w:rPr>
          <w:rFonts w:ascii="Arial" w:cs="Arial" w:eastAsia="Arial" w:hAnsi="Arial"/>
          <w:sz w:val="18"/>
          <w:szCs w:val="18"/>
          <w:color w:val="auto"/>
        </w:rPr>
        <w:t>” shall mean any merger, capital stock exchange, asset, stock purchase, reorganization or other similar business combination involving the Corporation and one or more businesses or entities (“</w:t>
      </w:r>
      <w:r>
        <w:rPr>
          <w:rFonts w:ascii="Arial" w:cs="Arial" w:eastAsia="Arial" w:hAnsi="Arial"/>
          <w:sz w:val="18"/>
          <w:szCs w:val="18"/>
          <w:b w:val="1"/>
          <w:bCs w:val="1"/>
          <w:color w:val="auto"/>
        </w:rPr>
        <w:t>Target Business</w:t>
      </w:r>
      <w:r>
        <w:rPr>
          <w:rFonts w:ascii="Arial" w:cs="Arial" w:eastAsia="Arial" w:hAnsi="Arial"/>
          <w:sz w:val="18"/>
          <w:szCs w:val="18"/>
          <w:color w:val="auto"/>
        </w:rPr>
        <w:t>”), or entering into contractual arrangements that give the Corporation control over such a Target Business, and, if the Corporation is then listed on a national securities exchange, the Target Business has a fair market value equal to at least 80% of the balance in the Trust Fund (as defined below), less any deferred underwriting commissions and taxes payable on interest earned, at the time of signing a definitive agreement in connection with the initial Business Combination. “</w:t>
      </w:r>
      <w:r>
        <w:rPr>
          <w:rFonts w:ascii="Arial" w:cs="Arial" w:eastAsia="Arial" w:hAnsi="Arial"/>
          <w:sz w:val="18"/>
          <w:szCs w:val="18"/>
          <w:b w:val="1"/>
          <w:bCs w:val="1"/>
          <w:color w:val="auto"/>
        </w:rPr>
        <w:t>IPO Shares</w:t>
      </w:r>
      <w:r>
        <w:rPr>
          <w:rFonts w:ascii="Arial" w:cs="Arial" w:eastAsia="Arial" w:hAnsi="Arial"/>
          <w:sz w:val="18"/>
          <w:szCs w:val="18"/>
          <w:color w:val="auto"/>
        </w:rPr>
        <w:t>” shall mean the shares sold pursuant to the registration statement on Form S-1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in connection with the Corporation’s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6"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The “fair market value” for purposes of this Article Fifth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 Prior to the consummation of a Business Combination, the Corporation shall either (i) submit any Business Combination to its holders of Common Stock for approval (“</w:t>
      </w:r>
      <w:r>
        <w:rPr>
          <w:rFonts w:ascii="Arial" w:cs="Arial" w:eastAsia="Arial" w:hAnsi="Arial"/>
          <w:sz w:val="17"/>
          <w:szCs w:val="17"/>
          <w:b w:val="1"/>
          <w:bCs w:val="1"/>
          <w:color w:val="auto"/>
        </w:rPr>
        <w:t>Proxy Solicitation</w:t>
      </w:r>
      <w:r>
        <w:rPr>
          <w:rFonts w:ascii="Arial" w:cs="Arial" w:eastAsia="Arial" w:hAnsi="Arial"/>
          <w:sz w:val="17"/>
          <w:szCs w:val="17"/>
          <w:color w:val="auto"/>
        </w:rPr>
        <w:t>”) pursuant to the proxy rules promulgated under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or (ii) provide its holders of IPO Shares with the opportunity to sell their shares to the Corporation by means of a tender offer (“</w:t>
      </w:r>
      <w:r>
        <w:rPr>
          <w:rFonts w:ascii="Arial" w:cs="Arial" w:eastAsia="Arial" w:hAnsi="Arial"/>
          <w:sz w:val="17"/>
          <w:szCs w:val="17"/>
          <w:b w:val="1"/>
          <w:bCs w:val="1"/>
          <w:color w:val="auto"/>
        </w:rPr>
        <w:t>Tender Offer</w:t>
      </w:r>
      <w:r>
        <w:rPr>
          <w:rFonts w:ascii="Arial" w:cs="Arial" w:eastAsia="Arial" w:hAnsi="Arial"/>
          <w:sz w:val="17"/>
          <w:szCs w:val="17"/>
          <w:color w:val="auto"/>
        </w:rPr>
        <w:t>”).</w:t>
      </w:r>
    </w:p>
    <w:p>
      <w:pPr>
        <w:spacing w:after="0" w:line="178"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w:t>
      </w:r>
      <w:r>
        <w:rPr>
          <w:rFonts w:ascii="Arial" w:cs="Arial" w:eastAsia="Arial" w:hAnsi="Arial"/>
          <w:sz w:val="17"/>
          <w:szCs w:val="17"/>
          <w:b w:val="1"/>
          <w:bCs w:val="1"/>
          <w:color w:val="auto"/>
        </w:rPr>
        <w:t>Conversion Price</w:t>
      </w:r>
      <w:r>
        <w:rPr>
          <w:rFonts w:ascii="Arial" w:cs="Arial" w:eastAsia="Arial" w:hAnsi="Arial"/>
          <w:sz w:val="17"/>
          <w:szCs w:val="17"/>
          <w:color w:val="auto"/>
        </w:rPr>
        <w:t>”). “</w:t>
      </w:r>
      <w:r>
        <w:rPr>
          <w:rFonts w:ascii="Arial" w:cs="Arial" w:eastAsia="Arial" w:hAnsi="Arial"/>
          <w:sz w:val="17"/>
          <w:szCs w:val="17"/>
          <w:b w:val="1"/>
          <w:bCs w:val="1"/>
          <w:color w:val="auto"/>
        </w:rPr>
        <w:t>Trust Fund</w:t>
      </w:r>
      <w:r>
        <w:rPr>
          <w:rFonts w:ascii="Arial" w:cs="Arial" w:eastAsia="Arial" w:hAnsi="Arial"/>
          <w:sz w:val="17"/>
          <w:szCs w:val="17"/>
          <w:color w:val="auto"/>
        </w:rPr>
        <w:t>”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w:t>
      </w:r>
      <w:r>
        <w:rPr>
          <w:rFonts w:ascii="Arial" w:cs="Arial" w:eastAsia="Arial" w:hAnsi="Arial"/>
          <w:sz w:val="17"/>
          <w:szCs w:val="17"/>
          <w:b w:val="1"/>
          <w:bCs w:val="1"/>
          <w:color w:val="auto"/>
        </w:rPr>
        <w:t>Group</w:t>
      </w:r>
      <w:r>
        <w:rPr>
          <w:rFonts w:ascii="Arial" w:cs="Arial" w:eastAsia="Arial" w:hAnsi="Arial"/>
          <w:sz w:val="17"/>
          <w:szCs w:val="17"/>
          <w:color w:val="auto"/>
        </w:rPr>
        <w:t>”)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266700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4" w:name="page55"/>
    <w:bookmarkEnd w:id="54"/>
    <w:p>
      <w:pPr>
        <w:jc w:val="both"/>
        <w:ind w:left="64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170"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E. In the event that the Corporation does not consummate a Business Combination by 12 months from the consummation of the IPO (or up to 18 months if such date is extended as described in the prospectus relating to the IPO) (such date being referred to as the “</w:t>
      </w:r>
      <w:r>
        <w:rPr>
          <w:rFonts w:ascii="Arial" w:cs="Arial" w:eastAsia="Arial" w:hAnsi="Arial"/>
          <w:sz w:val="17"/>
          <w:szCs w:val="17"/>
          <w:b w:val="1"/>
          <w:bCs w:val="1"/>
          <w:color w:val="auto"/>
        </w:rPr>
        <w:t>Termination Date</w:t>
      </w:r>
      <w:r>
        <w:rPr>
          <w:rFonts w:ascii="Arial" w:cs="Arial" w:eastAsia="Arial" w:hAnsi="Arial"/>
          <w:sz w:val="17"/>
          <w:szCs w:val="17"/>
          <w:color w:val="auto"/>
        </w:rPr>
        <w:t>”),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65"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H. If any amendment is made to this Article Fifth that would modify (A) the substance or timing of the Corporation’s obligation to provide for the conversion of the IPO Shares in connection with an initial Business Combination or to redeem 100% of the IPO Shares if the Corporation has not consummated an initial Business Combination within 12 months from the consummation of the IPO (or up to 18 months if such date is extended as described in the prospectus relating to the IPO) or (B) any other provision in this Article Fifth, the holders of IPO Shares shall be provided with the opportunity to redeem their IPO Shares upon the approval of any such amendment, at the per-share price specified in paragraph C.</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left="640"/>
        <w:spacing w:after="0" w:line="277" w:lineRule="auto"/>
        <w:rPr>
          <w:sz w:val="20"/>
          <w:szCs w:val="20"/>
          <w:color w:val="auto"/>
        </w:rPr>
      </w:pPr>
      <w:r>
        <w:rPr>
          <w:rFonts w:ascii="Arial" w:cs="Arial" w:eastAsia="Arial" w:hAnsi="Arial"/>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SEVENTH: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2"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C. Notwithstanding the foregoing provisions of this Article Seventh, no indemnification nor advancement of expenses will extend to any claims made by the Corporation’s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254635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Subject to the exception provided in Paragraph B of this Article Eighth, to the fullest extent permitted by law, unless the Corporation consents in writing to the selection of an alternative forum, (a) any derivative action or proceeding brought in our name on behalf of the Corporation, (b) any action asserting a claim for breach of a fiduciary duty owed by any current or former director, officer, employee, agent or stockholder of the Corporation to the Corporation or the Corporation’s stockholders, (c) any action asserting a claim arising pursuant to any provision of the GCL, the Certificate of Incorporation, or the bylaws, or (d) any action asserting a claim governed by the internal affairs doctrine, shall be the Court of Chancery of the State of Delaware (or, if the Court of Chancery of the State of Delaware lacks jurisdiction over any such action or proceeding, then another court of the State of Delaware or, if no court of the State of Delaware has jurisdiction, then the United States District Court for the District of Delaware).</w:t>
      </w:r>
    </w:p>
    <w:p>
      <w:pPr>
        <w:spacing w:after="0" w:line="178"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 The exclusive forum provision provided in Paragraph A of this Article Eighth will not apply to suits brought to enforce any duty or liability created by the Exchange Act, or any other claim for which the federal courts have exclusive jurisdiction. In addition,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 Securities Act, or any other claim for which the federal courts have exclusive jurisdiction.</w:t>
      </w:r>
    </w:p>
    <w:p>
      <w:pPr>
        <w:spacing w:after="0" w:line="18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C. If any action the subject matter of which is within the scope of Paragraph A of this Article Eighth is filed in a court other than a court located within the State of Delaware (a “</w:t>
      </w:r>
      <w:r>
        <w:rPr>
          <w:rFonts w:ascii="Arial" w:cs="Arial" w:eastAsia="Arial" w:hAnsi="Arial"/>
          <w:sz w:val="18"/>
          <w:szCs w:val="18"/>
          <w:b w:val="1"/>
          <w:bCs w:val="1"/>
          <w:color w:val="auto"/>
        </w:rPr>
        <w:t>Foreign Action</w:t>
      </w:r>
      <w:r>
        <w:rPr>
          <w:rFonts w:ascii="Arial" w:cs="Arial" w:eastAsia="Arial" w:hAnsi="Arial"/>
          <w:sz w:val="18"/>
          <w:szCs w:val="18"/>
          <w:color w:val="auto"/>
        </w:rPr>
        <w:t>”) in the name of any stockholder, such stockholder shall be deemed to have consented to (a) the personal jurisdiction of the state and federal courts located within the State of Delaware in connection with any action brought in any such court to enforce Paragraph A of this Article Eighth (an “</w:t>
      </w:r>
      <w:r>
        <w:rPr>
          <w:rFonts w:ascii="Arial" w:cs="Arial" w:eastAsia="Arial" w:hAnsi="Arial"/>
          <w:sz w:val="18"/>
          <w:szCs w:val="18"/>
          <w:b w:val="1"/>
          <w:bCs w:val="1"/>
          <w:color w:val="auto"/>
        </w:rPr>
        <w:t>FSC Enforcement Action</w:t>
      </w:r>
      <w:r>
        <w:rPr>
          <w:rFonts w:ascii="Arial" w:cs="Arial" w:eastAsia="Arial" w:hAnsi="Arial"/>
          <w:sz w:val="18"/>
          <w:szCs w:val="18"/>
          <w:color w:val="auto"/>
        </w:rPr>
        <w:t>”) and (b) having service of process made upon such stockholder in any such FSC Enforcement Action by service upon such stockholder’s counsel in the Foreign Action as agent for such stockholder, except for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194"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D.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NINTH: 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of Incorporation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TENTH: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Corporation hereby expressly elects not to be governed by Section 203 of the GCL.</w:t>
      </w:r>
    </w:p>
    <w:p>
      <w:pPr>
        <w:spacing w:after="0" w:line="225"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49" w:lineRule="exact"/>
        <w:rPr>
          <w:sz w:val="20"/>
          <w:szCs w:val="20"/>
          <w:color w:val="auto"/>
        </w:rPr>
      </w:pPr>
    </w:p>
    <w:p>
      <w:pPr>
        <w:ind w:left="1940" w:right="20" w:hanging="324"/>
        <w:spacing w:after="0" w:line="277" w:lineRule="auto"/>
        <w:tabs>
          <w:tab w:leader="none" w:pos="19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940" w:hanging="324"/>
        <w:spacing w:after="0" w:line="284" w:lineRule="auto"/>
        <w:tabs>
          <w:tab w:leader="none" w:pos="19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4" w:lineRule="exact"/>
        <w:rPr>
          <w:rFonts w:ascii="Arial" w:cs="Arial" w:eastAsia="Arial" w:hAnsi="Arial"/>
          <w:sz w:val="16"/>
          <w:szCs w:val="16"/>
          <w:color w:val="auto"/>
        </w:rPr>
      </w:pPr>
    </w:p>
    <w:p>
      <w:pPr>
        <w:jc w:val="both"/>
        <w:ind w:left="1940" w:hanging="324"/>
        <w:spacing w:after="0" w:line="255" w:lineRule="auto"/>
        <w:tabs>
          <w:tab w:leader="none" w:pos="19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9" w:lineRule="exact"/>
        <w:rPr>
          <w:rFonts w:ascii="Arial" w:cs="Arial" w:eastAsia="Arial" w:hAnsi="Arial"/>
          <w:sz w:val="18"/>
          <w:szCs w:val="18"/>
          <w:color w:val="auto"/>
        </w:rPr>
      </w:pPr>
    </w:p>
    <w:p>
      <w:pPr>
        <w:ind w:left="860" w:hanging="216"/>
        <w:spacing w:after="0"/>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Solely for purposes of this Article Tenth, references to:</w:t>
      </w:r>
    </w:p>
    <w:p>
      <w:pPr>
        <w:spacing w:after="0" w:line="225" w:lineRule="exact"/>
        <w:rPr>
          <w:rFonts w:ascii="Arial" w:cs="Arial" w:eastAsia="Arial" w:hAnsi="Arial"/>
          <w:sz w:val="18"/>
          <w:szCs w:val="18"/>
          <w:color w:val="auto"/>
        </w:rPr>
      </w:pPr>
    </w:p>
    <w:p>
      <w:pPr>
        <w:ind w:left="920" w:right="20" w:hanging="897"/>
        <w:spacing w:after="0" w:line="277"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left="920" w:hanging="897"/>
        <w:spacing w:after="0" w:line="275"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when used to indicate a relationship with any person, means: (a) any corporation, partnership, unincorporated association or other entity of which such person is a director, officer or partner or is, directly or indirectly, the owner of twenty percent (20%) or more of any class of voting stock; (b) any trust or other estate in which such person has at least a twenty percent (20%) beneficial interest or as to which such person serves as trustee or in a similar fiduciary capacity; and (c) any relative or spouse of such person, or any relative of such spouse, who has the same residence as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257810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8" w:name="page59"/>
    <w:bookmarkEnd w:id="58"/>
    <w:p>
      <w:pPr>
        <w:ind w:left="897" w:hanging="897"/>
        <w:spacing w:after="0"/>
        <w:tabs>
          <w:tab w:leader="none" w:pos="897"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when used in reference to the Corporation and any interested stockholder of the Corporation, means:</w:t>
      </w:r>
    </w:p>
    <w:p>
      <w:pPr>
        <w:spacing w:after="0" w:line="236" w:lineRule="exact"/>
        <w:rPr>
          <w:rFonts w:ascii="Arial" w:cs="Arial" w:eastAsia="Arial" w:hAnsi="Arial"/>
          <w:sz w:val="17"/>
          <w:szCs w:val="17"/>
          <w:color w:val="auto"/>
        </w:rPr>
      </w:pPr>
    </w:p>
    <w:p>
      <w:pPr>
        <w:jc w:val="both"/>
        <w:ind w:left="2237" w:hanging="320"/>
        <w:spacing w:after="0" w:line="279" w:lineRule="auto"/>
        <w:tabs>
          <w:tab w:leader="none" w:pos="223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Paragraph B of Article Tenth is not applicable to the surviving entity;</w:t>
      </w:r>
    </w:p>
    <w:p>
      <w:pPr>
        <w:spacing w:after="0" w:line="171" w:lineRule="exact"/>
        <w:rPr>
          <w:rFonts w:ascii="Arial" w:cs="Arial" w:eastAsia="Arial" w:hAnsi="Arial"/>
          <w:sz w:val="17"/>
          <w:szCs w:val="17"/>
          <w:color w:val="auto"/>
        </w:rPr>
      </w:pPr>
    </w:p>
    <w:p>
      <w:pPr>
        <w:jc w:val="both"/>
        <w:ind w:left="2237" w:hanging="320"/>
        <w:spacing w:after="0" w:line="268" w:lineRule="auto"/>
        <w:tabs>
          <w:tab w:leader="none" w:pos="223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jc w:val="both"/>
        <w:ind w:left="2237" w:hanging="320"/>
        <w:spacing w:after="0" w:line="281" w:lineRule="auto"/>
        <w:tabs>
          <w:tab w:leader="none" w:pos="22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GCL;</w:t>
      </w:r>
    </w:p>
    <w:p>
      <w:pPr>
        <w:spacing w:after="0" w:line="2" w:lineRule="exact"/>
        <w:rPr>
          <w:rFonts w:ascii="Arial" w:cs="Arial" w:eastAsia="Arial" w:hAnsi="Arial"/>
          <w:sz w:val="16"/>
          <w:szCs w:val="16"/>
          <w:color w:val="auto"/>
        </w:rPr>
      </w:pPr>
    </w:p>
    <w:p>
      <w:pPr>
        <w:jc w:val="both"/>
        <w:ind w:left="2237" w:firstLine="4"/>
        <w:spacing w:after="0" w:line="287" w:lineRule="auto"/>
        <w:tabs>
          <w:tab w:leader="none" w:pos="25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(iv) pursuant to an exchange offer by the Corporation to purchase stock made on the same terms to all stockholders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(iii)-(v) of this subsection (c)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169" w:lineRule="exact"/>
        <w:rPr>
          <w:rFonts w:ascii="Arial" w:cs="Arial" w:eastAsia="Arial" w:hAnsi="Arial"/>
          <w:sz w:val="16"/>
          <w:szCs w:val="16"/>
          <w:color w:val="auto"/>
        </w:rPr>
      </w:pPr>
    </w:p>
    <w:p>
      <w:pPr>
        <w:jc w:val="both"/>
        <w:ind w:left="2237" w:hanging="320"/>
        <w:spacing w:after="0" w:line="255" w:lineRule="auto"/>
        <w:tabs>
          <w:tab w:leader="none" w:pos="22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268605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7"/>
          </w:cols>
          <w:pgMar w:left="1003" w:top="908" w:right="339" w:bottom="1440" w:gutter="0" w:footer="0" w:header="0"/>
        </w:sectPr>
      </w:pPr>
    </w:p>
    <w:bookmarkStart w:id="59" w:name="page60"/>
    <w:bookmarkEnd w:id="59"/>
    <w:p>
      <w:pPr>
        <w:jc w:val="both"/>
        <w:ind w:left="644" w:hanging="644"/>
        <w:spacing w:after="0" w:line="272" w:lineRule="auto"/>
        <w:tabs>
          <w:tab w:leader="none" w:pos="644"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 possession,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as an agent, bank, broker, nominee, custodian or trustee for one or more owners who do not individually or as a group have control of such entity.</w:t>
      </w:r>
    </w:p>
    <w:p>
      <w:pPr>
        <w:spacing w:after="0" w:line="177"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Person</w:t>
      </w:r>
      <w:r>
        <w:rPr>
          <w:rFonts w:ascii="Arial" w:cs="Arial" w:eastAsia="Arial" w:hAnsi="Arial"/>
          <w:sz w:val="18"/>
          <w:szCs w:val="18"/>
          <w:color w:val="auto"/>
        </w:rPr>
        <w:t>” means Chardan NexTech Investments 2 LLC and its affiliates, any of their direct or indirect transferees of at least 15% of the Corporation’s outstanding Common Stock and any “group” of which any such person is a part under Rule 13d-5 of the Exchange Act.</w:t>
      </w:r>
    </w:p>
    <w:p>
      <w:pPr>
        <w:spacing w:after="0" w:line="183"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(a) is the owner of fifteen percent (15%) or more of the voting stock of the Corporation, or (b) is an affiliate or associate of the Corporation and was the owner of fifteen percent (15%) or more of the voting stock of the Corporation at any time within the three</w:t>
      </w:r>
    </w:p>
    <w:p>
      <w:pPr>
        <w:spacing w:after="0" w:line="2" w:lineRule="exact"/>
        <w:rPr>
          <w:rFonts w:ascii="Arial" w:cs="Arial" w:eastAsia="Arial" w:hAnsi="Arial"/>
          <w:sz w:val="16"/>
          <w:szCs w:val="16"/>
          <w:color w:val="auto"/>
        </w:rPr>
      </w:pPr>
    </w:p>
    <w:p>
      <w:pPr>
        <w:jc w:val="both"/>
        <w:ind w:left="644"/>
        <w:spacing w:after="0" w:line="286" w:lineRule="auto"/>
        <w:rPr>
          <w:rFonts w:ascii="Arial" w:cs="Arial" w:eastAsia="Arial" w:hAnsi="Arial"/>
          <w:sz w:val="16"/>
          <w:szCs w:val="16"/>
          <w:color w:val="auto"/>
        </w:rPr>
      </w:pPr>
      <w:r>
        <w:rPr>
          <w:rFonts w:ascii="Arial" w:cs="Arial" w:eastAsia="Arial" w:hAnsi="Arial"/>
          <w:sz w:val="16"/>
          <w:szCs w:val="16"/>
          <w:color w:val="auto"/>
        </w:rPr>
        <w:t>(3) year period immediately prior to the date on which it is sought to be determined whether such person is an interested stockholder; and the affiliates and associates of such person; but “interested stockholder” shall not include (i) any Exempted Person, or (ii) any person whose ownership of shares in excess of the fifteen percent (15%) limitation set forth herein is the result of any action taken solely by the Corporation; provided that with respect to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2"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0" w:name="page61"/>
    <w:bookmarkEnd w:id="60"/>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Jonas Grossman, its President and Chief Executive Officer, as of the 10th day of August, 2021.</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56"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Name:Jonas Grossman</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 President,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August 10,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11,000,000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1,650,000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three-quarters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WHEREAS, the Company has received a binding commitment from Chardan NexTech 2 Warrant Holdings LLC, to purchase 4,361,456 private placement warrants (or up to 4,627,858 private warrants depending on the extent to which the underwriters’ over-allotment option is exercised) pursuant the Subscription Agreement, dated as of August 10, 2021, and in connection therewith, will issue and deliver up to 4,361,456 private placement warrants (or up to 4,627,858 private warrants depending on the extent to which the underwriters’ over-allotment option is exercised) (the “</w:t>
      </w:r>
      <w:r>
        <w:rPr>
          <w:rFonts w:ascii="Arial" w:cs="Arial" w:eastAsia="Arial" w:hAnsi="Arial"/>
          <w:sz w:val="16"/>
          <w:szCs w:val="16"/>
          <w:b w:val="1"/>
          <w:bCs w:val="1"/>
          <w:color w:val="auto"/>
        </w:rPr>
        <w:t>Private Warrants</w:t>
      </w:r>
      <w:r>
        <w:rPr>
          <w:rFonts w:ascii="Arial" w:cs="Arial" w:eastAsia="Arial" w:hAnsi="Arial"/>
          <w:sz w:val="16"/>
          <w:szCs w:val="16"/>
          <w:color w:val="auto"/>
        </w:rPr>
        <w:t>”), each whole Private Warrant entitling its holder to purchase one share of Common Stock (together with the Public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2" w:lineRule="exact"/>
        <w:rPr>
          <w:sz w:val="20"/>
          <w:szCs w:val="20"/>
          <w:color w:val="auto"/>
        </w:rPr>
      </w:pPr>
    </w:p>
    <w:p>
      <w:pPr>
        <w:ind w:right="20" w:firstLine="8"/>
        <w:spacing w:after="0" w:line="290" w:lineRule="auto"/>
        <w:tabs>
          <w:tab w:leader="none" w:pos="439" w:val="left"/>
        </w:tabs>
        <w:numPr>
          <w:ilvl w:val="0"/>
          <w:numId w:val="35"/>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83" w:lineRule="exact"/>
        <w:rPr>
          <w:rFonts w:ascii="Arial" w:cs="Arial" w:eastAsia="Arial" w:hAnsi="Arial"/>
          <w:sz w:val="18"/>
          <w:szCs w:val="18"/>
          <w:color w:val="auto"/>
        </w:rPr>
      </w:pPr>
    </w:p>
    <w:p>
      <w:pPr>
        <w:jc w:val="both"/>
        <w:ind w:left="1960" w:hanging="8"/>
        <w:spacing w:after="0" w:line="259" w:lineRule="auto"/>
        <w:tabs>
          <w:tab w:leader="none" w:pos="22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15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4"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Margaret B.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Margaret B. Lloyd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Underwriters named in Schedule A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three-quarters of one warrant, with each whole warrant being exercisable to purchase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15 hereof.</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each of the undersigned as a stockholder of the Company, and for other good and valuable consideration, the receipt and sufficiency of which are hereby acknowledged, each of Chardan NexTech Investments 2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Chardan NexTech 2 Warrant Holdings LLC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undersigned individuals, each of whom is a member of the Company’s board of directors and/or management team, hereby agrees with the Company as follows:</w:t>
      </w:r>
    </w:p>
    <w:p>
      <w:pPr>
        <w:spacing w:after="0" w:line="188" w:lineRule="exact"/>
        <w:rPr>
          <w:sz w:val="20"/>
          <w:szCs w:val="20"/>
          <w:color w:val="auto"/>
        </w:rPr>
      </w:pPr>
    </w:p>
    <w:p>
      <w:pPr>
        <w:ind w:right="20" w:firstLine="1304"/>
        <w:spacing w:after="0" w:line="277" w:lineRule="auto"/>
        <w:tabs>
          <w:tab w:leader="none" w:pos="14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officers and directors of the Company will not enter into a binding agreement for a proposed Business Combination or propose any Business Combination to shareholders of the Company, unless such action is first approved by the Sponsor.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paragraph 1 hereof, if the Company solicits approval of its stockholders of a Business Combination, each of the undersigned will vote all shares of Common Stock beneficially owned by him, her or it, whether acquired before, in or after the IPO, in favor of such Business Combination.</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4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12 months from the closing of the IPO (or up to 18 months from the closing of the IPO if such date is extended as described in the prospectus relating to the IPO), each of the undersigned shall take all reasonable steps to (i) cause the Trust Fund to be liquidated and distributed to the holders of IPO Shares and (ii) cause the Company to liquidate promptly as reasonably possible but not more than five business days after the date we are required to consummate a Business Combination.</w:t>
      </w:r>
    </w:p>
    <w:p>
      <w:pPr>
        <w:spacing w:after="0" w:line="157" w:lineRule="exact"/>
        <w:rPr>
          <w:rFonts w:ascii="Arial" w:cs="Arial" w:eastAsia="Arial" w:hAnsi="Arial"/>
          <w:sz w:val="16"/>
          <w:szCs w:val="16"/>
          <w:color w:val="auto"/>
        </w:rPr>
      </w:pPr>
    </w:p>
    <w:p>
      <w:pPr>
        <w:jc w:val="both"/>
        <w:ind w:firstLine="1466"/>
        <w:spacing w:after="0" w:line="296" w:lineRule="auto"/>
        <w:tabs>
          <w:tab w:leader="none" w:pos="172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of the undersigned hereby waives any and all right, title, interest or claim of any kind in or to any distribution of the Trust Fund and any remaining net assets of the Company as a result of such liquidation with respect to his, her or its Insider Shares, Private Warrants,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such undersigned may have in the future as a result of, or arising out of, any contracts or agreements with the Company and will not seek recourse against the Trust Fund for any reason whatsoever. Each of the undersigned acknowledges and agrees that there will be no distribution from the Trust Fund with respect to any Common Stock underlying the Private Warrants, all rights of which will terminate on the Company’s liquidation.</w:t>
      </w:r>
    </w:p>
    <w:p>
      <w:pPr>
        <w:spacing w:after="0" w:line="161" w:lineRule="exact"/>
        <w:rPr>
          <w:rFonts w:ascii="Arial" w:cs="Arial" w:eastAsia="Arial" w:hAnsi="Arial"/>
          <w:sz w:val="16"/>
          <w:szCs w:val="16"/>
          <w:color w:val="auto"/>
        </w:rPr>
      </w:pPr>
    </w:p>
    <w:p>
      <w:pPr>
        <w:jc w:val="both"/>
        <w:ind w:firstLine="1466"/>
        <w:spacing w:after="0" w:line="293" w:lineRule="auto"/>
        <w:tabs>
          <w:tab w:leader="none" w:pos="1709"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Sponsor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left="-1120" w:firstLine="1466"/>
        <w:spacing w:after="0" w:line="263" w:lineRule="auto"/>
        <w:tabs>
          <w:tab w:leader="none" w:pos="60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each of the undersigned officers and directors agree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left="-1120" w:firstLine="1304"/>
        <w:spacing w:after="0" w:line="270" w:lineRule="auto"/>
        <w:tabs>
          <w:tab w:leader="none" w:pos="36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undersigned will place into escrow all of his, her or its Insider Shares held by the undersigned pursuant to the terms of a Stock Escrow Agreement which the Company will enter into with each of the undersigned, as applicable, and an escrow agent acceptable to the Company. 50% of such Insider Shares shall not be transferred, assigned, sold, or released from escrow until the earlier of (a) six months after the date of the consummation of the Business Combination or (b) the date on which the closing price of the shares of Common Stock equals or exceeds $12.50 per share (as adjusted for stock splits, stock dividends, reorganizations and recapitalizations) for any 10 trading days within any 30-trading day period commencing after our Business Combination. The remaining 50% of the Insider Shares will not be transferred, assigned, sold or released from escrow until six months after the date of Business Combination or earlier, in either case, if, subsequent to our Business Combination, the Company consummates a subsequent liquidation, merger, stock exchange or other similar transaction that results in all of the Company’s stockholders having the right to exchange their shares of Common Stock for cash, securities or other property.</w:t>
      </w:r>
    </w:p>
    <w:p>
      <w:pPr>
        <w:spacing w:after="0" w:line="180" w:lineRule="exact"/>
        <w:rPr>
          <w:rFonts w:ascii="Arial" w:cs="Arial" w:eastAsia="Arial" w:hAnsi="Arial"/>
          <w:sz w:val="17"/>
          <w:szCs w:val="17"/>
          <w:color w:val="auto"/>
        </w:rPr>
      </w:pPr>
    </w:p>
    <w:p>
      <w:pPr>
        <w:jc w:val="both"/>
        <w:ind w:left="-1120" w:firstLine="1304"/>
        <w:spacing w:after="0" w:line="255" w:lineRule="auto"/>
        <w:tabs>
          <w:tab w:leader="none" w:pos="3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Holdings agrees that until the Company consummates a Business Combination, the Private Warrants held by Holdings will be subject to the transfer restrictions described in the Subscription Agreement relating to the Private Warrants held by Holdings. Holdings shall not sell, transfer, assign, pledge or hypothecate any of the Private Warrants issuable to Holdings pursuant to the Private Warrant Purchase Agreement or shares of Common Stock issuable upon the exercise of the Private Warrants pursuant to the Private Warrant Purchase Agreement, or subject any of such securities to any hedging, short sale, derivative, put, or call transaction that would result in the effective economic disposition of such securities, except as provided in FINRA Rule 5110(e)(2).</w:t>
      </w:r>
    </w:p>
    <w:p>
      <w:pPr>
        <w:spacing w:after="0" w:line="192" w:lineRule="exact"/>
        <w:rPr>
          <w:rFonts w:ascii="Arial" w:cs="Arial" w:eastAsia="Arial" w:hAnsi="Arial"/>
          <w:sz w:val="18"/>
          <w:szCs w:val="18"/>
          <w:color w:val="auto"/>
        </w:rPr>
      </w:pPr>
    </w:p>
    <w:p>
      <w:pPr>
        <w:jc w:val="both"/>
        <w:ind w:left="-1120" w:firstLine="1304"/>
        <w:spacing w:after="0" w:line="259" w:lineRule="auto"/>
        <w:tabs>
          <w:tab w:leader="none" w:pos="3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each of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such undersigned might have.</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Subject to paragraph 1 hereof, each of 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76" w:lineRule="exact"/>
        <w:rPr>
          <w:rFonts w:ascii="Arial" w:cs="Arial" w:eastAsia="Arial" w:hAnsi="Arial"/>
          <w:sz w:val="17"/>
          <w:szCs w:val="17"/>
          <w:color w:val="auto"/>
        </w:rPr>
      </w:pPr>
    </w:p>
    <w:p>
      <w:pPr>
        <w:jc w:val="both"/>
        <w:ind w:left="-1120" w:firstLine="1304"/>
        <w:spacing w:after="0" w:line="296"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None of the undersigned, nor any respective family member of the undersigned, nor any respective affiliate of the undersigned will be entitled to receive and will not accept any compensation or other cash payment prior to, or for services rendered in connection with, the consummation of the Business Combination, except for any fees paid pursuant to the Business Combination Marketing Agreement by and between the Company and the Representative. Notwithstanding the foregoing, each of the undersigned and any affiliate of the undersigned shall be entitled to reimbursement from the Company for their out-of-pocket expenses incurred in connection with identifying, investigating and consummating a Business Combination.</w:t>
      </w:r>
    </w:p>
    <w:p>
      <w:pPr>
        <w:spacing w:after="0" w:line="161" w:lineRule="exact"/>
        <w:rPr>
          <w:rFonts w:ascii="Arial" w:cs="Arial" w:eastAsia="Arial" w:hAnsi="Arial"/>
          <w:sz w:val="16"/>
          <w:szCs w:val="16"/>
          <w:color w:val="auto"/>
        </w:rPr>
      </w:pPr>
    </w:p>
    <w:p>
      <w:pPr>
        <w:jc w:val="both"/>
        <w:ind w:left="-1120" w:firstLine="1304"/>
        <w:spacing w:after="0" w:line="26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undersigned, nor any respective family member of the undersigned, nor any respective affiliate of the undersigned will be entitled to receive or accept a finder’s fee or any other compensation in the event any of the undersigned, any respective family member of the undersigned or any respective affiliate of the undersigned originates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5" w:name="page76"/>
    <w:bookmarkEnd w:id="75"/>
    <w:p>
      <w:pPr>
        <w:jc w:val="both"/>
        <w:ind w:left="-656" w:firstLine="1304"/>
        <w:spacing w:after="0" w:line="272" w:lineRule="auto"/>
        <w:tabs>
          <w:tab w:leader="none" w:pos="918" w:val="left"/>
        </w:tabs>
        <w:numPr>
          <w:ilvl w:val="1"/>
          <w:numId w:val="48"/>
        </w:numPr>
        <w:rPr>
          <w:rFonts w:ascii="Arial" w:cs="Arial" w:eastAsia="Arial" w:hAnsi="Arial"/>
          <w:sz w:val="17"/>
          <w:szCs w:val="17"/>
          <w:color w:val="auto"/>
        </w:rPr>
      </w:pPr>
      <w:r>
        <w:rPr>
          <w:rFonts w:ascii="Arial" w:cs="Arial" w:eastAsia="Arial" w:hAnsi="Arial"/>
          <w:sz w:val="17"/>
          <w:szCs w:val="17"/>
          <w:color w:val="auto"/>
        </w:rPr>
        <w:t>Each undersigned director/officer agrees to serve the Company in his/her duly appointed role as a director/officer until the earlier of the consummation by the Company of a Business Combination or the liquidation of the Company. Each undersigned director/officer’s biographical information previously furnished to the Company and the Representative is true and accurate in all material respects, does not omit any material information with respect to such undersigned director/officer’s biography, and contains all of the information required to be disclosed pursuant to Item 401 of Regulation S-K, promulgated under the Securities Act of 1933. Each undersigned director/officer’s FINRA Questionnaire and Director and Officer Questionnaire previously furnished to the Company and the Representative is true and accurate in all material respects. Each undersigned director/officer represents and warrants that, except as disclosed in such undersigned director/officer’s Director and Officer Questionnaire:</w:t>
      </w:r>
    </w:p>
    <w:p>
      <w:pPr>
        <w:spacing w:after="0" w:line="177"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ind w:left="644" w:hanging="644"/>
        <w:spacing w:after="0" w:line="258"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 w:lineRule="exact"/>
        <w:rPr>
          <w:rFonts w:ascii="Arial" w:cs="Arial" w:eastAsia="Arial" w:hAnsi="Arial"/>
          <w:sz w:val="18"/>
          <w:szCs w:val="18"/>
          <w:color w:val="auto"/>
        </w:rPr>
      </w:pPr>
    </w:p>
    <w:p>
      <w:pPr>
        <w:ind w:left="644" w:hanging="644"/>
        <w:spacing w:after="0" w:line="258"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jc w:val="both"/>
        <w:ind w:left="644" w:hanging="644"/>
        <w:spacing w:after="0" w:line="252"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 w:lineRule="exact"/>
        <w:rPr>
          <w:rFonts w:ascii="Arial" w:cs="Arial" w:eastAsia="Arial" w:hAnsi="Arial"/>
          <w:sz w:val="18"/>
          <w:szCs w:val="18"/>
          <w:color w:val="auto"/>
        </w:rPr>
      </w:pPr>
    </w:p>
    <w:p>
      <w:pPr>
        <w:jc w:val="both"/>
        <w:ind w:left="644" w:hanging="644"/>
        <w:spacing w:after="0" w:line="290"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9" w:lineRule="exact"/>
        <w:rPr>
          <w:rFonts w:ascii="Arial" w:cs="Arial" w:eastAsia="Arial" w:hAnsi="Arial"/>
          <w:sz w:val="16"/>
          <w:szCs w:val="16"/>
          <w:color w:val="auto"/>
        </w:rPr>
      </w:pPr>
    </w:p>
    <w:p>
      <w:pPr>
        <w:ind w:left="644" w:hanging="644"/>
        <w:spacing w:after="0" w:line="290"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jc w:val="both"/>
        <w:ind w:left="644" w:hanging="644"/>
        <w:spacing w:after="0" w:line="255"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6" w:name="page77"/>
    <w:bookmarkEnd w:id="76"/>
    <w:p>
      <w:pPr>
        <w:jc w:val="both"/>
        <w:ind w:left="644" w:hanging="644"/>
        <w:spacing w:after="0" w:line="255"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2"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jc w:val="both"/>
        <w:ind w:left="644" w:hanging="644"/>
        <w:spacing w:after="0" w:line="286"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jc w:val="both"/>
        <w:ind w:left="644" w:hanging="644"/>
        <w:spacing w:after="0" w:line="254"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 w:lineRule="exact"/>
        <w:rPr>
          <w:rFonts w:ascii="Arial" w:cs="Arial" w:eastAsia="Arial" w:hAnsi="Arial"/>
          <w:sz w:val="18"/>
          <w:szCs w:val="18"/>
          <w:color w:val="auto"/>
        </w:rPr>
      </w:pPr>
    </w:p>
    <w:p>
      <w:pPr>
        <w:jc w:val="both"/>
        <w:ind w:left="644" w:right="20" w:hanging="644"/>
        <w:spacing w:after="0" w:line="255"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such undersigned from: (i) association with an entity regulated by such commission, authority, agency or officer; (ii) engaging in the business of securities, insurance or banking; or (iii) engaging in savings association or credit union activities;</w:t>
      </w:r>
    </w:p>
    <w:p>
      <w:pPr>
        <w:spacing w:after="0" w:line="1" w:lineRule="exact"/>
        <w:rPr>
          <w:rFonts w:ascii="Arial" w:cs="Arial" w:eastAsia="Arial" w:hAnsi="Arial"/>
          <w:sz w:val="16"/>
          <w:szCs w:val="16"/>
          <w:color w:val="auto"/>
        </w:rPr>
      </w:pPr>
    </w:p>
    <w:p>
      <w:pPr>
        <w:jc w:val="both"/>
        <w:ind w:left="644" w:hanging="644"/>
        <w:spacing w:after="0" w:line="253"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such undersigned’s registration as a broker, dealer, municipal securities dealer or investment adviser; (ii) places limitations on the activities, functions or operations of, or imposes civil money penalties on, such person; or (iii) bars such undersigned from being associated with any entity or from participating in the offering of any penny stock; and</w:t>
      </w:r>
    </w:p>
    <w:p>
      <w:pPr>
        <w:spacing w:after="0" w:line="2"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8" w:lineRule="exact"/>
        <w:rPr>
          <w:sz w:val="20"/>
          <w:szCs w:val="20"/>
          <w:color w:val="auto"/>
        </w:rPr>
      </w:pPr>
    </w:p>
    <w:p>
      <w:pPr>
        <w:ind w:left="-656" w:firstLine="1304"/>
        <w:spacing w:after="0" w:line="277" w:lineRule="auto"/>
        <w:tabs>
          <w:tab w:leader="none" w:pos="9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undersigned director/officer has full right and power, without violating any agreement by which he is bound, to enter into this letter agreement and to serve in his/her designated capacity of the Company, as described in the Registration Statement.</w:t>
      </w:r>
    </w:p>
    <w:p>
      <w:pPr>
        <w:spacing w:after="0" w:line="170" w:lineRule="exact"/>
        <w:rPr>
          <w:rFonts w:ascii="Arial" w:cs="Arial" w:eastAsia="Arial" w:hAnsi="Arial"/>
          <w:sz w:val="18"/>
          <w:szCs w:val="18"/>
          <w:color w:val="auto"/>
        </w:rPr>
      </w:pPr>
    </w:p>
    <w:p>
      <w:pPr>
        <w:jc w:val="both"/>
        <w:ind w:left="-656" w:firstLine="1304"/>
        <w:spacing w:after="0" w:line="257" w:lineRule="auto"/>
        <w:tabs>
          <w:tab w:leader="none" w:pos="9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undersigned hereby waives his, her or its right to exercise conversion rights with respect to any shares of Common Stock owned or to be owned by him, her or it, directly or indirectly, whether purchased by him, her or it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7" w:name="page78"/>
    <w:bookmarkEnd w:id="77"/>
    <w:p>
      <w:pPr>
        <w:jc w:val="both"/>
        <w:ind w:firstLine="1304"/>
        <w:spacing w:after="0" w:line="257" w:lineRule="auto"/>
        <w:tabs>
          <w:tab w:leader="none" w:pos="15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the undersigned hereby agrees to not propose, or vote in favor of, an amendment to the Company’s Amended and Restated Certificate of Incorporation that would affect the substance or timing of the Company’s obligation to redeem the IPO Shares if the Company cannot complete an initial business combination within 12 months (or up to 18 months from the closing of the IPO if such date is extended as described in the prospectus relating to the IPO) unless the Company offers holders of IPO Shares the right to receive their pro rata portion of the funds then held in the Trust Fund upon approval of any such amendment.</w:t>
      </w:r>
    </w:p>
    <w:p>
      <w:pPr>
        <w:spacing w:after="0" w:line="187"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53" w:lineRule="auto"/>
        <w:tabs>
          <w:tab w:leader="none" w:pos="16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securityholders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include all of the shares of Common Stock of the Company acquired by an Insider prior to the IPO and;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Warrants</w:t>
      </w:r>
      <w:r>
        <w:rPr>
          <w:rFonts w:ascii="Arial" w:cs="Arial" w:eastAsia="Arial" w:hAnsi="Arial"/>
          <w:sz w:val="18"/>
          <w:szCs w:val="18"/>
          <w:color w:val="auto"/>
        </w:rPr>
        <w:t>” shall mean the warrants (and the underlying securities) purchased in the private placement taking place simultaneously with the consummation of the Company’s IPO; (vi) “</w:t>
      </w:r>
      <w:r>
        <w:rPr>
          <w:rFonts w:ascii="Arial" w:cs="Arial" w:eastAsia="Arial" w:hAnsi="Arial"/>
          <w:sz w:val="18"/>
          <w:szCs w:val="18"/>
          <w:b w:val="1"/>
          <w:bCs w:val="1"/>
          <w:i w:val="1"/>
          <w:iCs w:val="1"/>
          <w:color w:val="auto"/>
        </w:rPr>
        <w:t>Private Warrant Purchase Agreement</w:t>
      </w:r>
      <w:r>
        <w:rPr>
          <w:rFonts w:ascii="Arial" w:cs="Arial" w:eastAsia="Arial" w:hAnsi="Arial"/>
          <w:sz w:val="18"/>
          <w:szCs w:val="18"/>
          <w:color w:val="auto"/>
        </w:rPr>
        <w:t>” shall mean that certain Private Warrant Purchase Agreement by and between the Company and Holdings to be executed in connection with the IPO; (vii)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6" w:lineRule="exact"/>
        <w:rPr>
          <w:rFonts w:ascii="Arial" w:cs="Arial" w:eastAsia="Arial" w:hAnsi="Arial"/>
          <w:sz w:val="18"/>
          <w:szCs w:val="18"/>
          <w:color w:val="auto"/>
        </w:rPr>
      </w:pPr>
    </w:p>
    <w:p>
      <w:pPr>
        <w:jc w:val="both"/>
        <w:ind w:right="20" w:firstLine="1304"/>
        <w:spacing w:after="0" w:line="263" w:lineRule="auto"/>
        <w:tabs>
          <w:tab w:leader="none" w:pos="15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T.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806-6400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jc w:val="both"/>
        <w:ind w:firstLine="1304"/>
        <w:spacing w:after="0" w:line="311" w:lineRule="auto"/>
        <w:tabs>
          <w:tab w:leader="none" w:pos="15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5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CHARDAN NEXTECH 2 WARRANT HOLDINGS LLC</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Jonas Grossman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Alex Weil</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Kerry Propper</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Jonathan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Biele</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Perry Boyle</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Roderick Hardamon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Jory Des Jardins</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Hitesh Thakrar</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Todd Thomson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Alex Weil</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i w:val="1"/>
          <w:iCs w:val="1"/>
          <w:color w:val="auto"/>
        </w:rPr>
        <w:t>Signature Page – Insider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0" w:name="page81"/>
    <w:bookmarkEnd w:id="80"/>
    <w:p>
      <w:pPr>
        <w:ind w:left="10260"/>
        <w:spacing w:after="0"/>
        <w:rPr>
          <w:sz w:val="20"/>
          <w:szCs w:val="20"/>
          <w:color w:val="auto"/>
        </w:rPr>
      </w:pPr>
      <w:r>
        <w:rPr>
          <w:rFonts w:ascii="Arial" w:cs="Arial" w:eastAsia="Arial" w:hAnsi="Arial"/>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is made as of August 10, 2021 by and between Chardan NexTech Acquisition 2 Corp. (the “Company”) and Continental Stock Transfer &amp; Trust Company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333-254010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$111,650,000 of the gross proceeds of the IPO ($128,397,500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stockholders for whose benefit the Trustee shall hold the Property will be referred to as the “Public Stockholders,” and the Public Stockholders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J.P. Morgan Chase Bank, N.A. (or at another U.S.-chartered commercial bank with consolidated assets of $100 billion or more) in the United States, maintained by Trustee, and at a brokerage institution selected by the Trustee that is reasonably satisfactory to the Company;</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185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while the account funds are invested or uninvested, the Trustee may earn bank credits and other consideration</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Notify the Company and Chardan of all communications received by it with respect to any Property requiring action by the Company;</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1304"/>
        <w:spacing w:after="0" w:line="277" w:lineRule="auto"/>
        <w:tabs>
          <w:tab w:leader="none" w:pos="15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left="-656" w:firstLine="1304"/>
        <w:spacing w:after="0" w:line="290" w:lineRule="auto"/>
        <w:tabs>
          <w:tab w:leader="none" w:pos="858"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12-month anniversary of the closing of the IPO (“Closing”) (or the 18-month anniversary of the Closing if extended in full as described in the prospectus relating to the IPO) (“Last Date”), the Trust Account shall be liquidated in accordance with the procedures set forth in the Termination Letter attached as Exhibit B hereto and distributed to the Public Stockholders as of the Last Date.</w:t>
      </w:r>
    </w:p>
    <w:p>
      <w:pPr>
        <w:spacing w:after="0" w:line="165" w:lineRule="exact"/>
        <w:rPr>
          <w:rFonts w:ascii="Arial" w:cs="Arial" w:eastAsia="Arial" w:hAnsi="Arial"/>
          <w:sz w:val="16"/>
          <w:szCs w:val="16"/>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63" w:lineRule="auto"/>
        <w:tabs>
          <w:tab w:leader="none" w:pos="8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3" w:lineRule="exact"/>
        <w:rPr>
          <w:rFonts w:ascii="Arial" w:cs="Arial" w:eastAsia="Arial" w:hAnsi="Arial"/>
          <w:sz w:val="18"/>
          <w:szCs w:val="18"/>
          <w:color w:val="auto"/>
        </w:rPr>
      </w:pPr>
    </w:p>
    <w:p>
      <w:pPr>
        <w:ind w:left="-656" w:firstLine="1304"/>
        <w:spacing w:after="0" w:line="308" w:lineRule="auto"/>
        <w:tabs>
          <w:tab w:leader="none" w:pos="9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656" w:firstLine="1304"/>
        <w:spacing w:after="0" w:line="279" w:lineRule="auto"/>
        <w:tabs>
          <w:tab w:leader="none" w:pos="895" w:val="left"/>
        </w:tabs>
        <w:numPr>
          <w:ilvl w:val="1"/>
          <w:numId w:val="56"/>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left="-656" w:firstLine="1304"/>
        <w:spacing w:after="0" w:line="288" w:lineRule="auto"/>
        <w:tabs>
          <w:tab w:leader="none" w:pos="910" w:val="left"/>
        </w:tabs>
        <w:numPr>
          <w:ilvl w:val="1"/>
          <w:numId w:val="56"/>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253365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2" w:name="page83"/>
    <w:bookmarkEnd w:id="82"/>
    <w:p>
      <w:pPr>
        <w:jc w:val="both"/>
        <w:ind w:left="-656" w:firstLine="1304"/>
        <w:spacing w:after="0" w:line="255" w:lineRule="auto"/>
        <w:tabs>
          <w:tab w:leader="none" w:pos="9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192" w:lineRule="exact"/>
        <w:rPr>
          <w:rFonts w:ascii="Arial" w:cs="Arial" w:eastAsia="Arial" w:hAnsi="Arial"/>
          <w:sz w:val="18"/>
          <w:szCs w:val="18"/>
          <w:color w:val="auto"/>
        </w:rPr>
      </w:pPr>
    </w:p>
    <w:p>
      <w:pPr>
        <w:jc w:val="both"/>
        <w:ind w:left="-656" w:firstLine="1304"/>
        <w:spacing w:after="0" w:line="263" w:lineRule="auto"/>
        <w:tabs>
          <w:tab w:leader="none" w:pos="9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Business Combination, provide to the Trustee an affidavit or certificate of a firm regularly engaged in the business of soliciting proxies and/or tabulating stockholder votes verifying the vote of the Company’s stockholders regarding such Business Combination; and</w:t>
      </w:r>
    </w:p>
    <w:p>
      <w:pPr>
        <w:spacing w:after="0" w:line="183" w:lineRule="exact"/>
        <w:rPr>
          <w:rFonts w:ascii="Arial" w:cs="Arial" w:eastAsia="Arial" w:hAnsi="Arial"/>
          <w:sz w:val="18"/>
          <w:szCs w:val="18"/>
          <w:color w:val="auto"/>
        </w:rPr>
      </w:pPr>
    </w:p>
    <w:p>
      <w:pPr>
        <w:ind w:left="-656" w:firstLine="1304"/>
        <w:spacing w:after="0" w:line="277" w:lineRule="auto"/>
        <w:tabs>
          <w:tab w:leader="none" w:pos="919"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firstLine="1304"/>
        <w:spacing w:after="0" w:line="277" w:lineRule="auto"/>
        <w:tabs>
          <w:tab w:leader="none" w:pos="8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left="-656" w:firstLine="1304"/>
        <w:spacing w:after="0" w:line="263" w:lineRule="auto"/>
        <w:tabs>
          <w:tab w:leader="none" w:pos="9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884" w:hanging="236"/>
        <w:spacing w:after="0"/>
        <w:tabs>
          <w:tab w:leader="none" w:pos="8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1304"/>
        <w:spacing w:after="0" w:line="308" w:lineRule="auto"/>
        <w:tabs>
          <w:tab w:leader="none" w:pos="904" w:val="left"/>
        </w:tabs>
        <w:numPr>
          <w:ilvl w:val="1"/>
          <w:numId w:val="58"/>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left="-656" w:firstLine="1304"/>
        <w:spacing w:after="0" w:line="271" w:lineRule="auto"/>
        <w:tabs>
          <w:tab w:leader="none" w:pos="872"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left="-656" w:right="20" w:firstLine="1304"/>
        <w:spacing w:after="0" w:line="342" w:lineRule="auto"/>
        <w:tabs>
          <w:tab w:leader="none" w:pos="904" w:val="left"/>
        </w:tabs>
        <w:numPr>
          <w:ilvl w:val="1"/>
          <w:numId w:val="58"/>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23" w:lineRule="exact"/>
        <w:rPr>
          <w:rFonts w:ascii="Arial" w:cs="Arial" w:eastAsia="Arial" w:hAnsi="Arial"/>
          <w:sz w:val="16"/>
          <w:szCs w:val="16"/>
          <w:color w:val="auto"/>
        </w:rPr>
      </w:pPr>
    </w:p>
    <w:p>
      <w:pPr>
        <w:ind w:left="-656" w:firstLine="1304"/>
        <w:spacing w:after="0" w:line="308" w:lineRule="auto"/>
        <w:tabs>
          <w:tab w:leader="none" w:pos="862" w:val="left"/>
        </w:tabs>
        <w:numPr>
          <w:ilvl w:val="1"/>
          <w:numId w:val="58"/>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239395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ind w:left="-656" w:firstLine="1304"/>
        <w:spacing w:after="0" w:line="277" w:lineRule="auto"/>
        <w:tabs>
          <w:tab w:leader="none" w:pos="876" w:val="left"/>
        </w:tabs>
        <w:numPr>
          <w:ilvl w:val="1"/>
          <w:numId w:val="59"/>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left="-656" w:firstLine="656"/>
        <w:spacing w:after="0" w:line="257" w:lineRule="auto"/>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left="-656" w:firstLine="1304"/>
        <w:spacing w:after="0" w:line="271" w:lineRule="auto"/>
        <w:tabs>
          <w:tab w:leader="none" w:pos="886"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656" w:firstLine="1304"/>
        <w:spacing w:after="0" w:line="263" w:lineRule="auto"/>
        <w:tabs>
          <w:tab w:leader="none" w:pos="9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93" w:lineRule="auto"/>
        <w:tabs>
          <w:tab w:leader="none" w:pos="89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jc w:val="both"/>
        <w:ind w:left="-656" w:firstLine="1304"/>
        <w:spacing w:after="0" w:line="286" w:lineRule="auto"/>
        <w:tabs>
          <w:tab w:leader="none" w:pos="914"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left="-656" w:firstLine="1304"/>
        <w:spacing w:after="0" w:line="255" w:lineRule="auto"/>
        <w:tabs>
          <w:tab w:leader="none" w:pos="9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Chardan.As to any claim, cross-claim or counterclaim in any way relating to this Agreement, each party waives the right to trial by jury. The Trustee may require from Company counsel an opinion as to the propriety of any proposed amendment.</w:t>
      </w:r>
    </w:p>
    <w:p>
      <w:pPr>
        <w:spacing w:after="0" w:line="192" w:lineRule="exact"/>
        <w:rPr>
          <w:rFonts w:ascii="Arial" w:cs="Arial" w:eastAsia="Arial" w:hAnsi="Arial"/>
          <w:sz w:val="18"/>
          <w:szCs w:val="18"/>
          <w:color w:val="auto"/>
        </w:rPr>
      </w:pPr>
    </w:p>
    <w:p>
      <w:pPr>
        <w:ind w:left="-656" w:firstLine="1304"/>
        <w:spacing w:after="0" w:line="277" w:lineRule="auto"/>
        <w:tabs>
          <w:tab w:leader="none" w:pos="9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4" w:name="page85"/>
    <w:bookmarkEnd w:id="84"/>
    <w:p>
      <w:pPr>
        <w:ind w:left="-20" w:firstLine="1304"/>
        <w:spacing w:after="0" w:line="342" w:lineRule="auto"/>
        <w:tabs>
          <w:tab w:leader="none" w:pos="15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ind w:left="194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1500" w:hanging="216"/>
        <w:spacing w:after="0"/>
        <w:tabs>
          <w:tab w:leader="none" w:pos="1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0" w:firstLine="1304"/>
        <w:spacing w:after="0" w:line="277" w:lineRule="auto"/>
        <w:tabs>
          <w:tab w:leader="none" w:pos="15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1540" w:hanging="256"/>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CONTINENTAL STOCK TRANSFER &amp; TRUST COMPANY, as Trustee</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Francis E. Wolf,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Francis E. Wolf,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b w:val="1"/>
                <w:bCs w:val="1"/>
                <w:color w:val="auto"/>
              </w:rPr>
              <w:t>SCHEDULE 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color w:val="auto"/>
              </w:rPr>
              <w:t>Fee Item</w:t>
            </w:r>
          </w:p>
        </w:tc>
        <w:tc>
          <w:tcPr>
            <w:tcW w:w="5060" w:type="dxa"/>
            <w:vAlign w:val="bottom"/>
            <w:gridSpan w:val="2"/>
          </w:tcPr>
          <w:p>
            <w:pPr>
              <w:ind w:left="220"/>
              <w:spacing w:after="0"/>
              <w:rPr>
                <w:sz w:val="20"/>
                <w:szCs w:val="20"/>
                <w:color w:val="auto"/>
              </w:rPr>
            </w:pPr>
            <w:r>
              <w:rPr>
                <w:rFonts w:ascii="Arial" w:cs="Arial" w:eastAsia="Arial" w:hAnsi="Arial"/>
                <w:sz w:val="18"/>
                <w:szCs w:val="18"/>
                <w:b w:val="1"/>
                <w:bCs w:val="1"/>
                <w:color w:val="auto"/>
              </w:rPr>
              <w:t>Time and method of payment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2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Annual fee</w:t>
            </w:r>
          </w:p>
        </w:tc>
        <w:tc>
          <w:tcPr>
            <w:tcW w:w="506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First year, initial closing of IPO by wire transfer; thereafter on the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w w:val="98"/>
              </w:rPr>
              <w:t>anniversary of the effective date of the IPO by wire transfer 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check</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Transaction processing fee for disbursements to Company under</w:t>
            </w:r>
          </w:p>
        </w:tc>
        <w:tc>
          <w:tcPr>
            <w:tcW w:w="5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Deduction by Trustee from accumulated income following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disbursement made to Company under Section 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02"/>
        </w:trPr>
        <w:tc>
          <w:tcPr>
            <w:tcW w:w="4740" w:type="dxa"/>
            <w:vAlign w:val="bottom"/>
          </w:tcPr>
          <w:p>
            <w:pPr>
              <w:spacing w:after="0"/>
              <w:rPr>
                <w:sz w:val="17"/>
                <w:szCs w:val="17"/>
                <w:color w:val="auto"/>
              </w:rPr>
            </w:pPr>
          </w:p>
        </w:tc>
        <w:tc>
          <w:tcPr>
            <w:tcW w:w="506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Billed to Company upon delivery of service pursuant to section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Paying Agent services as required pursuant to section 1(i)</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1(i)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w w:val="99"/>
              </w:rPr>
              <w:t>Market Rate</w:t>
            </w:r>
          </w:p>
        </w:tc>
      </w:tr>
      <w:tr>
        <w:trPr>
          <w:trHeight w:val="432"/>
        </w:trPr>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Pursuant to paragraph 1(i) of the Investment Management Trust Agreement between Chardan NexTech Acquisition 2 Corp. (“Company”) and Continental Stock Transfer &amp; Trust Company (“Trustee”), dated as of August 10, 2021 (“Trust Agreement”), this is to advise you that the Company has entered into an agreement with [●] (“Target Business”) to consummate a business combination with Target Business (“Business Combination”) on or about </w:t>
      </w:r>
      <w:r>
        <w:rPr>
          <w:rFonts w:ascii="Arial" w:cs="Arial" w:eastAsia="Arial" w:hAnsi="Arial"/>
          <w:sz w:val="16"/>
          <w:szCs w:val="16"/>
          <w:b w:val="1"/>
          <w:bCs w:val="1"/>
          <w:color w:val="auto"/>
        </w:rPr>
        <w:t>[insert date]</w:t>
      </w:r>
      <w:r>
        <w:rPr>
          <w:rFonts w:ascii="Arial" w:cs="Arial" w:eastAsia="Arial" w:hAnsi="Arial"/>
          <w:sz w:val="16"/>
          <w:szCs w:val="16"/>
          <w:color w:val="auto"/>
        </w:rPr>
        <w:t>. The Company shall notify you at least 72 hours in advance of the actual date of the consummation of the Business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Date”). Capitalized terms used herein and not otherwise defined shall have the meanings set forth in the Trust Agreement.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Trust Agreement, we hereby authorize you to liquidate the Trust Account investments and to transfer the proceeds to the above-referenced account at J.P. Morgan Chase Bank, N.A.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J.P. Morgan Chase Bank, N.A awaiting distribution, the Company will not earn any interest or dividends.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the Consummation Date (i) counsel for the Company shall deliver to you written notification that the Business Combination has been consummated and (ii) the Company shall deliver to you (a) a certificate of the Chief Executive Officer, which verifies the vote of the Company’s stockholders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Jonas Grossman, Chief Executive Officer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Chardan NexTech Acquisition 2 Corp. (“Company”) and Continental Stock Transfer &amp; Trust Company (“Trustee”), dated as of August 10, 2021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and to transfer the total proceeds to the Trust Operating Account at J.P. Morgan Chase Bank, N.A to await distribution to the Public Stockholders. The Company has selected</w:t>
      </w:r>
    </w:p>
    <w:p>
      <w:pPr>
        <w:jc w:val="both"/>
        <w:ind w:firstLine="8"/>
        <w:spacing w:after="0" w:line="271" w:lineRule="auto"/>
        <w:tabs>
          <w:tab w:leader="none" w:pos="28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Jonas Grossman, Chief Executive Officer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paragraph 2(a) of the Investment Management Trust Agreement between Chardan NexTech Acquisition 2 Corp. (“Company”) and Continental Stock Transfer &amp; Trust Company (“Trustee”), dated as of August 10, 2021 (“Trust Agreement”), the Company hereby requests that you deliver to the Company $[●] of the interest income earned on the Property as of the date hereof. The Company needs such funds to pay for its tax 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Jonas Grossman, Chief Executive Officer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STOCK ESCROW AGREEMENT, dated as of August 10, 2021 (“</w:t>
      </w:r>
      <w:r>
        <w:rPr>
          <w:rFonts w:ascii="Arial" w:cs="Arial" w:eastAsia="Arial" w:hAnsi="Arial"/>
          <w:sz w:val="18"/>
          <w:szCs w:val="18"/>
          <w:b w:val="1"/>
          <w:bCs w:val="1"/>
          <w:color w:val="auto"/>
        </w:rPr>
        <w:t>Agreement</w:t>
      </w:r>
      <w:r>
        <w:rPr>
          <w:rFonts w:ascii="Arial" w:cs="Arial" w:eastAsia="Arial" w:hAnsi="Arial"/>
          <w:sz w:val="18"/>
          <w:szCs w:val="18"/>
          <w:color w:val="auto"/>
        </w:rPr>
        <w:t>”), by and among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and the initial shareholders listed on the signature pages hereto (collectively, the “</w:t>
      </w:r>
      <w:r>
        <w:rPr>
          <w:rFonts w:ascii="Arial" w:cs="Arial" w:eastAsia="Arial" w:hAnsi="Arial"/>
          <w:sz w:val="18"/>
          <w:szCs w:val="18"/>
          <w:b w:val="1"/>
          <w:bCs w:val="1"/>
          <w:color w:val="auto"/>
        </w:rPr>
        <w:t>Initial Shareholders</w:t>
      </w:r>
      <w:r>
        <w:rPr>
          <w:rFonts w:ascii="Arial" w:cs="Arial" w:eastAsia="Arial" w:hAnsi="Arial"/>
          <w:sz w:val="18"/>
          <w:szCs w:val="18"/>
          <w:color w:val="auto"/>
        </w:rPr>
        <w:t>”) and CONTINENTAL STOCK TRANSFER &amp; TRUST COMPANY, a New York corporation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the Company has entered into an Underwriting Agreement, dated as of August 10, 2021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Chardan Capital Markets, LLC (“</w:t>
      </w:r>
      <w:r>
        <w:rPr>
          <w:rFonts w:ascii="Arial" w:cs="Arial" w:eastAsia="Arial" w:hAnsi="Arial"/>
          <w:sz w:val="17"/>
          <w:szCs w:val="17"/>
          <w:b w:val="1"/>
          <w:bCs w:val="1"/>
          <w:color w:val="auto"/>
        </w:rPr>
        <w:t>Chardan</w:t>
      </w:r>
      <w:r>
        <w:rPr>
          <w:rFonts w:ascii="Arial" w:cs="Arial" w:eastAsia="Arial" w:hAnsi="Arial"/>
          <w:sz w:val="17"/>
          <w:szCs w:val="17"/>
          <w:color w:val="auto"/>
        </w:rPr>
        <w:t>”) acting as representative of the several underwriters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pursuant to which, among other matters, the Underwriters have agreed to purchase 11,000,000 units (“</w:t>
      </w:r>
      <w:r>
        <w:rPr>
          <w:rFonts w:ascii="Arial" w:cs="Arial" w:eastAsia="Arial" w:hAnsi="Arial"/>
          <w:sz w:val="17"/>
          <w:szCs w:val="17"/>
          <w:b w:val="1"/>
          <w:bCs w:val="1"/>
          <w:color w:val="auto"/>
        </w:rPr>
        <w:t>Units</w:t>
      </w:r>
      <w:r>
        <w:rPr>
          <w:rFonts w:ascii="Arial" w:cs="Arial" w:eastAsia="Arial" w:hAnsi="Arial"/>
          <w:sz w:val="17"/>
          <w:szCs w:val="17"/>
          <w:color w:val="auto"/>
        </w:rPr>
        <w:t>”) of the Company, plus an additional 1,650,000 Units if the Underwriters exercise their over-allotment option in full. Each Unit consists of one share of common stock of the Company,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three-quarters of one warrant, with each whole warrant entitling the holder thereof to purchase one share of the Common Stock at an exercise price of $11.50 per share, all as more fully described in the Company’s final Prospectus, dated August 10, 2021 (“</w:t>
      </w:r>
      <w:r>
        <w:rPr>
          <w:rFonts w:ascii="Arial" w:cs="Arial" w:eastAsia="Arial" w:hAnsi="Arial"/>
          <w:sz w:val="17"/>
          <w:szCs w:val="17"/>
          <w:b w:val="1"/>
          <w:bCs w:val="1"/>
          <w:color w:val="auto"/>
        </w:rPr>
        <w:t>Prospectus</w:t>
      </w:r>
      <w:r>
        <w:rPr>
          <w:rFonts w:ascii="Arial" w:cs="Arial" w:eastAsia="Arial" w:hAnsi="Arial"/>
          <w:sz w:val="17"/>
          <w:szCs w:val="17"/>
          <w:color w:val="auto"/>
        </w:rPr>
        <w:t>”), comprising part of the Company’s Registration Statement on Form S-1 (File No. 333-254010) under the Securities Act of 1933, as amended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declared effective on August 10, 2021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WHEREAS, the Initial Shareholders have agreed as a condition of the sale of the Units to deposit their Insider Shares (as defined in the Prospectus), as set forth opposite their respective names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w:t>
      </w:r>
      <w:r>
        <w:rPr>
          <w:rFonts w:ascii="Arial" w:cs="Arial" w:eastAsia="Arial" w:hAnsi="Arial"/>
          <w:sz w:val="16"/>
          <w:szCs w:val="16"/>
          <w:b w:val="1"/>
          <w:bCs w:val="1"/>
          <w:color w:val="auto"/>
        </w:rPr>
        <w:t>Escrow Shares</w:t>
      </w:r>
      <w:r>
        <w:rPr>
          <w:rFonts w:ascii="Arial" w:cs="Arial" w:eastAsia="Arial" w:hAnsi="Arial"/>
          <w:sz w:val="16"/>
          <w:szCs w:val="16"/>
          <w:color w:val="auto"/>
        </w:rPr>
        <w:t>”), in escrow as hereinafter provided.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firstLine="656"/>
        <w:spacing w:after="0" w:line="263" w:lineRule="auto"/>
        <w:tabs>
          <w:tab w:leader="none" w:pos="84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2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3.1 The Escrow Agent shall hold the Escrow Shares during the period (the “</w:t>
      </w:r>
      <w:r>
        <w:rPr>
          <w:rFonts w:ascii="Arial" w:cs="Arial" w:eastAsia="Arial" w:hAnsi="Arial"/>
          <w:sz w:val="16"/>
          <w:szCs w:val="16"/>
          <w:b w:val="1"/>
          <w:bCs w:val="1"/>
          <w:color w:val="auto"/>
        </w:rPr>
        <w:t>Escrow Period</w:t>
      </w:r>
      <w:r>
        <w:rPr>
          <w:rFonts w:ascii="Arial" w:cs="Arial" w:eastAsia="Arial" w:hAnsi="Arial"/>
          <w:sz w:val="16"/>
          <w:szCs w:val="16"/>
          <w:color w:val="auto"/>
        </w:rPr>
        <w:t>”) commencing on the date hereof and (i) for 50% of the Escrow Shares, ending on the earlier of (x) six months after the date of the consummation of the Company’s initial business combination (as described in the Registration Statement, hereinafter a “</w:t>
      </w:r>
      <w:r>
        <w:rPr>
          <w:rFonts w:ascii="Arial" w:cs="Arial" w:eastAsia="Arial" w:hAnsi="Arial"/>
          <w:sz w:val="16"/>
          <w:szCs w:val="16"/>
          <w:b w:val="1"/>
          <w:bCs w:val="1"/>
          <w:color w:val="auto"/>
        </w:rPr>
        <w:t>Business Combination</w:t>
      </w:r>
      <w:r>
        <w:rPr>
          <w:rFonts w:ascii="Arial" w:cs="Arial" w:eastAsia="Arial" w:hAnsi="Arial"/>
          <w:sz w:val="16"/>
          <w:szCs w:val="16"/>
          <w:color w:val="auto"/>
        </w:rPr>
        <w:t>”) and (y) the date on which the closing price of the Common Stock equals or exceeds $12.50 per share (as adjusted for stock splits, stock dividends, reorganizations and recapitalizations) for any 10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an initial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firstLine="1296"/>
        <w:spacing w:after="0" w:line="271" w:lineRule="auto"/>
        <w:rPr>
          <w:sz w:val="20"/>
          <w:szCs w:val="20"/>
          <w:color w:val="auto"/>
        </w:rPr>
      </w:pPr>
      <w:r>
        <w:rPr>
          <w:rFonts w:ascii="Arial" w:cs="Arial" w:eastAsia="Arial" w:hAnsi="Arial"/>
          <w:sz w:val="17"/>
          <w:szCs w:val="17"/>
          <w:color w:val="auto"/>
        </w:rPr>
        <w:t xml:space="preserve">3.2 Notwithstanding Section 3.1, if the Underwriters do not exercise their over-allotment option to purchase an additional 1,650,000 Units of the Company in full within 45 days of the date of the Prospectus (as described in the Underwriting Agreement), the Initial Shareholders agree that the Escrow Agent shall return to the Company for cancellation, at no cost, the number of Escrow Shares held by the Initial Shareholders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determined by multiplying (a) the product of (i) 412,500 multiplied by (ii) a fraction, (x) the numerator of which is the number of Escrow Shares held by each such holder, and (y) the denominator of which is the total number of Escrow Shares, by (b) a fraction, (i) the numerator of which is 1,650,000 minus the number of shares of Common Stock purchased by the Underwriters upon the exercise of their over-allotment option, and (ii) the denominator of which is 1,650,000.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3.3 On the termination date of the Escrow Period, the Escrow Agent shall, upon written instructions from the Company disburse the Escrow shares as set forth in such instructions.</w:t>
      </w:r>
    </w:p>
    <w:p>
      <w:pPr>
        <w:spacing w:after="0" w:line="170" w:lineRule="exact"/>
        <w:rPr>
          <w:sz w:val="20"/>
          <w:szCs w:val="20"/>
          <w:color w:val="auto"/>
        </w:rPr>
      </w:pPr>
    </w:p>
    <w:p>
      <w:pPr>
        <w:ind w:left="840" w:hanging="184"/>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w:t>
      </w:r>
      <w:r>
        <w:rPr>
          <w:rFonts w:ascii="Arial" w:cs="Arial" w:eastAsia="Arial" w:hAnsi="Arial"/>
          <w:sz w:val="18"/>
          <w:szCs w:val="18"/>
          <w:b w:val="1"/>
          <w:bCs w:val="1"/>
          <w:color w:val="auto"/>
        </w:rPr>
        <w:t>Non-Cash</w:t>
      </w:r>
      <w:r>
        <w:rPr>
          <w:rFonts w:ascii="Arial" w:cs="Arial" w:eastAsia="Arial" w:hAnsi="Arial"/>
          <w:sz w:val="18"/>
          <w:szCs w:val="18"/>
          <w:color w:val="auto"/>
        </w:rPr>
        <w:t xml:space="preserve"> </w:t>
      </w:r>
      <w:r>
        <w:rPr>
          <w:rFonts w:ascii="Arial" w:cs="Arial" w:eastAsia="Arial" w:hAnsi="Arial"/>
          <w:sz w:val="18"/>
          <w:szCs w:val="18"/>
          <w:b w:val="1"/>
          <w:bCs w:val="1"/>
          <w:color w:val="auto"/>
        </w:rPr>
        <w:t>Dividends</w:t>
      </w:r>
      <w:r>
        <w:rPr>
          <w:rFonts w:ascii="Arial" w:cs="Arial" w:eastAsia="Arial" w:hAnsi="Arial"/>
          <w:sz w:val="18"/>
          <w:szCs w:val="18"/>
          <w:color w:val="auto"/>
        </w:rPr>
        <w:t>”) shall be delivered to the Escrow Agent to hold in accordance with the terms hereof. As used herein, the term “</w:t>
      </w:r>
      <w:r>
        <w:rPr>
          <w:rFonts w:ascii="Arial" w:cs="Arial" w:eastAsia="Arial" w:hAnsi="Arial"/>
          <w:sz w:val="18"/>
          <w:szCs w:val="18"/>
          <w:b w:val="1"/>
          <w:bCs w:val="1"/>
          <w:color w:val="auto"/>
        </w:rPr>
        <w:t>Escrow Shares</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include the Non-Cash Dividends distributed thereon, if any.</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to (1) Chardan NexTech Investments 2 LLC, and its affiliates, officers, directors, stockholders, employees and members, (2) to the Company’s pre-IPO stockholders or their respective affiliates, or to the Company’s offices, directors, advisors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412,500 shares of Common Stock subject to forfeiture to the extent that the Underwriters’ over-allotment is not exercised in full or in part or in connection with the consummation of our initial Business Combination, in each case (except for clause 9 or with our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xml:space="preserve">. Each of the Initial Shareholders has executed a letter agreement with Chardan and the Company, dated as indicated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the form of which is filed as an exhibit to the Registration Statement (“</w:t>
      </w:r>
      <w:r>
        <w:rPr>
          <w:rFonts w:ascii="Arial" w:cs="Arial" w:eastAsia="Arial" w:hAnsi="Arial"/>
          <w:sz w:val="18"/>
          <w:szCs w:val="18"/>
          <w:b w:val="1"/>
          <w:bCs w:val="1"/>
          <w:color w:val="auto"/>
        </w:rPr>
        <w:t>Insider Letter</w:t>
      </w:r>
      <w:r>
        <w:rPr>
          <w:rFonts w:ascii="Arial" w:cs="Arial" w:eastAsia="Arial" w:hAnsi="Arial"/>
          <w:sz w:val="18"/>
          <w:szCs w:val="18"/>
          <w:color w:val="auto"/>
        </w:rPr>
        <w:t>”), respecting the rights and obligations of such Initial Shareholder in certain events, including but not limited to the liquidation of the Company.</w:t>
      </w:r>
    </w:p>
    <w:p>
      <w:pPr>
        <w:spacing w:after="0" w:line="184" w:lineRule="exact"/>
        <w:rPr>
          <w:sz w:val="20"/>
          <w:szCs w:val="20"/>
          <w:color w:val="auto"/>
        </w:rPr>
      </w:pPr>
    </w:p>
    <w:p>
      <w:pPr>
        <w:ind w:left="840" w:hanging="184"/>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6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184" w:lineRule="exact"/>
        <w:rPr>
          <w:sz w:val="20"/>
          <w:szCs w:val="20"/>
          <w:color w:val="auto"/>
        </w:rPr>
      </w:pPr>
    </w:p>
    <w:p>
      <w:pPr>
        <w:ind w:left="840" w:hanging="184"/>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beneficiary of this Agreement and this Agreement may not be modified or changed without the prior written consent of Chardan.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Chardan NexTech Acquisition 2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00" w:lineRule="exact"/>
        <w:rPr>
          <w:sz w:val="20"/>
          <w:szCs w:val="20"/>
          <w:color w:val="auto"/>
        </w:rPr>
      </w:pPr>
    </w:p>
    <w:p>
      <w:pPr>
        <w:sectPr>
          <w:pgSz w:w="11900" w:h="16838" w:orient="portrait"/>
          <w:cols w:equalWidth="0" w:num="2">
            <w:col w:w="3100" w:space="720"/>
            <w:col w:w="7420"/>
          </w:cols>
          <w:pgMar w:left="320" w:top="908" w:right="339" w:bottom="1440" w:gutter="0" w:footer="0" w:header="0"/>
          <w:type w:val="continuous"/>
        </w:sectPr>
      </w:pPr>
    </w:p>
    <w:p>
      <w:pPr>
        <w:spacing w:after="0" w:line="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If to a Shareholder, to his address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4" w:name="page95"/>
    <w:bookmarkEnd w:id="94"/>
    <w:p>
      <w:pPr>
        <w:ind w:left="680"/>
        <w:spacing w:after="0"/>
        <w:tabs>
          <w:tab w:leader="none" w:pos="3800" w:val="left"/>
        </w:tabs>
        <w:rPr>
          <w:sz w:val="20"/>
          <w:szCs w:val="20"/>
          <w:color w:val="auto"/>
        </w:rPr>
      </w:pPr>
      <w:r>
        <w:rPr>
          <w:rFonts w:ascii="Arial" w:cs="Arial" w:eastAsia="Arial" w:hAnsi="Arial"/>
          <w:sz w:val="18"/>
          <w:szCs w:val="18"/>
          <w:color w:val="auto"/>
        </w:rPr>
        <w:t>and if to the Escrow Agent, to:</w:t>
      </w:r>
      <w:r>
        <w:rPr>
          <w:sz w:val="20"/>
          <w:szCs w:val="20"/>
          <w:color w:val="auto"/>
        </w:rPr>
        <w:tab/>
      </w:r>
      <w:r>
        <w:rPr>
          <w:rFonts w:ascii="Arial" w:cs="Arial" w:eastAsia="Arial" w:hAnsi="Arial"/>
          <w:sz w:val="16"/>
          <w:szCs w:val="16"/>
          <w:color w:val="auto"/>
        </w:rPr>
        <w:t>Continental Stock Transfer &amp; Trust Company</w:t>
      </w:r>
    </w:p>
    <w:p>
      <w:pPr>
        <w:ind w:left="382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Attn: Erika Young</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Fax: (646) 465-9039</w:t>
      </w:r>
    </w:p>
    <w:p>
      <w:pPr>
        <w:spacing w:after="0" w:line="211"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Reed Smith LLP</w:t>
      </w:r>
    </w:p>
    <w:p>
      <w:pPr>
        <w:spacing w:after="0" w:line="29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599 Lexington Avenue</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Greenberg Traurig LLP</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Met Life Building, 200 Park Avenue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Attn: Jason Simon, Esq.</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Fax: (212) 801-6400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Alex Weil</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Margaret B.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Margaret B. Lloyd</w:t>
      </w:r>
    </w:p>
    <w:p>
      <w:pPr>
        <w:spacing w:after="0" w:line="23"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Jonathan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Jonathan Biele</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Perry Boyle</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Roderick Hardamon</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Jory Des Jardins</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Hitesh Thakrar</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Todd Thomson</w:t>
      </w:r>
    </w:p>
    <w:p>
      <w:pPr>
        <w:spacing w:after="0" w:line="224" w:lineRule="exact"/>
        <w:rPr>
          <w:sz w:val="20"/>
          <w:szCs w:val="20"/>
          <w:color w:val="auto"/>
        </w:rPr>
      </w:pPr>
    </w:p>
    <w:p>
      <w:pPr>
        <w:ind w:left="3540"/>
        <w:spacing w:after="0"/>
        <w:rPr>
          <w:sz w:val="20"/>
          <w:szCs w:val="20"/>
          <w:color w:val="auto"/>
        </w:rPr>
      </w:pP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453"/>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Initial Stockholders</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18"/>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gridSpan w:val="3"/>
          </w:tcPr>
          <w:p>
            <w:pPr>
              <w:jc w:val="center"/>
              <w:ind w:right="1140"/>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24"/>
                <w:szCs w:val="24"/>
                <w:color w:val="auto"/>
              </w:rPr>
            </w:pPr>
          </w:p>
        </w:tc>
        <w:tc>
          <w:tcPr>
            <w:tcW w:w="3920" w:type="dxa"/>
            <w:vAlign w:val="bottom"/>
          </w:tcPr>
          <w:p>
            <w:pPr>
              <w:jc w:val="right"/>
              <w:ind w:right="1630"/>
              <w:spacing w:after="0"/>
              <w:rPr>
                <w:sz w:val="20"/>
                <w:szCs w:val="20"/>
                <w:color w:val="auto"/>
              </w:rPr>
            </w:pPr>
            <w:r>
              <w:rPr>
                <w:rFonts w:ascii="Arial" w:cs="Arial" w:eastAsia="Arial" w:hAnsi="Arial"/>
                <w:sz w:val="18"/>
                <w:szCs w:val="18"/>
                <w:color w:val="auto"/>
              </w:rPr>
              <w:t>Date of</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Name of Initial Shareholder</w:t>
            </w:r>
          </w:p>
        </w:tc>
        <w:tc>
          <w:tcPr>
            <w:tcW w:w="980" w:type="dxa"/>
            <w:vAlign w:val="bottom"/>
          </w:tcPr>
          <w:p>
            <w:pPr>
              <w:spacing w:after="0"/>
              <w:rPr>
                <w:sz w:val="20"/>
                <w:szCs w:val="20"/>
                <w:color w:val="auto"/>
              </w:rPr>
            </w:pPr>
          </w:p>
        </w:tc>
        <w:tc>
          <w:tcPr>
            <w:tcW w:w="2040" w:type="dxa"/>
            <w:vAlign w:val="bottom"/>
            <w:gridSpan w:val="3"/>
          </w:tcPr>
          <w:p>
            <w:pPr>
              <w:jc w:val="center"/>
              <w:ind w:right="10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20"/>
                <w:szCs w:val="20"/>
                <w:color w:val="auto"/>
              </w:rPr>
            </w:pPr>
          </w:p>
        </w:tc>
        <w:tc>
          <w:tcPr>
            <w:tcW w:w="3920" w:type="dxa"/>
            <w:vAlign w:val="bottom"/>
          </w:tcPr>
          <w:p>
            <w:pPr>
              <w:jc w:val="right"/>
              <w:ind w:right="1390"/>
              <w:spacing w:after="0"/>
              <w:rPr>
                <w:sz w:val="20"/>
                <w:szCs w:val="20"/>
                <w:color w:val="auto"/>
              </w:rPr>
            </w:pPr>
            <w:r>
              <w:rPr>
                <w:rFonts w:ascii="Arial" w:cs="Arial" w:eastAsia="Arial" w:hAnsi="Arial"/>
                <w:sz w:val="18"/>
                <w:szCs w:val="18"/>
                <w:color w:val="auto"/>
              </w:rPr>
              <w:t>Insider Letter</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NexTech Investments 2 LLC</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3,030,500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jc w:val="right"/>
              <w:ind w:right="2650"/>
              <w:spacing w:after="0"/>
              <w:rPr>
                <w:sz w:val="20"/>
                <w:szCs w:val="20"/>
                <w:color w:val="auto"/>
              </w:rPr>
            </w:pPr>
            <w:r>
              <w:rPr>
                <w:rFonts w:ascii="Arial" w:cs="Arial" w:eastAsia="Arial" w:hAnsi="Arial"/>
                <w:sz w:val="18"/>
                <w:szCs w:val="18"/>
                <w:color w:val="auto"/>
                <w:w w:val="88"/>
              </w:rPr>
              <w:t>August 10 ,2021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3020" w:type="dxa"/>
            <w:vAlign w:val="bottom"/>
            <w:gridSpan w:val="4"/>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Perry Boyle</w:t>
            </w:r>
          </w:p>
        </w:tc>
        <w:tc>
          <w:tcPr>
            <w:tcW w:w="3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3020" w:type="dxa"/>
            <w:vAlign w:val="bottom"/>
            <w:gridSpan w:val="4"/>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3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Hitesh Thakrar</w:t>
            </w:r>
          </w:p>
        </w:tc>
        <w:tc>
          <w:tcPr>
            <w:tcW w:w="3020" w:type="dxa"/>
            <w:vAlign w:val="bottom"/>
            <w:gridSpan w:val="4"/>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Thomson</w:t>
            </w:r>
          </w:p>
        </w:tc>
        <w:tc>
          <w:tcPr>
            <w:tcW w:w="3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404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w w:val="97"/>
              </w:rPr>
              <w:t>August 10 ,2021</w:t>
            </w:r>
          </w:p>
        </w:tc>
      </w:tr>
      <w:tr>
        <w:trPr>
          <w:trHeight w:val="432"/>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Escrow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 – 412,500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Insider Letter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9" w:name="page100"/>
    <w:bookmarkEnd w:id="99"/>
    <w:p>
      <w:pPr>
        <w:ind w:left="10260"/>
        <w:spacing w:after="0"/>
        <w:rPr>
          <w:sz w:val="20"/>
          <w:szCs w:val="20"/>
          <w:color w:val="auto"/>
        </w:rPr>
      </w:pPr>
      <w:r>
        <w:rPr>
          <w:rFonts w:ascii="Arial" w:cs="Arial" w:eastAsia="Arial" w:hAnsi="Arial"/>
          <w:sz w:val="17"/>
          <w:szCs w:val="17"/>
          <w:b w:val="1"/>
          <w:bCs w:val="1"/>
          <w:color w:val="auto"/>
        </w:rPr>
        <w:t>Exhibit 10.4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3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Private Warrants</w:t>
      </w:r>
      <w:r>
        <w:rPr>
          <w:rFonts w:ascii="Arial" w:cs="Arial" w:eastAsia="Arial" w:hAnsi="Arial"/>
          <w:sz w:val="17"/>
          <w:szCs w:val="17"/>
          <w:color w:val="auto"/>
        </w:rPr>
        <w:t>” means the 4,361,456 (or up to 4,627,858 depending on the extent to which the Underwriters’ overallotment option is exercised) Warrants the Investors are privately purchasing simultaneously with the consummation of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August 10,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three-quarters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333-254010)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left="1960" w:firstLine="640"/>
        <w:spacing w:after="0" w:line="287" w:lineRule="auto"/>
        <w:tabs>
          <w:tab w:leader="none" w:pos="2876"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2"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840" w:hanging="184"/>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192"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78"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6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333-254010),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2 Warrant Holdings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2 Warrant Holdings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2 WARRANT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Biele</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Perry Boyle</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Hardamon</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Jory Des Jardins</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Hitesh Thakrar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Todd Thomson</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113" w:name="page114"/>
    <w:bookmarkEnd w:id="113"/>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2 Warrant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Biele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Perry Boyle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Roderick Hardamon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Jory Des Jardins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Hitesh Thakrar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Todd Thomson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August 10, 2021, by and between Chardan NexTech Acquisition 2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firstLine="648"/>
        <w:spacing w:after="0" w:line="28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covenants contained herein and subject to the provisions of the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dates as of August 10, 2021, between the Company and Indemnitee pursuant to the Underwriting Agreement between the Company and the Underwriters in connection with the Company’s initial public offering, the Company and Indemnitee do hereby covenant and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75"/>
        </w:numPr>
        <w:rPr>
          <w:rFonts w:ascii="Arial" w:cs="Arial" w:eastAsia="Arial" w:hAnsi="Arial"/>
          <w:sz w:val="18"/>
          <w:szCs w:val="18"/>
          <w:b w:val="1"/>
          <w:bCs w:val="1"/>
          <w:color w:val="010000"/>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7" w:lineRule="exact"/>
        <w:rPr>
          <w:rFonts w:ascii="Arial" w:cs="Arial" w:eastAsia="Arial" w:hAnsi="Arial"/>
          <w:sz w:val="18"/>
          <w:szCs w:val="18"/>
          <w:b w:val="1"/>
          <w:bCs w:val="1"/>
          <w:color w:val="010000"/>
        </w:rPr>
      </w:pPr>
    </w:p>
    <w:p>
      <w:pPr>
        <w:ind w:left="340" w:hanging="332"/>
        <w:spacing w:after="0"/>
        <w:tabs>
          <w:tab w:leader="none" w:pos="340" w:val="left"/>
        </w:tabs>
        <w:numPr>
          <w:ilvl w:val="0"/>
          <w:numId w:val="75"/>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010000"/>
        </w:rPr>
      </w:pPr>
    </w:p>
    <w:p>
      <w:pPr>
        <w:jc w:val="both"/>
        <w:ind w:left="340" w:hanging="8"/>
        <w:spacing w:after="0" w:line="259" w:lineRule="auto"/>
        <w:tabs>
          <w:tab w:leader="none" w:pos="598"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010000"/>
        </w:rPr>
      </w:pPr>
    </w:p>
    <w:p>
      <w:pPr>
        <w:ind w:left="340" w:right="20" w:hanging="8"/>
        <w:spacing w:after="0" w:line="277" w:lineRule="auto"/>
        <w:tabs>
          <w:tab w:leader="none" w:pos="595"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010000"/>
        </w:rPr>
      </w:pPr>
    </w:p>
    <w:p>
      <w:pPr>
        <w:ind w:left="580" w:hanging="248"/>
        <w:spacing w:after="0"/>
        <w:tabs>
          <w:tab w:leader="none" w:pos="580" w:val="left"/>
        </w:tabs>
        <w:numPr>
          <w:ilvl w:val="1"/>
          <w:numId w:val="75"/>
        </w:numPr>
        <w:rPr>
          <w:rFonts w:ascii="Arial" w:cs="Arial" w:eastAsia="Arial" w:hAnsi="Arial"/>
          <w:sz w:val="17"/>
          <w:szCs w:val="17"/>
          <w:color w:val="010000"/>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010000"/>
        </w:rPr>
      </w:pPr>
    </w:p>
    <w:p>
      <w:pPr>
        <w:jc w:val="both"/>
        <w:ind w:left="660" w:hanging="4"/>
        <w:spacing w:after="0" w:line="293" w:lineRule="auto"/>
        <w:tabs>
          <w:tab w:leader="none" w:pos="875" w:val="left"/>
        </w:tabs>
        <w:numPr>
          <w:ilvl w:val="2"/>
          <w:numId w:val="75"/>
        </w:numPr>
        <w:rPr>
          <w:rFonts w:ascii="Arial" w:cs="Arial" w:eastAsia="Arial" w:hAnsi="Arial"/>
          <w:sz w:val="16"/>
          <w:szCs w:val="16"/>
          <w:color w:val="010000"/>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Chardan Investments 2 LLC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010000"/>
        </w:rPr>
      </w:pPr>
    </w:p>
    <w:p>
      <w:pPr>
        <w:jc w:val="both"/>
        <w:ind w:left="660" w:hanging="4"/>
        <w:spacing w:after="0" w:line="259" w:lineRule="auto"/>
        <w:tabs>
          <w:tab w:leader="none" w:pos="925" w:val="left"/>
        </w:tabs>
        <w:numPr>
          <w:ilvl w:val="2"/>
          <w:numId w:val="75"/>
        </w:numPr>
        <w:rPr>
          <w:rFonts w:ascii="Arial" w:cs="Arial" w:eastAsia="Arial" w:hAnsi="Arial"/>
          <w:sz w:val="18"/>
          <w:szCs w:val="18"/>
          <w:color w:val="010000"/>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010000"/>
        </w:rPr>
      </w:pPr>
    </w:p>
    <w:p>
      <w:pPr>
        <w:jc w:val="both"/>
        <w:ind w:left="660" w:hanging="4"/>
        <w:spacing w:after="0" w:line="286" w:lineRule="auto"/>
        <w:tabs>
          <w:tab w:leader="none" w:pos="988" w:val="left"/>
        </w:tabs>
        <w:numPr>
          <w:ilvl w:val="2"/>
          <w:numId w:val="75"/>
        </w:numPr>
        <w:rPr>
          <w:rFonts w:ascii="Arial" w:cs="Arial" w:eastAsia="Arial" w:hAnsi="Arial"/>
          <w:sz w:val="16"/>
          <w:szCs w:val="16"/>
          <w:color w:val="010000"/>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328" w:hanging="4"/>
        <w:spacing w:after="0" w:line="259" w:lineRule="auto"/>
        <w:tabs>
          <w:tab w:leader="none" w:pos="660" w:val="left"/>
        </w:tabs>
        <w:numPr>
          <w:ilvl w:val="1"/>
          <w:numId w:val="76"/>
        </w:numPr>
        <w:rPr>
          <w:rFonts w:ascii="Arial" w:cs="Arial" w:eastAsia="Arial" w:hAnsi="Arial"/>
          <w:sz w:val="18"/>
          <w:szCs w:val="18"/>
          <w:color w:val="010000"/>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010000"/>
        </w:rPr>
      </w:pPr>
    </w:p>
    <w:p>
      <w:pPr>
        <w:jc w:val="both"/>
        <w:ind w:left="328" w:hanging="4"/>
        <w:spacing w:after="0" w:line="263" w:lineRule="auto"/>
        <w:tabs>
          <w:tab w:leader="none" w:pos="596" w:val="left"/>
        </w:tabs>
        <w:numPr>
          <w:ilvl w:val="1"/>
          <w:numId w:val="76"/>
        </w:numPr>
        <w:rPr>
          <w:rFonts w:ascii="Arial" w:cs="Arial" w:eastAsia="Arial" w:hAnsi="Arial"/>
          <w:sz w:val="18"/>
          <w:szCs w:val="18"/>
          <w:color w:val="010000"/>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010000"/>
        </w:rPr>
      </w:pPr>
    </w:p>
    <w:p>
      <w:pPr>
        <w:ind w:left="8" w:hanging="8"/>
        <w:spacing w:after="0" w:line="342" w:lineRule="auto"/>
        <w:tabs>
          <w:tab w:leader="none" w:pos="263"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010000"/>
        </w:rPr>
      </w:pPr>
    </w:p>
    <w:p>
      <w:pPr>
        <w:ind w:left="248" w:hanging="248"/>
        <w:spacing w:after="0"/>
        <w:tabs>
          <w:tab w:leader="none" w:pos="248"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010000"/>
        </w:rPr>
      </w:pPr>
    </w:p>
    <w:p>
      <w:pPr>
        <w:ind w:left="8" w:hanging="8"/>
        <w:spacing w:after="0" w:line="277" w:lineRule="auto"/>
        <w:tabs>
          <w:tab w:leader="none" w:pos="23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010000"/>
        </w:rPr>
      </w:pPr>
    </w:p>
    <w:p>
      <w:pPr>
        <w:jc w:val="both"/>
        <w:ind w:left="8" w:hanging="8"/>
        <w:spacing w:after="0" w:line="259" w:lineRule="auto"/>
        <w:tabs>
          <w:tab w:leader="none" w:pos="26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010000"/>
        </w:rPr>
      </w:pPr>
    </w:p>
    <w:p>
      <w:pPr>
        <w:ind w:left="248" w:hanging="248"/>
        <w:spacing w:after="0"/>
        <w:tabs>
          <w:tab w:leader="none" w:pos="248"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010000"/>
        </w:rPr>
      </w:pPr>
    </w:p>
    <w:p>
      <w:pPr>
        <w:jc w:val="both"/>
        <w:ind w:left="8" w:hanging="8"/>
        <w:spacing w:after="0" w:line="289" w:lineRule="auto"/>
        <w:tabs>
          <w:tab w:leader="none" w:pos="250"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010000"/>
        </w:rPr>
      </w:pPr>
    </w:p>
    <w:p>
      <w:pPr>
        <w:jc w:val="both"/>
        <w:ind w:left="8" w:hanging="8"/>
        <w:spacing w:after="0" w:line="255" w:lineRule="auto"/>
        <w:tabs>
          <w:tab w:leader="none" w:pos="22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268605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17" w:name="page118"/>
    <w:bookmarkEnd w:id="117"/>
    <w:p>
      <w:pPr>
        <w:jc w:val="both"/>
        <w:ind w:left="332" w:hanging="8"/>
        <w:spacing w:after="0" w:line="287" w:lineRule="auto"/>
        <w:tabs>
          <w:tab w:leader="none" w:pos="587" w:val="left"/>
        </w:tabs>
        <w:numPr>
          <w:ilvl w:val="1"/>
          <w:numId w:val="7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010000"/>
        </w:rPr>
      </w:pPr>
    </w:p>
    <w:p>
      <w:pPr>
        <w:jc w:val="both"/>
        <w:ind w:left="332" w:hanging="8"/>
        <w:spacing w:after="0" w:line="277" w:lineRule="auto"/>
        <w:tabs>
          <w:tab w:leader="none" w:pos="602" w:val="left"/>
        </w:tabs>
        <w:numPr>
          <w:ilvl w:val="1"/>
          <w:numId w:val="79"/>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332" w:hanging="8"/>
        <w:spacing w:after="0" w:line="293" w:lineRule="auto"/>
        <w:tabs>
          <w:tab w:leader="none" w:pos="547" w:val="left"/>
        </w:tabs>
        <w:numPr>
          <w:ilvl w:val="1"/>
          <w:numId w:val="80"/>
        </w:numPr>
        <w:rPr>
          <w:rFonts w:ascii="Arial" w:cs="Arial" w:eastAsia="Arial" w:hAnsi="Arial"/>
          <w:sz w:val="16"/>
          <w:szCs w:val="16"/>
          <w:color w:val="010000"/>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010000"/>
        </w:rPr>
      </w:pPr>
    </w:p>
    <w:p>
      <w:pPr>
        <w:jc w:val="both"/>
        <w:ind w:left="332" w:hanging="8"/>
        <w:spacing w:after="0" w:line="272" w:lineRule="auto"/>
        <w:tabs>
          <w:tab w:leader="none" w:pos="664" w:val="left"/>
        </w:tabs>
        <w:numPr>
          <w:ilvl w:val="1"/>
          <w:numId w:val="80"/>
        </w:numPr>
        <w:rPr>
          <w:rFonts w:ascii="Arial" w:cs="Arial" w:eastAsia="Arial" w:hAnsi="Arial"/>
          <w:sz w:val="17"/>
          <w:szCs w:val="17"/>
          <w:color w:val="010000"/>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010000"/>
        </w:rPr>
      </w:pPr>
    </w:p>
    <w:p>
      <w:pPr>
        <w:ind w:left="332" w:hanging="8"/>
        <w:spacing w:after="0" w:line="308" w:lineRule="auto"/>
        <w:tabs>
          <w:tab w:leader="none" w:pos="587" w:val="left"/>
        </w:tabs>
        <w:numPr>
          <w:ilvl w:val="1"/>
          <w:numId w:val="80"/>
        </w:numPr>
        <w:rPr>
          <w:rFonts w:ascii="Arial" w:cs="Arial" w:eastAsia="Arial" w:hAnsi="Arial"/>
          <w:sz w:val="17"/>
          <w:szCs w:val="17"/>
          <w:color w:val="010000"/>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rFonts w:ascii="Arial" w:cs="Arial" w:eastAsia="Arial" w:hAnsi="Arial"/>
          <w:sz w:val="17"/>
          <w:szCs w:val="17"/>
          <w:color w:val="010000"/>
        </w:rPr>
      </w:pPr>
    </w:p>
    <w:p>
      <w:pPr>
        <w:jc w:val="both"/>
        <w:ind w:left="332" w:hanging="332"/>
        <w:spacing w:after="0" w:line="271" w:lineRule="auto"/>
        <w:tabs>
          <w:tab w:leader="none" w:pos="332" w:val="left"/>
        </w:tabs>
        <w:numPr>
          <w:ilvl w:val="0"/>
          <w:numId w:val="81"/>
        </w:numPr>
        <w:rPr>
          <w:rFonts w:ascii="Arial" w:cs="Arial" w:eastAsia="Arial" w:hAnsi="Arial"/>
          <w:sz w:val="17"/>
          <w:szCs w:val="17"/>
          <w:b w:val="1"/>
          <w:bCs w:val="1"/>
          <w:color w:val="010000"/>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18" w:name="page119"/>
    <w:bookmarkEnd w:id="118"/>
    <w:p>
      <w:pPr>
        <w:jc w:val="both"/>
        <w:ind w:left="332" w:hanging="332"/>
        <w:spacing w:after="0" w:line="270" w:lineRule="auto"/>
        <w:tabs>
          <w:tab w:leader="none" w:pos="332" w:val="left"/>
        </w:tabs>
        <w:numPr>
          <w:ilvl w:val="0"/>
          <w:numId w:val="82"/>
        </w:numPr>
        <w:rPr>
          <w:rFonts w:ascii="Arial" w:cs="Arial" w:eastAsia="Arial" w:hAnsi="Arial"/>
          <w:sz w:val="17"/>
          <w:szCs w:val="17"/>
          <w:b w:val="1"/>
          <w:bCs w:val="1"/>
          <w:color w:val="010000"/>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To the fullest extent permitted by applicable law,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76" w:lineRule="exact"/>
        <w:rPr>
          <w:rFonts w:ascii="Arial" w:cs="Arial" w:eastAsia="Arial" w:hAnsi="Arial"/>
          <w:sz w:val="17"/>
          <w:szCs w:val="17"/>
          <w:b w:val="1"/>
          <w:bCs w:val="1"/>
          <w:color w:val="010000"/>
        </w:rPr>
      </w:pPr>
    </w:p>
    <w:p>
      <w:pPr>
        <w:jc w:val="both"/>
        <w:ind w:left="332" w:hanging="332"/>
        <w:spacing w:after="0" w:line="269" w:lineRule="auto"/>
        <w:tabs>
          <w:tab w:leader="none" w:pos="332" w:val="left"/>
        </w:tabs>
        <w:numPr>
          <w:ilvl w:val="0"/>
          <w:numId w:val="82"/>
        </w:numPr>
        <w:rPr>
          <w:rFonts w:ascii="Arial" w:cs="Arial" w:eastAsia="Arial" w:hAnsi="Arial"/>
          <w:sz w:val="17"/>
          <w:szCs w:val="17"/>
          <w:b w:val="1"/>
          <w:bCs w:val="1"/>
          <w:color w:val="010000"/>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b w:val="1"/>
          <w:bCs w:val="1"/>
          <w:color w:val="010000"/>
        </w:rPr>
      </w:pPr>
    </w:p>
    <w:p>
      <w:pPr>
        <w:jc w:val="both"/>
        <w:ind w:left="332" w:hanging="332"/>
        <w:spacing w:after="0" w:line="261" w:lineRule="auto"/>
        <w:tabs>
          <w:tab w:leader="none" w:pos="332" w:val="left"/>
        </w:tabs>
        <w:numPr>
          <w:ilvl w:val="0"/>
          <w:numId w:val="82"/>
        </w:numPr>
        <w:rPr>
          <w:rFonts w:ascii="Arial" w:cs="Arial" w:eastAsia="Arial" w:hAnsi="Arial"/>
          <w:sz w:val="18"/>
          <w:szCs w:val="18"/>
          <w:b w:val="1"/>
          <w:bCs w:val="1"/>
          <w:color w:val="010000"/>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179" w:lineRule="exact"/>
        <w:rPr>
          <w:rFonts w:ascii="Arial" w:cs="Arial" w:eastAsia="Arial" w:hAnsi="Arial"/>
          <w:sz w:val="18"/>
          <w:szCs w:val="18"/>
          <w:b w:val="1"/>
          <w:bCs w:val="1"/>
          <w:color w:val="010000"/>
        </w:rPr>
      </w:pPr>
    </w:p>
    <w:p>
      <w:pPr>
        <w:jc w:val="both"/>
        <w:ind w:left="332" w:hanging="332"/>
        <w:spacing w:after="0" w:line="272" w:lineRule="auto"/>
        <w:tabs>
          <w:tab w:leader="none" w:pos="332" w:val="left"/>
        </w:tabs>
        <w:numPr>
          <w:ilvl w:val="0"/>
          <w:numId w:val="82"/>
        </w:numPr>
        <w:rPr>
          <w:rFonts w:ascii="Arial" w:cs="Arial" w:eastAsia="Arial" w:hAnsi="Arial"/>
          <w:sz w:val="17"/>
          <w:szCs w:val="17"/>
          <w:b w:val="1"/>
          <w:bCs w:val="1"/>
          <w:color w:val="010000"/>
        </w:rPr>
      </w:pPr>
      <w:r>
        <w:rPr>
          <w:rFonts w:ascii="Arial" w:cs="Arial" w:eastAsia="Arial" w:hAnsi="Arial"/>
          <w:sz w:val="17"/>
          <w:szCs w:val="17"/>
          <w:b w:val="1"/>
          <w:bCs w:val="1"/>
          <w:color w:val="auto"/>
        </w:rPr>
        <w:t>ADDITIONAL INDEMNIFICATION, HOLD HARMLESS AND EXONERATION RIGHTS</w:t>
      </w:r>
      <w:r>
        <w:rPr>
          <w:rFonts w:ascii="Arial" w:cs="Arial" w:eastAsia="Arial" w:hAnsi="Arial"/>
          <w:sz w:val="17"/>
          <w:szCs w:val="17"/>
          <w:color w:val="auto"/>
        </w:rPr>
        <w:t>. Notwithstanding any limitation in Sections 3, 4, or</w:t>
      </w:r>
      <w:r>
        <w:rPr>
          <w:rFonts w:ascii="Arial" w:cs="Arial" w:eastAsia="Arial" w:hAnsi="Arial"/>
          <w:sz w:val="17"/>
          <w:szCs w:val="17"/>
          <w:b w:val="1"/>
          <w:bCs w:val="1"/>
          <w:color w:val="auto"/>
        </w:rPr>
        <w:t xml:space="preserve"> </w:t>
      </w:r>
      <w:r>
        <w:rPr>
          <w:rFonts w:ascii="Arial" w:cs="Arial" w:eastAsia="Arial" w:hAnsi="Arial"/>
          <w:sz w:val="17"/>
          <w:szCs w:val="17"/>
          <w:color w:val="auto"/>
        </w:rPr>
        <w:t>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71" w:lineRule="exact"/>
        <w:rPr>
          <w:rFonts w:ascii="Arial" w:cs="Arial" w:eastAsia="Arial" w:hAnsi="Arial"/>
          <w:sz w:val="17"/>
          <w:szCs w:val="17"/>
          <w:b w:val="1"/>
          <w:bCs w:val="1"/>
          <w:color w:val="010000"/>
        </w:rPr>
      </w:pPr>
    </w:p>
    <w:p>
      <w:pPr>
        <w:ind w:left="332" w:hanging="332"/>
        <w:spacing w:after="0"/>
        <w:tabs>
          <w:tab w:leader="none" w:pos="332" w:val="left"/>
        </w:tabs>
        <w:numPr>
          <w:ilvl w:val="0"/>
          <w:numId w:val="82"/>
        </w:numPr>
        <w:rPr>
          <w:rFonts w:ascii="Arial" w:cs="Arial" w:eastAsia="Arial" w:hAnsi="Arial"/>
          <w:sz w:val="18"/>
          <w:szCs w:val="18"/>
          <w:b w:val="1"/>
          <w:bCs w:val="1"/>
          <w:color w:val="010000"/>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96" w:lineRule="auto"/>
        <w:tabs>
          <w:tab w:leader="none" w:pos="603"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9" w:name="page120"/>
    <w:bookmarkEnd w:id="119"/>
    <w:p>
      <w:pPr>
        <w:ind w:left="332" w:right="20" w:hanging="8"/>
        <w:spacing w:after="0" w:line="277" w:lineRule="auto"/>
        <w:tabs>
          <w:tab w:leader="none" w:pos="587"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010000"/>
        </w:rPr>
      </w:pPr>
    </w:p>
    <w:p>
      <w:pPr>
        <w:ind w:left="332" w:hanging="8"/>
        <w:spacing w:after="0" w:line="277" w:lineRule="auto"/>
        <w:tabs>
          <w:tab w:leader="none" w:pos="576"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010000"/>
        </w:rPr>
      </w:pPr>
    </w:p>
    <w:p>
      <w:pPr>
        <w:ind w:left="372" w:hanging="318"/>
        <w:spacing w:after="0" w:line="282" w:lineRule="auto"/>
        <w:tabs>
          <w:tab w:leader="none" w:pos="372" w:val="left"/>
        </w:tabs>
        <w:numPr>
          <w:ilvl w:val="0"/>
          <w:numId w:val="84"/>
        </w:numPr>
        <w:rPr>
          <w:rFonts w:ascii="Arial" w:cs="Arial" w:eastAsia="Arial" w:hAnsi="Arial"/>
          <w:sz w:val="18"/>
          <w:szCs w:val="18"/>
          <w:b w:val="1"/>
          <w:bCs w:val="1"/>
          <w:color w:val="010000"/>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010000"/>
        </w:rPr>
      </w:pPr>
    </w:p>
    <w:p>
      <w:pPr>
        <w:ind w:left="332" w:hanging="8"/>
        <w:spacing w:after="0" w:line="342" w:lineRule="auto"/>
        <w:tabs>
          <w:tab w:leader="none" w:pos="576" w:val="left"/>
        </w:tabs>
        <w:numPr>
          <w:ilvl w:val="1"/>
          <w:numId w:val="84"/>
        </w:numPr>
        <w:rPr>
          <w:rFonts w:ascii="Arial" w:cs="Arial" w:eastAsia="Arial" w:hAnsi="Arial"/>
          <w:sz w:val="16"/>
          <w:szCs w:val="16"/>
          <w:color w:val="010000"/>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010000"/>
        </w:rPr>
      </w:pPr>
    </w:p>
    <w:p>
      <w:pPr>
        <w:ind w:left="332" w:right="20" w:hanging="8"/>
        <w:spacing w:after="0" w:line="277" w:lineRule="auto"/>
        <w:tabs>
          <w:tab w:leader="none" w:pos="587"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010000"/>
        </w:rPr>
      </w:pPr>
    </w:p>
    <w:p>
      <w:pPr>
        <w:jc w:val="both"/>
        <w:ind w:left="332" w:hanging="8"/>
        <w:spacing w:after="0" w:line="257" w:lineRule="auto"/>
        <w:tabs>
          <w:tab w:leader="none" w:pos="590"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4" w:lineRule="exact"/>
        <w:rPr>
          <w:sz w:val="20"/>
          <w:szCs w:val="20"/>
          <w:color w:val="auto"/>
        </w:rPr>
      </w:pPr>
    </w:p>
    <w:p>
      <w:pPr>
        <w:ind w:left="332" w:hanging="332"/>
        <w:spacing w:after="0"/>
        <w:tabs>
          <w:tab w:leader="none" w:pos="332" w:val="left"/>
        </w:tabs>
        <w:numPr>
          <w:ilvl w:val="0"/>
          <w:numId w:val="85"/>
        </w:numPr>
        <w:rPr>
          <w:rFonts w:ascii="Arial" w:cs="Arial" w:eastAsia="Arial" w:hAnsi="Arial"/>
          <w:sz w:val="18"/>
          <w:szCs w:val="18"/>
          <w:b w:val="1"/>
          <w:bCs w:val="1"/>
          <w:color w:val="010000"/>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69" w:lineRule="auto"/>
        <w:tabs>
          <w:tab w:leader="none" w:pos="576"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010000"/>
        </w:rPr>
      </w:pPr>
    </w:p>
    <w:p>
      <w:pPr>
        <w:ind w:left="572" w:hanging="248"/>
        <w:spacing w:after="0"/>
        <w:tabs>
          <w:tab w:leader="none" w:pos="572" w:val="left"/>
        </w:tabs>
        <w:numPr>
          <w:ilvl w:val="1"/>
          <w:numId w:val="85"/>
        </w:numPr>
        <w:rPr>
          <w:rFonts w:ascii="Arial" w:cs="Arial" w:eastAsia="Arial" w:hAnsi="Arial"/>
          <w:sz w:val="18"/>
          <w:szCs w:val="18"/>
          <w:color w:val="010000"/>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010000"/>
        </w:rPr>
      </w:pPr>
    </w:p>
    <w:p>
      <w:pPr>
        <w:ind w:left="332" w:hanging="8"/>
        <w:spacing w:after="0" w:line="308" w:lineRule="auto"/>
        <w:tabs>
          <w:tab w:leader="none" w:pos="576"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0" w:name="page121"/>
    <w:bookmarkEnd w:id="120"/>
    <w:p>
      <w:pPr>
        <w:ind w:left="332" w:hanging="332"/>
        <w:spacing w:after="0"/>
        <w:tabs>
          <w:tab w:leader="none" w:pos="332" w:val="left"/>
        </w:tabs>
        <w:numPr>
          <w:ilvl w:val="0"/>
          <w:numId w:val="86"/>
        </w:numPr>
        <w:rPr>
          <w:rFonts w:ascii="Arial" w:cs="Arial" w:eastAsia="Arial" w:hAnsi="Arial"/>
          <w:sz w:val="18"/>
          <w:szCs w:val="18"/>
          <w:b w:val="1"/>
          <w:bCs w:val="1"/>
          <w:color w:val="010000"/>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59" w:lineRule="auto"/>
        <w:tabs>
          <w:tab w:leader="none" w:pos="590" w:val="left"/>
        </w:tabs>
        <w:numPr>
          <w:ilvl w:val="1"/>
          <w:numId w:val="86"/>
        </w:numPr>
        <w:rPr>
          <w:rFonts w:ascii="Arial" w:cs="Arial" w:eastAsia="Arial" w:hAnsi="Arial"/>
          <w:sz w:val="18"/>
          <w:szCs w:val="18"/>
          <w:color w:val="010000"/>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010000"/>
        </w:rPr>
      </w:pPr>
    </w:p>
    <w:p>
      <w:pPr>
        <w:jc w:val="both"/>
        <w:ind w:left="332" w:hanging="8"/>
        <w:spacing w:after="0" w:line="259" w:lineRule="auto"/>
        <w:tabs>
          <w:tab w:leader="none" w:pos="614" w:val="left"/>
        </w:tabs>
        <w:numPr>
          <w:ilvl w:val="1"/>
          <w:numId w:val="86"/>
        </w:numPr>
        <w:rPr>
          <w:rFonts w:ascii="Arial" w:cs="Arial" w:eastAsia="Arial" w:hAnsi="Arial"/>
          <w:sz w:val="18"/>
          <w:szCs w:val="18"/>
          <w:color w:val="010000"/>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010000"/>
        </w:rPr>
      </w:pPr>
    </w:p>
    <w:p>
      <w:pPr>
        <w:ind w:left="332" w:hanging="332"/>
        <w:spacing w:after="0"/>
        <w:tabs>
          <w:tab w:leader="none" w:pos="332" w:val="left"/>
        </w:tabs>
        <w:numPr>
          <w:ilvl w:val="0"/>
          <w:numId w:val="86"/>
        </w:numPr>
        <w:rPr>
          <w:rFonts w:ascii="Arial" w:cs="Arial" w:eastAsia="Arial" w:hAnsi="Arial"/>
          <w:sz w:val="18"/>
          <w:szCs w:val="18"/>
          <w:b w:val="1"/>
          <w:bCs w:val="1"/>
          <w:color w:val="010000"/>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87" w:lineRule="auto"/>
        <w:tabs>
          <w:tab w:leader="none" w:pos="576" w:val="left"/>
        </w:tabs>
        <w:numPr>
          <w:ilvl w:val="1"/>
          <w:numId w:val="86"/>
        </w:numPr>
        <w:rPr>
          <w:rFonts w:ascii="Arial" w:cs="Arial" w:eastAsia="Arial" w:hAnsi="Arial"/>
          <w:sz w:val="16"/>
          <w:szCs w:val="16"/>
          <w:color w:val="010000"/>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010000"/>
        </w:rPr>
      </w:pPr>
    </w:p>
    <w:p>
      <w:pPr>
        <w:jc w:val="both"/>
        <w:ind w:left="332" w:hanging="8"/>
        <w:spacing w:after="0" w:line="285" w:lineRule="auto"/>
        <w:tabs>
          <w:tab w:leader="none" w:pos="614" w:val="left"/>
        </w:tabs>
        <w:numPr>
          <w:ilvl w:val="1"/>
          <w:numId w:val="86"/>
        </w:numPr>
        <w:rPr>
          <w:rFonts w:ascii="Arial" w:cs="Arial" w:eastAsia="Arial" w:hAnsi="Arial"/>
          <w:sz w:val="16"/>
          <w:szCs w:val="16"/>
          <w:color w:val="010000"/>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1" w:name="page122"/>
    <w:bookmarkEnd w:id="121"/>
    <w:p>
      <w:pPr>
        <w:ind w:left="332" w:right="20" w:hanging="8"/>
        <w:spacing w:after="0" w:line="342" w:lineRule="auto"/>
        <w:tabs>
          <w:tab w:leader="none" w:pos="576" w:val="left"/>
        </w:tabs>
        <w:numPr>
          <w:ilvl w:val="1"/>
          <w:numId w:val="87"/>
        </w:numPr>
        <w:rPr>
          <w:rFonts w:ascii="Arial" w:cs="Arial" w:eastAsia="Arial" w:hAnsi="Arial"/>
          <w:sz w:val="16"/>
          <w:szCs w:val="16"/>
          <w:color w:val="010000"/>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010000"/>
        </w:rPr>
      </w:pPr>
    </w:p>
    <w:p>
      <w:pPr>
        <w:ind w:left="332" w:hanging="332"/>
        <w:spacing w:after="0"/>
        <w:tabs>
          <w:tab w:leader="none" w:pos="332" w:val="left"/>
        </w:tabs>
        <w:numPr>
          <w:ilvl w:val="0"/>
          <w:numId w:val="88"/>
        </w:numPr>
        <w:rPr>
          <w:rFonts w:ascii="Arial" w:cs="Arial" w:eastAsia="Arial" w:hAnsi="Arial"/>
          <w:sz w:val="18"/>
          <w:szCs w:val="18"/>
          <w:b w:val="1"/>
          <w:bCs w:val="1"/>
          <w:color w:val="010000"/>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71" w:lineRule="auto"/>
        <w:tabs>
          <w:tab w:leader="none" w:pos="576"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010000"/>
        </w:rPr>
      </w:pPr>
    </w:p>
    <w:p>
      <w:pPr>
        <w:jc w:val="both"/>
        <w:ind w:left="332" w:hanging="8"/>
        <w:spacing w:after="0" w:line="271" w:lineRule="auto"/>
        <w:tabs>
          <w:tab w:leader="none" w:pos="614"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010000"/>
        </w:rPr>
      </w:pPr>
    </w:p>
    <w:p>
      <w:pPr>
        <w:jc w:val="both"/>
        <w:ind w:left="332" w:hanging="8"/>
        <w:spacing w:after="0" w:line="257" w:lineRule="auto"/>
        <w:tabs>
          <w:tab w:leader="none" w:pos="590"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010000"/>
        </w:rPr>
      </w:pPr>
    </w:p>
    <w:p>
      <w:pPr>
        <w:jc w:val="both"/>
        <w:ind w:left="332" w:hanging="8"/>
        <w:spacing w:after="0" w:line="253" w:lineRule="auto"/>
        <w:tabs>
          <w:tab w:leader="none" w:pos="600"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010000"/>
        </w:rPr>
      </w:pPr>
    </w:p>
    <w:p>
      <w:pPr>
        <w:ind w:left="332" w:hanging="8"/>
        <w:spacing w:after="0" w:line="308" w:lineRule="auto"/>
        <w:tabs>
          <w:tab w:leader="none" w:pos="576"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2" w:name="page123"/>
    <w:bookmarkEnd w:id="122"/>
    <w:p>
      <w:pPr>
        <w:ind w:left="316" w:hanging="316"/>
        <w:spacing w:after="0"/>
        <w:tabs>
          <w:tab w:leader="none" w:pos="316" w:val="left"/>
        </w:tabs>
        <w:numPr>
          <w:ilvl w:val="0"/>
          <w:numId w:val="89"/>
        </w:numPr>
        <w:rPr>
          <w:rFonts w:ascii="Arial" w:cs="Arial" w:eastAsia="Arial" w:hAnsi="Arial"/>
          <w:sz w:val="18"/>
          <w:szCs w:val="18"/>
          <w:b w:val="1"/>
          <w:bCs w:val="1"/>
          <w:color w:val="010000"/>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116" w:hanging="8"/>
        <w:spacing w:after="0" w:line="269" w:lineRule="auto"/>
        <w:tabs>
          <w:tab w:leader="none" w:pos="360" w:val="left"/>
        </w:tabs>
        <w:numPr>
          <w:ilvl w:val="1"/>
          <w:numId w:val="89"/>
        </w:numPr>
        <w:rPr>
          <w:rFonts w:ascii="Arial" w:cs="Arial" w:eastAsia="Arial" w:hAnsi="Arial"/>
          <w:sz w:val="17"/>
          <w:szCs w:val="17"/>
          <w:color w:val="010000"/>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78" w:lineRule="exact"/>
        <w:rPr>
          <w:rFonts w:ascii="Arial" w:cs="Arial" w:eastAsia="Arial" w:hAnsi="Arial"/>
          <w:sz w:val="17"/>
          <w:szCs w:val="17"/>
          <w:color w:val="010000"/>
        </w:rPr>
      </w:pPr>
    </w:p>
    <w:p>
      <w:pPr>
        <w:jc w:val="both"/>
        <w:ind w:left="116" w:hanging="8"/>
        <w:spacing w:after="0" w:line="289" w:lineRule="auto"/>
        <w:tabs>
          <w:tab w:leader="none" w:pos="411" w:val="left"/>
        </w:tabs>
        <w:numPr>
          <w:ilvl w:val="1"/>
          <w:numId w:val="89"/>
        </w:numPr>
        <w:rPr>
          <w:rFonts w:ascii="Arial" w:cs="Arial" w:eastAsia="Arial" w:hAnsi="Arial"/>
          <w:sz w:val="16"/>
          <w:szCs w:val="16"/>
          <w:color w:val="010000"/>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010000"/>
        </w:rPr>
      </w:pPr>
    </w:p>
    <w:p>
      <w:pPr>
        <w:jc w:val="both"/>
        <w:ind w:left="116" w:hanging="8"/>
        <w:spacing w:after="0" w:line="259" w:lineRule="auto"/>
        <w:tabs>
          <w:tab w:leader="none" w:pos="360"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010000"/>
        </w:rPr>
      </w:pPr>
    </w:p>
    <w:p>
      <w:pPr>
        <w:jc w:val="both"/>
        <w:ind w:left="116" w:hanging="8"/>
        <w:spacing w:after="0" w:line="263" w:lineRule="auto"/>
        <w:tabs>
          <w:tab w:leader="none" w:pos="398"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010000"/>
        </w:rPr>
      </w:pPr>
    </w:p>
    <w:p>
      <w:pPr>
        <w:jc w:val="both"/>
        <w:ind w:left="116" w:hanging="8"/>
        <w:spacing w:after="0" w:line="271" w:lineRule="auto"/>
        <w:tabs>
          <w:tab w:leader="none" w:pos="387" w:val="left"/>
        </w:tabs>
        <w:numPr>
          <w:ilvl w:val="1"/>
          <w:numId w:val="89"/>
        </w:numPr>
        <w:rPr>
          <w:rFonts w:ascii="Arial" w:cs="Arial" w:eastAsia="Arial" w:hAnsi="Arial"/>
          <w:sz w:val="17"/>
          <w:szCs w:val="17"/>
          <w:color w:val="010000"/>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010000"/>
        </w:rPr>
      </w:pPr>
    </w:p>
    <w:p>
      <w:pPr>
        <w:jc w:val="both"/>
        <w:ind w:left="116" w:hanging="8"/>
        <w:spacing w:after="0" w:line="301" w:lineRule="auto"/>
        <w:tabs>
          <w:tab w:leader="none" w:pos="354" w:val="left"/>
        </w:tabs>
        <w:numPr>
          <w:ilvl w:val="1"/>
          <w:numId w:val="89"/>
        </w:numPr>
        <w:rPr>
          <w:rFonts w:ascii="Arial" w:cs="Arial" w:eastAsia="Arial" w:hAnsi="Arial"/>
          <w:sz w:val="16"/>
          <w:szCs w:val="16"/>
          <w:color w:val="010000"/>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245745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16"/>
          </w:cols>
          <w:pgMar w:left="544" w:top="904" w:right="339" w:bottom="1440" w:gutter="0" w:footer="0" w:header="0"/>
        </w:sectPr>
      </w:pPr>
    </w:p>
    <w:bookmarkStart w:id="123" w:name="page124"/>
    <w:bookmarkEnd w:id="123"/>
    <w:p>
      <w:pPr>
        <w:jc w:val="both"/>
        <w:ind w:left="332" w:hanging="332"/>
        <w:spacing w:after="0" w:line="261" w:lineRule="auto"/>
        <w:tabs>
          <w:tab w:leader="none" w:pos="332" w:val="left"/>
        </w:tabs>
        <w:numPr>
          <w:ilvl w:val="0"/>
          <w:numId w:val="90"/>
        </w:numPr>
        <w:rPr>
          <w:rFonts w:ascii="Arial" w:cs="Arial" w:eastAsia="Arial" w:hAnsi="Arial"/>
          <w:sz w:val="18"/>
          <w:szCs w:val="18"/>
          <w:b w:val="1"/>
          <w:bCs w:val="1"/>
          <w:color w:val="010000"/>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9" w:lineRule="exact"/>
        <w:rPr>
          <w:rFonts w:ascii="Arial" w:cs="Arial" w:eastAsia="Arial" w:hAnsi="Arial"/>
          <w:sz w:val="18"/>
          <w:szCs w:val="18"/>
          <w:b w:val="1"/>
          <w:bCs w:val="1"/>
          <w:color w:val="010000"/>
        </w:rPr>
      </w:pPr>
    </w:p>
    <w:p>
      <w:pPr>
        <w:ind w:left="332" w:hanging="332"/>
        <w:spacing w:after="0"/>
        <w:tabs>
          <w:tab w:leader="none" w:pos="332" w:val="left"/>
        </w:tabs>
        <w:numPr>
          <w:ilvl w:val="0"/>
          <w:numId w:val="90"/>
        </w:numPr>
        <w:rPr>
          <w:rFonts w:ascii="Arial" w:cs="Arial" w:eastAsia="Arial" w:hAnsi="Arial"/>
          <w:sz w:val="18"/>
          <w:szCs w:val="18"/>
          <w:b w:val="1"/>
          <w:bCs w:val="1"/>
          <w:color w:val="010000"/>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87" w:lineRule="auto"/>
        <w:tabs>
          <w:tab w:leader="none" w:pos="576"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1" w:lineRule="exact"/>
        <w:rPr>
          <w:rFonts w:ascii="Arial" w:cs="Arial" w:eastAsia="Arial" w:hAnsi="Arial"/>
          <w:sz w:val="16"/>
          <w:szCs w:val="16"/>
          <w:color w:val="010000"/>
        </w:rPr>
      </w:pPr>
    </w:p>
    <w:p>
      <w:pPr>
        <w:jc w:val="both"/>
        <w:ind w:left="332" w:hanging="8"/>
        <w:spacing w:after="0" w:line="290" w:lineRule="auto"/>
        <w:tabs>
          <w:tab w:leader="none" w:pos="600"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010000"/>
        </w:rPr>
      </w:pPr>
    </w:p>
    <w:p>
      <w:pPr>
        <w:jc w:val="both"/>
        <w:ind w:left="332" w:hanging="8"/>
        <w:spacing w:after="0" w:line="290" w:lineRule="auto"/>
        <w:tabs>
          <w:tab w:leader="none" w:pos="590"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010000"/>
        </w:rPr>
      </w:pPr>
    </w:p>
    <w:p>
      <w:pPr>
        <w:jc w:val="both"/>
        <w:ind w:left="332" w:hanging="8"/>
        <w:spacing w:after="0" w:line="259" w:lineRule="auto"/>
        <w:tabs>
          <w:tab w:leader="none" w:pos="587"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4" w:name="page125"/>
    <w:bookmarkEnd w:id="124"/>
    <w:p>
      <w:pPr>
        <w:jc w:val="both"/>
        <w:ind w:left="332" w:hanging="8"/>
        <w:spacing w:after="0" w:line="270" w:lineRule="auto"/>
        <w:tabs>
          <w:tab w:leader="none" w:pos="590" w:val="left"/>
        </w:tabs>
        <w:numPr>
          <w:ilvl w:val="1"/>
          <w:numId w:val="91"/>
        </w:numPr>
        <w:rPr>
          <w:rFonts w:ascii="Arial" w:cs="Arial" w:eastAsia="Arial" w:hAnsi="Arial"/>
          <w:sz w:val="17"/>
          <w:szCs w:val="17"/>
          <w:color w:val="010000"/>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010000"/>
        </w:rPr>
      </w:pPr>
    </w:p>
    <w:p>
      <w:pPr>
        <w:ind w:left="332" w:hanging="8"/>
        <w:spacing w:after="0" w:line="277" w:lineRule="auto"/>
        <w:tabs>
          <w:tab w:leader="none" w:pos="570"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Notwithstanding anything contained herein, the Company is the primary indemnitor, and any indemnification or advancement obligation of the Sponsor, its affiliates or any other Person is secondary.</w:t>
      </w:r>
    </w:p>
    <w:p>
      <w:pPr>
        <w:spacing w:after="0" w:line="166" w:lineRule="exact"/>
        <w:rPr>
          <w:rFonts w:ascii="Arial" w:cs="Arial" w:eastAsia="Arial" w:hAnsi="Arial"/>
          <w:sz w:val="18"/>
          <w:szCs w:val="18"/>
          <w:color w:val="010000"/>
        </w:rPr>
      </w:pPr>
    </w:p>
    <w:p>
      <w:pPr>
        <w:jc w:val="both"/>
        <w:ind w:left="332" w:hanging="332"/>
        <w:spacing w:after="0" w:line="294" w:lineRule="auto"/>
        <w:tabs>
          <w:tab w:leader="none" w:pos="332" w:val="left"/>
        </w:tabs>
        <w:numPr>
          <w:ilvl w:val="0"/>
          <w:numId w:val="92"/>
        </w:numPr>
        <w:rPr>
          <w:rFonts w:ascii="Arial" w:cs="Arial" w:eastAsia="Arial" w:hAnsi="Arial"/>
          <w:sz w:val="16"/>
          <w:szCs w:val="16"/>
          <w:b w:val="1"/>
          <w:bCs w:val="1"/>
          <w:color w:val="010000"/>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59" w:lineRule="exact"/>
        <w:rPr>
          <w:rFonts w:ascii="Arial" w:cs="Arial" w:eastAsia="Arial" w:hAnsi="Arial"/>
          <w:sz w:val="16"/>
          <w:szCs w:val="16"/>
          <w:b w:val="1"/>
          <w:bCs w:val="1"/>
          <w:color w:val="010000"/>
        </w:rPr>
      </w:pPr>
    </w:p>
    <w:p>
      <w:pPr>
        <w:jc w:val="both"/>
        <w:ind w:left="332" w:hanging="332"/>
        <w:spacing w:after="0" w:line="272" w:lineRule="auto"/>
        <w:tabs>
          <w:tab w:leader="none" w:pos="332" w:val="left"/>
        </w:tabs>
        <w:numPr>
          <w:ilvl w:val="0"/>
          <w:numId w:val="92"/>
        </w:numPr>
        <w:rPr>
          <w:rFonts w:ascii="Arial" w:cs="Arial" w:eastAsia="Arial" w:hAnsi="Arial"/>
          <w:sz w:val="17"/>
          <w:szCs w:val="17"/>
          <w:b w:val="1"/>
          <w:bCs w:val="1"/>
          <w:color w:val="010000"/>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1" w:lineRule="exact"/>
        <w:rPr>
          <w:rFonts w:ascii="Arial" w:cs="Arial" w:eastAsia="Arial" w:hAnsi="Arial"/>
          <w:sz w:val="17"/>
          <w:szCs w:val="17"/>
          <w:b w:val="1"/>
          <w:bCs w:val="1"/>
          <w:color w:val="010000"/>
        </w:rPr>
      </w:pPr>
    </w:p>
    <w:p>
      <w:pPr>
        <w:ind w:left="332" w:hanging="332"/>
        <w:spacing w:after="0"/>
        <w:tabs>
          <w:tab w:leader="none" w:pos="332" w:val="left"/>
        </w:tabs>
        <w:numPr>
          <w:ilvl w:val="0"/>
          <w:numId w:val="92"/>
        </w:numPr>
        <w:rPr>
          <w:rFonts w:ascii="Arial" w:cs="Arial" w:eastAsia="Arial" w:hAnsi="Arial"/>
          <w:sz w:val="18"/>
          <w:szCs w:val="18"/>
          <w:b w:val="1"/>
          <w:bCs w:val="1"/>
          <w:color w:val="010000"/>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332" w:hanging="8"/>
        <w:spacing w:after="0" w:line="263" w:lineRule="auto"/>
        <w:tabs>
          <w:tab w:leader="none" w:pos="576"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010000"/>
        </w:rPr>
      </w:pPr>
    </w:p>
    <w:p>
      <w:pPr>
        <w:jc w:val="both"/>
        <w:ind w:left="332" w:hanging="8"/>
        <w:spacing w:after="0" w:line="263" w:lineRule="auto"/>
        <w:tabs>
          <w:tab w:leader="none" w:pos="614"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010000"/>
        </w:rPr>
      </w:pPr>
    </w:p>
    <w:p>
      <w:pPr>
        <w:jc w:val="both"/>
        <w:ind w:left="332" w:hanging="8"/>
        <w:spacing w:after="0" w:line="273" w:lineRule="auto"/>
        <w:tabs>
          <w:tab w:leader="none" w:pos="576"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5" w:name="page126"/>
    <w:bookmarkEnd w:id="125"/>
    <w:p>
      <w:pPr>
        <w:jc w:val="both"/>
        <w:ind w:left="332" w:hanging="8"/>
        <w:spacing w:after="0" w:line="259" w:lineRule="auto"/>
        <w:tabs>
          <w:tab w:leader="none" w:pos="587" w:val="left"/>
        </w:tabs>
        <w:numPr>
          <w:ilvl w:val="1"/>
          <w:numId w:val="93"/>
        </w:numPr>
        <w:rPr>
          <w:rFonts w:ascii="Arial" w:cs="Arial" w:eastAsia="Arial" w:hAnsi="Arial"/>
          <w:sz w:val="18"/>
          <w:szCs w:val="18"/>
          <w:color w:val="010000"/>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010000"/>
        </w:rPr>
      </w:pPr>
    </w:p>
    <w:p>
      <w:pPr>
        <w:jc w:val="both"/>
        <w:ind w:left="332" w:hanging="8"/>
        <w:spacing w:after="0" w:line="253" w:lineRule="auto"/>
        <w:tabs>
          <w:tab w:leader="none" w:pos="603" w:val="left"/>
        </w:tabs>
        <w:numPr>
          <w:ilvl w:val="1"/>
          <w:numId w:val="93"/>
        </w:numPr>
        <w:rPr>
          <w:rFonts w:ascii="Arial" w:cs="Arial" w:eastAsia="Arial" w:hAnsi="Arial"/>
          <w:sz w:val="18"/>
          <w:szCs w:val="18"/>
          <w:color w:val="010000"/>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010000"/>
        </w:rPr>
      </w:pPr>
    </w:p>
    <w:p>
      <w:pPr>
        <w:jc w:val="both"/>
        <w:ind w:left="332" w:hanging="332"/>
        <w:spacing w:after="0" w:line="266" w:lineRule="auto"/>
        <w:tabs>
          <w:tab w:leader="none" w:pos="332" w:val="left"/>
        </w:tabs>
        <w:numPr>
          <w:ilvl w:val="0"/>
          <w:numId w:val="94"/>
        </w:numPr>
        <w:rPr>
          <w:rFonts w:ascii="Arial" w:cs="Arial" w:eastAsia="Arial" w:hAnsi="Arial"/>
          <w:sz w:val="18"/>
          <w:szCs w:val="18"/>
          <w:b w:val="1"/>
          <w:bCs w:val="1"/>
          <w:color w:val="010000"/>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010000"/>
        </w:rPr>
      </w:pPr>
    </w:p>
    <w:p>
      <w:pPr>
        <w:jc w:val="both"/>
        <w:ind w:left="332" w:hanging="332"/>
        <w:spacing w:after="0" w:line="289" w:lineRule="auto"/>
        <w:tabs>
          <w:tab w:leader="none" w:pos="332" w:val="left"/>
        </w:tabs>
        <w:numPr>
          <w:ilvl w:val="0"/>
          <w:numId w:val="94"/>
        </w:numPr>
        <w:rPr>
          <w:rFonts w:ascii="Arial" w:cs="Arial" w:eastAsia="Arial" w:hAnsi="Arial"/>
          <w:sz w:val="17"/>
          <w:szCs w:val="17"/>
          <w:b w:val="1"/>
          <w:bCs w:val="1"/>
          <w:color w:val="010000"/>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010000"/>
        </w:rPr>
      </w:pPr>
    </w:p>
    <w:p>
      <w:pPr>
        <w:ind w:left="332" w:hanging="8"/>
        <w:spacing w:after="0" w:line="277" w:lineRule="auto"/>
        <w:tabs>
          <w:tab w:leader="none" w:pos="576" w:val="left"/>
        </w:tabs>
        <w:numPr>
          <w:ilvl w:val="1"/>
          <w:numId w:val="94"/>
        </w:numPr>
        <w:rPr>
          <w:rFonts w:ascii="Arial" w:cs="Arial" w:eastAsia="Arial" w:hAnsi="Arial"/>
          <w:sz w:val="18"/>
          <w:szCs w:val="18"/>
          <w:color w:val="010000"/>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010000"/>
        </w:rPr>
      </w:pPr>
    </w:p>
    <w:p>
      <w:pPr>
        <w:ind w:left="572" w:hanging="248"/>
        <w:spacing w:after="0"/>
        <w:tabs>
          <w:tab w:leader="none" w:pos="572" w:val="left"/>
        </w:tabs>
        <w:numPr>
          <w:ilvl w:val="1"/>
          <w:numId w:val="94"/>
        </w:numPr>
        <w:rPr>
          <w:rFonts w:ascii="Arial" w:cs="Arial" w:eastAsia="Arial" w:hAnsi="Arial"/>
          <w:sz w:val="18"/>
          <w:szCs w:val="18"/>
          <w:color w:val="010000"/>
        </w:rPr>
      </w:pPr>
      <w:r>
        <w:rPr>
          <w:rFonts w:ascii="Arial" w:cs="Arial" w:eastAsia="Arial" w:hAnsi="Arial"/>
          <w:sz w:val="18"/>
          <w:szCs w:val="18"/>
          <w:color w:val="auto"/>
        </w:rPr>
        <w:t>If to the Company, to:</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32" w:hanging="332"/>
        <w:spacing w:after="0" w:line="254" w:lineRule="auto"/>
        <w:tabs>
          <w:tab w:leader="none" w:pos="332" w:val="left"/>
        </w:tabs>
        <w:numPr>
          <w:ilvl w:val="0"/>
          <w:numId w:val="95"/>
        </w:numPr>
        <w:rPr>
          <w:rFonts w:ascii="Arial" w:cs="Arial" w:eastAsia="Arial" w:hAnsi="Arial"/>
          <w:sz w:val="18"/>
          <w:szCs w:val="18"/>
          <w:b w:val="1"/>
          <w:bCs w:val="1"/>
          <w:color w:val="010000"/>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Arial" w:cs="Arial" w:eastAsia="Arial" w:hAnsi="Arial"/>
          <w:sz w:val="18"/>
          <w:szCs w:val="18"/>
          <w:b w:val="1"/>
          <w:bCs w:val="1"/>
          <w:color w:val="010000"/>
        </w:rPr>
      </w:pPr>
    </w:p>
    <w:p>
      <w:pPr>
        <w:jc w:val="both"/>
        <w:ind w:left="332" w:hanging="332"/>
        <w:spacing w:after="0" w:line="266" w:lineRule="auto"/>
        <w:tabs>
          <w:tab w:leader="none" w:pos="332" w:val="left"/>
        </w:tabs>
        <w:numPr>
          <w:ilvl w:val="0"/>
          <w:numId w:val="95"/>
        </w:numPr>
        <w:rPr>
          <w:rFonts w:ascii="Arial" w:cs="Arial" w:eastAsia="Arial" w:hAnsi="Arial"/>
          <w:sz w:val="18"/>
          <w:szCs w:val="18"/>
          <w:b w:val="1"/>
          <w:bCs w:val="1"/>
          <w:color w:val="010000"/>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6" w:name="page127"/>
    <w:bookmarkEnd w:id="126"/>
    <w:p>
      <w:pPr>
        <w:jc w:val="both"/>
        <w:ind w:left="332" w:hanging="332"/>
        <w:spacing w:after="0" w:line="266" w:lineRule="auto"/>
        <w:tabs>
          <w:tab w:leader="none" w:pos="332" w:val="left"/>
        </w:tabs>
        <w:numPr>
          <w:ilvl w:val="0"/>
          <w:numId w:val="96"/>
        </w:numPr>
        <w:rPr>
          <w:rFonts w:ascii="Arial" w:cs="Arial" w:eastAsia="Arial" w:hAnsi="Arial"/>
          <w:sz w:val="18"/>
          <w:szCs w:val="18"/>
          <w:b w:val="1"/>
          <w:bCs w:val="1"/>
          <w:color w:val="010000"/>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010000"/>
        </w:rPr>
      </w:pPr>
    </w:p>
    <w:p>
      <w:pPr>
        <w:jc w:val="both"/>
        <w:ind w:left="332" w:hanging="332"/>
        <w:spacing w:after="0" w:line="258" w:lineRule="auto"/>
        <w:tabs>
          <w:tab w:leader="none" w:pos="332" w:val="left"/>
        </w:tabs>
        <w:numPr>
          <w:ilvl w:val="0"/>
          <w:numId w:val="96"/>
        </w:numPr>
        <w:rPr>
          <w:rFonts w:ascii="Arial" w:cs="Arial" w:eastAsia="Arial" w:hAnsi="Arial"/>
          <w:sz w:val="18"/>
          <w:szCs w:val="18"/>
          <w:b w:val="1"/>
          <w:bCs w:val="1"/>
          <w:color w:val="010000"/>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010000"/>
        </w:rPr>
      </w:pPr>
    </w:p>
    <w:p>
      <w:pPr>
        <w:jc w:val="both"/>
        <w:ind w:left="332" w:hanging="332"/>
        <w:spacing w:after="0" w:line="266" w:lineRule="auto"/>
        <w:tabs>
          <w:tab w:leader="none" w:pos="332" w:val="left"/>
        </w:tabs>
        <w:numPr>
          <w:ilvl w:val="0"/>
          <w:numId w:val="96"/>
        </w:numPr>
        <w:rPr>
          <w:rFonts w:ascii="Arial" w:cs="Arial" w:eastAsia="Arial" w:hAnsi="Arial"/>
          <w:sz w:val="18"/>
          <w:szCs w:val="18"/>
          <w:b w:val="1"/>
          <w:bCs w:val="1"/>
          <w:color w:val="010000"/>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175" w:lineRule="exact"/>
        <w:rPr>
          <w:rFonts w:ascii="Arial" w:cs="Arial" w:eastAsia="Arial" w:hAnsi="Arial"/>
          <w:sz w:val="18"/>
          <w:szCs w:val="18"/>
          <w:b w:val="1"/>
          <w:bCs w:val="1"/>
          <w:color w:val="010000"/>
        </w:rPr>
      </w:pPr>
    </w:p>
    <w:p>
      <w:pPr>
        <w:jc w:val="both"/>
        <w:ind w:left="332" w:hanging="332"/>
        <w:spacing w:after="0" w:line="256" w:lineRule="auto"/>
        <w:tabs>
          <w:tab w:leader="none" w:pos="332" w:val="left"/>
        </w:tabs>
        <w:numPr>
          <w:ilvl w:val="0"/>
          <w:numId w:val="96"/>
        </w:numPr>
        <w:rPr>
          <w:rFonts w:ascii="Arial" w:cs="Arial" w:eastAsia="Arial" w:hAnsi="Arial"/>
          <w:sz w:val="18"/>
          <w:szCs w:val="18"/>
          <w:b w:val="1"/>
          <w:bCs w:val="1"/>
          <w:color w:val="010000"/>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7" w:lineRule="exact"/>
        <w:rPr>
          <w:rFonts w:ascii="Arial" w:cs="Arial" w:eastAsia="Arial" w:hAnsi="Arial"/>
          <w:sz w:val="18"/>
          <w:szCs w:val="18"/>
          <w:b w:val="1"/>
          <w:bCs w:val="1"/>
          <w:color w:val="010000"/>
        </w:rPr>
      </w:pPr>
    </w:p>
    <w:p>
      <w:pPr>
        <w:jc w:val="both"/>
        <w:ind w:left="332" w:hanging="332"/>
        <w:spacing w:after="0" w:line="273" w:lineRule="auto"/>
        <w:tabs>
          <w:tab w:leader="none" w:pos="332" w:val="left"/>
        </w:tabs>
        <w:numPr>
          <w:ilvl w:val="0"/>
          <w:numId w:val="96"/>
        </w:numPr>
        <w:rPr>
          <w:rFonts w:ascii="Arial" w:cs="Arial" w:eastAsia="Arial" w:hAnsi="Arial"/>
          <w:sz w:val="17"/>
          <w:szCs w:val="17"/>
          <w:color w:val="010000"/>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Kerry Propper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Jonathan Biele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Perry Boyle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Todd Jacobson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Jory Des Jardins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151765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320" w:top="904" w:right="13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letter will confirm our agreement that, commencing on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the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for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securities of Chardan NexTech Acquisition 2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Chardan NexTech Investments 2 LLC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shall make available to the Company certain office space, secretarial and administrative services as may be required by the Company from</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time to time, situated at 17 State Street,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 New York, NY 10004 (or any successor location). In exchange therefore, the Company shall pay Sponsor a sum not to exceed $10,000 per month, respectively, on the Effective Date and continuing monthly thereafter until the Termination Date. Sponsor hereby agrees that it does not have any right, title, interest or claim of any kind in or to any monies that may be set aside in a trust account (the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that may be established by the Company for the benefit of the Company’s public stockholders upon the consummation of the IPO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Registration Statement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 Weil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CHARDAN NEXTECH INVESTMENTS 2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19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a blank check company formed for the purpose of acquiring one or more businesses or entities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intends to register its securities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in connection with its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a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commits that it will purchase an aggregate of 4,361,456 (or up to 4,627,858, depending on the extent to which the underwriters’ over-allotment option is exercised) warrants of the Company (“</w:t>
      </w:r>
      <w:r>
        <w:rPr>
          <w:rFonts w:ascii="Arial" w:cs="Arial" w:eastAsia="Arial" w:hAnsi="Arial"/>
          <w:sz w:val="18"/>
          <w:szCs w:val="18"/>
          <w:b w:val="1"/>
          <w:bCs w:val="1"/>
          <w:color w:val="auto"/>
        </w:rPr>
        <w:t>Private Warrants</w:t>
      </w:r>
      <w:r>
        <w:rPr>
          <w:rFonts w:ascii="Arial" w:cs="Arial" w:eastAsia="Arial" w:hAnsi="Arial"/>
          <w:sz w:val="18"/>
          <w:szCs w:val="18"/>
          <w:color w:val="auto"/>
        </w:rPr>
        <w:t>”), at a price of approximately $0.93 per warrant for an aggregate purchase price of $4,052,000 (or up to $4,299,500, depending on the extent to which the underwriters’ over-allotment option is exercised) (the “</w:t>
      </w:r>
      <w:r>
        <w:rPr>
          <w:rFonts w:ascii="Arial" w:cs="Arial" w:eastAsia="Arial" w:hAnsi="Arial"/>
          <w:sz w:val="18"/>
          <w:szCs w:val="18"/>
          <w:b w:val="1"/>
          <w:bCs w:val="1"/>
          <w:color w:val="auto"/>
        </w:rPr>
        <w:t>Private Warrant Purchase Price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purchase and issuance of the Private Warrants shall occur simultaneously with the consummation of the IPO. Simultaneously with the consummation of the IPO, Continental Stock Transfer &amp; Trust Company shall deposit the Private Warrant Purchase Price, without interest or deduction, into the trust fund (“</w:t>
      </w:r>
      <w:r>
        <w:rPr>
          <w:rFonts w:ascii="Arial" w:cs="Arial" w:eastAsia="Arial" w:hAnsi="Arial"/>
          <w:sz w:val="18"/>
          <w:szCs w:val="18"/>
          <w:b w:val="1"/>
          <w:bCs w:val="1"/>
          <w:color w:val="auto"/>
        </w:rPr>
        <w:t>Trust Fund</w:t>
      </w:r>
      <w:r>
        <w:rPr>
          <w:rFonts w:ascii="Arial" w:cs="Arial" w:eastAsia="Arial" w:hAnsi="Arial"/>
          <w:sz w:val="18"/>
          <w:szCs w:val="18"/>
          <w:color w:val="auto"/>
        </w:rPr>
        <w:t>”) established by the Company for the benefit of the Company’s public stockholders as described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71"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sold in the IPO if the Company does not complete an initial Business Combination within 12 months from the closing of the IPO (or up to 18 months if such date is extended in full as described in the prospectus relating to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86"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ind w:left="1300" w:hanging="320"/>
        <w:spacing w:after="0" w:line="268" w:lineRule="auto"/>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or saleable until 30 days after the consummation of a Business Combination except ((a) to the Company’s officers or directors, any affiliates or family members of any of the Company’s officers or directors, any members of the undersigned, Chardan NexTech Investments 2 LLC (“</w:t>
      </w:r>
      <w:r>
        <w:rPr>
          <w:rFonts w:ascii="Arial" w:cs="Arial" w:eastAsia="Arial" w:hAnsi="Arial"/>
          <w:sz w:val="17"/>
          <w:szCs w:val="17"/>
          <w:b w:val="1"/>
          <w:bCs w:val="1"/>
          <w:color w:val="auto"/>
        </w:rPr>
        <w:t>Sponsor</w:t>
      </w:r>
      <w:r>
        <w:rPr>
          <w:rFonts w:ascii="Arial" w:cs="Arial" w:eastAsia="Arial" w:hAnsi="Arial"/>
          <w:sz w:val="17"/>
          <w:szCs w:val="17"/>
          <w:color w:val="auto"/>
        </w:rPr>
        <w:t>”),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the Company’s liquidation prior to the completion of an initial Business Combination; or (g) by virtue of the laws of Delaware or the applicable limited liability company agreement upon dissolution of the undersigned,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the undersigned, Sponsor, officers, and directors of the Company, as the case may be, with respect to such securities (including provisions relating to voting, the trust account and liquidation distributions described elsewhere in this prospectus);</w:t>
      </w:r>
    </w:p>
    <w:p>
      <w:pPr>
        <w:spacing w:after="0" w:line="184"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Private Warrants and underlying securities are considered underwriting compensation and, as provided in FINRA Rule 5110(e)(1), may not be sold, transferred, assigned, pledged, or hypothecated, or be the subject of any hedging, short sale, derivative, put, or call transaction that would result in the effective economic disposition of such securities for a period of 180 days immediately following the date of effectiveness of the Registration Statement, except as provided in FINRA Rule 5110(e)(2); and</w:t>
      </w:r>
    </w:p>
    <w:p>
      <w:pPr>
        <w:spacing w:after="0" w:line="17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010000"/>
        </w:rPr>
      </w:pPr>
    </w:p>
    <w:p>
      <w:pPr>
        <w:ind w:left="920" w:hanging="264"/>
        <w:spacing w:after="0"/>
        <w:tabs>
          <w:tab w:leader="none" w:pos="92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010000"/>
        </w:rPr>
      </w:pPr>
    </w:p>
    <w:p>
      <w:pPr>
        <w:ind w:left="900" w:hanging="244"/>
        <w:spacing w:after="0"/>
        <w:tabs>
          <w:tab w:leader="none" w:pos="900"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010000"/>
        </w:rPr>
      </w:pPr>
    </w:p>
    <w:p>
      <w:pPr>
        <w:ind w:left="920" w:hanging="264"/>
        <w:spacing w:after="0"/>
        <w:tabs>
          <w:tab w:leader="none" w:pos="92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010000"/>
        </w:rPr>
      </w:pPr>
    </w:p>
    <w:p>
      <w:pPr>
        <w:ind w:firstLine="656"/>
        <w:spacing w:after="0" w:line="277" w:lineRule="auto"/>
        <w:tabs>
          <w:tab w:leader="none" w:pos="892"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880" w:hanging="224"/>
        <w:spacing w:after="0"/>
        <w:tabs>
          <w:tab w:leader="none" w:pos="880"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010000"/>
        </w:rPr>
      </w:pPr>
    </w:p>
    <w:p>
      <w:pPr>
        <w:ind w:firstLine="656"/>
        <w:spacing w:after="0" w:line="277" w:lineRule="auto"/>
        <w:tabs>
          <w:tab w:leader="none" w:pos="930"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010000"/>
        </w:rPr>
      </w:pPr>
    </w:p>
    <w:p>
      <w:pPr>
        <w:ind w:left="920" w:hanging="264"/>
        <w:spacing w:after="0"/>
        <w:tabs>
          <w:tab w:leader="none" w:pos="920"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CHARDAN NEXTECH 2 WARRANT HOLDINGS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33515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Alex Weil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[Signature Page – Private Placement Warrant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8"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99.1</w:t>
      </w:r>
    </w:p>
    <w:p>
      <w:pPr>
        <w:spacing w:after="0" w:line="307" w:lineRule="exact"/>
        <w:rPr>
          <w:sz w:val="20"/>
          <w:szCs w:val="20"/>
          <w:color w:val="auto"/>
        </w:rPr>
      </w:pPr>
    </w:p>
    <w:p>
      <w:pPr>
        <w:spacing w:after="0"/>
        <w:rPr>
          <w:sz w:val="20"/>
          <w:szCs w:val="20"/>
          <w:color w:val="auto"/>
        </w:rPr>
      </w:pPr>
      <w:r>
        <w:rPr>
          <w:rFonts w:ascii="Arial" w:cs="Arial" w:eastAsia="Arial" w:hAnsi="Arial"/>
          <w:sz w:val="24"/>
          <w:szCs w:val="24"/>
          <w:color w:val="auto"/>
        </w:rPr>
        <w:t>Chardan NexTech Acquisition 2 Corp. Announces Pricing of Upsized $110 Million Initial Public Offering</w:t>
      </w:r>
    </w:p>
    <w:p>
      <w:pPr>
        <w:spacing w:after="0" w:line="24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New York, NY, August 10, 2021 (PR Newswire) – Chardan NexTech Acquisition 2 Corp. (the “Company”) announced today the pricing of its upsized initial public offering of 11,000,000 units at a price of $10.00 per unit. The units are expected to be listed on the Nasdaq Capital Market (“Nasdaq”) and trade under the ticker symbol “CNTQU” beginning August 11, 2021. Each unit consists of one share of common stock and three-quarters of one redeemable warrant. Each whole warrant entitles the holder thereof to purchase one share of common stock at a price of $11.50 per share. Only whole warrants are exercisable. Once the securities comprising the units begin trading separately, the Company expects that the common stock and redeemable warrants will be listed on the Nasdaq under the symbols “CNTQ” and “CNTQW,”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August 13, 2021, subject to customary closing conditions.</w:t>
      </w:r>
    </w:p>
    <w:p>
      <w:pPr>
        <w:spacing w:after="0" w:line="22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Company is a blank check company formed for the purpose of effecting a merger, share exchange, asset acquisition, stock purchase, recapitalization, reorganization or similar business combination with one or more businesses. While the Company may pursue an initial business combination target in any industry, it currently intends to concentrate its search for a target business operating in disruptive technologies. The Company is led by its Chairman of the Board of Directors, Kerry Propper, its Chief Executive Officer, Jonas Grossman, and its Chief Financial Officer, Alex Weil.</w:t>
      </w:r>
    </w:p>
    <w:p>
      <w:pPr>
        <w:spacing w:after="0" w:line="15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Chardan is serving as sole book-running manager and B. Riley Securities, Inc. is acting as the qualified independent underwriter for the offering. The Company has granted the underwriters a 45-day option to purchase up to an additional 1,650,000 units at the initial public offering price to cover over-allotments, if any.</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offering is being made only by means of a prospectus, copies of which may be obtained by contacting Chardan, 17 State Street, 21st Floor, New York, New York 10004, or by calling (646) 465-9001.</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 registration statement relating to these securities was declared effective by the Securities and Exchange Commission (the “SEC”) on August 10, 2021.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This press release contains statements that constitute “forward-looking statements,” including with respect to the proposed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Company’s offering filed with the SEC. Copies of these documents are available on the SEC’s website, </w:t>
      </w:r>
      <w:r>
        <w:rPr>
          <w:rFonts w:ascii="Arial" w:cs="Arial" w:eastAsia="Arial" w:hAnsi="Arial"/>
          <w:sz w:val="17"/>
          <w:szCs w:val="17"/>
          <w:i w:val="1"/>
          <w:iCs w:val="1"/>
          <w:u w:val="single" w:color="auto"/>
          <w:color w:val="0000FF"/>
        </w:rPr>
        <w:t>www.sec.gov</w:t>
      </w:r>
      <w:r>
        <w:rPr>
          <w:rFonts w:ascii="Arial" w:cs="Arial" w:eastAsia="Arial" w:hAnsi="Arial"/>
          <w:sz w:val="17"/>
          <w:szCs w:val="17"/>
          <w:i w:val="1"/>
          <w:iCs w:val="1"/>
          <w:color w:val="auto"/>
        </w:rPr>
        <w:t>. The Company undertakes no obligation to update these statements for revisions or changes after the date of this release,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jgrossman@cnaq.com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color w:val="auto"/>
        </w:rPr>
        <w:t>Chardan NexTech Acquisition 2 Corp. Announces Closing of Upsized $110 Million Initial Public Offering</w:t>
      </w:r>
    </w:p>
    <w:p>
      <w:pPr>
        <w:spacing w:after="0" w:line="24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New York, NY, August 13, 2021 (PR Newswire) – Chardan NexTech Acquisition 2 Corp. (the “Company”) announced today the closing of its upsized initial public offering of 11,000,000 units. The offering was priced at $10.00 per unit, resulting in gross proceeds of $110 million.</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units commenced trading on the Nasdaq Capital Market (“Nasdaq”) under the ticker symbol “CNTQU” on August 11, 2021. Each unit consists of one share of common stock and three-quarters of one redeemable warrant. Each whole warrant entitles the holder thereof to purchase one share of common stock at a price of $11.50 per share. Only whole warrants are exercisable.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Once the securities comprising the units begin trading separately, the Company expects that the common stock and redeemable warrants will be listed on the Nasdaq under the symbols “CNTQ” and “CNTQW,” respectively.</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Company is a blank check company formed for the purpose of effecting a merger, share exchange, asset acquisition, stock purchase, recapitalization, reorganization or similar business combination with one or more businesses. While the Company may pursue an initial business combination target in any industry, it currently intends to concentrate its search for a target business operating in disruptive technologies. The Company is led by its Chairman of the Board of Directors, Kerry Propper, its Chief Executive Officer, Jonas Grossman, and its Chief Financial Officer, Alex Weil.</w:t>
      </w:r>
    </w:p>
    <w:p>
      <w:pPr>
        <w:spacing w:after="0" w:line="15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Chardan served as sole book-running manager and B. Riley Securities, Inc. acted as the qualified independent underwriter for the offering. The Company has granted the underwriters a 45-day option to purchase up to an additional 1,650,000 units at the initial public offering price to cover over-allotments, if any.</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offering was made only by means of a prospectus, copies of which may be obtained by contacting Chardan, 17 State Street, 21st Floor, New York, New York 10004, or by calling (646) 465-9001.</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 registration statement relating to these securities was declared effective by the Securities and Exchange Commission (the “SEC”) on August 10, 2021.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This press release contains statements that constitute “forward-looking statements,” including with respect to the anticipated use of the net proceeds of the initial public offering. No assurance can be given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Company’s offering filed with the SEC. Copies of these documents are available on the SEC’s website, </w:t>
      </w:r>
      <w:r>
        <w:rPr>
          <w:rFonts w:ascii="Arial" w:cs="Arial" w:eastAsia="Arial" w:hAnsi="Arial"/>
          <w:sz w:val="18"/>
          <w:szCs w:val="18"/>
          <w:i w:val="1"/>
          <w:iCs w:val="1"/>
          <w:u w:val="single" w:color="auto"/>
          <w:color w:val="0000FF"/>
        </w:rPr>
        <w:t>www.sec.gov</w:t>
      </w:r>
      <w:r>
        <w:rPr>
          <w:rFonts w:ascii="Arial" w:cs="Arial" w:eastAsia="Arial" w:hAnsi="Arial"/>
          <w:sz w:val="18"/>
          <w:szCs w:val="18"/>
          <w:i w:val="1"/>
          <w:iCs w:val="1"/>
          <w:color w:val="auto"/>
        </w:rPr>
        <w:t>. The Company undertakes no obligation to update these statements for revisions or changes after the date of this release, except as required by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jgrossman@cnaq.com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30"/>
    </w:lvl>
  </w:abstractNum>
  <w:abstractNum w:abstractNumId="4">
    <w:nsid w:val="12E685FB"/>
    <w:multiLevelType w:val="hybridMultilevel"/>
    <w:lvl w:ilvl="0">
      <w:lvlJc w:val="left"/>
      <w:lvlText w:val="%1."/>
      <w:numFmt w:val="decimal"/>
      <w:start w:val="2"/>
    </w:lvl>
  </w:abstractNum>
  <w:abstractNum w:abstractNumId="5">
    <w:nsid w:val="70C6A529"/>
    <w:multiLevelType w:val="hybridMultilevel"/>
    <w:lvl w:ilvl="0">
      <w:lvlJc w:val="left"/>
      <w:lvlText w:val="%1."/>
      <w:numFmt w:val="decimal"/>
      <w:start w:val="3"/>
    </w:lvl>
  </w:abstractNum>
  <w:abstractNum w:abstractNumId="6">
    <w:nsid w:val="520EEDD1"/>
    <w:multiLevelType w:val="hybridMultilevel"/>
    <w:lvl w:ilvl="0">
      <w:lvlJc w:val="left"/>
      <w:lvlText w:val="(%1)"/>
      <w:numFmt w:val="lowerRoman"/>
      <w:start w:val="1"/>
    </w:lvl>
  </w:abstractNum>
  <w:abstractNum w:abstractNumId="7">
    <w:nsid w:val="374A3FE6"/>
    <w:multiLevelType w:val="hybridMultilevel"/>
    <w:lvl w:ilvl="0">
      <w:lvlJc w:val="left"/>
      <w:lvlText w:val="(%1)"/>
      <w:numFmt w:val="decimal"/>
      <w:start w:val="4"/>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4"/>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1."/>
      <w:numFmt w:val="decimal"/>
      <w:start w:val="5"/>
    </w:lvl>
  </w:abstractNum>
  <w:abstractNum w:abstractNumId="12">
    <w:nsid w:val="39386575"/>
    <w:multiLevelType w:val="hybridMultilevel"/>
    <w:lvl w:ilvl="0">
      <w:lvlJc w:val="left"/>
      <w:lvlText w:val="(%1)"/>
      <w:numFmt w:val="lowerRoman"/>
      <w:start w:val="1"/>
    </w:lvl>
  </w:abstractNum>
  <w:abstractNum w:abstractNumId="13">
    <w:nsid w:val="1CF10FD8"/>
    <w:multiLevelType w:val="hybridMultilevel"/>
    <w:lvl w:ilvl="0">
      <w:lvlJc w:val="left"/>
      <w:lvlText w:val="%1."/>
      <w:numFmt w:val="decimal"/>
      <w:start w:val="6"/>
    </w:lvl>
  </w:abstractNum>
  <w:abstractNum w:abstractNumId="14">
    <w:nsid w:val="180115BE"/>
    <w:multiLevelType w:val="hybridMultilevel"/>
    <w:lvl w:ilvl="0">
      <w:lvlJc w:val="left"/>
      <w:lvlText w:val="%1."/>
      <w:numFmt w:val="decimal"/>
      <w:start w:val="7"/>
    </w:lvl>
  </w:abstractNum>
  <w:abstractNum w:abstractNumId="15">
    <w:nsid w:val="235BA861"/>
    <w:multiLevelType w:val="hybridMultilevel"/>
    <w:lvl w:ilvl="0">
      <w:lvlJc w:val="left"/>
      <w:lvlText w:val="%1."/>
      <w:numFmt w:val="decimal"/>
      <w:start w:val="8"/>
    </w:lvl>
  </w:abstractNum>
  <w:abstractNum w:abstractNumId="16">
    <w:nsid w:val="47398C89"/>
    <w:multiLevelType w:val="hybridMultilevel"/>
    <w:lvl w:ilvl="0">
      <w:lvlJc w:val="left"/>
      <w:lvlText w:val="(%1)"/>
      <w:numFmt w:val="lowerRoman"/>
      <w:start w:val="6"/>
    </w:lvl>
  </w:abstractNum>
  <w:abstractNum w:abstractNumId="17">
    <w:nsid w:val="354FE9F9"/>
    <w:multiLevelType w:val="hybridMultilevel"/>
    <w:lvl w:ilvl="0">
      <w:lvlJc w:val="left"/>
      <w:lvlText w:val="%1."/>
      <w:numFmt w:val="decimal"/>
      <w:start w:val="10"/>
    </w:lvl>
  </w:abstractNum>
  <w:abstractNum w:abstractNumId="18">
    <w:nsid w:val="15B5AF5C"/>
    <w:multiLevelType w:val="hybridMultilevel"/>
    <w:lvl w:ilvl="0">
      <w:lvlJc w:val="left"/>
      <w:lvlText w:val="%1."/>
      <w:numFmt w:val="decimal"/>
      <w:start w:val="1"/>
    </w:lvl>
    <w:lvl w:ilvl="1">
      <w:lvlJc w:val="left"/>
      <w:lvlText w:val="(%2)"/>
      <w:numFmt w:val="lowerRoman"/>
      <w:start w:val="1"/>
    </w:lvl>
  </w:abstractNum>
  <w:abstractNum w:abstractNumId="19">
    <w:nsid w:val="741226BB"/>
    <w:multiLevelType w:val="hybridMultilevel"/>
    <w:lvl w:ilvl="0">
      <w:lvlJc w:val="left"/>
      <w:lvlText w:val="(%1)"/>
      <w:numFmt w:val="lowerLetter"/>
      <w:start w:val="2"/>
    </w:lvl>
  </w:abstractNum>
  <w:abstractNum w:abstractNumId="20">
    <w:nsid w:val="D34B6A8"/>
    <w:multiLevelType w:val="hybridMultilevel"/>
    <w:lvl w:ilvl="0">
      <w:lvlJc w:val="left"/>
      <w:lvlText w:val="%1."/>
      <w:numFmt w:val="decimal"/>
      <w:start w:val="2"/>
    </w:lvl>
  </w:abstractNum>
  <w:abstractNum w:abstractNumId="21">
    <w:nsid w:val="10233C99"/>
    <w:multiLevelType w:val="hybridMultilevel"/>
    <w:lvl w:ilvl="0">
      <w:lvlJc w:val="left"/>
      <w:lvlText w:val="%1."/>
      <w:numFmt w:val="decimal"/>
      <w:start w:val="6"/>
    </w:lvl>
  </w:abstractNum>
  <w:abstractNum w:abstractNumId="22">
    <w:nsid w:val="3F6AB60F"/>
    <w:multiLevelType w:val="hybridMultilevel"/>
    <w:lvl w:ilvl="0">
      <w:lvlJc w:val="left"/>
      <w:lvlText w:val="%1."/>
      <w:numFmt w:val="decimal"/>
      <w:start w:val="7"/>
    </w:lvl>
  </w:abstractNum>
  <w:abstractNum w:abstractNumId="23">
    <w:nsid w:val="61574095"/>
    <w:multiLevelType w:val="hybridMultilevel"/>
    <w:lvl w:ilvl="0">
      <w:lvlJc w:val="left"/>
      <w:lvlText w:val="%1."/>
      <w:numFmt w:val="decimal"/>
      <w:start w:val="14"/>
    </w:lvl>
  </w:abstractNum>
  <w:abstractNum w:abstractNumId="24">
    <w:nsid w:val="7E0C57B1"/>
    <w:multiLevelType w:val="hybridMultilevel"/>
    <w:lvl w:ilvl="0">
      <w:lvlJc w:val="left"/>
      <w:lvlText w:val="%1."/>
      <w:numFmt w:val="decimal"/>
      <w:start w:val="1"/>
    </w:lvl>
    <w:lvl w:ilvl="1">
      <w:lvlJc w:val="left"/>
      <w:lvlText w:val="%2."/>
      <w:numFmt w:val="upperLetter"/>
      <w:start w:val="1"/>
    </w:lvl>
  </w:abstractNum>
  <w:abstractNum w:abstractNumId="25">
    <w:nsid w:val="77AE35EB"/>
    <w:multiLevelType w:val="hybridMultilevel"/>
    <w:lvl w:ilvl="0">
      <w:lvlJc w:val="left"/>
      <w:lvlText w:val="(%1)"/>
      <w:numFmt w:val="lowerRoman"/>
      <w:start w:val="2"/>
    </w:lvl>
  </w:abstractNum>
  <w:abstractNum w:abstractNumId="26">
    <w:nsid w:val="579BE4F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7">
    <w:nsid w:val="310C50B3"/>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8">
    <w:nsid w:val="5FF87E0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9">
    <w:nsid w:val="2F305DE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30">
    <w:nsid w:val="25A70BF7"/>
    <w:multiLevelType w:val="hybridMultilevel"/>
    <w:lvl w:ilvl="0">
      <w:lvlJc w:val="left"/>
      <w:lvlText w:val="%1."/>
      <w:numFmt w:val="decimal"/>
      <w:start w:val="4"/>
    </w:lvl>
  </w:abstractNum>
  <w:abstractNum w:abstractNumId="31">
    <w:nsid w:val="1DBABF00"/>
    <w:multiLevelType w:val="hybridMultilevel"/>
    <w:lvl w:ilvl="0">
      <w:lvlJc w:val="left"/>
      <w:lvlText w:val="%1."/>
      <w:numFmt w:val="lowerLetter"/>
      <w:start w:val="1"/>
    </w:lvl>
  </w:abstractNum>
  <w:abstractNum w:abstractNumId="32">
    <w:nsid w:val="4AD084E9"/>
    <w:multiLevelType w:val="hybridMultilevel"/>
    <w:lvl w:ilvl="0">
      <w:lvlJc w:val="left"/>
      <w:lvlText w:val="%1."/>
      <w:numFmt w:val="decimal"/>
      <w:start w:val="8"/>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80"/>
    </w:lvl>
  </w:abstractNum>
  <w:abstractNum w:abstractNumId="35">
    <w:nsid w:val="5DB70AE5"/>
    <w:multiLevelType w:val="hybridMultilevel"/>
    <w:lvl w:ilvl="0">
      <w:lvlJc w:val="left"/>
      <w:lvlText w:val="%1."/>
      <w:numFmt w:val="decimal"/>
      <w:start w:val="3"/>
    </w:lvl>
  </w:abstractNum>
  <w:abstractNum w:abstractNumId="36">
    <w:nsid w:val="100F8FCA"/>
    <w:multiLevelType w:val="hybridMultilevel"/>
    <w:lvl w:ilvl="0">
      <w:lvlJc w:val="left"/>
      <w:lvlText w:val="(%1)"/>
      <w:numFmt w:val="lowerRoman"/>
      <w:start w:val="1"/>
    </w:lvl>
  </w:abstractNum>
  <w:abstractNum w:abstractNumId="37">
    <w:nsid w:val="6590700B"/>
    <w:multiLevelType w:val="hybridMultilevel"/>
    <w:lvl w:ilvl="0">
      <w:lvlJc w:val="left"/>
      <w:lvlText w:val="(%1)"/>
      <w:numFmt w:val="decimal"/>
      <w:start w:val="3"/>
    </w:lvl>
  </w:abstractNum>
  <w:abstractNum w:abstractNumId="38">
    <w:nsid w:val="15014ACB"/>
    <w:multiLevelType w:val="hybridMultilevel"/>
    <w:lvl w:ilvl="0">
      <w:lvlJc w:val="left"/>
      <w:lvlText w:val="%1."/>
      <w:numFmt w:val="decimal"/>
      <w:start w:val="4"/>
    </w:lvl>
  </w:abstractNum>
  <w:abstractNum w:abstractNumId="39">
    <w:nsid w:val="5F5E7FD0"/>
    <w:multiLevelType w:val="hybridMultilevel"/>
    <w:lvl w:ilvl="0">
      <w:lvlJc w:val="left"/>
      <w:lvlText w:val="%1."/>
      <w:numFmt w:val="decimal"/>
      <w:start w:val="5"/>
    </w:lvl>
  </w:abstractNum>
  <w:abstractNum w:abstractNumId="40">
    <w:nsid w:val="98A3148"/>
    <w:multiLevelType w:val="hybridMultilevel"/>
    <w:lvl w:ilvl="0">
      <w:lvlJc w:val="left"/>
      <w:lvlText w:val="%1."/>
      <w:numFmt w:val="decimal"/>
      <w:start w:val="6"/>
    </w:lvl>
  </w:abstractNum>
  <w:abstractNum w:abstractNumId="41">
    <w:nsid w:val="799D0247"/>
    <w:multiLevelType w:val="hybridMultilevel"/>
    <w:lvl w:ilvl="0">
      <w:lvlJc w:val="left"/>
      <w:lvlText w:val="%1."/>
      <w:numFmt w:val="decimal"/>
      <w:start w:val="7"/>
    </w:lvl>
  </w:abstractNum>
  <w:abstractNum w:abstractNumId="42">
    <w:nsid w:val="6B94764"/>
    <w:multiLevelType w:val="hybridMultilevel"/>
    <w:lvl w:ilvl="0">
      <w:lvlJc w:val="left"/>
      <w:lvlText w:val="%1."/>
      <w:numFmt w:val="decimal"/>
      <w:start w:val="8"/>
    </w:lvl>
  </w:abstractNum>
  <w:abstractNum w:abstractNumId="43">
    <w:nsid w:val="42C296BD"/>
    <w:multiLevelType w:val="hybridMultilevel"/>
    <w:lvl w:ilvl="0">
      <w:lvlJc w:val="left"/>
      <w:lvlText w:val="%1."/>
      <w:numFmt w:val="decimal"/>
      <w:start w:val="9"/>
    </w:lvl>
  </w:abstractNum>
  <w:abstractNum w:abstractNumId="44">
    <w:nsid w:val="168E121F"/>
    <w:multiLevelType w:val="hybridMultilevel"/>
    <w:lvl w:ilvl="0">
      <w:lvlJc w:val="left"/>
      <w:lvlText w:val="%1."/>
      <w:numFmt w:val="decimal"/>
      <w:start w:val="1"/>
    </w:lvl>
    <w:lvl w:ilvl="1">
      <w:lvlJc w:val="left"/>
      <w:lvlText w:val="(%2)"/>
      <w:numFmt w:val="lowerLetter"/>
      <w:start w:val="2"/>
    </w:lvl>
  </w:abstractNum>
  <w:abstractNum w:abstractNumId="45">
    <w:nsid w:val="1EBA5D23"/>
    <w:multiLevelType w:val="hybridMultilevel"/>
    <w:lvl w:ilvl="0">
      <w:lvlJc w:val="left"/>
      <w:lvlText w:val="%1"/>
      <w:numFmt w:val="decimal"/>
      <w:start w:val="1"/>
    </w:lvl>
    <w:lvl w:ilvl="1">
      <w:lvlJc w:val="left"/>
      <w:lvlText w:val="(%2)"/>
      <w:numFmt w:val="lowerLetter"/>
      <w:start w:val="4"/>
    </w:lvl>
  </w:abstractNum>
  <w:abstractNum w:abstractNumId="46">
    <w:nsid w:val="661E3F1E"/>
    <w:multiLevelType w:val="hybridMultilevel"/>
    <w:lvl w:ilvl="0">
      <w:lvlJc w:val="left"/>
      <w:lvlText w:val="%1."/>
      <w:numFmt w:val="decimal"/>
      <w:start w:val="4"/>
    </w:lvl>
    <w:lvl w:ilvl="1">
      <w:lvlJc w:val="left"/>
      <w:lvlText w:val="%2"/>
      <w:numFmt w:val="lowerLetter"/>
      <w:start w:val="1"/>
    </w:lvl>
  </w:abstractNum>
  <w:abstractNum w:abstractNumId="47">
    <w:nsid w:val="5DC79EA8"/>
    <w:multiLevelType w:val="hybridMultilevel"/>
    <w:lvl w:ilvl="0">
      <w:lvlJc w:val="left"/>
      <w:lvlText w:val="%1"/>
      <w:numFmt w:val="lowerLetter"/>
      <w:start w:val="1"/>
    </w:lvl>
    <w:lvl w:ilvl="1">
      <w:lvlJc w:val="left"/>
      <w:lvlText w:val="%2."/>
      <w:numFmt w:val="decimal"/>
      <w:start w:val="10"/>
    </w:lvl>
  </w:abstractNum>
  <w:abstractNum w:abstractNumId="48">
    <w:nsid w:val="540A471C"/>
    <w:multiLevelType w:val="hybridMultilevel"/>
    <w:lvl w:ilvl="0">
      <w:lvlJc w:val="left"/>
      <w:lvlText w:val="(%1)"/>
      <w:numFmt w:val="lowerLetter"/>
      <w:start w:val="1"/>
    </w:lvl>
    <w:lvl w:ilvl="1">
      <w:lvlJc w:val="left"/>
      <w:lvlText w:val="%2"/>
      <w:numFmt w:val="decimal"/>
      <w:start w:val="1"/>
    </w:lvl>
  </w:abstractNum>
  <w:abstractNum w:abstractNumId="49">
    <w:nsid w:val="7BD3EE7B"/>
    <w:multiLevelType w:val="hybridMultilevel"/>
    <w:lvl w:ilvl="0">
      <w:lvlJc w:val="left"/>
      <w:lvlText w:val="(%1)"/>
      <w:numFmt w:val="lowerLetter"/>
      <w:start w:val="11"/>
    </w:lvl>
  </w:abstractNum>
  <w:abstractNum w:abstractNumId="50">
    <w:nsid w:val="51D9C564"/>
    <w:multiLevelType w:val="hybridMultilevel"/>
    <w:lvl w:ilvl="0">
      <w:lvlJc w:val="left"/>
      <w:lvlText w:val="%1."/>
      <w:numFmt w:val="decimal"/>
      <w:start w:val="11"/>
    </w:lvl>
  </w:abstractNum>
  <w:abstractNum w:abstractNumId="51">
    <w:nsid w:val="613EFDC5"/>
    <w:multiLevelType w:val="hybridMultilevel"/>
    <w:lvl w:ilvl="0">
      <w:lvlJc w:val="left"/>
      <w:lvlText w:val="%1."/>
      <w:numFmt w:val="decimal"/>
      <w:start w:val="13"/>
    </w:lvl>
  </w:abstractNum>
  <w:abstractNum w:abstractNumId="52">
    <w:nsid w:val="BF72B14"/>
    <w:multiLevelType w:val="hybridMultilevel"/>
    <w:lvl w:ilvl="0">
      <w:lvlJc w:val="left"/>
      <w:lvlText w:val="%1."/>
      <w:numFmt w:val="decimal"/>
      <w:start w:val="17"/>
    </w:lvl>
  </w:abstractNum>
  <w:abstractNum w:abstractNumId="53">
    <w:nsid w:val="11447B73"/>
    <w:multiLevelType w:val="hybridMultilevel"/>
    <w:lvl w:ilvl="0">
      <w:lvlJc w:val="left"/>
      <w:lvlText w:val="%1."/>
      <w:numFmt w:val="decimal"/>
      <w:start w:val="1"/>
    </w:lvl>
    <w:lvl w:ilvl="1">
      <w:lvlJc w:val="left"/>
      <w:lvlText w:val="(%2)"/>
      <w:numFmt w:val="lowerLetter"/>
      <w:start w:val="1"/>
    </w:lvl>
  </w:abstractNum>
  <w:abstractNum w:abstractNumId="54">
    <w:nsid w:val="42963E5A"/>
    <w:multiLevelType w:val="hybridMultilevel"/>
    <w:lvl w:ilvl="0">
      <w:lvlJc w:val="left"/>
      <w:lvlText w:val="%1"/>
      <w:numFmt w:val="decimal"/>
      <w:start w:val="1"/>
    </w:lvl>
    <w:lvl w:ilvl="1">
      <w:lvlJc w:val="left"/>
      <w:lvlText w:val="(%2)"/>
      <w:numFmt w:val="lowerLetter"/>
      <w:start w:val="9"/>
    </w:lvl>
  </w:abstractNum>
  <w:abstractNum w:abstractNumId="55">
    <w:nsid w:val="A0382C5"/>
    <w:multiLevelType w:val="hybridMultilevel"/>
    <w:lvl w:ilvl="0">
      <w:lvlJc w:val="left"/>
      <w:lvlText w:val="%1."/>
      <w:numFmt w:val="decimal"/>
      <w:start w:val="2"/>
    </w:lvl>
    <w:lvl w:ilvl="1">
      <w:lvlJc w:val="left"/>
      <w:lvlText w:val="(%2)"/>
      <w:numFmt w:val="lowerLetter"/>
      <w:start w:val="1"/>
    </w:lvl>
  </w:abstractNum>
  <w:abstractNum w:abstractNumId="56">
    <w:nsid w:val="8F2B15E"/>
    <w:multiLevelType w:val="hybridMultilevel"/>
    <w:lvl w:ilvl="0">
      <w:lvlJc w:val="left"/>
      <w:lvlText w:val="%1"/>
      <w:numFmt w:val="decimal"/>
      <w:start w:val="1"/>
    </w:lvl>
    <w:lvl w:ilvl="1">
      <w:lvlJc w:val="left"/>
      <w:lvlText w:val="(%2)"/>
      <w:numFmt w:val="lowerLetter"/>
      <w:start w:val="3"/>
    </w:lvl>
  </w:abstractNum>
  <w:abstractNum w:abstractNumId="57">
    <w:nsid w:val="1A32234B"/>
    <w:multiLevelType w:val="hybridMultilevel"/>
    <w:lvl w:ilvl="0">
      <w:lvlJc w:val="left"/>
      <w:lvlText w:val="%1."/>
      <w:numFmt w:val="decimal"/>
      <w:start w:val="4"/>
    </w:lvl>
    <w:lvl w:ilvl="1">
      <w:lvlJc w:val="left"/>
      <w:lvlText w:val="(%2)"/>
      <w:numFmt w:val="lowerLetter"/>
      <w:start w:val="1"/>
    </w:lvl>
  </w:abstractNum>
  <w:abstractNum w:abstractNumId="58">
    <w:nsid w:val="3B0FD379"/>
    <w:multiLevelType w:val="hybridMultilevel"/>
    <w:lvl w:ilvl="0">
      <w:lvlJc w:val="left"/>
      <w:lvlText w:val="%1"/>
      <w:numFmt w:val="decimal"/>
      <w:start w:val="1"/>
    </w:lvl>
    <w:lvl w:ilvl="1">
      <w:lvlJc w:val="left"/>
      <w:lvlText w:val="(%2)"/>
      <w:numFmt w:val="lowerLetter"/>
      <w:start w:val="10"/>
    </w:lvl>
  </w:abstractNum>
  <w:abstractNum w:abstractNumId="59">
    <w:nsid w:val="68EB2F63"/>
    <w:multiLevelType w:val="hybridMultilevel"/>
    <w:lvl w:ilvl="0">
      <w:lvlJc w:val="left"/>
      <w:lvlText w:val="%1."/>
      <w:numFmt w:val="decimal"/>
      <w:start w:val="5"/>
    </w:lvl>
    <w:lvl w:ilvl="1">
      <w:lvlJc w:val="left"/>
      <w:lvlText w:val="(%2)"/>
      <w:numFmt w:val="lowerLetter"/>
      <w:start w:val="1"/>
    </w:lvl>
  </w:abstractNum>
  <w:abstractNum w:abstractNumId="60">
    <w:nsid w:val="4962813B"/>
    <w:multiLevelType w:val="hybridMultilevel"/>
    <w:lvl w:ilvl="0">
      <w:lvlJc w:val="left"/>
      <w:lvlText w:val="(%1)"/>
      <w:numFmt w:val="lowerLetter"/>
      <w:start w:val="5"/>
    </w:lvl>
  </w:abstractNum>
  <w:abstractNum w:abstractNumId="61">
    <w:nsid w:val="60B6DF70"/>
    <w:multiLevelType w:val="hybridMultilevel"/>
    <w:lvl w:ilvl="0">
      <w:lvlJc w:val="left"/>
      <w:lvlText w:val="(%1)"/>
      <w:numFmt w:val="lowerLetter"/>
      <w:start w:val="6"/>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decimal"/>
      <w:start w:val="4"/>
    </w:lvl>
  </w:abstractNum>
  <w:abstractNum w:abstractNumId="65">
    <w:nsid w:val="1A27709E"/>
    <w:multiLevelType w:val="hybridMultilevel"/>
    <w:lvl w:ilvl="0">
      <w:lvlJc w:val="left"/>
      <w:lvlText w:val="%1."/>
      <w:numFmt w:val="decimal"/>
      <w:start w:val="5"/>
    </w:lvl>
  </w:abstractNum>
  <w:abstractNum w:abstractNumId="66">
    <w:nsid w:val="71EA1109"/>
    <w:multiLevelType w:val="hybridMultilevel"/>
    <w:lvl w:ilvl="0">
      <w:lvlJc w:val="left"/>
      <w:lvlText w:val="%1."/>
      <w:numFmt w:val="decimal"/>
      <w:start w:val="6"/>
    </w:lvl>
  </w:abstractNum>
  <w:abstractNum w:abstractNumId="67">
    <w:nsid w:val="100F59DC"/>
    <w:multiLevelType w:val="hybridMultilevel"/>
    <w:lvl w:ilvl="0">
      <w:lvlJc w:val="left"/>
      <w:lvlText w:val="%1."/>
      <w:numFmt w:val="decimal"/>
      <w:start w:val="2"/>
    </w:lvl>
  </w:abstractNum>
  <w:abstractNum w:abstractNumId="68">
    <w:nsid w:val="7FB7E0AA"/>
    <w:multiLevelType w:val="hybridMultilevel"/>
    <w:lvl w:ilvl="0">
      <w:lvlJc w:val="left"/>
      <w:lvlText w:val="(%1)"/>
      <w:numFmt w:val="lowerLetter"/>
      <w:start w:val="1"/>
    </w:lvl>
  </w:abstractNum>
  <w:abstractNum w:abstractNumId="69">
    <w:nsid w:val="6EB5BD4"/>
    <w:multiLevelType w:val="hybridMultilevel"/>
    <w:lvl w:ilvl="0">
      <w:lvlJc w:val="left"/>
      <w:lvlText w:val="(%1)"/>
      <w:numFmt w:val="lowerLetter"/>
      <w:start w:val="2"/>
    </w:lvl>
  </w:abstractNum>
  <w:abstractNum w:abstractNumId="70">
    <w:nsid w:val="6F6DD9AC"/>
    <w:multiLevelType w:val="hybridMultilevel"/>
    <w:lvl w:ilvl="0">
      <w:lvlJc w:val="left"/>
      <w:lvlText w:val="%1."/>
      <w:numFmt w:val="decimal"/>
      <w:start w:val="3"/>
    </w:lvl>
  </w:abstractNum>
  <w:abstractNum w:abstractNumId="71">
    <w:nsid w:val="94211F2"/>
    <w:multiLevelType w:val="hybridMultilevel"/>
    <w:lvl w:ilvl="0">
      <w:lvlJc w:val="left"/>
      <w:lvlText w:val="%1."/>
      <w:numFmt w:val="decimal"/>
      <w:start w:val="4"/>
    </w:lvl>
  </w:abstractNum>
  <w:abstractNum w:abstractNumId="72">
    <w:nsid w:val="885E1B"/>
    <w:multiLevelType w:val="hybridMultilevel"/>
    <w:lvl w:ilvl="0">
      <w:lvlJc w:val="left"/>
      <w:lvlText w:val="%1."/>
      <w:numFmt w:val="decimal"/>
      <w:start w:val="5"/>
    </w:lvl>
  </w:abstractNum>
  <w:abstractNum w:abstractNumId="73">
    <w:nsid w:val="76272110"/>
    <w:multiLevelType w:val="hybridMultilevel"/>
    <w:lvl w:ilvl="0">
      <w:lvlJc w:val="left"/>
      <w:lvlText w:val="%1."/>
      <w:numFmt w:val="decimal"/>
      <w:start w:val="6"/>
    </w:lvl>
  </w:abstractNum>
  <w:abstractNum w:abstractNumId="74">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1716703B"/>
    <w:multiLevelType w:val="hybridMultilevel"/>
    <w:lvl w:ilvl="0">
      <w:lvlJc w:val="left"/>
      <w:lvlText w:val="%1"/>
      <w:numFmt w:val="lowerLetter"/>
      <w:start w:val="1"/>
    </w:lvl>
    <w:lvl w:ilvl="1">
      <w:lvlJc w:val="left"/>
      <w:lvlText w:val="(%2)"/>
      <w:numFmt w:val="lowerRoman"/>
      <w:start w:val="4"/>
    </w:lvl>
  </w:abstractNum>
  <w:abstractNum w:abstractNumId="76">
    <w:nsid w:val="14E17E33"/>
    <w:multiLevelType w:val="hybridMultilevel"/>
    <w:lvl w:ilvl="0">
      <w:lvlJc w:val="left"/>
      <w:lvlText w:val="(%1)"/>
      <w:numFmt w:val="lowerLetter"/>
      <w:start w:val="4"/>
    </w:lvl>
    <w:lvl w:ilvl="1">
      <w:lvlJc w:val="left"/>
      <w:lvlText w:val="%2"/>
      <w:numFmt w:val="lowerRoman"/>
      <w:start w:val="1"/>
    </w:lvl>
  </w:abstractNum>
  <w:abstractNum w:abstractNumId="77">
    <w:nsid w:val="3222E7CD"/>
    <w:multiLevelType w:val="hybridMultilevel"/>
    <w:lvl w:ilvl="0">
      <w:lvlJc w:val="left"/>
      <w:lvlText w:val="%1"/>
      <w:numFmt w:val="decimal"/>
      <w:start w:val="1"/>
    </w:lvl>
    <w:lvl w:ilvl="1">
      <w:lvlJc w:val="left"/>
      <w:lvlText w:val="(%2)"/>
      <w:numFmt w:val="lowerLetter"/>
      <w:start w:val="11"/>
    </w:lvl>
  </w:abstractNum>
  <w:abstractNum w:abstractNumId="78">
    <w:nsid w:val="74DE0EE3"/>
    <w:multiLevelType w:val="hybridMultilevel"/>
    <w:lvl w:ilvl="0">
      <w:lvlJc w:val="left"/>
      <w:lvlText w:val="%1"/>
      <w:numFmt w:val="decimal"/>
      <w:start w:val="1"/>
    </w:lvl>
    <w:lvl w:ilvl="1">
      <w:lvlJc w:val="left"/>
      <w:lvlText w:val="(%2)"/>
      <w:numFmt w:val="lowerLetter"/>
      <w:start w:val="35"/>
    </w:lvl>
  </w:abstractNum>
  <w:abstractNum w:abstractNumId="79">
    <w:nsid w:val="68EBC550"/>
    <w:multiLevelType w:val="hybridMultilevel"/>
    <w:lvl w:ilvl="0">
      <w:lvlJc w:val="left"/>
      <w:lvlText w:val="%1"/>
      <w:numFmt w:val="decimal"/>
      <w:start w:val="1"/>
    </w:lvl>
    <w:lvl w:ilvl="1">
      <w:lvlJc w:val="left"/>
      <w:lvlText w:val="(%2)"/>
      <w:numFmt w:val="lowerLetter"/>
      <w:start w:val="12"/>
    </w:lvl>
  </w:abstractNum>
  <w:abstractNum w:abstractNumId="80">
    <w:nsid w:val="2DF6D648"/>
    <w:multiLevelType w:val="hybridMultilevel"/>
    <w:lvl w:ilvl="0">
      <w:lvlJc w:val="left"/>
      <w:lvlText w:val="%1."/>
      <w:numFmt w:val="decimal"/>
      <w:start w:val="3"/>
    </w:lvl>
    <w:lvl w:ilvl="1">
      <w:lvlJc w:val="left"/>
      <w:lvlText w:val="%2"/>
      <w:numFmt w:val="lowerLetter"/>
      <w:start w:val="1"/>
    </w:lvl>
  </w:abstractNum>
  <w:abstractNum w:abstractNumId="81">
    <w:nsid w:val="46B7D447"/>
    <w:multiLevelType w:val="hybridMultilevel"/>
    <w:lvl w:ilvl="0">
      <w:lvlJc w:val="left"/>
      <w:lvlText w:val="%1."/>
      <w:numFmt w:val="decimal"/>
      <w:start w:val="4"/>
    </w:lvl>
    <w:lvl w:ilvl="1">
      <w:lvlJc w:val="left"/>
      <w:lvlText w:val="(%2)"/>
      <w:numFmt w:val="lowerLetter"/>
      <w:start w:val="1"/>
    </w:lvl>
  </w:abstractNum>
  <w:abstractNum w:abstractNumId="82">
    <w:nsid w:val="4A2AC315"/>
    <w:multiLevelType w:val="hybridMultilevel"/>
    <w:lvl w:ilvl="0">
      <w:lvlJc w:val="left"/>
      <w:lvlText w:val="%1"/>
      <w:numFmt w:val="decimal"/>
      <w:start w:val="1"/>
    </w:lvl>
    <w:lvl w:ilvl="1">
      <w:lvlJc w:val="left"/>
      <w:lvlText w:val="(%2)"/>
      <w:numFmt w:val="lowerLetter"/>
      <w:start w:val="2"/>
    </w:lvl>
  </w:abstractNum>
  <w:abstractNum w:abstractNumId="83">
    <w:nsid w:val="39EE015C"/>
    <w:multiLevelType w:val="hybridMultilevel"/>
    <w:lvl w:ilvl="0">
      <w:lvlJc w:val="left"/>
      <w:lvlText w:val="%1."/>
      <w:numFmt w:val="decimal"/>
      <w:start w:val="9"/>
    </w:lvl>
    <w:lvl w:ilvl="1">
      <w:lvlJc w:val="left"/>
      <w:lvlText w:val="(%2)"/>
      <w:numFmt w:val="lowerLetter"/>
      <w:start w:val="1"/>
    </w:lvl>
  </w:abstractNum>
  <w:abstractNum w:abstractNumId="84">
    <w:nsid w:val="57FC4FBB"/>
    <w:multiLevelType w:val="hybridMultilevel"/>
    <w:lvl w:ilvl="0">
      <w:lvlJc w:val="left"/>
      <w:lvlText w:val="%1."/>
      <w:numFmt w:val="decimal"/>
      <w:start w:val="10"/>
    </w:lvl>
    <w:lvl w:ilvl="1">
      <w:lvlJc w:val="left"/>
      <w:lvlText w:val="(%2)"/>
      <w:numFmt w:val="lowerLetter"/>
      <w:start w:val="1"/>
    </w:lvl>
  </w:abstractNum>
  <w:abstractNum w:abstractNumId="85">
    <w:nsid w:val="CC1016F"/>
    <w:multiLevelType w:val="hybridMultilevel"/>
    <w:lvl w:ilvl="0">
      <w:lvlJc w:val="left"/>
      <w:lvlText w:val="%1."/>
      <w:numFmt w:val="decimal"/>
      <w:start w:val="11"/>
    </w:lvl>
    <w:lvl w:ilvl="1">
      <w:lvlJc w:val="left"/>
      <w:lvlText w:val="(%2)"/>
      <w:numFmt w:val="lowerLetter"/>
      <w:start w:val="1"/>
    </w:lvl>
  </w:abstractNum>
  <w:abstractNum w:abstractNumId="86">
    <w:nsid w:val="43F18422"/>
    <w:multiLevelType w:val="hybridMultilevel"/>
    <w:lvl w:ilvl="0">
      <w:lvlJc w:val="left"/>
      <w:lvlText w:val="%1"/>
      <w:numFmt w:val="decimal"/>
      <w:start w:val="1"/>
    </w:lvl>
    <w:lvl w:ilvl="1">
      <w:lvlJc w:val="left"/>
      <w:lvlText w:val="(%2)"/>
      <w:numFmt w:val="lowerLetter"/>
      <w:start w:val="3"/>
    </w:lvl>
  </w:abstractNum>
  <w:abstractNum w:abstractNumId="87">
    <w:nsid w:val="60EF0119"/>
    <w:multiLevelType w:val="hybridMultilevel"/>
    <w:lvl w:ilvl="0">
      <w:lvlJc w:val="left"/>
      <w:lvlText w:val="%1."/>
      <w:numFmt w:val="decimal"/>
      <w:start w:val="13"/>
    </w:lvl>
    <w:lvl w:ilvl="1">
      <w:lvlJc w:val="left"/>
      <w:lvlText w:val="(%2)"/>
      <w:numFmt w:val="lowerLetter"/>
      <w:start w:val="1"/>
    </w:lvl>
  </w:abstractNum>
  <w:abstractNum w:abstractNumId="88">
    <w:nsid w:val="26F324BA"/>
    <w:multiLevelType w:val="hybridMultilevel"/>
    <w:lvl w:ilvl="0">
      <w:lvlJc w:val="left"/>
      <w:lvlText w:val="%1."/>
      <w:numFmt w:val="decimal"/>
      <w:start w:val="14"/>
    </w:lvl>
    <w:lvl w:ilvl="1">
      <w:lvlJc w:val="left"/>
      <w:lvlText w:val="(%2)"/>
      <w:numFmt w:val="lowerLetter"/>
      <w:start w:val="1"/>
    </w:lvl>
  </w:abstractNum>
  <w:abstractNum w:abstractNumId="89">
    <w:nsid w:val="7F01579B"/>
    <w:multiLevelType w:val="hybridMultilevel"/>
    <w:lvl w:ilvl="0">
      <w:lvlJc w:val="left"/>
      <w:lvlText w:val="%1."/>
      <w:numFmt w:val="decimal"/>
      <w:start w:val="15"/>
    </w:lvl>
    <w:lvl w:ilvl="1">
      <w:lvlJc w:val="left"/>
      <w:lvlText w:val="(%2)"/>
      <w:numFmt w:val="lowerLetter"/>
      <w:start w:val="1"/>
    </w:lvl>
  </w:abstractNum>
  <w:abstractNum w:abstractNumId="90">
    <w:nsid w:val="49DA307D"/>
    <w:multiLevelType w:val="hybridMultilevel"/>
    <w:lvl w:ilvl="0">
      <w:lvlJc w:val="left"/>
      <w:lvlText w:val="%1"/>
      <w:numFmt w:val="decimal"/>
      <w:start w:val="1"/>
    </w:lvl>
    <w:lvl w:ilvl="1">
      <w:lvlJc w:val="left"/>
      <w:lvlText w:val="(%2)"/>
      <w:numFmt w:val="lowerLetter"/>
      <w:start w:val="5"/>
    </w:lvl>
  </w:abstractNum>
  <w:abstractNum w:abstractNumId="91">
    <w:nsid w:val="7055A5F5"/>
    <w:multiLevelType w:val="hybridMultilevel"/>
    <w:lvl w:ilvl="0">
      <w:lvlJc w:val="left"/>
      <w:lvlText w:val="%1."/>
      <w:numFmt w:val="decimal"/>
      <w:start w:val="17"/>
    </w:lvl>
    <w:lvl w:ilvl="1">
      <w:lvlJc w:val="left"/>
      <w:lvlText w:val="(%2)"/>
      <w:numFmt w:val="lowerLetter"/>
      <w:start w:val="1"/>
    </w:lvl>
  </w:abstractNum>
  <w:abstractNum w:abstractNumId="92">
    <w:nsid w:val="5FB8370B"/>
    <w:multiLevelType w:val="hybridMultilevel"/>
    <w:lvl w:ilvl="0">
      <w:lvlJc w:val="left"/>
      <w:lvlText w:val="%1"/>
      <w:numFmt w:val="decimal"/>
      <w:start w:val="1"/>
    </w:lvl>
    <w:lvl w:ilvl="1">
      <w:lvlJc w:val="left"/>
      <w:lvlText w:val="(%2)"/>
      <w:numFmt w:val="lowerLetter"/>
      <w:start w:val="4"/>
    </w:lvl>
  </w:abstractNum>
  <w:abstractNum w:abstractNumId="93">
    <w:nsid w:val="50801EE1"/>
    <w:multiLevelType w:val="hybridMultilevel"/>
    <w:lvl w:ilvl="0">
      <w:lvlJc w:val="left"/>
      <w:lvlText w:val="%1."/>
      <w:numFmt w:val="decimal"/>
      <w:start w:val="20"/>
    </w:lvl>
    <w:lvl w:ilvl="1">
      <w:lvlJc w:val="left"/>
      <w:lvlText w:val="(%2)"/>
      <w:numFmt w:val="lowerLetter"/>
      <w:start w:val="1"/>
    </w:lvl>
  </w:abstractNum>
  <w:abstractNum w:abstractNumId="94">
    <w:nsid w:val="488AC1A"/>
    <w:multiLevelType w:val="hybridMultilevel"/>
    <w:lvl w:ilvl="0">
      <w:lvlJc w:val="left"/>
      <w:lvlText w:val="%1."/>
      <w:numFmt w:val="decimal"/>
      <w:start w:val="22"/>
    </w:lvl>
  </w:abstractNum>
  <w:abstractNum w:abstractNumId="95">
    <w:nsid w:val="5FB8011C"/>
    <w:multiLevelType w:val="hybridMultilevel"/>
    <w:lvl w:ilvl="0">
      <w:lvlJc w:val="left"/>
      <w:lvlText w:val="%1."/>
      <w:numFmt w:val="decimal"/>
      <w:start w:val="24"/>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lowerLetter"/>
      <w:start w:val="1"/>
    </w:lvl>
  </w:abstractNum>
  <w:abstractNum w:abstractNumId="99">
    <w:nsid w:val="6A5F702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2021-08-13T14:19:27Z</dcterms:created>
  <dcterms:modified xsi:type="dcterms:W3CDTF">2021-08-13T14:19:27Z</dcterms:modified>
</cp:coreProperties>
</file>