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2,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Registration No. 333-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30101__20"/>
      <w:bookmarkEnd w:id="2"/>
      <w:r>
        <w:rPr>
          <w:rFonts w:ascii="Times New Roman;Times;Serif" w:hAnsi="Times New Roman;Times;Serif"/>
          <w:b/>
          <w:i w:val="false"/>
          <w:caps w:val="false"/>
          <w:smallCaps w:val="false"/>
          <w:sz w:val="36"/>
        </w:rPr>
        <w:t>S-1</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8_edei--EntityRegistrantName_c2023"/>
      <w:bookmarkEnd w:id="3"/>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495"/>
        <w:gridCol w:w="60"/>
        <w:gridCol w:w="237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D_edei--EntityIncorporationStateCo"/>
            <w:bookmarkEnd w:id="4"/>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TaxIdentificationNum"/>
            <w:bookmarkEnd w:id="5"/>
            <w:r>
              <w:rPr>
                <w:rFonts w:ascii="Times New Roman;Times;Serif" w:hAnsi="Times New Roman;Times;Serif"/>
                <w:b/>
                <w:i w:val="false"/>
                <w:caps w:val="false"/>
                <w:smallCaps w:val="false"/>
                <w:sz w:val="20"/>
              </w:rPr>
              <w:t>85-1873463</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7_edei--EntityAddressAddressLine1_"/>
      <w:bookmarkEnd w:id="6"/>
      <w:r>
        <w:rPr>
          <w:rFonts w:ascii="Times New Roman;Times;Serif" w:hAnsi="Times New Roman;Times;Serif"/>
          <w:b/>
          <w:i w:val="false"/>
          <w:caps w:val="false"/>
          <w:smallCaps w:val="false"/>
          <w:sz w:val="20"/>
        </w:rPr>
        <w:t xml:space="preserve">1190 Trademark Drive </w:t>
      </w:r>
      <w:bookmarkStart w:id="7" w:name="xdx_90F_edei--EntityAddressAddressLine2_"/>
      <w:bookmarkEnd w:id="7"/>
      <w:r>
        <w:rPr>
          <w:rFonts w:ascii="Times New Roman;Times;Serif" w:hAnsi="Times New Roman;Times;Serif"/>
          <w:b/>
          <w:i w:val="false"/>
          <w:caps w:val="false"/>
          <w:smallCaps w:val="false"/>
          <w:sz w:val="20"/>
        </w:rPr>
        <w:t>#108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CityOrTown_c2"/>
      <w:bookmarkEnd w:id="8"/>
      <w:r>
        <w:rPr>
          <w:rFonts w:ascii="Times New Roman;Times;Serif" w:hAnsi="Times New Roman;Times;Serif"/>
          <w:b/>
          <w:i w:val="false"/>
          <w:caps w:val="false"/>
          <w:smallCaps w:val="false"/>
          <w:sz w:val="20"/>
        </w:rPr>
        <w:t xml:space="preserve">Reno, </w:t>
      </w:r>
      <w:bookmarkStart w:id="9" w:name="xdx_909_edei--EntityAddressStateOrProvin"/>
      <w:bookmarkEnd w:id="9"/>
      <w:r>
        <w:rPr>
          <w:rFonts w:ascii="Times New Roman;Times;Serif" w:hAnsi="Times New Roman;Times;Serif"/>
          <w:b/>
          <w:i w:val="false"/>
          <w:caps w:val="false"/>
          <w:smallCaps w:val="false"/>
          <w:sz w:val="20"/>
        </w:rPr>
        <w:t xml:space="preserve">Nevada </w:t>
      </w:r>
      <w:bookmarkStart w:id="10" w:name="xdx_909_edei--EntityAddressPostalZipCode"/>
      <w:bookmarkEnd w:id="10"/>
      <w:r>
        <w:rPr>
          <w:rFonts w:ascii="Times New Roman;Times;Serif" w:hAnsi="Times New Roman;Times;Serif"/>
          <w:b/>
          <w:i w:val="false"/>
          <w:caps w:val="false"/>
          <w:smallCaps w:val="false"/>
          <w:sz w:val="20"/>
        </w:rPr>
        <w:t>89521</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B_edei--CityAreaCode_c20230101__20"/>
      <w:bookmarkEnd w:id="11"/>
      <w:r>
        <w:rPr>
          <w:rFonts w:ascii="Times New Roman;Times;Serif" w:hAnsi="Times New Roman;Times;Serif"/>
          <w:b/>
          <w:i w:val="false"/>
          <w:caps w:val="false"/>
          <w:smallCaps w:val="false"/>
          <w:sz w:val="20"/>
        </w:rPr>
        <w:t xml:space="preserve">(775) </w:t>
      </w:r>
      <w:bookmarkStart w:id="12" w:name="xdx_904_edei--LocalPhoneNumber_c20230101"/>
      <w:bookmarkEnd w:id="12"/>
      <w:r>
        <w:rPr>
          <w:rFonts w:ascii="Times New Roman;Times;Serif" w:hAnsi="Times New Roman;Times;Serif"/>
          <w:b/>
          <w:i w:val="false"/>
          <w:caps w:val="false"/>
          <w:smallCaps w:val="false"/>
          <w:sz w:val="20"/>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Denis Phares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1190 Trademark Drive #108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 Nevada 89521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 622-3488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2495"/>
        <w:gridCol w:w="60"/>
        <w:gridCol w:w="2300"/>
      </w:tblGrid>
      <w:tr>
        <w:trPr/>
        <w:tc>
          <w:tcPr>
            <w:tcW w:w="24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M. Skolnick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br/>
              <w:t>1251 Avenue of the Americas</w:t>
              <w:br/>
              <w:t>New York, NY 10020</w:t>
              <w:br/>
              <w:t>Telephone: (212) 262-6700</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T. Seery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Duane Morris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1540 Broadway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692-1000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 w:name="xdx_903_edei--EntityFilerCategory_c20230"/>
            <w:bookmarkEnd w:id="1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right"/>
              <w:rPr>
                <w:caps w:val="false"/>
                <w:smallCaps w:val="false"/>
              </w:rPr>
            </w:pPr>
            <w:bookmarkStart w:id="14" w:name="xdx_90A_edei--EntitySmallBusiness_c20230"/>
            <w:bookmarkEnd w:id="14"/>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right"/>
              <w:rPr>
                <w:caps w:val="false"/>
                <w:smallCaps w:val="false"/>
              </w:rPr>
            </w:pPr>
            <w:bookmarkStart w:id="15" w:name="xdx_909_edei--EntityEmergingGrowthCompan"/>
            <w:bookmarkEnd w:id="15"/>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16" w:name="xdx_902_edei--EntityExTransitionPeriod_c"/>
      <w:bookmarkEnd w:id="16"/>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2750"/>
        <w:gridCol w:w="2630"/>
        <w:gridCol w:w="1925"/>
      </w:tblGrid>
      <w:tr>
        <w:trPr/>
        <w:tc>
          <w:tcPr>
            <w:tcW w:w="2750" w:type="dxa"/>
            <w:tcBorders/>
            <w:vAlign w:val="center"/>
          </w:tcPr>
          <w:p>
            <w:pPr>
              <w:pStyle w:val="TableContents"/>
              <w:bidi w:val="0"/>
              <w:spacing w:before="0" w:after="283"/>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Preliminary Prospectus</w:t>
            </w:r>
          </w:p>
        </w:tc>
        <w:tc>
          <w:tcPr>
            <w:tcW w:w="2630" w:type="dxa"/>
            <w:tcBorders/>
            <w:vAlign w:val="center"/>
          </w:tcPr>
          <w:p>
            <w:pPr>
              <w:pStyle w:val="TableContents"/>
              <w:bidi w:val="0"/>
              <w:spacing w:before="0" w:after="283"/>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Subject to Completion</w:t>
            </w:r>
          </w:p>
        </w:tc>
        <w:tc>
          <w:tcPr>
            <w:tcW w:w="1925" w:type="dxa"/>
            <w:tcBorders/>
            <w:vAlign w:val="center"/>
          </w:tcPr>
          <w:p>
            <w:pPr>
              <w:pStyle w:val="TableContents"/>
              <w:bidi w:val="0"/>
              <w:spacing w:before="0" w:after="283"/>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Dated JUNE 2,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57325"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981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shares of our common stock. Our common stock is currently listed on The Nasdaq Global Market, or Nasdaq, under the symbol “DFLI”. As of June 1, 2023, the closing price of our common stock was $2.70.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You should read this prospectus carefully, together with additional information described under the heading “</w:t>
      </w:r>
      <w:hyperlink w:anchor="a_16">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 before you invest in any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applicable federal securities laws and are be subject to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i w:val="false"/>
          <w:caps w:val="false"/>
          <w:smallCaps w:val="false"/>
          <w:sz w:val="20"/>
        </w:rPr>
        <w:t>Investing in our securities involves a high degree of risk. See the section entitled “</w:t>
      </w:r>
      <w:hyperlink w:anchor="a_3">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5 of this prospectus for a discussion of risks that should be considered in connection with an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5489" w:type="dxa"/>
        <w:jc w:val="left"/>
        <w:tblInd w:w="0" w:type="dxa"/>
        <w:tblLayout w:type="fixed"/>
        <w:tblCellMar>
          <w:top w:w="0" w:type="dxa"/>
          <w:left w:w="0" w:type="dxa"/>
          <w:bottom w:w="0" w:type="dxa"/>
          <w:right w:w="0" w:type="dxa"/>
        </w:tblCellMar>
      </w:tblPr>
      <w:tblGrid>
        <w:gridCol w:w="3635"/>
        <w:gridCol w:w="60"/>
        <w:gridCol w:w="290"/>
        <w:gridCol w:w="749"/>
        <w:gridCol w:w="60"/>
        <w:gridCol w:w="60"/>
        <w:gridCol w:w="178"/>
        <w:gridCol w:w="382"/>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both"/>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3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Underwriting discounts and commissions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7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3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3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to reimburse the underwriters for certain expenses. See “Underwriting” on page 99 of this prospectus for additional information.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to the underwriters, or their permitted designees warrants (the “Underwriters’ Warrants”) to purchase up to an aggregate number of shares of common stock representing five (5%) of the common stock offered hereby, including any shares of common stock issued if the underwriters option to purchase additional shares of common stock is exercised. The Underwriters’ Warrants will have an exercise price of 125% of the per share public offering price, will have a cashless exercise provision and will terminate on the fifth anniversary of the effective date of the registration statement of which this prospectus is a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 45-day over-allotment option to purchase up to an additional shares of common stock from us at the public offering price above, less the underwriting discounts and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shares of common stock on or about           , 2023.</w:t>
      </w:r>
    </w:p>
    <w:p>
      <w:pPr>
        <w:pStyle w:val="TextBody"/>
        <w:bidi w:val="0"/>
        <w:spacing w:before="0" w:after="0"/>
        <w:ind w:left="0" w:right="0" w:firstLine="72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035"/>
        <w:gridCol w:w="1250"/>
      </w:tblGrid>
      <w:tr>
        <w:trPr/>
        <w:tc>
          <w:tcPr>
            <w:tcW w:w="3035" w:type="dxa"/>
            <w:tcBorders/>
            <w:vAlign w:val="center"/>
          </w:tcPr>
          <w:p>
            <w:pPr>
              <w:pStyle w:val="TableContents"/>
              <w:bidi w:val="0"/>
              <w:spacing w:before="0" w:after="283"/>
              <w:jc w:val="center"/>
              <w:rPr>
                <w:rFonts w:ascii="Times New Roman;Times;Serif" w:hAnsi="Times New Roman;Times;Serif"/>
                <w:b/>
                <w:sz w:val="32"/>
              </w:rPr>
            </w:pPr>
            <w:r>
              <w:rPr>
                <w:rFonts w:ascii="Times New Roman;Times;Serif" w:hAnsi="Times New Roman;Times;Serif"/>
                <w:b/>
                <w:sz w:val="32"/>
              </w:rPr>
              <w:t>Roth Capital Partners</w:t>
            </w:r>
          </w:p>
        </w:tc>
        <w:tc>
          <w:tcPr>
            <w:tcW w:w="1250" w:type="dxa"/>
            <w:tcBorders/>
            <w:vAlign w:val="center"/>
          </w:tcPr>
          <w:p>
            <w:pPr>
              <w:pStyle w:val="TableContents"/>
              <w:bidi w:val="0"/>
              <w:spacing w:before="0" w:after="283"/>
              <w:jc w:val="center"/>
              <w:rPr>
                <w:b/>
                <w:sz w:val="32"/>
              </w:rPr>
            </w:pPr>
            <w:r>
              <w:rPr>
                <w:b/>
                <w:sz w:val="32"/>
              </w:rPr>
              <w:t>Chardan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55"/>
        <w:gridCol w:w="350"/>
      </w:tblGrid>
      <w:tr>
        <w:trPr/>
        <w:tc>
          <w:tcPr>
            <w:tcW w:w="9855" w:type="dxa"/>
            <w:tcBorders/>
            <w:shd w:fill="CCEEFF" w:val="clear"/>
            <w:vAlign w:val="center"/>
          </w:tcPr>
          <w:p>
            <w:pPr>
              <w:pStyle w:val="TableContents"/>
              <w:bidi w:val="0"/>
              <w:spacing w:before="0" w:after="283"/>
              <w:jc w:val="left"/>
              <w:rPr/>
            </w:pPr>
            <w:hyperlink w:anchor="a_1">
              <w:r>
                <w:rPr>
                  <w:rStyle w:val="InternetLink"/>
                  <w:rFonts w:ascii="Times New Roman;Times;Serif" w:hAnsi="Times New Roman;Times;Serif"/>
                  <w:b w:val="false"/>
                  <w:i w:val="false"/>
                  <w:caps w:val="false"/>
                  <w:smallCaps w:val="false"/>
                  <w:sz w:val="20"/>
                </w:rPr>
                <w:t>ABOUT THIS PROSPECTUS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9855" w:type="dxa"/>
            <w:tcBorders/>
            <w:shd w:fill="FFFFFF" w:val="clear"/>
            <w:vAlign w:val="center"/>
          </w:tcPr>
          <w:p>
            <w:pPr>
              <w:pStyle w:val="TableContents"/>
              <w:bidi w:val="0"/>
              <w:spacing w:before="0" w:after="283"/>
              <w:jc w:val="left"/>
              <w:rPr/>
            </w:pPr>
            <w:hyperlink w:anchor="a_2">
              <w:r>
                <w:rPr>
                  <w:rStyle w:val="InternetLink"/>
                  <w:rFonts w:ascii="Times New Roman;Times;Serif" w:hAnsi="Times New Roman;Times;Serif"/>
                  <w:b w:val="false"/>
                  <w:i w:val="false"/>
                  <w:caps w:val="false"/>
                  <w:smallCaps w:val="false"/>
                  <w:sz w:val="20"/>
                </w:rPr>
                <w:t>PROSPECTUS SUMMARY</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855" w:type="dxa"/>
            <w:tcBorders/>
            <w:shd w:fill="CCEEFF" w:val="clear"/>
            <w:vAlign w:val="center"/>
          </w:tcPr>
          <w:p>
            <w:pPr>
              <w:pStyle w:val="TableContents"/>
              <w:bidi w:val="0"/>
              <w:spacing w:before="0" w:after="283"/>
              <w:jc w:val="left"/>
              <w:rPr/>
            </w:pPr>
            <w:hyperlink w:anchor="a_3">
              <w:r>
                <w:rPr>
                  <w:rStyle w:val="InternetLink"/>
                  <w:rFonts w:ascii="Times New Roman;Times;Serif" w:hAnsi="Times New Roman;Times;Serif"/>
                  <w:b w:val="false"/>
                  <w:i w:val="false"/>
                  <w:caps w:val="false"/>
                  <w:smallCaps w:val="false"/>
                  <w:sz w:val="20"/>
                </w:rPr>
                <w:t>RISK FACTORS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855" w:type="dxa"/>
            <w:tcBorders/>
            <w:shd w:fill="FFFFFF" w:val="clear"/>
            <w:vAlign w:val="center"/>
          </w:tcPr>
          <w:p>
            <w:pPr>
              <w:pStyle w:val="TableContents"/>
              <w:bidi w:val="0"/>
              <w:spacing w:before="0" w:after="283"/>
              <w:jc w:val="left"/>
              <w:rPr/>
            </w:pPr>
            <w:hyperlink w:anchor="s_001">
              <w:r>
                <w:rPr>
                  <w:rStyle w:val="InternetLink"/>
                  <w:rFonts w:ascii="Times New Roman;Times;Serif" w:hAnsi="Times New Roman;Times;Serif"/>
                  <w:b w:val="false"/>
                  <w:i w:val="false"/>
                  <w:caps w:val="false"/>
                  <w:smallCaps w:val="false"/>
                  <w:sz w:val="20"/>
                </w:rPr>
                <w:t>CAUTIONARY STATEMENT REGARDING FORWARD-LOOKING STATEMENTS AND INFORMATION</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855" w:type="dxa"/>
            <w:tcBorders/>
            <w:shd w:fill="CCEEFF" w:val="clear"/>
            <w:vAlign w:val="center"/>
          </w:tcPr>
          <w:p>
            <w:pPr>
              <w:pStyle w:val="TableContents"/>
              <w:bidi w:val="0"/>
              <w:spacing w:before="0" w:after="283"/>
              <w:jc w:val="left"/>
              <w:rPr/>
            </w:pPr>
            <w:hyperlink w:anchor="a_4">
              <w:r>
                <w:rPr>
                  <w:rStyle w:val="InternetLink"/>
                  <w:rFonts w:ascii="Times New Roman;Times;Serif" w:hAnsi="Times New Roman;Times;Serif"/>
                  <w:b w:val="false"/>
                  <w:i w:val="false"/>
                  <w:caps w:val="false"/>
                  <w:smallCaps w:val="false"/>
                  <w:sz w:val="20"/>
                </w:rPr>
                <w:t>USE OF PROCEEDS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855" w:type="dxa"/>
            <w:tcBorders/>
            <w:shd w:fill="FFFFFF" w:val="clear"/>
            <w:vAlign w:val="center"/>
          </w:tcPr>
          <w:p>
            <w:pPr>
              <w:pStyle w:val="TableContents"/>
              <w:bidi w:val="0"/>
              <w:spacing w:before="0" w:after="283"/>
              <w:jc w:val="left"/>
              <w:rPr/>
            </w:pPr>
            <w:hyperlink w:anchor="a_5">
              <w:r>
                <w:rPr>
                  <w:rStyle w:val="InternetLink"/>
                  <w:rFonts w:ascii="Times New Roman;Times;Serif" w:hAnsi="Times New Roman;Times;Serif"/>
                  <w:b w:val="false"/>
                  <w:i w:val="false"/>
                  <w:caps w:val="false"/>
                  <w:smallCaps w:val="false"/>
                  <w:sz w:val="20"/>
                </w:rPr>
                <w:t>MARKET PRICE AND DIVIDEND INFORMATION</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855" w:type="dxa"/>
            <w:tcBorders/>
            <w:shd w:fill="CCEEFF" w:val="clear"/>
            <w:vAlign w:val="center"/>
          </w:tcPr>
          <w:p>
            <w:pPr>
              <w:pStyle w:val="TableContents"/>
              <w:bidi w:val="0"/>
              <w:spacing w:before="0" w:after="283"/>
              <w:jc w:val="left"/>
              <w:rPr/>
            </w:pPr>
            <w:hyperlink w:anchor="a_6">
              <w:r>
                <w:rPr>
                  <w:rStyle w:val="InternetLink"/>
                  <w:rFonts w:ascii="Times New Roman;Times;Serif" w:hAnsi="Times New Roman;Times;Serif"/>
                  <w:b w:val="false"/>
                  <w:i w:val="false"/>
                  <w:caps w:val="false"/>
                  <w:smallCaps w:val="false"/>
                  <w:sz w:val="20"/>
                </w:rPr>
                <w:t>DILUTION</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855" w:type="dxa"/>
            <w:tcBorders/>
            <w:shd w:fill="FFFFFF" w:val="clear"/>
            <w:vAlign w:val="center"/>
          </w:tcPr>
          <w:p>
            <w:pPr>
              <w:pStyle w:val="TableContents"/>
              <w:bidi w:val="0"/>
              <w:spacing w:before="0" w:after="283"/>
              <w:jc w:val="left"/>
              <w:rPr/>
            </w:pPr>
            <w:hyperlink w:anchor="a_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855" w:type="dxa"/>
            <w:tcBorders/>
            <w:shd w:fill="CCEEFF" w:val="clear"/>
            <w:vAlign w:val="center"/>
          </w:tcPr>
          <w:p>
            <w:pPr>
              <w:pStyle w:val="TableContents"/>
              <w:bidi w:val="0"/>
              <w:spacing w:before="0" w:after="283"/>
              <w:jc w:val="left"/>
              <w:rPr/>
            </w:pPr>
            <w:hyperlink w:anchor="a_8">
              <w:r>
                <w:rPr>
                  <w:rStyle w:val="InternetLink"/>
                  <w:rFonts w:ascii="Times New Roman;Times;Serif" w:hAnsi="Times New Roman;Times;Serif"/>
                  <w:b w:val="false"/>
                  <w:i w:val="false"/>
                  <w:caps w:val="false"/>
                  <w:smallCaps w:val="false"/>
                  <w:sz w:val="20"/>
                </w:rPr>
                <w:t>OUR BUSINESS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855" w:type="dxa"/>
            <w:tcBorders/>
            <w:shd w:fill="FFFFFF" w:val="clear"/>
            <w:vAlign w:val="center"/>
          </w:tcPr>
          <w:p>
            <w:pPr>
              <w:pStyle w:val="TableContents"/>
              <w:bidi w:val="0"/>
              <w:spacing w:before="0" w:after="283"/>
              <w:jc w:val="left"/>
              <w:rPr/>
            </w:pPr>
            <w:hyperlink w:anchor="a_9">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855" w:type="dxa"/>
            <w:tcBorders/>
            <w:shd w:fill="CCEEFF" w:val="clear"/>
            <w:vAlign w:val="center"/>
          </w:tcPr>
          <w:p>
            <w:pPr>
              <w:pStyle w:val="TableContents"/>
              <w:bidi w:val="0"/>
              <w:spacing w:before="0" w:after="283"/>
              <w:jc w:val="left"/>
              <w:rPr/>
            </w:pPr>
            <w:hyperlink w:anchor="a_10">
              <w:r>
                <w:rPr>
                  <w:rStyle w:val="InternetLink"/>
                  <w:rFonts w:ascii="Times New Roman;Times;Serif" w:hAnsi="Times New Roman;Times;Serif"/>
                  <w:b w:val="false"/>
                  <w:i w:val="false"/>
                  <w:caps w:val="false"/>
                  <w:smallCaps w:val="false"/>
                  <w:sz w:val="20"/>
                </w:rPr>
                <w:t>EXECUTIVE COMPENSATION</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855" w:type="dxa"/>
            <w:tcBorders/>
            <w:shd w:fill="FFFFFF" w:val="clear"/>
            <w:vAlign w:val="center"/>
          </w:tcPr>
          <w:p>
            <w:pPr>
              <w:pStyle w:val="TableContents"/>
              <w:bidi w:val="0"/>
              <w:spacing w:before="0" w:after="283"/>
              <w:jc w:val="left"/>
              <w:rPr/>
            </w:pPr>
            <w:hyperlink w:anchor="a_11">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855" w:type="dxa"/>
            <w:tcBorders/>
            <w:shd w:fill="CCEEFF" w:val="clear"/>
            <w:vAlign w:val="center"/>
          </w:tcPr>
          <w:p>
            <w:pPr>
              <w:pStyle w:val="TableContents"/>
              <w:bidi w:val="0"/>
              <w:spacing w:before="0" w:after="283"/>
              <w:jc w:val="left"/>
              <w:rPr/>
            </w:pPr>
            <w:hyperlink w:anchor="a_12">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9855" w:type="dxa"/>
            <w:tcBorders/>
            <w:shd w:fill="FFFFFF" w:val="clear"/>
            <w:vAlign w:val="center"/>
          </w:tcPr>
          <w:p>
            <w:pPr>
              <w:pStyle w:val="TableContents"/>
              <w:bidi w:val="0"/>
              <w:spacing w:before="0" w:after="283"/>
              <w:jc w:val="left"/>
              <w:rPr/>
            </w:pPr>
            <w:hyperlink w:anchor="a_13">
              <w:r>
                <w:rPr>
                  <w:rStyle w:val="InternetLink"/>
                  <w:rFonts w:ascii="Times New Roman;Times;Serif" w:hAnsi="Times New Roman;Times;Serif"/>
                  <w:b w:val="false"/>
                  <w:i w:val="false"/>
                  <w:caps w:val="false"/>
                  <w:smallCaps w:val="false"/>
                  <w:sz w:val="20"/>
                </w:rPr>
                <w:t>DESCRIPTION OF SECURITIES</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9855" w:type="dxa"/>
            <w:tcBorders/>
            <w:shd w:fill="CCEEFF" w:val="clear"/>
            <w:vAlign w:val="center"/>
          </w:tcPr>
          <w:p>
            <w:pPr>
              <w:pStyle w:val="TableContents"/>
              <w:bidi w:val="0"/>
              <w:spacing w:before="0" w:after="283"/>
              <w:jc w:val="left"/>
              <w:rPr/>
            </w:pPr>
            <w:hyperlink w:anchor="a_14">
              <w:r>
                <w:rPr>
                  <w:rStyle w:val="InternetLink"/>
                  <w:rFonts w:ascii="Times New Roman;Times;Serif" w:hAnsi="Times New Roman;Times;Serif"/>
                  <w:b w:val="false"/>
                  <w:i w:val="false"/>
                  <w:caps w:val="false"/>
                  <w:smallCaps w:val="false"/>
                  <w:sz w:val="20"/>
                </w:rPr>
                <w:t>UNDERWRITING</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55" w:type="dxa"/>
            <w:tcBorders/>
            <w:shd w:fill="FFFFFF" w:val="clear"/>
            <w:vAlign w:val="center"/>
          </w:tcPr>
          <w:p>
            <w:pPr>
              <w:pStyle w:val="TableContents"/>
              <w:bidi w:val="0"/>
              <w:spacing w:before="0" w:after="283"/>
              <w:jc w:val="left"/>
              <w:rPr/>
            </w:pPr>
            <w:hyperlink w:anchor="a_15">
              <w:r>
                <w:rPr>
                  <w:rStyle w:val="InternetLink"/>
                  <w:rFonts w:ascii="Times New Roman;Times;Serif" w:hAnsi="Times New Roman;Times;Serif"/>
                  <w:b w:val="false"/>
                  <w:i w:val="false"/>
                  <w:caps w:val="false"/>
                  <w:smallCaps w:val="false"/>
                  <w:sz w:val="20"/>
                </w:rPr>
                <w:t>NOTICE TO INVESTORS</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55" w:type="dxa"/>
            <w:tcBorders/>
            <w:shd w:fill="CCEEFF" w:val="clear"/>
            <w:vAlign w:val="center"/>
          </w:tcPr>
          <w:p>
            <w:pPr>
              <w:pStyle w:val="TableContents"/>
              <w:bidi w:val="0"/>
              <w:spacing w:before="0" w:after="283"/>
              <w:jc w:val="left"/>
              <w:rPr/>
            </w:pPr>
            <w:hyperlink w:anchor="a_16">
              <w:r>
                <w:rPr>
                  <w:rStyle w:val="InternetLink"/>
                  <w:rFonts w:ascii="Times New Roman;Times;Serif" w:hAnsi="Times New Roman;Times;Serif"/>
                  <w:b w:val="false"/>
                  <w:i w:val="false"/>
                  <w:caps w:val="false"/>
                  <w:smallCaps w:val="false"/>
                  <w:sz w:val="20"/>
                </w:rPr>
                <w:t>WHERE YOU CAN FIND MORE INFORMATION</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55" w:type="dxa"/>
            <w:tcBorders/>
            <w:shd w:fill="FFFFFF" w:val="clear"/>
            <w:vAlign w:val="center"/>
          </w:tcPr>
          <w:p>
            <w:pPr>
              <w:pStyle w:val="TableContents"/>
              <w:bidi w:val="0"/>
              <w:spacing w:before="0" w:after="283"/>
              <w:jc w:val="left"/>
              <w:rPr/>
            </w:pPr>
            <w:hyperlink w:anchor="a_17">
              <w:r>
                <w:rPr>
                  <w:rStyle w:val="InternetLink"/>
                  <w:rFonts w:ascii="Times New Roman;Times;Serif" w:hAnsi="Times New Roman;Times;Serif"/>
                  <w:b w:val="false"/>
                  <w:i w:val="false"/>
                  <w:caps w:val="false"/>
                  <w:smallCaps w:val="false"/>
                  <w:sz w:val="20"/>
                </w:rPr>
                <w:t>LEGAL MATTERS</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55" w:type="dxa"/>
            <w:tcBorders/>
            <w:shd w:fill="CCEEFF" w:val="clear"/>
            <w:vAlign w:val="center"/>
          </w:tcPr>
          <w:p>
            <w:pPr>
              <w:pStyle w:val="TableContents"/>
              <w:bidi w:val="0"/>
              <w:spacing w:before="0" w:after="283"/>
              <w:jc w:val="left"/>
              <w:rPr/>
            </w:pPr>
            <w:hyperlink w:anchor="a_18">
              <w:r>
                <w:rPr>
                  <w:rStyle w:val="InternetLink"/>
                  <w:rFonts w:ascii="Times New Roman;Times;Serif" w:hAnsi="Times New Roman;Times;Serif"/>
                  <w:b w:val="false"/>
                  <w:i w:val="false"/>
                  <w:caps w:val="false"/>
                  <w:smallCaps w:val="false"/>
                  <w:sz w:val="20"/>
                </w:rPr>
                <w:t>EXPERTS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USED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prospectus to “Dragonfly,” the “Company,” “us,” “we,” “our” and any related terms are intended to mean Dragonfly Energy Holdings Corp.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 means warrants to initially acquire 1,600,000 shares of common stock at an initial $10.00 per share exercise price issued at Closing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Merger and the other transactions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that certain Agreement and Plan of Merger, dated May 15, 2022, as amended on July 12, 2022, by and among CNTQ, Merger Sub and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CCM</w:t>
      </w:r>
      <w:r>
        <w:rPr>
          <w:rFonts w:ascii="Times New Roman;Times;Serif" w:hAnsi="Times New Roman;Times;Serif"/>
          <w:b w:val="false"/>
          <w:i w:val="false"/>
          <w:caps w:val="false"/>
          <w:smallCaps w:val="false"/>
          <w:sz w:val="20"/>
        </w:rPr>
        <w:t>” means Chardan Capital Markets LLC, a New York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October 7,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means Chardan NexTech Acquisition 2 Corp., a Delaware corporation, which was renamed “Dragonfly Energy Holdings Corp.” in connection with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Common Stock</w:t>
      </w:r>
      <w:r>
        <w:rPr>
          <w:rFonts w:ascii="Times New Roman;Times;Serif" w:hAnsi="Times New Roman;Times;Serif"/>
          <w:b w:val="false"/>
          <w:i w:val="false"/>
          <w:caps w:val="false"/>
          <w:smallCaps w:val="false"/>
          <w:sz w:val="20"/>
        </w:rPr>
        <w:t>” means, prior to consummation of the Business Combination, CNTQ common stock, par value $0.0001 per share, and, following consummation of the Business Combination, the common stock, par value $0.001 per share, of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IPO</w:t>
      </w:r>
      <w:r>
        <w:rPr>
          <w:rFonts w:ascii="Times New Roman;Times;Serif" w:hAnsi="Times New Roman;Times;Serif"/>
          <w:b w:val="false"/>
          <w:i w:val="false"/>
          <w:caps w:val="false"/>
          <w:smallCaps w:val="false"/>
          <w:sz w:val="20"/>
        </w:rPr>
        <w:t>” means the initial public offering by CNTQ, which closed on August 13,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Lender</w:t>
      </w:r>
      <w:r>
        <w:rPr>
          <w:rFonts w:ascii="Times New Roman;Times;Serif" w:hAnsi="Times New Roman;Times;Serif"/>
          <w:b w:val="false"/>
          <w:i w:val="false"/>
          <w:caps w:val="false"/>
          <w:smallCaps w:val="false"/>
          <w:sz w:val="20"/>
        </w:rPr>
        <w:t>” means CCM Investments 5 LLC, a Delaware limited liability company, and an affiliate of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Dragonfly</w:t>
      </w:r>
      <w:r>
        <w:rPr>
          <w:rFonts w:ascii="Times New Roman;Times;Serif" w:hAnsi="Times New Roman;Times;Serif"/>
          <w:b w:val="false"/>
          <w:i w:val="false"/>
          <w:caps w:val="false"/>
          <w:smallCaps w:val="false"/>
          <w:sz w:val="20"/>
        </w:rPr>
        <w:t>” means Dragonfly Energy Holdings Corp., a Nevada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means up to an additional 40,000,000 shares of Company common stock that may be issued to the Legacy Dragonfly stockholders at Closing if certain financial metrics or trading price metrics are achieved and other conditions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means EICF Agent LLC with the CNTQ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means Dragonfly Energy Corp., a Nevada corporation, and includes the surviving corporation after the Merger. References herein to Dragonfly will include its subsidiaries, including Legacy Dragonfly, to the extent reasonably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means Bronco Merger Sub, Inc., a Nevada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means the Nevada Revised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means warrants to initially acquire 2,593,056 shares of common stock at an exercise price of $0.01 per share issued at Closing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warrants to acquire shares of common stock at an $11.50 per share exercise price issued to an affiliate of the Sponsor in a private placement simultaneously with the closing of the CNTQ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warrants to acquire shares of common stock at an $11.50 per share exercise price sold as part of the units in the CNTQ IPO (whether they were purchased in the CNTQ IPO or thereafter in the open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Chardan NexTech Investments 2 LLC, a Delaware limited liability company and an affiliate of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means the $75 million aggregate principal amount senior secured term loan facility entered into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means a certain third-party financing source collectively with EICF Agent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the Public Warrants, the Private Warrants and the Penny Warrants of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Holdings</w:t>
      </w:r>
      <w:r>
        <w:rPr>
          <w:rFonts w:ascii="Times New Roman;Times;Serif" w:hAnsi="Times New Roman;Times;Serif"/>
          <w:b w:val="false"/>
          <w:i w:val="false"/>
          <w:caps w:val="false"/>
          <w:smallCaps w:val="false"/>
          <w:sz w:val="20"/>
        </w:rPr>
        <w:t>” means Chardan NexTech 2 Warrant Holdings LLC, a Delaware limited liability company.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1"/>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underwriters have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dealer,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and other statistical data made by independent parties and by us relating to market size and growth and other data about our industry. We obtained the industry and market data in this prospectus from our own research as well as from industry and general publications, surveys and studies conducted by third parties. This data involves a number of assumptions and limitations and contains projections and estimates of the future performance of the industries in which we operate that are subject to a high degree of uncertainty. We caution you not to give undue weight to such projections, assumptions and estimates.</w:t>
      </w:r>
    </w:p>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2"/>
      <w:bookmarkEnd w:id="18"/>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summary highlights information contained elsewhere in this prospectus. This summary does not contain all of the information that you should consider before deciding to invest in our securities. You should read this entire prospectus carefully, including the “Risk Factors” and “Management’s Discussion and Analysis of Financial Condition and Results of Operations,” sections in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(including the recreational vehicle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dual-brand strategy for battery products, Dragonfly Energy (“Dragonfly Energy”) and Battle Born Batteries (“Battle Born”). Battle Born branded products are primarily sold direct to consumers, while the Dragonfly Energy brand is primarily sold to original equipment manufacturers (“OEMs”). 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In 2022, we also acquired the assets, including the Wakespeed Offshore brand (“Wakespeed”) of Thomason Jones Company,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lithium iron phosphate (“LFP”) batteries, our experienced research and development team, headed by our founder and Chief Executive Officer, is currently developing the next generation of LFP solid-state cells.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Additionally, our internal production of solid-state cells will streamline our supply chain, allowing us to vertically integrate our cells into our batteries, thereby lowering our production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principal executive office is 1190 Trademark Dr. #108, Reno, Nevada 89521, and our telephone number is (775) 622-3448.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us, see the sections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all the information contained in this prospectus before making a decision to invest in our common stock or warrants. In particular, you should consider the risk factors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5. Such risks include, but are not limited to, the following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experience immediate and substantial dilution in net tangible book value of the shares you purchase in this offering.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have broad discretion as to the use of the proceeds from this offering, and may not use the proceeds effectively.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sales of our common stock may impact the market price of our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any cash dividends on our shares of common stock in the near future, so our shareholders will not be able to receive a return on their shares unless they sell their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 price fluctuates after the offering, you could lose a significant part of your investment.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ownership may be diluted if additional capital stock is issued to raise capital, to finance acquisitions or in connection with strategic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Existing Lithium-Ion Battery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future growth depends on the needs and success of our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likely will continue to be, dependent on a single manufacturing facility. If our facility becomes inoperable for any reason, or our automation and expansion plans do not yield the desired effects, our ability to manufacture our products could be negatively impacted.</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Solid-State Technology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engineering challenges in our attempts to develop and manufacture solid-state battery cells and these efforts may be delayed or fail which could negatively impact our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solid-state batteries fail to perform as expected, our ability to further develop, market and sell our solid-state batteries could be harmed.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upon our intellectual property portfolio. If we are unable to protect our intellectual property rights, our business and competitive position would be harmed.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intellectual property infringement claims, which may be time-consuming and could cause us to incur substantial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in global economic conditions, including the Russia-Ukraine conflict, could reduce consumer spending and disrupt our supply chain which could negatively affect our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our growth effectively, we may be unable to execute our business plan, maintain high levels of customer service, or adequately address competitive challenges.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Financial Position and Capital Requirements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we may not be able to raise additional capital on attractive terms, if at all. Any further indebtedness we incur may limit our operational flexibility in the future.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debt securities and equity securities may adversely affect us and may be dilutive to existing stockholders.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our common stock or other equity securities without your approval, which would dilute your ownership interests and may depress the market price of your shares.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The Offering</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1651"/>
        <w:gridCol w:w="60"/>
        <w:gridCol w:w="8494"/>
      </w:tblGrid>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we are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shares (or           shares if the underwriters’ option to purchase additional shares of common stock is exercised in full) based on the sale of our common stock at an assumed public offering price of $           per share, which is equal to the last reported sales price of our common stock on the Nasdaq on          , 2023.</w:t>
            </w:r>
          </w:p>
        </w:tc>
      </w:tr>
      <w:tr>
        <w:trPr/>
        <w:tc>
          <w:tcPr>
            <w:tcW w:w="1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immediately before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45,885,513 shares</w:t>
            </w:r>
          </w:p>
        </w:tc>
      </w:tr>
      <w:tr>
        <w:trPr/>
        <w:tc>
          <w:tcPr>
            <w:tcW w:w="1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immediately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shares (or           shares if the underwriters’ option to purchase additional shares of common stock is exercised in full).</w:t>
            </w:r>
          </w:p>
        </w:tc>
      </w:tr>
      <w:tr>
        <w:trPr/>
        <w:tc>
          <w:tcPr>
            <w:tcW w:w="1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to the underwriters, or their permitted designees warrants (the “Underwriters’ Warrants”) to purchase up to an aggregate amount of shares of common stock representing five (5%) of the common stock offered hereby, including any shares of common stock issued if the underwriters option to purchase additional shares of common stock is exercised. The Underwriters’ Warrants will have an exercise price of 125% of the per share public offering price, will have a cashless exercise provision and will terminate on the fifth anniversary of the effective date of the registration statement of which this prospectus is a part.</w:t>
            </w:r>
          </w:p>
          <w:p>
            <w:pPr>
              <w:pStyle w:val="TableContents"/>
              <w:bidi w:val="0"/>
              <w:spacing w:before="0" w:after="0"/>
              <w:ind w:left="0" w:right="0" w:hanging="0"/>
              <w:jc w:val="both"/>
              <w:rPr>
                <w:caps w:val="false"/>
                <w:smallCaps w:val="false"/>
              </w:rPr>
            </w:pPr>
            <w:r>
              <w:rPr>
                <w:caps w:val="false"/>
                <w:smallCaps w:val="false"/>
              </w:rPr>
              <w:t> </w:t>
            </w:r>
          </w:p>
        </w:tc>
      </w:tr>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will be approximately $ million (based on the sale of our common stock at an assumed public offering price of $           per share, which is equal to the last reported sales price of our common stock on the Nasdaq on          , 2023) after deducting underwriting discount and commissions and estimated offering expenses payable by us. If the underwriters’ option to purchase additional shares of common stock is exercised in full, we estimate that the net proceeds from this offering will be approximately $           million after deducting underwriting discount and commissions and estimated offering expenses payable by 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We intend to use the proceeds from this offering primarily for working capital and general corporate purposes. See “</w:t>
            </w:r>
            <w:hyperlink w:anchor="a_4">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821"/>
        <w:gridCol w:w="60"/>
        <w:gridCol w:w="9324"/>
      </w:tblGrid>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24"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An investment in our securities involves a high degree of risk. See “</w:t>
            </w:r>
            <w:hyperlink w:anchor="a_3">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beginning on page 5 of this prospectus for a discussion of the risk factors you should carefully consider before deciding to invest in our securities.</w:t>
            </w:r>
          </w:p>
        </w:tc>
      </w:tr>
    </w:tbl>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7495" w:type="dxa"/>
        <w:jc w:val="left"/>
        <w:tblInd w:w="0" w:type="dxa"/>
        <w:tblLayout w:type="fixed"/>
        <w:tblCellMar>
          <w:top w:w="0" w:type="dxa"/>
          <w:left w:w="0" w:type="dxa"/>
          <w:bottom w:w="0" w:type="dxa"/>
          <w:right w:w="0" w:type="dxa"/>
        </w:tblCellMar>
      </w:tblPr>
      <w:tblGrid>
        <w:gridCol w:w="1850"/>
        <w:gridCol w:w="60"/>
        <w:gridCol w:w="558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under the symbol “DFLI.”</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number of shares of common stock to be outstanding after this offering is based on 45,885,513 shares outstanding as of May 24, 2023, including any shares of common stock issued pursuant to the Underwriters’ exercise of the over-allotment option, and does not include, as of such date:</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9,422,529 shares of common stock (the “Public Warrant Shares”) issuable upon the exercise of outstanding Public Warrants at an exercise price of $11.50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shares of common stock (the “Private Warrant Shares”) issuable upon the exercise of outstanding Private Warrants at an exercise price of $11.50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843,056 shares of common stock (the “Penny Warrant Shares”) issuable upon exercise of outstanding Penny Warrants at an exercise price of $0.01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 Earnout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$150.0 million of shares of common stock we may sell to CCM pursuant to a purchase agreement between us and CCM, dated October 7, 2022 (the “Purchase Agreement”) establishing an equity facility (the “ChEF Equity Facility”);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3,739,614 shares of common stock underlying outstanding options.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shares (       shares if the underwriter exercises its option to purchase additional shares in full) of common stock issuable upon the exercise of warrants to be issued to the underwriter upon the completion of this offering in an amount equal to 5% of the shares sold in this offering, with an exercise price equal to 125% of the public offering price per share, as described in “Underwriting.”</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Unless otherwise indicated, the information in this supplement assumes no exercise of the underwriters’ over-allotment option.</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To the extent that any outstanding warrants are exercised, outstanding notes are converted, new awards are issued under our equity compensation plans, or we otherwise issue additional shares of common stock in the future, at a price less than the public offering price, there will be further dilution to the investor.</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3"/>
      <w:bookmarkEnd w:id="19"/>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Cautionary Note Regarding Forward-Looking Statement.”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and substantial dilution in net tangible book value of the shares you purchase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public offering price per share of common stock will be substantially higher than the as adjusted net tangible book value per share of our common stock after giving effect to this offering. Assuming the sale of shares of our common stock at an assumed public offering price of $         per share, which is equal to the last reported sale price per share of our common stock on the Nasdaq on         , 2023, after deducting after deducting estimated underwriting discounts and commissions and estimated offering expenses payable by us, you will incur immediate dilution in as adjusted net tangible book value of approximately $         per share. As a result of the dilution to investors purchasing securities in this offering, investors may receive significantly less than the purchase price paid in this offering, if anything, in the event of the liquidation of our company. See the section entitled “</w:t>
      </w:r>
      <w:hyperlink w:anchor="a_6">
        <w:r>
          <w:rPr>
            <w:rStyle w:val="InternetLink"/>
            <w:rFonts w:ascii="Times New Roman;Times;Serif" w:hAnsi="Times New Roman;Times;Serif"/>
            <w:b w:val="false"/>
            <w:i w:val="false"/>
            <w:caps w:val="false"/>
            <w:smallCaps w:val="false"/>
            <w:sz w:val="20"/>
          </w:rPr>
          <w:t>Dilution</w:t>
        </w:r>
      </w:hyperlink>
      <w:r>
        <w:rPr>
          <w:rFonts w:ascii="Times New Roman;Times;Serif" w:hAnsi="Times New Roman;Times;Serif"/>
          <w:b w:val="false"/>
          <w:i w:val="false"/>
          <w:caps w:val="false"/>
          <w:smallCaps w:val="false"/>
          <w:sz w:val="20"/>
        </w:rPr>
        <w:t>” below for a more detailed discussion of the dilution you will incur if you participate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will have broad discretion as to the use of the proceeds from this offering, and may not use the proceeds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and could spend the proceeds in ways that may not improve our results of operations or enhance the value of our common stock. Our failure to apply these funds effectively could have a material adverse effect on our business and cause the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sales of our stock may impact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any cash dividends on our shares of common stock in the near future, so our shareholders will not be able to receive a return on their shares unless they sell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stock price fluctuates after the offering, you could lose a significant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could be subject to wide fluctuations in response to, among other things, the risk factors described in this prospectus,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ownership may be diluted if additional capital stock is issued to raise capital, to finance acquisitions or in connection with strategic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funds for our operations, to finance acquisitions or to develop strategic relationships by issuing equity or convertible debt securities in addition to the securities issued in this offering, which would reduce the percentage ownership of our existing stockholders. Our board of directors has the authority, without action or vote of the stockholders, to issue all or any part of our authorized but unissued shares of common or preferred stock. Our Articles of Incorporation authorize us to issue up to 170,000,000 shares of common stock and 5,000,000 shares of preferred stock. Any additional common stock so authorized will be available for issuance by the board for stock splits or stock dividends, acquisitions, raising additional capital, conversion of our debt into equity, or other corporate purposes, and any such issuances may be dilutive to current stockholders. Future issuances of common or preferred stock would reduce your influence over matters on which stockholders vote and would be dilutive to earnings per share. In addition, any newly issued preferred stock could have rights, preferences and privileges senior to those of the common stock. Those rights, preferences and privileges could include, among other things, the establishment of dividends that must be paid prior to declaring or paying dividends or other distributions to holders of our common stock or providing for preferential liquidation rights. These rights, preferences and privileges could negatively affect the rights of holders of our common stock, and the right to convert such preferred stock into shares of our common stock at a rate or price that would have a dilutive effect on the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additional funding to fund our working capital needs or consummate potential future acquisitions. Additional financing may not be available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net proceeds of this offering may not be sufficient for us to fund the working capital needs of our business or potential strategic acquisitions we may pursue in the future. We may continue to seek funds through equity or debt financings, collaborative or other arrangements with corporate sources, or through other sources of financing. Additional funding may not be available to us on acceptable terms, or at all. Any failure to raise capital as and when needed could have a negative impact on our financial condition and on our ability to pursue our business plans and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Existing Lithium-Ion Battery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depends on the needs and success of our OEM’s and similar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including sales to OEM</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(as defined herein) with Keystone RV Company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engage target customers successfully and convert these customers into meaningful orders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electric vehicle’s (“EV”) to 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dependence on these third-party suppliers entails additional risks, including:</w:t>
      </w:r>
    </w:p>
    <w:p>
      <w:pPr>
        <w:pStyle w:val="TextBody"/>
        <w:bidi w:val="0"/>
        <w:spacing w:before="0" w:after="0"/>
        <w:ind w:left="0" w:right="0" w:hanging="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7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failure or unwillingness of third-party suppliers to comply with regulatory requirements;</w:t>
            </w:r>
          </w:p>
        </w:tc>
      </w:tr>
    </w:tbl>
    <w:p>
      <w:pPr>
        <w:pStyle w:val="TextBody"/>
        <w:bidi w:val="0"/>
        <w:spacing w:before="0" w:after="0"/>
        <w:ind w:left="0" w:right="0" w:firstLine="5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supply agreements by the third-party suppliers;</w:t>
            </w:r>
          </w:p>
        </w:tc>
      </w:tr>
    </w:tbl>
    <w:p>
      <w:pPr>
        <w:pStyle w:val="TextBody"/>
        <w:bidi w:val="0"/>
        <w:spacing w:before="0" w:after="0"/>
        <w:ind w:left="0" w:right="0" w:firstLine="5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or disclosure of our proprietary information, including our trade secrets and know-how;</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tc>
      </w:tr>
    </w:tbl>
    <w:p>
      <w:pPr>
        <w:pStyle w:val="TextBody"/>
        <w:bidi w:val="0"/>
        <w:spacing w:before="0" w:after="0"/>
        <w:ind w:left="0" w:right="0" w:firstLine="5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agreements by third-party suppliers at times that are costly or inconvenient for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future demand for our LFP batteries, and our failure to accurately predict our production requirements could result in additional costs or delays.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Lithium-ion battery cells have been observed to catch fire or release smoke and flame, which may have a negative impact on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claims, which could harm our financial condition and liquidity if we are not able to successfully defend or insure against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Solid-State Technology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engineering challenges in our attempts to develop and manufacture solid-state battery cells and these efforts may be delayed or fail which could reduce consumer spending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solid-state batteries fail to perform as expected, our ability to further develop, market and sell our solid-state batteries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Supply Chain and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vendors from whom our products are sourced.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disruption to the timely receipt of inventory could adversely impact sales or increase our transportation costs, which would decrease our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upon our intellectual property portfolio. If we are unable to protect our intellectual property rights, our business and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time-consuming and could cause us to incur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(“FTO”)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using, making, having made, selling, having sold, developing, having developed or importing products that incorporate the infringed intellectual property rights;</w:t>
            </w:r>
          </w:p>
        </w:tc>
      </w:tr>
    </w:tbl>
    <w:p>
      <w:pPr>
        <w:pStyle w:val="TextBody"/>
        <w:bidi w:val="0"/>
        <w:spacing w:before="0" w:after="0"/>
        <w:ind w:left="0" w:right="0" w:firstLine="5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infringed intellectual property rights, which license may not be available on reasonable terms or at all; or</w:t>
            </w:r>
          </w:p>
        </w:tc>
      </w:tr>
    </w:tbl>
    <w:p>
      <w:pPr>
        <w:pStyle w:val="TextBody"/>
        <w:bidi w:val="0"/>
        <w:spacing w:before="0" w:after="0"/>
        <w:ind w:left="0" w:right="0" w:firstLine="5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processes or products, which may result in inferior products or processes.</w:t>
            </w:r>
          </w:p>
        </w:tc>
      </w:tr>
    </w:tbl>
    <w:p>
      <w:pPr>
        <w:pStyle w:val="TextBody"/>
        <w:bidi w:val="0"/>
        <w:spacing w:before="0" w:after="0"/>
        <w:ind w:left="0" w:right="0" w:firstLine="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uncertainty in global economic conditions, including the Russia-Ukraine conflict, could reduce consumer spending and disrupt our supply chain which could negatively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be unable to execute our business plan, maintain high levels of customer service, or adequately address competitive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expand our business through acquisitions in the future, and any future acquisition may not be accretive and may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a variety of environmental, health and safety rules that can bring scrutiny from regulatory agencies and increase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profitability and consolidated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social and governance matters may cause us to incur additional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legislatures, government agencies and listing exchanges have mandated or proposed, and others may in the future further mandate, certain environmental, social and governance (“ESG”) disclosure or performance. For example, the United States Securities and Exchange Commission (the “SEC”)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increased expenses and administrative burdens as a public company, which could have an adverse effect on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faced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have created new board committees, entered into new insurance policies and adopted new internal controls and disclosure controls and procedures. In addition, expenses associated with SEC reporting requirements continue to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transition to a public company subjects us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former shell company, we face certain disadvantages relative to companies that pursued a traditional initial public offering.</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was a special purpose acquisition company (a “SPAC”), a form of shell company under the rules of the SEC. Shell companies are more highly regulated than non-shell operating companies and face significant additional restrictions on their activities under federal securities laws. As a result of the Business Combination, we ceased to be a shell company. However, companies that were formerly shell companies continue to face disadvantages under SEC rules, including (a) the inability to use Form S-3 until at least one year after the filing of information equivalent to that required by Form 10 after ceasing to be a shell company,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(e) the inability to use Form S-8 to register shares issuable in connection with certain compensatory plans and arrangements until 60 days after the filing of information equivalent to that required by Form 10, (f) the inability of stockholders to rely on Rule 144 for resales of securities until at least one year after the filing of information equivalent to that required by Form 10 and the provision of current public information, and (g) exclusion from certain safe harbors for offering-related communications under the Securities Act for three years after ceasing to be a shell company, including for research reports and certain communications in connection with business combinations. We expect that these disadvantages will make it more challenging and expensive, and create greater risks and delays, for both us and our stockholders to offer securities. These challenges may make our securities less attractive than those of companies that are not former shell companies and may raise our relative cost of capital.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the Business Combination with a special purpose acquisition company, regulatory obligations may impact us differently than other publicly traded companies.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became a publicly traded company by completing the Business Combination with CNTQ, a SPAC. As a result of the Business Combination, and the transactions contemplated thereby, our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SPAC. Managing this regulatory environment, which has and may continue to evolve, could divert management’s attention from the operation of our business, negatively impact our ability to raise additional capital when needed or have an adverse effect on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and we may not be able to raise additional capital on attractive terms, if at all. Any further indebtedness we incur may limit our operational flexibility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had cash totaling $15.8 million. Our net income for the quarter ended March 31, 2023 was $4.9 million, our net loss for the quarter ended March 31, 2022 was $2.3 million and our accumulated deficit as of March 31, 2023 was approximately $22.2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and the Term Loan may limit our ability to access capital under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could adversely impact our business, including limiting our operational flexibility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for us to pay other obligations;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cost of borrowing from other sources;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to obtain favorable terms for any necessary future financing for working capital, capital expenditures, investments, acquisitions, debt service requirements, or other purposes;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us from making acquisitions or causing us to make divestitures or similar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substantial portion of our cash flow from operations to service and repay our indebtedness, reducing the amount of cash flow available for other purposes;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competitive disadvantage compared to our less leveraged competitors;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and reacting to changes in our business.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had approximately $15.8 million in cash and cash equivalents and working capital of $24.5 million and an accumulated deficit of approximately $22.2 million. Our ability to achieve profitability and positive cash flow depends on our ability to increase revenue, contain our expenses and maintain compliance with the financial covenants in our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(as defined below), we are obligated to comply with certain financial covenants, which include maintaining a maximum senior leverage ratio, minimum liquidity, a springing fixed charge coverage ratio, and maximum capital expenditures. On March 29, 2023, we obtained a waiver from our Administrative Agent (as defined below) and Term Loan Lenders (as defined below)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indebtedness restrict us from engaging in specified types of transactions. These restrictive covenants restrict our ability to, among other things:</w:t>
      </w:r>
    </w:p>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or incur encumbrances or liens;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consolidations, amalgamations, mergers, acquisitions, liquidations, dissolutions or dispositions;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transfer or otherwise dispose of assets;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distributions on, or purchase, redeem, defease, or otherwise acquire or retire for value, our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(“U.S.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Registration Statement,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 we are an 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be able to comply with the continued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meet the expectations of investors, stockholders or securities analysts, the market price of our securities may decline. In addition, fluctuations in the price of our securities could contribute to the loss of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ours;</w:t>
            </w:r>
          </w:p>
        </w:tc>
      </w:tr>
    </w:tbl>
    <w:p>
      <w:pPr>
        <w:pStyle w:val="TextBody"/>
        <w:bidi w:val="0"/>
        <w:spacing w:before="0" w:after="0"/>
        <w:ind w:left="0" w:right="0" w:firstLine="5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bl>
    <w:p>
      <w:pPr>
        <w:pStyle w:val="TextBody"/>
        <w:bidi w:val="0"/>
        <w:spacing w:before="0" w:after="0"/>
        <w:ind w:left="0" w:right="0" w:firstLine="5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other public announcements and filings with the SEC;</w:t>
            </w:r>
          </w:p>
        </w:tc>
      </w:tr>
    </w:tbl>
    <w:p>
      <w:pPr>
        <w:pStyle w:val="TextBody"/>
        <w:bidi w:val="0"/>
        <w:spacing w:before="0" w:after="0"/>
        <w:ind w:left="0" w:right="0" w:firstLine="5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investment community;</w:t>
            </w:r>
          </w:p>
        </w:tc>
      </w:tr>
    </w:tbl>
    <w:p>
      <w:pPr>
        <w:pStyle w:val="TextBody"/>
        <w:bidi w:val="0"/>
        <w:spacing w:before="0" w:after="0"/>
        <w:ind w:left="0" w:right="0" w:firstLine="5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competitors’ businesses or the competitive landscape generally;</w:t>
            </w:r>
          </w:p>
        </w:tc>
      </w:tr>
    </w:tbl>
    <w:p>
      <w:pPr>
        <w:pStyle w:val="TextBody"/>
        <w:bidi w:val="0"/>
        <w:spacing w:before="0" w:after="0"/>
        <w:ind w:left="0" w:right="0" w:firstLine="5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bl>
    <w:p>
      <w:pPr>
        <w:pStyle w:val="TextBody"/>
        <w:bidi w:val="0"/>
        <w:spacing w:before="0" w:after="0"/>
        <w:ind w:left="0" w:right="0" w:firstLine="5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licensors, future collaborators, or other strategic partners;</w:t>
            </w:r>
          </w:p>
        </w:tc>
      </w:tr>
    </w:tbl>
    <w:p>
      <w:pPr>
        <w:pStyle w:val="TextBody"/>
        <w:bidi w:val="0"/>
        <w:spacing w:before="0" w:after="0"/>
        <w:ind w:left="0" w:right="0" w:firstLine="5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failing to meet the expectation of securities analysts or investors in a particular period;</w:t>
            </w:r>
          </w:p>
        </w:tc>
      </w:tr>
    </w:tbl>
    <w:p>
      <w:pPr>
        <w:pStyle w:val="TextBody"/>
        <w:bidi w:val="0"/>
        <w:spacing w:before="0" w:after="0"/>
        <w:ind w:left="0" w:right="0" w:firstLine="5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bl>
    <w:p>
      <w:pPr>
        <w:pStyle w:val="TextBody"/>
        <w:bidi w:val="0"/>
        <w:spacing w:before="0" w:after="0"/>
        <w:ind w:left="0" w:right="0" w:firstLine="5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ours;</w:t>
            </w:r>
          </w:p>
        </w:tc>
      </w:tr>
    </w:tbl>
    <w:p>
      <w:pPr>
        <w:pStyle w:val="TextBody"/>
        <w:bidi w:val="0"/>
        <w:spacing w:before="0" w:after="0"/>
        <w:ind w:left="0" w:right="0" w:firstLine="5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bl>
    <w:p>
      <w:pPr>
        <w:pStyle w:val="TextBody"/>
        <w:bidi w:val="0"/>
        <w:spacing w:before="0" w:after="0"/>
        <w:ind w:left="0" w:right="0" w:firstLine="5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bl>
    <w:p>
      <w:pPr>
        <w:pStyle w:val="TextBody"/>
        <w:bidi w:val="0"/>
        <w:spacing w:before="0" w:after="0"/>
        <w:ind w:left="0" w:right="0" w:firstLine="5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bl>
    <w:p>
      <w:pPr>
        <w:pStyle w:val="TextBody"/>
        <w:bidi w:val="0"/>
        <w:spacing w:before="0" w:after="0"/>
        <w:ind w:left="0" w:right="0" w:firstLine="5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our common stock available for public sale;</w:t>
            </w:r>
          </w:p>
        </w:tc>
      </w:tr>
    </w:tbl>
    <w:p>
      <w:pPr>
        <w:pStyle w:val="TextBody"/>
        <w:bidi w:val="0"/>
        <w:spacing w:before="0" w:after="0"/>
        <w:ind w:left="0" w:right="0" w:firstLine="5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by our directors, officers or significant stockholders or the perception that such sales could occur;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“trade wars,” pandemics (such as COVID-19) and acts of war or terrorism (including the Russia-Ukraine conflict).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Furthermore, our predecessor, CNTQ, was a SPAC. SPACs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securities may not be available on a consistent basis to provide stockholders with adequate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outstanding warrants to acquire our common stock would increase the number of shares eligible for future resale in the public market and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outstanding warrants to acquire our common stock will increase the number of shares eligible for future resale in the public market and result in dilution to our stockholders. As of May 24, 2023, there were (i) 9,422,529 shares of common stock issuable upon the exercise of outstanding Public Warrants at an exercise price of $11.50 per share; (ii) 1,501,386 shares of common stock issuable upon the exercise of outstanding Private Warrants at an exercise price of $11.50 per share; and (iii) 843,056 shares of common stock issuable upon exercise of outstanding Penny Warrants at an exercise price of $0.01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185"/>
        <w:gridCol w:w="966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convert these customers into meaningful orders in the future;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two suppliers for LFP cells and a single supplier for the manufacture of our battery management system;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the potential markets for our batteries and its ability to serve those markets;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85"/>
        <w:gridCol w:w="998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our attempts to develop and produce solid state battery cells;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products, which may vary significantly;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in the competitive landscape of our industry, including consolidation among our competitors or partners.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regulations or rules, or a failure to comply with any laws, regulations or rules, may adversely affect our business, investments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could discourage another company from acquiring us and may prevent attempts by our stockholders to replace or remove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with each class serving staggered three-year terms, which may delay the ability of stockholders to change the membership of a majority of our board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not act by written consent, which forces stockholder action to be taken at an annual or special meeting of stockholders;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may be called only by a majority of our board of directors, which may delay the ability of our stockholders to force consideration of a proposal or to take action, including the removal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prohibits cumulative voting in the election of directors, which limits the ability of minority stockholders to elect director candidates;</w:t>
            </w:r>
          </w:p>
        </w:tc>
      </w:tr>
    </w:tbl>
    <w:p>
      <w:pPr>
        <w:pStyle w:val="TextBody"/>
        <w:bidi w:val="0"/>
        <w:spacing w:before="0" w:after="0"/>
        <w:ind w:left="0" w:right="0" w:firstLine="5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alter certain provisions of our Bylaws without obtaining stockholder approval;</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any decision to comply only with certain reduced reporting and disclosure requirements applicable to emerging growth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have an independent registered public accounting firm audit our internal control over financial reporting under Section 404 of the Sarbanes-Oxley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and annual report on Form 10-K;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non-binding advisory votes on executive compensation and stockholder approval of any golden parachute payments not previously approved.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stockholders may not have access to certain information that they may deem important. Our status as an emerging growth company will end as soon as any of the following takes place:</w:t>
      </w:r>
    </w:p>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at least $1.235 billion in annual revenue;</w:t>
            </w:r>
          </w:p>
        </w:tc>
      </w:tr>
    </w:tbl>
    <w:p>
      <w:pPr>
        <w:pStyle w:val="TextBody"/>
        <w:bidi w:val="0"/>
        <w:spacing w:before="0" w:after="0"/>
        <w:ind w:left="0" w:right="0" w:firstLine="5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we qualify as a “large accelerated filer,” with at least $700.0 million of equity securities held by non-affiliates;</w:t>
            </w:r>
          </w:p>
        </w:tc>
      </w:tr>
    </w:tbl>
    <w:p>
      <w:pPr>
        <w:pStyle w:val="TextBody"/>
        <w:bidi w:val="0"/>
        <w:spacing w:before="0" w:after="0"/>
        <w:ind w:left="0" w:right="0" w:firstLine="5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in any three-year period, more than $1.0 billion in non-convertible debt securities; or</w:t>
            </w:r>
          </w:p>
        </w:tc>
      </w:tr>
    </w:tbl>
    <w:p>
      <w:pPr>
        <w:pStyle w:val="TextBody"/>
        <w:bidi w:val="0"/>
        <w:spacing w:before="0" w:after="0"/>
        <w:ind w:left="0" w:right="0" w:firstLine="5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ending after the fifth anniversary of our IPO.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comply with the requirements of the Sarbanes-Oxley Act, including, among other things, that we maintain effective disclosure controls and procedures and internal control over financial reporting. See “</w:t>
      </w:r>
      <w:r>
        <w:rPr>
          <w:rFonts w:ascii="Times New Roman;Times;Serif" w:hAnsi="Times New Roman;Times;Serif"/>
          <w:b w:val="false"/>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w:t>
      </w:r>
      <w:r>
        <w:rPr>
          <w:rFonts w:ascii="Times New Roman;Times;Serif" w:hAnsi="Times New Roman;Times;Serif"/>
          <w:b w:val="false"/>
          <w:i w:val="false"/>
          <w:caps w:val="false"/>
          <w:smallCaps w:val="false"/>
          <w:sz w:val="20"/>
        </w:rPr>
        <w:t>.”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management, including our principal executive and financial officers.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than anticipated future earnings in jurisdictions where we have lower statutory tax rates and higher than anticipated future earnings in jurisdictions where we have higher statutory tax rates.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could have an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_001"/>
      <w:bookmarkEnd w:id="20"/>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prospectus may constitute “forward-looking statements” within the meaning of the “safe harbor” provisions of the United States Private Securities Litigation Reform Act of 1995, Section 27A of the Securities Act and Section 21E of the Exchange Act.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recognize the anticipated benefits of our recent Business Combination (as defined herein), which may be affected by, among other things, the factors listed below;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Nasdaq Global Market and Public Warrants (as defined herein) on the Nasdaq Capital Market;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including any mutations or variants thereof, and its effect on business and financial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equity facility;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a single manufacturing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Registration Statement.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4"/>
      <w:bookmarkEnd w:id="21"/>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offering will be approximately $        million, or $         million if the underwriters exercise their over-allotment option in full, assuming the sale of        shares of common stock at an offering price per share of common stock of $      , which is equal to the last reported sales price of our common stock on the Nasdaq on           , 2023, after deducting estimated underwriting discounts and commissions and estimated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in the event that the actual public offering per share is more or less than the assumed public offering price of $        per share (the last reported sale price of our common stock Nasdaq on     , 2023), the number of shares we sell may be decreased or increased so long as the aggregate offering amount does not exceed the total amount registered on the registration statement of which this prospectus forms a part. Assuming a total offering amount of $20,000,000, for every $0.10 increase in the assumed public offering price per share, we would sell fewer shares of common stock and for every $0.10 decrease in the assumed public offering price per share, we would sell additional shares of common stock. Each $0.10 increase in the assumed public offering price per share would increase the as adjusted net tangible book value per share by $         per share and increase the dilution per share to investors participating in this offering by $         per share after deducting estimated underwriting discounts and commissions and estimated offering expenses payable by us. Each $0.10 decrease in the assumed public offering price per share would decrease the as adjusted net tangible book value per share by $           per share and decrease the dilution per share to investors participating in this offering by $          per share, after deducting estimated underwriting discounts and commissions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cannot specify with certainty all of the particular uses for the net proceeds to us from this offering. Accordingly, our management will have broad discretion in the application of these proceeds.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5"/>
      <w:bookmarkEnd w:id="22"/>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under the symbol “DFLI” and our Public Warrants are currently listed on the Nasdaq Capital Market under the symbol “DFLIW”. As of           , 2023, the closing price of our common stock and Public Warrants was $          and $         , respectively. As of May 24, 2023, there were 189 holders of record of our common stock and 35 holders of record of our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6"/>
      <w:bookmarkEnd w:id="23"/>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in this offering, your interest will be diluted immediately to the extent of the difference between the offering price per share and the as adjusted net tangible book value per shares of common stock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our net tangible book value was $32.3 million, or $0.72 per share of common stock. Net tangible book value per share represents our total tangible assets, less our total liabilities, divided by the number of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assumed sale of shares of common stock in this offering at an assumed public offering price of $       per share, which is equal to the last reported sales price of our common stock on the Nasdaq on      , 2023, and after deducting estimated underwriting discounts and commissions and estimated offering expenses payable by us, our as adjusted net tangible book value as of March 31, 2023 would have been approximately $          million, or approximately $       per share of common stock. This amount represents an immediate increase in as adjusted net tangible book value of $         per share to our existing stockholders and an immediate dilution of $         per share to investors participating in this offering. We determine dilution per share to investors participating in this offering by subtracting as adjusted net tangible book value per share after giving effect to this offering from the assumed public offering price per share paid by investors participating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to new investors on a per share basis:</w:t>
      </w:r>
    </w:p>
    <w:p>
      <w:pPr>
        <w:pStyle w:val="TextBody"/>
        <w:bidi w:val="0"/>
        <w:spacing w:before="0" w:after="0"/>
        <w:ind w:left="0" w:right="0" w:hanging="0"/>
        <w:jc w:val="both"/>
        <w:rPr>
          <w:caps w:val="false"/>
          <w:smallCaps w:val="false"/>
        </w:rPr>
      </w:pPr>
      <w:r>
        <w:rPr>
          <w:caps w:val="false"/>
          <w:smallCaps w:val="false"/>
        </w:rPr>
        <w:t> </w:t>
      </w:r>
    </w:p>
    <w:tbl>
      <w:tblPr>
        <w:tblW w:w="10125" w:type="dxa"/>
        <w:jc w:val="left"/>
        <w:tblInd w:w="0" w:type="dxa"/>
        <w:tblLayout w:type="fixed"/>
        <w:tblCellMar>
          <w:top w:w="0" w:type="dxa"/>
          <w:left w:w="0" w:type="dxa"/>
          <w:bottom w:w="0" w:type="dxa"/>
          <w:right w:w="0" w:type="dxa"/>
        </w:tblCellMar>
      </w:tblPr>
      <w:tblGrid>
        <w:gridCol w:w="9410"/>
        <w:gridCol w:w="60"/>
        <w:gridCol w:w="140"/>
        <w:gridCol w:w="440"/>
        <w:gridCol w:w="75"/>
      </w:tblGrid>
      <w:tr>
        <w:trPr/>
        <w:tc>
          <w:tcPr>
            <w:tcW w:w="9410" w:type="dxa"/>
            <w:tcBorders/>
            <w:shd w:fill="CCEEFF" w:val="clear"/>
            <w:vAlign w:val="center"/>
          </w:tcPr>
          <w:p>
            <w:pPr>
              <w:pStyle w:val="TableContents"/>
              <w:bidi w:val="0"/>
              <w:spacing w:before="0" w:after="283"/>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9410" w:type="dxa"/>
            <w:tcBorders/>
            <w:shd w:fill="FFFFFF" w:val="clear"/>
            <w:vAlign w:val="center"/>
          </w:tcPr>
          <w:p>
            <w:pPr>
              <w:pStyle w:val="TableContents"/>
              <w:bidi w:val="0"/>
              <w:spacing w:before="0" w:after="283"/>
              <w:jc w:val="left"/>
              <w:rPr/>
            </w:pPr>
            <w:r>
              <w:rPr/>
              <w:t>Historical net tangible book value per share at March 31, 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0.72</w:t>
            </w:r>
          </w:p>
        </w:tc>
        <w:tc>
          <w:tcPr>
            <w:tcW w:w="75" w:type="dxa"/>
            <w:tcBorders/>
            <w:shd w:fill="FFFFFF" w:val="clear"/>
            <w:vAlign w:val="center"/>
          </w:tcPr>
          <w:p>
            <w:pPr>
              <w:pStyle w:val="TableContents"/>
              <w:bidi w:val="0"/>
              <w:spacing w:before="0" w:after="283"/>
              <w:jc w:val="left"/>
              <w:rPr/>
            </w:pPr>
            <w:r>
              <w:rPr/>
              <w:t> </w:t>
            </w:r>
          </w:p>
        </w:tc>
      </w:tr>
      <w:tr>
        <w:trPr/>
        <w:tc>
          <w:tcPr>
            <w:tcW w:w="9410" w:type="dxa"/>
            <w:tcBorders/>
            <w:shd w:fill="CCEEFF" w:val="clear"/>
            <w:vAlign w:val="center"/>
          </w:tcPr>
          <w:p>
            <w:pPr>
              <w:pStyle w:val="TableContents"/>
              <w:bidi w:val="0"/>
              <w:spacing w:before="0" w:after="283"/>
              <w:jc w:val="left"/>
              <w:rPr/>
            </w:pPr>
            <w:r>
              <w:rPr/>
              <w:t>Increase in net tangible book value per share to the existing stockholders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9410" w:type="dxa"/>
            <w:tcBorders/>
            <w:shd w:fill="FFFFFF" w:val="clear"/>
            <w:vAlign w:val="center"/>
          </w:tcPr>
          <w:p>
            <w:pPr>
              <w:pStyle w:val="TableContents"/>
              <w:bidi w:val="0"/>
              <w:spacing w:before="0" w:after="283"/>
              <w:jc w:val="left"/>
              <w:rPr/>
            </w:pPr>
            <w:r>
              <w:rPr/>
              <w:t>As adjusted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9410" w:type="dxa"/>
            <w:tcBorders/>
            <w:shd w:fill="CCEEFF" w:val="clear"/>
            <w:vAlign w:val="center"/>
          </w:tcPr>
          <w:p>
            <w:pPr>
              <w:pStyle w:val="TableContents"/>
              <w:bidi w:val="0"/>
              <w:spacing w:before="0" w:after="283"/>
              <w:jc w:val="left"/>
              <w:rPr/>
            </w:pPr>
            <w:r>
              <w:rPr/>
              <w:t>Dilution in net tangible book value per share to new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in the event that the actual public offering per share is more or less than the assumed public offering price of $          per share (the last reported sale price of our common stock Nasdaq on          , 2023), the number of shares we sell may be decreased or increased so long as the aggregate offering amount does not exceed the total amount registered on the registration statement of which this prospectus forms a part. Assuming a total offering amount of $20,000,000, for every $0.10 increase in the assumed public offering price per share, we would sell          fewer shares of common stock and for every $0.10 decrease in the assumed public offering price per share, we would sell          additional shares of common stock. Each $0.10 increase in the assumed public offering price per share would increase the as adjusted net tangible book value per share by $          per share and increase the dilution per share to investors participating in this offering by $          per share after deducting estimated underwriting discounts and commissions and estimated offering expenses payable by us. Each $0.10 decrease in the assumed public offering price per share would decrease the as adjusted net tangible book value per share by $          per share and decrease the dilution per share to investors participating in this offering by $          per share, after deducting estimated underwriting discounts and commissions and estimated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underwriters exercise their over-allotment option in full, the as adjusted net tangible book value per share after giving effect to this offering would be approximately $         per share, which represents an immediate increase in the as adjusted net tangible book value of $         per share of our common stock to existing stockholders and an immediate dilution in the as adjusted net tangible book value of $         per share of our common stock to new investors participating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45,795,502 shares outstanding as of March 31, 2023, and does not include, as of such date:</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9,422,529 Public Warrant Shares;</w:t>
            </w:r>
          </w:p>
        </w:tc>
      </w:tr>
    </w:tbl>
    <w:p>
      <w:pPr>
        <w:pStyle w:val="TextBody"/>
        <w:bidi w:val="0"/>
        <w:spacing w:before="0" w:after="0"/>
        <w:ind w:left="0" w:right="0" w:hanging="741"/>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1,501,386 Private Warrant Shares;</w:t>
            </w:r>
          </w:p>
        </w:tc>
      </w:tr>
    </w:tbl>
    <w:p>
      <w:pPr>
        <w:pStyle w:val="TextBody"/>
        <w:bidi w:val="0"/>
        <w:spacing w:before="0" w:after="0"/>
        <w:ind w:left="0" w:right="0" w:hanging="741"/>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1,343,557 Penny Warrant Shares;</w:t>
            </w:r>
          </w:p>
        </w:tc>
      </w:tr>
    </w:tbl>
    <w:p>
      <w:pPr>
        <w:pStyle w:val="TextBody"/>
        <w:bidi w:val="0"/>
        <w:spacing w:before="0" w:after="0"/>
        <w:ind w:left="0" w:right="0" w:firstLine="72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170"/>
        <w:gridCol w:w="2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40,000,000 Earnout Shares;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$150.0 million of shares of common stock we may sell to CCM pursuant to the Purchase Agreement establishing the ChEF Equity Facility; and</w:t>
            </w:r>
          </w:p>
        </w:tc>
      </w:tr>
    </w:tbl>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3,731,392 shares of common stock underlying outstanding options.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above is illustrative only and will be adjusted based on the actual public offering price, the actual number of shares that we offer in this offering, and other terms of this offering determined at pricing. To the extent that any outstanding warrants are exercised, outstanding notes are converted, new awards are issued under our equity compensation plans, or we otherwise issue additional shares of common stock in the future, at a price less than the public offering price, there will be further dilution to the investor.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7"/>
      <w:bookmarkEnd w:id="24"/>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246,000 batteries. For the quarter ended March 31, 2023 and 2022, we sold 20,331 and 19,664 batteries, respectively, and had $18.8 million and $18.3 million in net sales, respectively. For the years ended December 31, 2022 and 2021, we sold 96,034 and 74,652 batteries, respectively, and had $86.3 million and $78.0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LFP solid-state cell technology and manufacturing processes. Our solid-state technology design allows for a much safer, more efficient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CNTQ was treated as the acquired company for financial statement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had cash totaling $15.8 million. Our net income for the quarter ended March 31, 2023 was $4.9 million and our net loss for the quarter ended March 31, 2022 was $2.3 million. As a result of becoming a publicly traded company, we continue to need to hire additional personnel and implement procedures and processes to address public company regulatory requirements and customary practices. We expect to continue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non-binding Memorandum of Understanding with a lithium mining company located in Nevada for the supply of lithium, which we expect will enable us to further manage our cost of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is primarily generated from the sale of our LFP batteries to OEMs and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March 31, 2023 and March 31,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quarters ended March 31, 2023, and March 31, 2022. This data should be read together with our financial statements and related notes included elsewhere in this Quarterly Report, and is qualified in its entirety by reference to such financial statements and related notes.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4460"/>
        <w:gridCol w:w="60"/>
        <w:gridCol w:w="140"/>
        <w:gridCol w:w="680"/>
        <w:gridCol w:w="95"/>
        <w:gridCol w:w="60"/>
        <w:gridCol w:w="119"/>
        <w:gridCol w:w="1130"/>
        <w:gridCol w:w="95"/>
        <w:gridCol w:w="60"/>
        <w:gridCol w:w="140"/>
        <w:gridCol w:w="680"/>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70.0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38.6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53" w:type="dxa"/>
        <w:jc w:val="left"/>
        <w:tblInd w:w="0" w:type="dxa"/>
        <w:tblLayout w:type="fixed"/>
        <w:tblCellMar>
          <w:top w:w="0" w:type="dxa"/>
          <w:left w:w="0" w:type="dxa"/>
          <w:bottom w:w="0" w:type="dxa"/>
          <w:right w:w="0" w:type="dxa"/>
        </w:tblCellMar>
      </w:tblPr>
      <w:tblGrid>
        <w:gridCol w:w="1190"/>
        <w:gridCol w:w="60"/>
        <w:gridCol w:w="269"/>
        <w:gridCol w:w="1307"/>
        <w:gridCol w:w="115"/>
        <w:gridCol w:w="115"/>
        <w:gridCol w:w="115"/>
        <w:gridCol w:w="1307"/>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Retailer</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7,069</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13,035</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Distributor</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FFFFFF" w:val="clear"/>
            <w:tcMar>
              <w:bottom w:w="28" w:type="dxa"/>
            </w:tcMar>
            <w:vAlign w:val="center"/>
          </w:tcPr>
          <w:p>
            <w:pPr>
              <w:pStyle w:val="TableContents"/>
              <w:bidi w:val="0"/>
              <w:spacing w:before="0" w:after="283"/>
              <w:jc w:val="right"/>
              <w:rPr/>
            </w:pPr>
            <w:r>
              <w:rPr/>
              <w:t>2,969</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FFFFFF" w:val="clear"/>
            <w:tcMar>
              <w:bottom w:w="28" w:type="dxa"/>
            </w:tcMar>
            <w:vAlign w:val="center"/>
          </w:tcPr>
          <w:p>
            <w:pPr>
              <w:pStyle w:val="TableContents"/>
              <w:bidi w:val="0"/>
              <w:spacing w:before="0" w:after="283"/>
              <w:jc w:val="right"/>
              <w:rPr/>
            </w:pPr>
            <w:r>
              <w:rPr/>
              <w:t>2,087</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10,038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15,122</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53.4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82.6</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8,754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3,181</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46.6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$0.5 million, or 2.7%, to $18.8 million for the quarter ended March 31, 2023, as compared to $18.3 million for the quarter ended March 31, 2022. This increase was primarily due to higher OEM battery and accessory sales partially offset by lower DTC sales. For the quarter ended March 31, 2023, OEM revenue increased by $5.6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$5.1 million as a result of decreased customer demand for our products due to rising interest rates and inflation.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$1.2 million, or 9.7%, to $14.0 million for the quarter ended March 31, 2023, as compared to $12.8 million for the quarter ended March 31, 2022. This increase was primarily due to higher material costs associated with growth in the number of units sold.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$0.8 million, or 13.7%, to $4.7 million for the quarter ended March 31, 2023, as compared to $5.5 million for the quarter ended March 31, 2022. The decrease in gross profit was primarily due to a change in revenue mix that included a larger percentage of lower margin OEM sales and a lower percentage of higher margin DTC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$0.6 million or 159.6%, to $0.9 million for the quarter ended March 31, 2023, as compared to $0.3 million for the quarter ended March 31, 2022. The increase was primarily due to higher wage expense of $0.4 million associated with increased headcount, higher materials and supply costs associated with development work and increased patent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$5.9 million, or 161.8%, to $9.5 million for the quarter ended March 31, 2023, as compared to $3.6 million for the quarter ended March 31, 2022. This increase was primarily due to a $3.5 million increase in stock-based compensation costs and a $2.1 million increase in professional fees, compliance, and insurance costs.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$1.1 million, or 35.3%, to $4.2 million for the quarter ended March 31, 2023, as compared to $3.1 million for the quarter ended March 31, 2022. This increase was primarily due to a $1.6 million increase in wage-related expenses primarily due to the addition of sales and marketing personnel to support growth in our existing end markets, as well as to drive growth in the new, adjacent end markets we are targeting. This increase was partially offset by lower spending in outsourced advertising costs along with lower shipping costs, due to the change in revenue mix.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totaled $14.7 million for the quarter ended March 31, 2023 as compared to total other expense of $1.3 million for the quarter ended March 31, 2022. Other income in quarter ended March 31, 2023 is comprised of a change in fair market value of our warrants in the amount of $18.5 million offset by $3.8 million in interest expense related to the debt securities of $75 million. The $1.3 million expense in the quarter ended March 31, 2022 was comprised of interest expense related to the senior secured notes of $45 million which were retired as a result of the Business Combination.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quarter ended March 31, 2023, as compared to $0.5 million benefit for the quarter ended March 31, 2022. No tax expense was recorded in the quarter ended March 31, 2023 due to utilization of a portion of the $10.6 million valuation allowance. The income tax benefit of $0.5 million for the quarter ended March 31, 2022 was expected to be used against future tax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net income of $4.9 million for the quarter ended March 31, 2023, as compared to net loss of $2.3 million for the quarter ended March 31, 2022. As described above, this result was driven primarily by higher sales offset by increased cost of goods sold, higher operating expenses, and increased other income (primarily as a result of a change in fair market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Years Ended 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years ended December 31, 2022 and 2021. This data should be read together with our financial statements and related notes included elsewhere in this Registration Statement,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958" w:type="dxa"/>
        <w:jc w:val="left"/>
        <w:tblInd w:w="0" w:type="dxa"/>
        <w:tblLayout w:type="fixed"/>
        <w:tblCellMar>
          <w:top w:w="0" w:type="dxa"/>
          <w:left w:w="0" w:type="dxa"/>
          <w:bottom w:w="0" w:type="dxa"/>
          <w:right w:w="0" w:type="dxa"/>
        </w:tblCellMar>
      </w:tblPr>
      <w:tblGrid>
        <w:gridCol w:w="3845"/>
        <w:gridCol w:w="60"/>
        <w:gridCol w:w="125"/>
        <w:gridCol w:w="650"/>
        <w:gridCol w:w="80"/>
        <w:gridCol w:w="60"/>
        <w:gridCol w:w="112"/>
        <w:gridCol w:w="912"/>
        <w:gridCol w:w="80"/>
        <w:gridCol w:w="60"/>
        <w:gridCol w:w="125"/>
        <w:gridCol w:w="590"/>
        <w:gridCol w:w="80"/>
        <w:gridCol w:w="60"/>
        <w:gridCol w:w="112"/>
        <w:gridCol w:w="912"/>
        <w:gridCol w:w="95"/>
      </w:tblGrid>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8"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382" w:type="dxa"/>
        <w:jc w:val="left"/>
        <w:tblInd w:w="0" w:type="dxa"/>
        <w:tblLayout w:type="fixed"/>
        <w:tblCellMar>
          <w:top w:w="0" w:type="dxa"/>
          <w:left w:w="0" w:type="dxa"/>
          <w:bottom w:w="0" w:type="dxa"/>
          <w:right w:w="0" w:type="dxa"/>
        </w:tblCellMar>
      </w:tblPr>
      <w:tblGrid>
        <w:gridCol w:w="995"/>
        <w:gridCol w:w="60"/>
        <w:gridCol w:w="181"/>
        <w:gridCol w:w="858"/>
        <w:gridCol w:w="87"/>
        <w:gridCol w:w="87"/>
        <w:gridCol w:w="181"/>
        <w:gridCol w:w="858"/>
        <w:gridCol w:w="75"/>
      </w:tblGrid>
      <w:tr>
        <w:trPr/>
        <w:tc>
          <w:tcPr>
            <w:tcW w:w="9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43,344</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9,102</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52,446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33,805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86,251</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12—Warrants” in our accompanying consolidated financial statements for information on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option-pricing model to determine the fair value of option grants. In estimating fair value, management is required to make certain assumptions and estimates such as the expected life of units, volatility of the Company’s future share price, risk-free rates, future dividend yields and estimated forfeitures at the initial grant date. Restricted stock unit awards are valued based on the closing trading value of the Company’s common stock on the date of grant. Changes in assumptions used to estimate fair value could result in materially different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income (loss) for the quarters ended March 31, 2023, and March 31,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897" w:type="dxa"/>
        <w:jc w:val="left"/>
        <w:tblInd w:w="0" w:type="dxa"/>
        <w:tblLayout w:type="fixed"/>
        <w:tblCellMar>
          <w:top w:w="0" w:type="dxa"/>
          <w:left w:w="0" w:type="dxa"/>
          <w:bottom w:w="0" w:type="dxa"/>
          <w:right w:w="0" w:type="dxa"/>
        </w:tblCellMar>
      </w:tblPr>
      <w:tblGrid>
        <w:gridCol w:w="4100"/>
        <w:gridCol w:w="60"/>
        <w:gridCol w:w="208"/>
        <w:gridCol w:w="1084"/>
        <w:gridCol w:w="133"/>
        <w:gridCol w:w="100"/>
        <w:gridCol w:w="208"/>
        <w:gridCol w:w="909"/>
        <w:gridCol w:w="95"/>
      </w:tblGrid>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11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4,892</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3,815</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9,004</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for: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market value of warrant liability </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(18,523</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27"/>
        <w:gridCol w:w="9978"/>
      </w:tblGrid>
      <w:tr>
        <w:trPr/>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7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 is comprised of costs and expenses associated with our implementation of an ERP system in anticipation of the Business Combination and becoming a public company.</w:t>
            </w:r>
          </w:p>
        </w:tc>
      </w:tr>
      <w:tr>
        <w:trPr/>
        <w:tc>
          <w:tcPr>
            <w:tcW w:w="2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7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 is comprised of the loan that was forgiven, prior to the Business Combination, in connection with the promissory note, with a maturity date of March 1, 2026, between us and John Marchetti, our Chief Financial Officer.</w:t>
            </w:r>
          </w:p>
        </w:tc>
      </w:tr>
      <w:tr>
        <w:trPr/>
        <w:tc>
          <w:tcPr>
            <w:tcW w:w="2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7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January 1, 2023 through March 31, 2023.</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years ended December 31, 2022 and 2021.</w:t>
      </w:r>
    </w:p>
    <w:p>
      <w:pPr>
        <w:pStyle w:val="TextBody"/>
        <w:bidi w:val="0"/>
        <w:spacing w:before="0" w:after="0"/>
        <w:ind w:left="0" w:right="0" w:hanging="0"/>
        <w:jc w:val="both"/>
        <w:rPr>
          <w:caps w:val="false"/>
          <w:smallCaps w:val="false"/>
        </w:rPr>
      </w:pPr>
      <w:r>
        <w:rPr>
          <w:caps w:val="false"/>
          <w:smallCaps w:val="false"/>
        </w:rPr>
        <w:t> </w:t>
      </w:r>
    </w:p>
    <w:tbl>
      <w:tblPr>
        <w:tblW w:w="6487" w:type="dxa"/>
        <w:jc w:val="left"/>
        <w:tblInd w:w="0" w:type="dxa"/>
        <w:tblLayout w:type="fixed"/>
        <w:tblCellMar>
          <w:top w:w="0" w:type="dxa"/>
          <w:left w:w="0" w:type="dxa"/>
          <w:bottom w:w="0" w:type="dxa"/>
          <w:right w:w="0" w:type="dxa"/>
        </w:tblCellMar>
      </w:tblPr>
      <w:tblGrid>
        <w:gridCol w:w="4100"/>
        <w:gridCol w:w="60"/>
        <w:gridCol w:w="184"/>
        <w:gridCol w:w="961"/>
        <w:gridCol w:w="118"/>
        <w:gridCol w:w="88"/>
        <w:gridCol w:w="184"/>
        <w:gridCol w:w="717"/>
        <w:gridCol w:w="75"/>
      </w:tblGrid>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(39,571</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6,945</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(32,444</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for: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Expenses</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21,337</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Debt extinguishment </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market value of warrant liability </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(5,446</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(7,540</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 is comprised of costs and expenses associated with our implementation of an Enterprise Resource Planning (ERP) system in anticipation of the Business Combination and becoming a public company.</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 is comprised of the loan that was forgiven, prior to the Business Combination, in connection with the promissory note, with a maturity date of March 1, 2026, between us and John Marchetti, our Chief Financial Officer.</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is comprised of $1.2 million in cash severance associated with the Separation Agreement, dated October 25, 2022, as amended on November 14, 2022, between us and Sean Nichols, our former Chief Operating Officer.</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Expenses is comprised of fees and expenses, including legal, accounting, and others associated with the Business Combination.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 expenses are comprised of expenses incurred in connection with the early debt repayment of the Series 2021-6 Notes that occurred in conjunction with the Business Combination.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the date the warrants were issued through December 31, 2022.</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2023, we had cash totaling $15.8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fourth quarter of 2022, we continued to increase our inventory purchasing activities. As a result, our inventory balance at March 31, 2023 increased by $1.9 million to $51.8 million, compared to $49.9 million at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which represents approximately 50% of the shares of our common stock outstanding as of December 31, 2022. During the year ended December 31, 2023, we did not sell any shares of our common stock under the ChEF Equity Facility. From January 1, 2023 to May 24, 2023, we issued and sold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we incurred losses and had a negative cash flow from operations. As of December 31, 2022, we had approximately $17.8 million in cash and cash equivalents and working capital of $32.9 million. For the quarter ended March 31, 2023, we generated net income of $4.9 million but had a negative cash flow from operations. As of March 31, 2023, we had approximately $15.8 million in cash and cash equivalents and working capital of $24.5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2023, and March 31,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472" w:type="dxa"/>
        <w:jc w:val="left"/>
        <w:tblInd w:w="0" w:type="dxa"/>
        <w:tblLayout w:type="fixed"/>
        <w:tblCellMar>
          <w:top w:w="0" w:type="dxa"/>
          <w:left w:w="0" w:type="dxa"/>
          <w:bottom w:w="0" w:type="dxa"/>
          <w:right w:w="0" w:type="dxa"/>
        </w:tblCellMar>
      </w:tblPr>
      <w:tblGrid>
        <w:gridCol w:w="2675"/>
        <w:gridCol w:w="60"/>
        <w:gridCol w:w="208"/>
        <w:gridCol w:w="909"/>
        <w:gridCol w:w="133"/>
        <w:gridCol w:w="100"/>
        <w:gridCol w:w="208"/>
        <w:gridCol w:w="1084"/>
        <w:gridCol w:w="95"/>
      </w:tblGrid>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2,437</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$3.8 million for three months ended March 31, 2023, primarily due to a net operating loss of $9.8 million during the period offset by an increase in accounts payable and accrued expenses as a result of extended payments for the large influx of cells received late in 2022 and early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$11.1 million for the three months ended March 31, 2022, primarily due to a net loss during the period in addition to an increase in inventory and reduction of accounts payable and accrued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$0.6 million for the three months ended March 31, 2023, as compared to net cash used in investing activities of $4.5 million for the three months ended March 31, 2022. The decrease in cash used in investing activities was primarily due to a decrease in capital equipment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$2.4 million for the three months ended March 31, 2023, as compared to net cash provided by financing activities of $0.1 million for the three months ended March 31, 2022, and was primarily due to proceeds from a $1.0 million note payable and proceeds from public offering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2022 and 2021</w:t>
      </w:r>
    </w:p>
    <w:p>
      <w:pPr>
        <w:pStyle w:val="TextBody"/>
        <w:bidi w:val="0"/>
        <w:spacing w:before="0" w:after="0"/>
        <w:ind w:left="0" w:right="0" w:hanging="0"/>
        <w:jc w:val="both"/>
        <w:rPr>
          <w:caps w:val="false"/>
          <w:smallCaps w:val="false"/>
        </w:rPr>
      </w:pPr>
      <w:r>
        <w:rPr>
          <w:caps w:val="false"/>
          <w:smallCaps w:val="false"/>
        </w:rPr>
        <w:t> </w:t>
      </w:r>
    </w:p>
    <w:tbl>
      <w:tblPr>
        <w:tblW w:w="5082" w:type="dxa"/>
        <w:jc w:val="left"/>
        <w:tblInd w:w="0" w:type="dxa"/>
        <w:tblLayout w:type="fixed"/>
        <w:tblCellMar>
          <w:top w:w="0" w:type="dxa"/>
          <w:left w:w="0" w:type="dxa"/>
          <w:bottom w:w="0" w:type="dxa"/>
          <w:right w:w="0" w:type="dxa"/>
        </w:tblCellMar>
      </w:tblPr>
      <w:tblGrid>
        <w:gridCol w:w="2675"/>
        <w:gridCol w:w="60"/>
        <w:gridCol w:w="166"/>
        <w:gridCol w:w="867"/>
        <w:gridCol w:w="106"/>
        <w:gridCol w:w="80"/>
        <w:gridCol w:w="166"/>
        <w:gridCol w:w="867"/>
        <w:gridCol w:w="95"/>
      </w:tblGrid>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(45,696</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41,674</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$38.9 million for the year ended December 31, 2021, primarily as a result of $45.0 million in proceeds from the senior secured notes, partially offset by associated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March 31, 2023, we had $1.2 million in short-term operating lease liabilities and $3.2 million in long-term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March 31, 2023, the principal amount outstanding under the Term Loan was $77.4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CNTQ Lender backstopped its commitment under the Debt Commitment Letter by entering into a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8"/>
      <w:bookmarkEnd w:id="25"/>
      <w:r>
        <w:rPr>
          <w:rFonts w:ascii="Times New Roman;Times;Serif" w:hAnsi="Times New Roman;Times;Serif"/>
          <w:b/>
          <w:i w:val="false"/>
          <w:caps w:val="false"/>
          <w:smallCaps w:val="false"/>
          <w:sz w:val="20"/>
        </w:rPr>
        <w:t>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Registration Statement to “Dragonfly,” the “Company,” “we,” “us,” or “our” mean Dragonfly Energy Holdings Corp. and its subsidiaries unless stated otherwise or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(including the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dual-brand strategy for battery products, Dragonfly Energy and Battle Born. Battle Born branded products are primarily sold direct to consumers,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246,000 batteries. For the quarters ended March 31, 2023 and 2022, we sold 20,331 and 19,664 batteries, respectively, and had $18.8 million and $18.3 million in net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fulfills certain of its LFP battery requirements exclusively through us (with potential annual renewals), THOR,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a line of batteries across our “Battle Born” and “Dragonfly”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decades, lead-acid batteries have been the dominant player in power and energy markets worldwide. Since the introduction of the absorbed glass mat (“AGM”) lead-acid battery in the mid-1970s, the technological advancements in lead-acid battery technology have been limited. LFP batteries have numerous advantages over the incumbent lead-acid batteries used in today’s markets: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Environmentally Friendly, Socially Responsible and Safer.</w:t>
            </w:r>
            <w:r>
              <w:rPr>
                <w:rFonts w:ascii="Times New Roman;Times;Serif" w:hAnsi="Times New Roman;Times;Serif"/>
                <w:b w:val="false"/>
                <w:i w:val="false"/>
                <w:caps w:val="false"/>
                <w:smallCaps w:val="false"/>
                <w:sz w:val="20"/>
              </w:rPr>
              <w:t xml:space="preserve"> Lead-acid batteries that are not recycled or 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Longer Lifespan. </w:t>
            </w:r>
            <w:r>
              <w:rPr>
                <w:rFonts w:ascii="Times New Roman;Times;Serif" w:hAnsi="Times New Roman;Times;Serif"/>
                <w:b w:val="false"/>
                <w:i w:val="false"/>
                <w:caps w:val="false"/>
                <w:smallCaps w:val="false"/>
                <w:sz w:val="20"/>
              </w:rPr>
              <w:t>Lithium-ion batteries have longer lifecycles compared to lead-acid batteries. LFP 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Power and Performance. </w:t>
            </w:r>
            <w:r>
              <w:rPr>
                <w:rFonts w:ascii="Times New Roman;Times;Serif" w:hAnsi="Times New Roman;Times;Serif"/>
                <w:b w:val="false"/>
                <w:i w:val="false"/>
                <w:caps w:val="false"/>
                <w:smallCaps w:val="false"/>
                <w:sz w:val="20"/>
              </w:rPr>
              <w:t>As new technologies evolve and people consume more electricity, the 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Charging. </w:t>
            </w:r>
            <w:r>
              <w:rPr>
                <w:rFonts w:ascii="Times New Roman;Times;Serif" w:hAnsi="Times New Roman;Times;Serif"/>
                <w:b w:val="false"/>
                <w:i w:val="false"/>
                <w:caps w:val="false"/>
                <w:smallCaps w:val="false"/>
                <w:sz w:val="20"/>
              </w:rPr>
              <w:t>Lead-acid batteries were the first rechargeable batteries on the market. However, due to new advancements in energy density (i.e., the 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Maintenance-Free. </w:t>
            </w:r>
            <w:r>
              <w:rPr>
                <w:rFonts w:ascii="Times New Roman;Times;Serif" w:hAnsi="Times New Roman;Times;Serif"/>
                <w:b w:val="false"/>
                <w:i w:val="false"/>
                <w:caps w:val="false"/>
                <w:smallCaps w:val="false"/>
                <w:sz w:val="20"/>
              </w:rPr>
              <w:t>LFP batteries provide the benefit of being a maintenance-free option compared to lead-acid batteries. 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Frost and Sullivan report commissioned by us (“Frost &amp; Sullivan”), the total addressable market (“TAM”) of our three current end markets is estimated to be approximately $12 billion by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Recreational Vehicles. </w:t>
            </w:r>
            <w:r>
              <w:rPr>
                <w:rFonts w:ascii="Times New Roman;Times;Serif" w:hAnsi="Times New Roman;Times;Serif"/>
                <w:b w:val="false"/>
                <w:i w:val="false"/>
                <w:caps w:val="false"/>
                <w:smallCaps w:val="false"/>
                <w:sz w:val="20"/>
              </w:rPr>
              <w:t>The growth of the RV market is expected to continue to drive demand for LFP storage batteries. According to the 2022 RV Industry Association (“RVIA”)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(“CAGR”) of 6.8%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Marine Vessels.</w:t>
            </w:r>
            <w:r>
              <w:rPr>
                <w:rFonts w:ascii="Times New Roman;Times;Serif" w:hAnsi="Times New Roman;Times;Serif"/>
                <w:b w:val="false"/>
                <w:i w:val="false"/>
                <w:caps w:val="false"/>
                <w:smallCaps w:val="false"/>
                <w:sz w:val="20"/>
              </w:rPr>
              <w:t xml:space="preserve">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Off-Grid Residences. </w:t>
            </w:r>
            <w:r>
              <w:rPr>
                <w:rFonts w:ascii="Times New Roman;Times;Serif" w:hAnsi="Times New Roman;Times;Serif"/>
                <w:b w:val="false"/>
                <w:i w:val="false"/>
                <w:caps w:val="false"/>
                <w:smallCaps w:val="false"/>
                <w:sz w:val="20"/>
              </w:rPr>
              <w:t>Many people are turning to off-grid housing and, as individuals and governments become more 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(“SEIA”),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Addressable Adjacent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Industrial / Material Handlings / Work Truck.</w:t>
            </w:r>
            <w:r>
              <w:rPr>
                <w:rFonts w:ascii="Times New Roman;Times;Serif" w:hAnsi="Times New Roman;Times;Serif"/>
                <w:b w:val="false"/>
                <w:i w:val="false"/>
                <w:caps w:val="false"/>
                <w:smallCaps w:val="false"/>
                <w:sz w:val="20"/>
              </w:rPr>
              <w:t xml:space="preserve"> The industrial vehicle market includes work trucks, material handling and warehousing equipment 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Specialty Vehicles. </w:t>
            </w:r>
            <w:r>
              <w:rPr>
                <w:rFonts w:ascii="Times New Roman;Times;Serif" w:hAnsi="Times New Roman;Times;Serif"/>
                <w:b w:val="false"/>
                <w:i w:val="false"/>
                <w:caps w:val="false"/>
                <w:smallCaps w:val="false"/>
                <w:sz w:val="20"/>
              </w:rPr>
              <w:t>According to Mordor Intelligence, as of 2019, approximately 40% of the specialty vehicle market in 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Emergency and Standby Power.</w:t>
            </w:r>
            <w:r>
              <w:rPr>
                <w:rFonts w:ascii="Times New Roman;Times;Serif" w:hAnsi="Times New Roman;Times;Serif"/>
                <w:b w:val="false"/>
                <w:i w:val="false"/>
                <w:caps w:val="false"/>
                <w:smallCaps w:val="false"/>
                <w:sz w:val="20"/>
              </w:rPr>
              <w:t xml:space="preserve"> Demand for reliable emergency and standby power sources is 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Telecom. </w:t>
            </w:r>
            <w:r>
              <w:rPr>
                <w:rFonts w:ascii="Times New Roman;Times;Serif" w:hAnsi="Times New Roman;Times;Serif"/>
                <w:b w:val="false"/>
                <w:i w:val="false"/>
                <w:caps w:val="false"/>
                <w:smallCaps w:val="false"/>
                <w:sz w:val="20"/>
              </w:rPr>
              <w:t>Demand for mobile data continues to increase and network providers are investing heavily in 5G networks, 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Rail. </w:t>
            </w:r>
            <w:r>
              <w:rPr>
                <w:rFonts w:ascii="Times New Roman;Times;Serif" w:hAnsi="Times New Roman;Times;Serif"/>
                <w:b w:val="false"/>
                <w:i w:val="false"/>
                <w:caps w:val="false"/>
                <w:smallCaps w:val="false"/>
                <w:sz w:val="20"/>
              </w:rPr>
              <w:t>Rail transportation is a large potential market, with an estimated U.S. market size of $110.1 billion in 2023, according 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Centers.</w:t>
            </w:r>
            <w:r>
              <w:rPr>
                <w:rFonts w:ascii="Times New Roman;Times;Serif" w:hAnsi="Times New Roman;Times;Serif"/>
                <w:b w:val="false"/>
                <w:i w:val="false"/>
                <w:caps w:val="false"/>
                <w:smallCaps w:val="false"/>
                <w:sz w:val="20"/>
              </w:rPr>
              <w:t xml:space="preserve"> Data centers have seen strong growth in recent years, with over 2,700 data centers in the United States as of 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On-grid Storage. </w:t>
            </w:r>
            <w:r>
              <w:rPr>
                <w:rFonts w:ascii="Times New Roman;Times;Serif" w:hAnsi="Times New Roman;Times;Serif"/>
                <w:b w:val="false"/>
                <w:i w:val="false"/>
                <w:caps w:val="false"/>
                <w:smallCaps w:val="false"/>
                <w:sz w:val="20"/>
              </w:rPr>
              <w:t>On-grid energy storage is used on a large-scale platform within an electrical power 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Premier Lithium-Ion Battery Technology.</w:t>
            </w:r>
            <w:r>
              <w:rPr>
                <w:rFonts w:ascii="Times New Roman;Times;Serif" w:hAnsi="Times New Roman;Times;Serif"/>
                <w:b w:val="false"/>
                <w:i w:val="false"/>
                <w:caps w:val="false"/>
                <w:smallCaps w:val="false"/>
                <w:sz w:val="20"/>
              </w:rPr>
              <w:t xml:space="preserve"> Each of our innovative batteries features custom designed 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Extensive, Growing Patent Portfolio.</w:t>
            </w:r>
            <w:r>
              <w:rPr>
                <w:rFonts w:ascii="Times New Roman;Times;Serif" w:hAnsi="Times New Roman;Times;Serif"/>
                <w:b w:val="false"/>
                <w:i w:val="false"/>
                <w:caps w:val="false"/>
                <w:smallCaps w:val="false"/>
                <w:sz w:val="20"/>
              </w:rPr>
              <w:t xml:space="preserve"> We have developed and filed patent applications on commercially relevant aspects of our business including chemical compositions systems and production processes. To date, we have owned 26 issued patents, with an additional 22 patent applications pending, in the United States, China, Europe, Australia, Canada and other regions.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Proven Go-To-Market Strategy.</w:t>
            </w:r>
            <w:r>
              <w:rPr>
                <w:rFonts w:ascii="Times New Roman;Times;Serif" w:hAnsi="Times New Roman;Times;Serif"/>
                <w:b w:val="false"/>
                <w:i w:val="false"/>
                <w:caps w:val="false"/>
                <w:smallCaps w:val="false"/>
                <w:sz w:val="20"/>
              </w:rPr>
              <w:t xml:space="preserve"> We have successfully established a direct-to-consumer platform and have developed strong working relationships 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Established Customer Base with Brand Recognition.</w:t>
            </w:r>
            <w:r>
              <w:rPr>
                <w:rFonts w:ascii="Times New Roman;Times;Serif" w:hAnsi="Times New Roman;Times;Serif"/>
                <w:b w:val="false"/>
                <w:i w:val="false"/>
                <w:caps w:val="false"/>
                <w:smallCaps w:val="false"/>
                <w:sz w:val="20"/>
              </w:rPr>
              <w:t xml:space="preserve"> We have a growing customer base of more than 15,000 customers 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Quality Manufacturing Process.</w:t>
            </w:r>
            <w:r>
              <w:rPr>
                <w:rFonts w:ascii="Times New Roman;Times;Serif" w:hAnsi="Times New Roman;Times;Serif"/>
                <w:b w:val="false"/>
                <w:i w:val="false"/>
                <w:caps w:val="false"/>
                <w:smallCaps w:val="false"/>
                <w:sz w:val="20"/>
              </w:rPr>
              <w:t xml:space="preserve"> Unlike competitors that outsource their manufacturing processes, our batteries are designed, assembled and tested in the United States, ensuring that our manufacturing process is thoroughly tested and our batteries are of the highest quality as a result of governmental regulations for performance and safety.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Drop-in Replacement. </w:t>
            </w:r>
            <w:r>
              <w:rPr>
                <w:rFonts w:ascii="Times New Roman;Times;Serif" w:hAnsi="Times New Roman;Times;Serif"/>
                <w:b w:val="false"/>
                <w:i w:val="false"/>
                <w:caps w:val="false"/>
                <w:smallCaps w:val="false"/>
                <w:sz w:val="20"/>
              </w:rPr>
              <w:t>Our battery modules are largely designed to be “drop-in replacements” for 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competitive strengths, technology leadership and market share position to pursue our growth strategy through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Product Offerings. </w:t>
            </w:r>
            <w:r>
              <w:rPr>
                <w:rFonts w:ascii="Times New Roman;Times;Serif" w:hAnsi="Times New Roman;Times;Serif"/>
                <w:b w:val="false"/>
                <w:i w:val="false"/>
                <w:caps w:val="false"/>
                <w:smallCaps w:val="false"/>
                <w:sz w:val="20"/>
              </w:rPr>
              <w:t>In the short-term, our aim is to further diversify our product offerings to give consumers, as well as OEMs and 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End Markets. </w:t>
            </w:r>
            <w:r>
              <w:rPr>
                <w:rFonts w:ascii="Times New Roman;Times;Serif" w:hAnsi="Times New Roman;Times;Serif"/>
                <w:b w:val="false"/>
                <w:i w:val="false"/>
                <w:caps w:val="false"/>
                <w:smallCaps w:val="false"/>
                <w:sz w:val="20"/>
              </w:rPr>
              <w:t>We have identified additional end markets that we believe in the medium- to longer-term will 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Commercialize Solid-State Technology.</w:t>
            </w:r>
            <w:r>
              <w:rPr>
                <w:rFonts w:ascii="Times New Roman;Times;Serif" w:hAnsi="Times New Roman;Times;Serif"/>
                <w:b w:val="false"/>
                <w:i w:val="false"/>
                <w:caps w:val="false"/>
                <w:smallCaps w:val="false"/>
                <w:sz w:val="20"/>
              </w:rPr>
              <w:t xml:space="preserve"> We believe solid-state technology presents a significant 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Chemistry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dominant battery chemistries in the lithium-ion market that can be used for different purposes. Two widely adopted chemistries found in the market today are nickel manganese cobalt (“NMC”), and nickel cobalt aluminum (“NCA”). The higher energy density and shorter cycle life found in NMC and NCA batteries are suitable for markets where fast charging and high energy density are required, such as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1438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1438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Times;Serif" w:hAnsi="Times New Roman;Times;Serif"/>
          <w:b w:val="false"/>
          <w:i/>
          <w:caps w:val="false"/>
          <w:smallCaps w:val="false"/>
          <w:sz w:val="20"/>
        </w:rPr>
        <w:t>Lithium and Cobalt: A tale of two commodities</w:t>
      </w:r>
      <w:r>
        <w:rPr>
          <w:rFonts w:ascii="Times New Roman;Times;Serif" w:hAnsi="Times New Roman;Times;Serif"/>
          <w:b w:val="false"/>
          <w:i w:val="false"/>
          <w:caps w:val="false"/>
          <w:smallCaps w:val="false"/>
          <w:sz w:val="20"/>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compared to NMC and NCA batteries, making LFP batteries less flammable and safer.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drawing>
          <wp:inline distT="0" distB="0" distL="0" distR="0">
            <wp:extent cx="5943600" cy="2752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7527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customers a full suite of accessories and components to facilitate the installation of our products. These include plugs, fuses, cables, adapters, sensors and interfaces pictured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2343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0" cy="2343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specially designed bundled packages of battery modules and accessories tailored to specific applications for both RVs, marine vessels and off-grid residences, ranging in price from $675 to over $19,000, as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2124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2124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draw power under 135 degrees Fahrenheit, and is designed to cut off charging at 24 degrees Fahrenheit to protect cells;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actively monitors the rate of change of currents to detect and prevent short circuiting, and also protects against potential ground faults;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allows for up to an average of 300 amps continuously, 500 amp surges for 30 seconds, and momentary, half second maximum capacity surges;</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recharge even if completely drained;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utilizes larger resistors to ensure balanced loads to improve performance and extend useful life;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facilitates scalability by enabling batteries to be combined in parallel and in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Communication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second half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current battery modules, we have several LFP products in development that will enable us to access additional end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Products.</w:t>
            </w:r>
            <w:r>
              <w:rPr>
                <w:rFonts w:ascii="Times New Roman;Times;Serif" w:hAnsi="Times New Roman;Times;Serif"/>
                <w:b w:val="false"/>
                <w:i w:val="false"/>
                <w:caps w:val="false"/>
                <w:smallCaps w:val="false"/>
                <w:sz w:val="20"/>
              </w:rPr>
              <w:t xml:space="preserve"> Our current offerings feature battery products that serve the RV, marine vessel and off-grid markets. Although manufacturing operations were previously capacity constrained the expansion into our manufacturing facility will allow us to add production capacity and increase product offerings and scale based on demand.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System Integrator. </w:t>
            </w:r>
            <w:r>
              <w:rPr>
                <w:rFonts w:ascii="Times New Roman;Times;Serif" w:hAnsi="Times New Roman;Times;Serif"/>
                <w:b w:val="false"/>
                <w:i w:val="false"/>
                <w:caps w:val="false"/>
                <w:smallCaps w:val="false"/>
                <w:sz w:val="20"/>
              </w:rPr>
              <w:t>A natural evolution of our business is to offer customers a system integration solution providing more efficient power solutions 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38500" cy="2190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38500" cy="2190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24250" cy="2533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24250" cy="2533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 Manufacturing and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in our 99,000 square foot manufacturing facility in Reno, Nevada. The lease for this building was entered into on March 1, 2021 and expires on April 30, 2026. We do not own any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1038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0" cy="1038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which, once built, we intend to utilize for the manufacture of our solid-state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toward the production of our solid-state cells, we have signed a non-binding Memorandum of Understanding with a lithium mining company and a lithium recycling company, both located in Nevada for the supply of lithium.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RV OEM Strategic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“Supply Agreement”). Under the Supply Agreement, we will be the exclusive supplier to Keystone for certain of its future LFP battery requirements, solidifying our long-standing relationship with Keystone.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pStyle w:val="TextBody"/>
        <w:bidi w:val="0"/>
        <w:spacing w:before="0" w:after="0"/>
        <w:ind w:left="0" w:right="0" w:firstLine="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have 173 employees; 171 full-time, 1 part-time and 1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Safety</w:t>
            </w:r>
            <w:r>
              <w:rPr>
                <w:rFonts w:ascii="Times New Roman;Times;Serif" w:hAnsi="Times New Roman;Times;Serif"/>
                <w:b w:val="false"/>
                <w:i w:val="false"/>
                <w:caps w:val="false"/>
                <w:smallCaps w:val="false"/>
                <w:sz w:val="20"/>
              </w:rPr>
              <w:t> — Employees are regularly educated in safety around their workspaces, and employees participate in volunteer roles on a safety committee, and in emergency readiness roles. We have a dedicated safety coordinator who tracks and measures our performance, and helps us benchmark our safety programs against our peers.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Diversity, Equity &amp; Inclusion</w:t>
            </w:r>
            <w:r>
              <w:rPr>
                <w:rFonts w:ascii="Times New Roman;Times;Serif" w:hAnsi="Times New Roman;Times;Serif"/>
                <w:b w:val="false"/>
                <w:i w:val="false"/>
                <w:caps w:val="false"/>
                <w:smallCaps w:val="false"/>
                <w:sz w:val="20"/>
              </w:rPr>
              <w:t> — Our culture has benefitted from the diversity of our workforce from 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Collaboration</w:t>
            </w:r>
            <w:r>
              <w:rPr>
                <w:rFonts w:ascii="Times New Roman;Times;Serif" w:hAnsi="Times New Roman;Times;Serif"/>
                <w:b w:val="false"/>
                <w:i w:val="false"/>
                <w:caps w:val="false"/>
                <w:smallCaps w:val="false"/>
                <w:sz w:val="20"/>
              </w:rPr>
              <w:t> — As we grow, opportunities for cross-functional collaboration are not as organic as they used to be. We have responded to that change by staying mindful and acting intentionally to gather cross-functional input on new initiatives and continuous improvement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Continuous Improvement</w:t>
            </w:r>
            <w:r>
              <w:rPr>
                <w:rFonts w:ascii="Times New Roman;Times;Serif" w:hAnsi="Times New Roman;Times;Serif"/>
                <w:b w:val="false"/>
                <w:i w:val="false"/>
                <w:caps w:val="false"/>
                <w:smallCaps w:val="false"/>
                <w:sz w:val="20"/>
              </w:rPr>
              <w:t> — We apply continuous improvement measures to processes as well as people. We encourage professional development of our employees, through ongoing learning, credentialing, and collaboration with their industry peers.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“Closing Date”), CNTQ and Legacy Dragonfly consummated the merger (the “Closing”) pursuant to the Agreement and Plan of Merger, dated as of May 15, 2022 (as amended, the “Business Combination Agreement”), by and among CNTQ, Bronco Merger Sub, Inc., a Delaware corporation and wholly-owned subsidiary of CNTQ (“Merger Sub”), and Legacy Dragonfly. Pursuant to the Business Combination Agreement, Merger Sub merged with and into Legacy Dragonfly (the “Merger” and, together with the other transactions contemplated by the Business Combination Agreement, the “Business Combination”), with Legacy Dragonfly continuing as the surviving corporation in the Merger and as our wholly owned subsidiary. In connection with the Business Combination, CNTQ changed its name to Dragonfly Energy Holdings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Business Combination, CNTQ was a shell company. CNTQ was incorporated in the state of Delaware on June 23, 2020. CNTQ consummated its initial public offering at a price of $10 per unit on August 13, 2021 (the “CNTQ IPO”).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by virtue of the Merger and without any action on the part of CNTQ, Merger Sub, Legacy Dragonfly or the holders of any of the following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outstanding share of Legacy Dragonfly’s common stock, par value $0.001 per share (“Legacy Dragonfly Common Stock”), converted into (i) a certain number of shares of our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our common stock in three tranches.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dated as of May 15, 2022 (the “Subscription Agreement”), by and between CNTQ and the Sponsor, the Sponsor agreed to purchase, and CNTQ agreed to sell to the Sponsor, an aggregate of 500,000 shares of CNTQ Common Stock for gross proceeds to CNTQ of $5 million in a private placement (the “PIPE Investment”). On September 28, 2022, the Sponsor and CCM, entered into an assignment, assumption and joinder agreement, pursuant to which the Sponsor assigned all of the Sponsor’s rights, benefits and obligations under the Subscription Agreement to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“Offset”). During the week of September 26, 2022 CCM acquired in the open market in total 485,000 shares of our common stock at purchase prices per share ranging from $10.33 to $10.38 (such shares, the “Purchased Shares”).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commitment letter (the “Debt Commitment Letter”) dated May 15, 2022 by and between CNTQ and Legacy Dragonfly, CCM Investments 5 LLC, an affiliate of CCM (“CCM 5”, and in connection with the Term Loan, the “CNTQ Lender”), and EICF Agent LLC (“EIP” and, collectively with the CNTQ Lender, the “Initial Term Loan Lenders”), in connection with the Closing, CNTQ, Legacy Dragonfly and the Initial Term Loan Lenders entered into the Term Loan, Guarantee and Security Agreement (the “Term Loan Agreement”) setting forth the terms of a senior secured term loan facility in an aggregate principal amount of $75 million (the “Term Loan”). The CNTQ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CNTQ Lender the aggregate amount of the Term Loan held by the CNTQ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Alter Domus (US) LLC, as administrative agent for the lenders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“Pledge Agreement”) pursuant to which we pledged to the Administrative Agent our equity interests in Legacy Dragonfly as further collateral security for the obligations under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“Penny Warrants”), and (ii) warrants to the Term Loan Lenders under the Term Loan exercisable to purchase 1,600,000 shares of our common stock at an exercise price of $10.00 per share (the “$10 Warrants” and, together with the Penny Warrants,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 exercise period of 10 years from the date of issuance. As of May 24, 2023, 1,750,000 shares of common stock have been issued upon the exercise of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Warrants had an exercise period of five years from the date of issuance and had customary cashless exercise provisions. As of December 31, 2022, the $10 Warrants have been exercised in full and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Purchase Agreement and a Registration Rights Agreement (the “ChEF RRA”) with CCM in connection with the Closing. Pursuant to and on the terms of the Purchase Agreement, we have the right to sell and direct CCM to purchase an amount of shares of our common stock, over the term of the ChEF Equity Facility. In addition, we appointed LifeSci Capital, LLC as a “qualified independent underwriter” with respect to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CCM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May 24, 2023, 98,500 shares have been issued pursuant to the Purchase Agreement with CCM for aggregate net proceeds to us of $670,593.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is an affiliate of the Sponsor. In light of the beneficial ownership limitation set forth above, the Sponsor has agreed that the private placement warrants held by Chardan NexTech 2 Warrant Holdings, also an affiliate of the Sponsor, may not be exercised to the extent an affiliate of the Sponsor (including CCM) is deemed to beneficially own, or it would cause such affiliate to be deemed to beneficially own, more than 7.5%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ChEF RRA, we have agreed to provide CCM with certain registration rights with respect to the shares of common stock issued subject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CNTQ, Legacy Dragonfly and the Sponsor entered into a sponsor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Business Combination Agreement, we entered into the Amended and Restated Registration Rights Agreement (the “Insider Registration Rights Agreement”) with the Sponsor, CNTQ’s officers, directors, initial stockholders, CCM and Warrant Holdings, an affiliate of the Sponsor (collectively, the “Insiders”) and certain Legacy Dragonfly stockholders for the registration of certain securities held by the Insiders.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we entered into an asset purchase agreement (the “Bourns APA”) with Bourns Productions, Inc., a Nevada corporation (“Bourns Production”), pursuant to which we acquired machinery, equipment and a lease for a podcast studio from Bourns Production as set forth in the Bourns APA for a purchase price of approximately $197,000, which was the approximated fair market value. Tyler Bourns, who has served as our Chief Marketing Officer since November 2022, is the owner and president of Bourns Productions.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2022, we entered into an asset purchase agreement (the “TJC APA”) with Thomason Jones Company, LLC, a Washington limited liability company (“TJC”), pursuant to which we acquired intellectual property rights and inventory for a purchase price of approximately $444,000 which was the approximated fair market value. William Thomason and Richard Jones, our engineer and sales representatives, each of whom were hired in connection with the entry into the TJC APA, are the managing members of TJC.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former Chief Operating Officer, would be leaving the Company to pursue other interests. His last day of employment was November 7, 2022 (the “Separation Date”). On October 25, 2022, we entered into a separation and release agreement with Mr. Nichols that became effective and fully irrevocable on November 2, 2022, which was subsequently amended on November 14, 2022 (as amended, the “Separation Agreement”).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the First Amended and Restated Employment Agreement (the “Restated Agreement”) with John Marchetti, our Chief Financial Officer. The Restated Agreement amended and restated the employment agreement, dated October 11, 2022, by and between us and Mr. Marchetti (the “Original Agreement”). The Restated Agreement provides that Mr. Marchetti will receive a minimum annual bonus of $175,000 for the fiscal year ending December 31, 2023. All other terms of the Restated Agreement remain the same as the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an unsecured convertible promissory note (the “Note”) in the principal amount of $1.0 million (the “Principal Amount”) to Brian Nelson, one of our directors, in a private placement in exchange for cash in an equal amount. The Note became due and payable in full on April 1, 2023. We were also obligated to pay $100,000 (the “Loan Fee”) to Mr. Nelson on April 4, 2023. We paid the Principal Amount and the Loan Fee in full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“Effective Date”), we changed our state of incorporation from the State of Delaware to the State of Nevada (the “Reincorporation”) pursuant to a plan of conversion dated March 30, 2023 (the “Plan of Conversion”). The Reincorporation was accomplished by filing: (i) a certificate of conversion with the Secretary of State of the State of Delaware; (ii) articles of conversion with the Secretary of State of the State of Nevada; and (iii) articles of incorporation (the “Articles of Incorporation”) with the Secretary of State of the State of Nevada. In connection with the Reincorporation, our board of directors adopted new bylaws in the form attached to the Plan of Conversion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Reincorporation was previously submitted to a vote of, and approved by, the Company’s stockholders at a special meeting of stockholders held on February 28, 2023 (the “Special Meeting”).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and her employment agreement was deemed terminated as of that date by us without cause for purposes of determining severance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24, 2023, 98,500 shares have been issued under the ChEF Equity Facility for aggregate net proceeds to us of $670,593.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principal executive office is 1190 Trademark Dr. #108, Reno, Nevada 89521, and our telephone number is (775) 622-3448. On March 31, 2023, we effected the Reincorporation from the State of Delaware into the State of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9"/>
      <w:bookmarkEnd w:id="26"/>
      <w:r>
        <w:rPr>
          <w:rFonts w:ascii="Times New Roman;Times;Serif" w:hAnsi="Times New Roman;Times;Serif"/>
          <w:b/>
          <w:i w:val="false"/>
          <w:caps w:val="false"/>
          <w:smallCaps w:val="false"/>
          <w:sz w:val="20"/>
        </w:rPr>
        <w:t>DIRECTORS, EXECUTIVE OFFICERS 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executive officers and directors as of the date of this prospectus.</w:t>
      </w:r>
    </w:p>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2150"/>
        <w:gridCol w:w="60"/>
        <w:gridCol w:w="350"/>
        <w:gridCol w:w="60"/>
        <w:gridCol w:w="4955"/>
      </w:tblGrid>
      <w:tr>
        <w:trPr/>
        <w:tc>
          <w:tcPr>
            <w:tcW w:w="21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and Chairman of the Board</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of directors since October 2022.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John Marchetti</w:t>
      </w:r>
      <w:r>
        <w:rPr>
          <w:rFonts w:ascii="Times New Roman;Times;Serif" w:hAnsi="Times New Roman;Times;Serif"/>
          <w:b w:val="false"/>
          <w:i w:val="false"/>
          <w:caps w:val="false"/>
          <w:smallCaps w:val="false"/>
          <w:sz w:val="20"/>
        </w:rPr>
        <w:t xml:space="preserve"> has served as our Chief Financial Officer since October 2022. Mr. Marchetti has also served as the Chief Financial Officer of Legacy Dragonfly since September 2021. Mr. Marchetti has over 20 years of experience in the technology and financial services industries. Previously, Mr. Marchetti served as a Managing Director and senior research analyst at Stifel Financial Corp. from April 2018 until September 2021, where he was focused on communications infrastructure and applied technology markets, including advanced battery technologies. From 2016 to May 2018, Mr. Marchetti served as Senior Vice President for Strategy and Business Development of Cloudbus, a technology research and development company, and, from 2012 to 2015, he served as Chief Strategy Officer and Executive Vice President at Fabrinet, a publicly-traded manufacturing services company.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Tyler Bourns </w:t>
      </w:r>
      <w:r>
        <w:rPr>
          <w:rFonts w:ascii="Times New Roman;Times;Serif" w:hAnsi="Times New Roman;Times;Serif"/>
          <w:b w:val="false"/>
          <w:i w:val="false"/>
          <w:caps w:val="false"/>
          <w:smallCaps w:val="false"/>
          <w:sz w:val="20"/>
        </w:rPr>
        <w:t>has served as our Chief Marketing Officer since November 2022. Prior to the Business Combination, Mr. Bourns served as the 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Luisa Ingargiola</w:t>
      </w:r>
      <w:r>
        <w:rPr>
          <w:rFonts w:ascii="Times New Roman;Times;Serif" w:hAnsi="Times New Roman;Times;Serif"/>
          <w:b w:val="false"/>
          <w:i w:val="false"/>
          <w:caps w:val="false"/>
          <w:smallCaps w:val="false"/>
          <w:sz w:val="20"/>
        </w:rPr>
        <w:t xml:space="preserve"> 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Brian Nelson</w:t>
      </w:r>
      <w:r>
        <w:rPr>
          <w:rFonts w:ascii="Times New Roman;Times;Serif" w:hAnsi="Times New Roman;Times;Serif"/>
          <w:b w:val="false"/>
          <w:i w:val="false"/>
          <w:caps w:val="false"/>
          <w:smallCaps w:val="false"/>
          <w:sz w:val="20"/>
        </w:rPr>
        <w:t xml:space="preserve"> has served as a member of our board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Perry Boyle </w:t>
      </w:r>
      <w:r>
        <w:rPr>
          <w:rFonts w:ascii="Times New Roman;Times;Serif" w:hAnsi="Times New Roman;Times;Serif"/>
          <w:b w:val="false"/>
          <w:i w:val="false"/>
          <w:caps w:val="false"/>
          <w:smallCaps w:val="false"/>
          <w:sz w:val="20"/>
        </w:rPr>
        <w:t>has served as a member of our board since October 2022. Prior to the Business Combination, he served on the 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Jonathan Bellows</w:t>
      </w:r>
      <w:r>
        <w:rPr>
          <w:rFonts w:ascii="Times New Roman;Times;Serif" w:hAnsi="Times New Roman;Times;Serif"/>
          <w:b w:val="false"/>
          <w:i w:val="false"/>
          <w:caps w:val="false"/>
          <w:smallCaps w:val="false"/>
          <w:sz w:val="20"/>
        </w:rPr>
        <w:t xml:space="preserve"> has served as a member of our board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Rick Parod</w:t>
      </w:r>
      <w:r>
        <w:rPr>
          <w:rFonts w:ascii="Times New Roman;Times;Serif" w:hAnsi="Times New Roman;Times;Serif"/>
          <w:b w:val="false"/>
          <w:i w:val="false"/>
          <w:caps w:val="false"/>
          <w:smallCaps w:val="false"/>
          <w:sz w:val="20"/>
        </w:rPr>
        <w:t xml:space="preserve"> has served as a member of our board since October 2022.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Karina Montilla Edmonds, Ph.D</w:t>
      </w:r>
      <w:r>
        <w:rPr>
          <w:rFonts w:ascii="Times New Roman;Times;Serif" w:hAnsi="Times New Roman;Times;Serif"/>
          <w:b w:val="false"/>
          <w:i w:val="false"/>
          <w:caps w:val="false"/>
          <w:smallCaps w:val="false"/>
          <w:sz w:val="20"/>
        </w:rPr>
        <w:t>. has served as a member of our board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by or under the direction of our board. Our Articles of Incorporation provide for a staggered, or classified, board of directors consisting of three classes of directors, each serving a staggered three-year term and with one class being elected at each year’s annual meeting of stockholders,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Rick Parod and Karina Edmonds, whose terms will expire at the 2023 annual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and Jonathan Bellows, whose terms will expire at the 2024 annual meeting of stockholders;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Luisa Ingargiola and Perry Boyle, whose terms will expire at the 2025 annual meeting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our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our control or management. Our directors may be removed for cause by the affirmative vote of the holders of at least two-thirds of our voting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 serves as the Chairman of our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our independent Lead Director. We believe that this structure provides an environment in which the independent directors are fully informed, have significant input into the content of board meetings, and are able to provide objective and thoughtful oversight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Rick Parod, Perry Boyle, Jonathan Bellows, Karina Montilla Edmonds, Brian Nelson and Luisa Ingargiola qualify as independent directors, as defined under the rules of the Nasdaq, and our board consists of a majority of “independent directors,” as defined under the rules of the SEC and the Nasdaq relating to director independence requirements. In addition, we are subject to the rules of the SEC and the Nasdaq relating to the membership, qualifications, and operations of the audit committee, as discussed below. Luisa Ingargiola is our lead independent director under the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Oversight/Risk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also monitors compliance with legal and regulatory requirements. Our compensation committee also assess and monitors whether our compensation plans, policies and programs comply with applicable legal and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 — an audit committee, a compensation committee, and a nominating and corporate governance committee. Copies of the charters for each committee are available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Luisa Ingargiola, Rick Parod and Perry Boyle. Our board has determined that each of the members of the audit committee satisfy the independence requirements of Nasdaq and Rule 10A-3 under the Exchange Act and are able to read and understand fundamental financial statements in accordance with Nasdaq’s audit committee requirements. In arriving at this determination, our board examined each audit committee member’s scope of experience and the nature of their prior and/or current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Our board has determined that Luisa Ingargiola qualifies as an audit committee financial expert within the meaning of SEC regulations and meets the financial sophistication requirements of the Nasdaq rules. In making this determination, our board considered Luisa Ingargiola’s formal education and previous experience in financial roles. Both our independent registered public accounting firm and management periodically meet privately with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audit committee complies with all applicable requirements of the Sarbanes-Oxley Act and all applicable SEC rules and regulations.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Luisa Ingargiola, Brian Nelson and Rick Parod. Brian Nelson serves as the chair of the compensation committee. Our board determined that each of the members of the compensation committee are a non-employee director, as defined in Rule 16b-3 promulgated under the Exchange Act and satisfies the independence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our compensation committee complies with all applicable requirements of the Sarbanes-Oxley Act and all applicable SEC and the Nasdaq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Brian Nelson, Jonathan Bellows and Karina Edmonds. Karina Edmonds serves as the chair of the nominating and corporate governance committee. Our board determined that each of the members of the nominating and corporate governance committee satisfies the independence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nominating and corporate governance committee comply with all applicable requirements of the Sarbanes-Oxley Act and all applicable SEC and Nasdaq’s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 and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adopted a code of conduct (“Code of Conduct”) and a code of ethics (“Code of Ethics”) that applies to all of our directors, officers and employees. The full text of the Code of Conduct and Code of Ethics is posted on the investor relations page on our website at </w:t>
      </w:r>
      <w:r>
        <w:rPr>
          <w:rFonts w:ascii="Times New Roman;Times;Serif" w:hAnsi="Times New Roman;Times;Serif"/>
          <w:b w:val="false"/>
          <w:i/>
          <w:caps w:val="false"/>
          <w:smallCaps w:val="false"/>
          <w:sz w:val="20"/>
        </w:rPr>
        <w:t>https://dragonflyenergy.com/investors/</w:t>
      </w:r>
      <w:r>
        <w:rPr>
          <w:rFonts w:ascii="Times New Roman;Times;Serif" w:hAnsi="Times New Roman;Times;Serif"/>
          <w:b w:val="false"/>
          <w:i w:val="false"/>
          <w:caps w:val="false"/>
          <w:smallCaps w:val="false"/>
          <w:sz w:val="20"/>
        </w:rPr>
        <w:t>. We will disclose any amendments to our Code of Conduct and Code of Ethics, or waivers of its requirements on our website identified above, or in filings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our Articles of Incorporation and the Bylaws and these indemnification agreements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10"/>
      <w:bookmarkEnd w:id="27"/>
      <w:r>
        <w:rPr>
          <w:rFonts w:ascii="Times New Roman;Times;Serif" w:hAnsi="Times New Roman;Times;Serif"/>
          <w:b/>
          <w:i w:val="false"/>
          <w:caps w:val="false"/>
          <w:smallCaps w:val="false"/>
          <w:sz w:val="20"/>
        </w:rPr>
        <w:t>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compensation earned by, or awarded to, our NEOs for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 Fiscal 2022</w:t>
      </w:r>
    </w:p>
    <w:p>
      <w:pPr>
        <w:pStyle w:val="TextBody"/>
        <w:bidi w:val="0"/>
        <w:spacing w:before="0" w:after="0"/>
        <w:ind w:left="0" w:right="0" w:hanging="0"/>
        <w:jc w:val="both"/>
        <w:rPr>
          <w:caps w:val="false"/>
          <w:smallCaps w:val="false"/>
        </w:rPr>
      </w:pPr>
      <w:r>
        <w:rPr>
          <w:caps w:val="false"/>
          <w:smallCaps w:val="false"/>
        </w:rPr>
        <w:t> </w:t>
      </w:r>
    </w:p>
    <w:tbl>
      <w:tblPr>
        <w:tblW w:w="10265" w:type="dxa"/>
        <w:jc w:val="left"/>
        <w:tblInd w:w="0" w:type="dxa"/>
        <w:tblLayout w:type="fixed"/>
        <w:tblCellMar>
          <w:top w:w="0" w:type="dxa"/>
          <w:left w:w="0" w:type="dxa"/>
          <w:bottom w:w="0" w:type="dxa"/>
          <w:right w:w="0" w:type="dxa"/>
        </w:tblCellMar>
      </w:tblPr>
      <w:tblGrid>
        <w:gridCol w:w="890"/>
        <w:gridCol w:w="60"/>
        <w:gridCol w:w="60"/>
        <w:gridCol w:w="440"/>
        <w:gridCol w:w="60"/>
        <w:gridCol w:w="60"/>
        <w:gridCol w:w="60"/>
        <w:gridCol w:w="695"/>
        <w:gridCol w:w="60"/>
        <w:gridCol w:w="60"/>
        <w:gridCol w:w="60"/>
        <w:gridCol w:w="695"/>
        <w:gridCol w:w="60"/>
        <w:gridCol w:w="60"/>
        <w:gridCol w:w="60"/>
        <w:gridCol w:w="845"/>
        <w:gridCol w:w="60"/>
        <w:gridCol w:w="60"/>
        <w:gridCol w:w="60"/>
        <w:gridCol w:w="695"/>
        <w:gridCol w:w="60"/>
        <w:gridCol w:w="60"/>
        <w:gridCol w:w="98"/>
        <w:gridCol w:w="1137"/>
        <w:gridCol w:w="60"/>
        <w:gridCol w:w="60"/>
        <w:gridCol w:w="230"/>
        <w:gridCol w:w="1005"/>
        <w:gridCol w:w="60"/>
        <w:gridCol w:w="60"/>
        <w:gridCol w:w="98"/>
        <w:gridCol w:w="1137"/>
        <w:gridCol w:w="60"/>
        <w:gridCol w:w="60"/>
        <w:gridCol w:w="60"/>
        <w:gridCol w:w="845"/>
        <w:gridCol w:w="75"/>
      </w:tblGrid>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w:t>
            </w:r>
            <w:r>
              <w:rPr>
                <w:rFonts w:ascii="Times New Roman;Times;Serif" w:hAnsi="Times New Roman;Times;Serif"/>
                <w:b w:val="false"/>
                <w:i w:val="false"/>
                <w:caps w:val="false"/>
                <w:smallCaps w:val="false"/>
                <w:sz w:val="20"/>
              </w:rPr>
              <w:t xml:space="preserve"> and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1,531,545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3,019,752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579,593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362,137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963,964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Nichols(5)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598,462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655,587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1,411,742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Operating Officer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362,137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961,974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316,153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769,366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645,998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1,742,574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283,249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Nicole Harvey(7)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242,461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883,461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Legal Officer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341,621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432,967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years ended December 31, 2022 and December 31,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restricted stock awards granted to the NEOs for performance during the fiscal year ended December 31, 2022 under the 2022 Plan (as defined herein)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these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these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reflects our matching contribution to the executive’s account under our 401(k)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Mr. Nichols would be stepping down as our Chief Operating Officer on November 7, 2022.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Marchetti commenced employment as Legacy Dragonfly’s Chief Financial Officer on September 6,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Harvey’s employment with us ended on April 26, 2023.</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2022, including the vesting dates for the portions of these awards that had not vested as of that date. The NEOs did not hold any other outstanding equity awards as of that date.</w:t>
      </w:r>
    </w:p>
    <w:p>
      <w:pPr>
        <w:pStyle w:val="TextBody"/>
        <w:bidi w:val="0"/>
        <w:spacing w:before="0" w:after="0"/>
        <w:ind w:left="0" w:right="0" w:hanging="0"/>
        <w:jc w:val="both"/>
        <w:rPr>
          <w:caps w:val="false"/>
          <w:smallCaps w:val="false"/>
        </w:rPr>
      </w:pPr>
      <w:r>
        <w:rPr>
          <w:caps w:val="false"/>
          <w:smallCaps w:val="false"/>
        </w:rPr>
        <w:t> </w:t>
      </w:r>
    </w:p>
    <w:tbl>
      <w:tblPr>
        <w:tblW w:w="7389" w:type="dxa"/>
        <w:jc w:val="left"/>
        <w:tblInd w:w="0" w:type="dxa"/>
        <w:tblLayout w:type="fixed"/>
        <w:tblCellMar>
          <w:top w:w="0" w:type="dxa"/>
          <w:left w:w="0" w:type="dxa"/>
          <w:bottom w:w="0" w:type="dxa"/>
          <w:right w:w="0" w:type="dxa"/>
        </w:tblCellMar>
      </w:tblPr>
      <w:tblGrid>
        <w:gridCol w:w="1355"/>
        <w:gridCol w:w="60"/>
        <w:gridCol w:w="90"/>
        <w:gridCol w:w="965"/>
        <w:gridCol w:w="245"/>
        <w:gridCol w:w="60"/>
        <w:gridCol w:w="104"/>
        <w:gridCol w:w="1116"/>
        <w:gridCol w:w="245"/>
        <w:gridCol w:w="60"/>
        <w:gridCol w:w="204"/>
        <w:gridCol w:w="895"/>
        <w:gridCol w:w="60"/>
        <w:gridCol w:w="60"/>
        <w:gridCol w:w="102"/>
        <w:gridCol w:w="653"/>
        <w:gridCol w:w="60"/>
        <w:gridCol w:w="60"/>
        <w:gridCol w:w="995"/>
      </w:tblGrid>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9" w:type="dxa"/>
            <w:gridSpan w:val="1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Awards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Unearned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tc>
      </w:tr>
      <w:tr>
        <w:trPr/>
        <w:tc>
          <w:tcPr>
            <w:tcW w:w="13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118,208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59,108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12/5/2029</w:t>
            </w:r>
          </w:p>
        </w:tc>
      </w:tr>
      <w:tr>
        <w:trPr/>
        <w:tc>
          <w:tcPr>
            <w:tcW w:w="13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Nichols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177,316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11/7/2023</w:t>
            </w:r>
          </w:p>
        </w:tc>
      </w:tr>
      <w:tr>
        <w:trPr/>
        <w:tc>
          <w:tcPr>
            <w:tcW w:w="13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93,587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142,831</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9/13/2031</w:t>
            </w:r>
          </w:p>
        </w:tc>
      </w:tr>
      <w:tr>
        <w:trPr/>
        <w:tc>
          <w:tcPr>
            <w:tcW w:w="13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Nicole Harvey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51,497</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57,257</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10/22/2031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in 20 monthly installments from January 12, 2022 and August 12,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as to 25% of the option on September 10, 2022 and as to 75% of the option in 36 monthly installments from October 10, 2022 through September 10, 2025.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Equity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204,266 restricted stock units (“RSUs”), Mr. Marchetti was granted 86,133 RSUs, and Ms. Harvey was granted 74,800 RSUs. Each grant vested in full on the date of grant.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our employees, consultants and directors held outstanding stock options for the purchase of up to 3,100,524 shares of our common stock. Those options were granted under the Dragonfly Energy Corp. 2019 Stock Incentive Plan (the “2019 Plan”) and the Dragonfly Energy Corp. 2021 Stock Incentive Plan (the “2021 Plan”).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2019 Plan and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amend or terminate the 2019 Plan and the 2021 Plan at any time. The plans require that certain amendments specified in the plan be submitted to stockholders for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2022 Equity Incentive Plan (the “2022 Plan”) for purposes of granting equity-based awards to attract, motivate, retain and reward selected employees and other eligible persons. Our board of directors administers the 2022 Plan. The plan administrator has broad authority to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participants and determine the types of awards that they are to receive;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number of shares that are to be subject to awards and the terms and conditions of awards, including the price (if any) to be paid for the shares or the award and establish the vesting conditions (if applicable) of such shares or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modify or waive our rights with respect to, or modify, discontinue, suspend or terminate any or all outstanding awards, subject to any required consents;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construe and interpret the terms of the 2022 Plan and any agreements relating to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or extend the vesting or exercisability or extend the term of any or all outstanding awards subject to any required consent;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of the 2022 Plan, make certain adjustments to an outstanding award and authorize the termination, conversion, substitution or succession of an award;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May 24, 2023, 787,434 awards have been granted under the 2022 Plan, and 4,179,110 shares authorized under the 2022 Plan are available for award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will terminate on May 13, 2032. However, the plan administrator will retain its authority until all outstanding awards are exercised or terminated.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Employee Stock Purchase Plan (the “ESPP”)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Reserve</w:t>
      </w:r>
      <w:r>
        <w:rPr>
          <w:rFonts w:ascii="Times New Roman;Times;Serif" w:hAnsi="Times New Roman;Times;Serif"/>
          <w:b w:val="false"/>
          <w:i w:val="false"/>
          <w:caps w:val="false"/>
          <w:smallCaps w:val="false"/>
          <w:sz w:val="20"/>
        </w:rPr>
        <w:t>. A total of 2,464,400 shares of our common stock have been initially authorized for issuance under the ESPP. The share 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Offering Periods</w:t>
      </w:r>
      <w:r>
        <w:rPr>
          <w:rFonts w:ascii="Times New Roman;Times;Serif" w:hAnsi="Times New Roman;Times;Serif"/>
          <w:b w:val="false"/>
          <w:i w:val="false"/>
          <w:caps w:val="false"/>
          <w:smallCaps w:val="false"/>
          <w:sz w:val="20"/>
        </w:rPr>
        <w:t>. We currently expect the ESPP will have a series of successive six-month offering periods. However, the ESPP 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Eligible Employees</w:t>
      </w:r>
      <w:r>
        <w:rPr>
          <w:rFonts w:ascii="Times New Roman;Times;Serif" w:hAnsi="Times New Roman;Times;Serif"/>
          <w:b w:val="false"/>
          <w:i w:val="false"/>
          <w:caps w:val="false"/>
          <w:smallCaps w:val="false"/>
          <w:sz w:val="20"/>
        </w:rPr>
        <w:t>. Individuals scheduled to work more than 20 hours per week for more than five calendar months per year may join an offering period on the start date of that period. Employees may participate in only one offering period at a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Payroll deductions</w:t>
      </w:r>
      <w:r>
        <w:rPr>
          <w:rFonts w:ascii="Times New Roman;Times;Serif" w:hAnsi="Times New Roman;Times;Serif"/>
          <w:b w:val="false"/>
          <w:i w:val="false"/>
          <w:caps w:val="false"/>
          <w:smallCaps w:val="false"/>
          <w:sz w:val="20"/>
        </w:rPr>
        <w:t>. A participant may contribute up to 15% of his or her cash earnings through payroll deductions, and the 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plan provisions</w:t>
      </w:r>
      <w:r>
        <w:rPr>
          <w:rFonts w:ascii="Times New Roman;Times;Serif" w:hAnsi="Times New Roman;Times;Serif"/>
          <w:b w:val="false"/>
          <w:i w:val="false"/>
          <w:caps w:val="false"/>
          <w:smallCaps w:val="false"/>
          <w:sz w:val="20"/>
        </w:rPr>
        <w:t>. No new offering periods will commence on or after May 13, 2032. The board of directors may at any time amend, suspend or discontinue the ESPP. However, certain amendments may require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us through the date the bonus is paid (or if the executive’s employment terminates due to his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his or her providing a release of claims to us and his or her continued compliance with the restrictive covenants in favor of us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Chief Operating Officer, would be stepping down to pursue other interests. His last day of employment was November 7, 2022. We have entered into a separation and release agreement (the “Separation Agreement”)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an employment agreement, dated as of October 11, 2022 with Ms. Harvey. The agreement provided for a three-year initial employment term, with automatic three-year renewal terms thereafter, subject to 90 days’ notice of non-renewal by either party. The agreement also provided for Ms. Harvey to receive an annual base salary of $334,000. The agreement also included non-competition and non-solicitation covenants that apply for 12 months following Ms. Harvey’s termination of employment, and certain confidentiality and other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and her employment agreement was deemed terminated as of that date by us without cause for purposes of determining severance thereunder. As a result, Ms. Harvey is entitled to receive (i) cash severance equal to 1.5 times her annual base salary, payable in installments over two years following the termination date, (ii) reimbursement of monthly COBRA premiums for the executive and her dependents for up to 12 months, and (iii) vesting in full of any time-based equity awards granted by us to Ms. Harvey. If, during the period commencing three months before a change in control of the Company and ending 12 months after a change in control, the executive’s employment is terminated by us without cause (or as a result of us not renewing the term of the agreement), Ms. Harvey would be entitled to receive the severance benefits described in the preceding sentence. In addition, Ms. Harvey’s outstanding stock options granted by us would fully vest and be exercisable for the remainder of the term of the option. In the event any of Ms. Harvey’s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 Ms. Harvey’s right to receive the severance benefits described above was subject to her providing a release of claims to us and remains subject to her continued compliance with the restrictive covenants in favor of us in the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Contribution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adopted a policy that provides for cash and equity compensation for members of our board of directors who are not employed by us or any of our subsidiaries (our “Non-Employee Directors”). The policy provides that each Non-Employee Director is entitled to receive the following cash compensation for board service, as applicable:</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pStyle w:val="TextBody"/>
        <w:bidi w:val="0"/>
        <w:spacing w:before="0" w:after="0"/>
        <w:ind w:left="0" w:right="0" w:hanging="0"/>
        <w:jc w:val="left"/>
        <w:rPr>
          <w:caps w:val="false"/>
          <w:smallCaps w:val="false"/>
        </w:rPr>
      </w:pPr>
      <w:r>
        <w:rPr>
          <w:caps w:val="false"/>
          <w:smallCaps w:val="false"/>
        </w:rPr>
        <w:t> </w:t>
      </w:r>
    </w:p>
    <w:tbl>
      <w:tblPr>
        <w:tblW w:w="9121" w:type="dxa"/>
        <w:jc w:val="left"/>
        <w:tblInd w:w="0" w:type="dxa"/>
        <w:tblLayout w:type="fixed"/>
        <w:tblCellMar>
          <w:top w:w="0" w:type="dxa"/>
          <w:left w:w="0" w:type="dxa"/>
          <w:bottom w:w="28" w:type="dxa"/>
          <w:right w:w="0" w:type="dxa"/>
        </w:tblCellMar>
      </w:tblPr>
      <w:tblGrid>
        <w:gridCol w:w="2675"/>
        <w:gridCol w:w="60"/>
        <w:gridCol w:w="98"/>
        <w:gridCol w:w="971"/>
        <w:gridCol w:w="60"/>
        <w:gridCol w:w="60"/>
        <w:gridCol w:w="92"/>
        <w:gridCol w:w="1067"/>
        <w:gridCol w:w="60"/>
        <w:gridCol w:w="60"/>
        <w:gridCol w:w="92"/>
        <w:gridCol w:w="1067"/>
        <w:gridCol w:w="245"/>
        <w:gridCol w:w="60"/>
        <w:gridCol w:w="281"/>
        <w:gridCol w:w="1223"/>
        <w:gridCol w:w="60"/>
        <w:gridCol w:w="60"/>
        <w:gridCol w:w="60"/>
        <w:gridCol w:w="695"/>
        <w:gridCol w:w="75"/>
      </w:tblGrid>
      <w:tr>
        <w:trPr/>
        <w:tc>
          <w:tcPr>
            <w:tcW w:w="267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br/>
              <w:t>or Paid in</w:t>
              <w:br/>
              <w:t>Cash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Awards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Awards ($)(1)</w:t>
            </w:r>
          </w:p>
        </w:tc>
        <w:tc>
          <w:tcPr>
            <w:tcW w:w="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433,741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433,741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436,078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443,089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245,401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682,648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433,741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this amount. As of December 31, 2022, each Non-Employee Director held 30,000 unvested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underlying stock options and unvested RSUs outstanding as of December 31, 2022 held by Ms. Ingargiola was 127,521.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 awards to purchase 70,925 shares of our common stock were granted to Mr. Nelson on May 9, 2022 and vest in 36 equal monthly installments beginning on May 15, 2022.</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11"/>
      <w:bookmarkEnd w:id="28"/>
      <w:r>
        <w:rPr>
          <w:rFonts w:ascii="Times New Roman;Times;Serif" w:hAnsi="Times New Roman;Times;Serif"/>
          <w:b/>
          <w:i w:val="false"/>
          <w:caps w:val="false"/>
          <w:smallCaps w:val="false"/>
          <w:sz w:val="20"/>
        </w:rPr>
        <w:t>CERTAIN RELATIONSHIPS AND RELATED TRANSACTIONS, AND DIRECTOR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we describe below each transaction or series of similar transactions, since January 1, 2021, to which we were a party or will be a party, in which: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for our named executive officers and directors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Arrangement with John Marchetti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Agreement with Sean Nichols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 million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 with Brian Nelson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our Articles of Incorporation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Articles of Incorporation and our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provisions of certain additional agreements entered into pursuant to the Business Combination Agreement but does not purport to describe all of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CNTQ, the Sponsor and certain other CNTQ shareholders parties thereto (collectively, the “Insiders”), Legacy Dragonfly, and certain Legacy Dragonfly stockholders entered into an Amended and Restated Registration Rights Agreement (the “Amended Registration Rights Agreement”).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“Purchased Shares”).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Debt Commitment Letter, in connection with the Closing, CNTQ, Legacy Dragonfly and the Initial Term Loan Lenders entered into the Term Loan Agreement setting forth the terms of the Term Loan in an aggregate principal amount of $75 million. The CNTQ Lender backstopped its commitment under the Debt Commitment Letter by entering into the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from time to time as guarantors. In addition, we entered into the Pledge Agreement pursuant to which we pledged to the Administrative Agent our equity interests in Legacy Dragonfly as further collateral security for the obligations under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the Penny Warrants and (ii) the $10 Warrants.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equity facility letter agreement between Legacy Dragonfly and CCM 5, we and CCM entered into the Purchase Agreement and the ChEF RRA in connection with the Closing. In addition, we appointed LifeSci Capital, LLC as “qualified independent underwriter” with respect to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May 24, 2023, we have sold 98,500 shares under the ChEF Equity Facility for aggregate net proceeds to us of $670,593.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by our audit committee.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12"/>
      <w:bookmarkEnd w:id="29"/>
      <w:r>
        <w:rPr>
          <w:rFonts w:ascii="Times New Roman;Times;Serif" w:hAnsi="Times New Roman;Times;Serif"/>
          <w:b/>
          <w:i w:val="false"/>
          <w:caps w:val="false"/>
          <w:smallCaps w:val="false"/>
          <w:sz w:val="20"/>
        </w:rPr>
        <w:t>SECURITY OWNERSHIP OF CERTAIN BENEFICIAL OWNERS AND MANAGEMENT AND RELATED STOCKHOLDER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May 24, 2023, with respect to the beneficial ownership of common stock by the following: (i) each of our current directors; (ii) each of our named executive officers; (iii) all of our current executive officers and directors as a group; and (iv) each other person known by us to own beneficially more than five percent (5%) of the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May 24, 2023 (“Presently Exercisable Securities”),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common stock is based on 45,885,513 shares of common stock issued and outstanding as of May 24, 2023. The percentage of beneficial ownership after this offering assumes the sale and issuance of shares of common stock in this offering (based upon the assumed sale of            shares of common stock in this offering at an assumed initial public offering price of $           per share, the last reported sale price of our common stock on the Nasdaq Global Market on          , 2023) and assuming no exercise by the underwriters of their option to purchase additional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below, the address for persons listed in the table is c/o Dragonfly Energy Holdings Corp., 1190 Trademark Drive #108, Reno, Nevada 89521.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3"/>
        <w:gridCol w:w="60"/>
        <w:gridCol w:w="143"/>
        <w:gridCol w:w="2649"/>
        <w:gridCol w:w="60"/>
        <w:gridCol w:w="60"/>
        <w:gridCol w:w="228"/>
        <w:gridCol w:w="1524"/>
        <w:gridCol w:w="577"/>
        <w:gridCol w:w="161"/>
        <w:gridCol w:w="363"/>
        <w:gridCol w:w="865"/>
        <w:gridCol w:w="232"/>
      </w:tblGrid>
      <w:tr>
        <w:trPr/>
        <w:tc>
          <w:tcPr>
            <w:tcW w:w="32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92" w:type="dxa"/>
            <w:gridSpan w:val="2"/>
            <w:tcBorders/>
            <w:vAlign w:val="center"/>
          </w:tcPr>
          <w:p>
            <w:pPr>
              <w:pStyle w:val="TableContents"/>
              <w:bidi w:val="0"/>
              <w:spacing w:before="0" w:after="283"/>
              <w:jc w:val="center"/>
              <w:rPr>
                <w:b/>
              </w:rPr>
            </w:pPr>
            <w:r>
              <w:rPr>
                <w:b/>
              </w:rPr>
              <w:t>Number of Shares Beneficially Owned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Shares Beneficially Owned</w:t>
            </w:r>
          </w:p>
        </w:tc>
        <w:tc>
          <w:tcPr>
            <w:tcW w:w="232" w:type="dxa"/>
            <w:tcBorders/>
            <w:vAlign w:val="center"/>
          </w:tcPr>
          <w:p>
            <w:pPr>
              <w:pStyle w:val="TableContents"/>
              <w:bidi w:val="0"/>
              <w:spacing w:before="0" w:after="283"/>
              <w:jc w:val="center"/>
              <w:rPr/>
            </w:pPr>
            <w:r>
              <w:rPr/>
              <w:t> </w:t>
            </w:r>
          </w:p>
        </w:tc>
      </w:tr>
      <w:tr>
        <w:trPr/>
        <w:tc>
          <w:tcPr>
            <w:tcW w:w="3283" w:type="dxa"/>
            <w:tcBorders>
              <w:bottom w:val="single" w:sz="12" w:space="0" w:color="000000"/>
            </w:tcBorders>
            <w:tcMar>
              <w:bottom w:w="28" w:type="dxa"/>
            </w:tcMar>
            <w:vAlign w:val="center"/>
          </w:tcPr>
          <w:p>
            <w:pPr>
              <w:pStyle w:val="TableContents"/>
              <w:bidi w:val="0"/>
              <w:spacing w:before="0" w:after="283"/>
              <w:jc w:val="left"/>
              <w:rPr>
                <w:b/>
              </w:rPr>
            </w:pPr>
            <w:r>
              <w:rPr>
                <w:b/>
              </w:rPr>
              <w:t>Name and Address of Beneficial Owner</w:t>
            </w:r>
          </w:p>
        </w:tc>
        <w:tc>
          <w:tcPr>
            <w:tcW w:w="60" w:type="dxa"/>
            <w:tcBorders/>
            <w:vAlign w:val="center"/>
          </w:tcPr>
          <w:p>
            <w:pPr>
              <w:pStyle w:val="TableContents"/>
              <w:bidi w:val="0"/>
              <w:spacing w:before="0" w:after="283"/>
              <w:jc w:val="center"/>
              <w:rPr/>
            </w:pPr>
            <w:r>
              <w:rPr/>
              <w:t> </w:t>
            </w:r>
          </w:p>
        </w:tc>
        <w:tc>
          <w:tcPr>
            <w:tcW w:w="27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Prior to 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Prior to Offering</w:t>
            </w:r>
          </w:p>
        </w:tc>
        <w:tc>
          <w:tcPr>
            <w:tcW w:w="57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After Offering</w:t>
            </w:r>
          </w:p>
        </w:tc>
        <w:tc>
          <w:tcPr>
            <w:tcW w:w="232" w:type="dxa"/>
            <w:tcBorders/>
            <w:vAlign w:val="center"/>
          </w:tcPr>
          <w:p>
            <w:pPr>
              <w:pStyle w:val="TableContents"/>
              <w:bidi w:val="0"/>
              <w:spacing w:before="0" w:after="283"/>
              <w:jc w:val="center"/>
              <w:rPr/>
            </w:pPr>
            <w:r>
              <w:rPr/>
              <w:t> </w:t>
            </w:r>
          </w:p>
        </w:tc>
      </w:tr>
      <w:tr>
        <w:trPr/>
        <w:tc>
          <w:tcPr>
            <w:tcW w:w="3283" w:type="dxa"/>
            <w:tcBorders/>
            <w:shd w:fill="CCEEFF" w:val="clear"/>
            <w:vAlign w:val="center"/>
          </w:tcPr>
          <w:p>
            <w:pPr>
              <w:pStyle w:val="TableContents"/>
              <w:bidi w:val="0"/>
              <w:spacing w:before="0" w:after="283"/>
              <w:jc w:val="left"/>
              <w:rPr>
                <w:b/>
                <w:i/>
              </w:rPr>
            </w:pPr>
            <w:r>
              <w:rPr>
                <w:b/>
                <w:i/>
              </w:rPr>
              <w:t>5% Holders:</w:t>
            </w:r>
          </w:p>
        </w:tc>
        <w:tc>
          <w:tcPr>
            <w:tcW w:w="60" w:type="dxa"/>
            <w:tcBorders/>
            <w:shd w:fill="CCEEFF" w:val="clear"/>
            <w:vAlign w:val="center"/>
          </w:tcPr>
          <w:p>
            <w:pPr>
              <w:pStyle w:val="TableContents"/>
              <w:bidi w:val="0"/>
              <w:spacing w:before="0" w:after="283"/>
              <w:jc w:val="left"/>
              <w:rPr/>
            </w:pPr>
            <w:r>
              <w:rPr/>
              <w:t> </w:t>
            </w:r>
          </w:p>
        </w:tc>
        <w:tc>
          <w:tcPr>
            <w:tcW w:w="2792"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2" w:type="dxa"/>
            <w:gridSpan w:val="2"/>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28" w:type="dxa"/>
            <w:gridSpan w:val="2"/>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2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Dynavolt Technology (HK) Ltd.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649" w:type="dxa"/>
            <w:tcBorders/>
            <w:shd w:fill="FFFFFF" w:val="clear"/>
            <w:vAlign w:val="center"/>
          </w:tcPr>
          <w:p>
            <w:pPr>
              <w:pStyle w:val="TableContents"/>
              <w:bidi w:val="0"/>
              <w:spacing w:before="0" w:after="283"/>
              <w:jc w:val="right"/>
              <w:rPr/>
            </w:pPr>
            <w:r>
              <w:rPr/>
              <w:t>11,820,900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25.80</w:t>
            </w:r>
          </w:p>
        </w:tc>
        <w:tc>
          <w:tcPr>
            <w:tcW w:w="577" w:type="dxa"/>
            <w:tcBorders/>
            <w:shd w:fill="FFFFFF" w:val="clear"/>
            <w:vAlign w:val="center"/>
          </w:tcPr>
          <w:p>
            <w:pPr>
              <w:pStyle w:val="TableContents"/>
              <w:bidi w:val="0"/>
              <w:spacing w:before="0" w:after="283"/>
              <w:jc w:val="left"/>
              <w:rPr/>
            </w:pPr>
            <w:r>
              <w:rPr/>
              <w:t>%</w:t>
            </w:r>
          </w:p>
        </w:tc>
        <w:tc>
          <w:tcPr>
            <w:tcW w:w="16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Gong</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649" w:type="dxa"/>
            <w:tcBorders/>
            <w:shd w:fill="CCEEFF" w:val="clear"/>
            <w:vAlign w:val="center"/>
          </w:tcPr>
          <w:p>
            <w:pPr>
              <w:pStyle w:val="TableContents"/>
              <w:bidi w:val="0"/>
              <w:spacing w:before="0" w:after="283"/>
              <w:jc w:val="right"/>
              <w:rPr/>
            </w:pPr>
            <w:r>
              <w:rPr/>
              <w:t>3,073,434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6.60</w:t>
            </w:r>
          </w:p>
        </w:tc>
        <w:tc>
          <w:tcPr>
            <w:tcW w:w="577" w:type="dxa"/>
            <w:tcBorders/>
            <w:shd w:fill="CCEEFF" w:val="clear"/>
            <w:vAlign w:val="center"/>
          </w:tcPr>
          <w:p>
            <w:pPr>
              <w:pStyle w:val="TableContents"/>
              <w:bidi w:val="0"/>
              <w:spacing w:before="0" w:after="283"/>
              <w:jc w:val="left"/>
              <w:rPr/>
            </w:pPr>
            <w:r>
              <w:rPr/>
              <w:t>%</w:t>
            </w:r>
          </w:p>
        </w:tc>
        <w:tc>
          <w:tcPr>
            <w:tcW w:w="161"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83" w:type="dxa"/>
            <w:tcBorders/>
            <w:shd w:fill="FFFFFF" w:val="clear"/>
            <w:vAlign w:val="center"/>
          </w:tcPr>
          <w:p>
            <w:pPr>
              <w:pStyle w:val="TableContents"/>
              <w:bidi w:val="0"/>
              <w:spacing w:before="0" w:after="283"/>
              <w:jc w:val="left"/>
              <w:rPr>
                <w:b/>
                <w:i/>
              </w:rPr>
            </w:pPr>
            <w:r>
              <w:rPr>
                <w:b/>
                <w:i/>
              </w:rPr>
              <w:t>Named Executive Officers and Directors: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6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5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2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Denis Phares</w:t>
            </w:r>
            <w:r>
              <w:rPr>
                <w:rFonts w:ascii="Times New Roman;Times;Serif" w:hAnsi="Times New Roman;Times;Serif"/>
                <w:position w:val="7"/>
                <w:sz w:val="16"/>
                <w:sz w:val="20"/>
              </w:rPr>
              <w:t>(3)(4)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649" w:type="dxa"/>
            <w:tcBorders/>
            <w:shd w:fill="CCEEFF" w:val="clear"/>
            <w:vAlign w:val="center"/>
          </w:tcPr>
          <w:p>
            <w:pPr>
              <w:pStyle w:val="TableContents"/>
              <w:bidi w:val="0"/>
              <w:spacing w:before="0" w:after="283"/>
              <w:jc w:val="right"/>
              <w:rPr/>
            </w:pPr>
            <w:r>
              <w:rPr/>
              <w:t>16,277,124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35.33</w:t>
            </w:r>
          </w:p>
        </w:tc>
        <w:tc>
          <w:tcPr>
            <w:tcW w:w="577" w:type="dxa"/>
            <w:tcBorders/>
            <w:shd w:fill="CCEEFF" w:val="clear"/>
            <w:vAlign w:val="center"/>
          </w:tcPr>
          <w:p>
            <w:pPr>
              <w:pStyle w:val="TableContents"/>
              <w:bidi w:val="0"/>
              <w:spacing w:before="0" w:after="283"/>
              <w:jc w:val="left"/>
              <w:rPr/>
            </w:pPr>
            <w:r>
              <w:rPr/>
              <w:t>%</w:t>
            </w:r>
          </w:p>
        </w:tc>
        <w:tc>
          <w:tcPr>
            <w:tcW w:w="161"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Sean Nichols</w:t>
            </w:r>
            <w:r>
              <w:rPr>
                <w:rFonts w:ascii="Times New Roman;Times;Serif" w:hAnsi="Times New Roman;Times;Serif"/>
                <w:position w:val="7"/>
                <w:sz w:val="16"/>
                <w:sz w:val="20"/>
              </w:rPr>
              <w:t>(3)(5)</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649" w:type="dxa"/>
            <w:tcBorders/>
            <w:shd w:fill="FFFFFF" w:val="clear"/>
            <w:vAlign w:val="center"/>
          </w:tcPr>
          <w:p>
            <w:pPr>
              <w:pStyle w:val="TableContents"/>
              <w:bidi w:val="0"/>
              <w:spacing w:before="0" w:after="283"/>
              <w:jc w:val="right"/>
              <w:rPr/>
            </w:pPr>
            <w:r>
              <w:rPr/>
              <w:t>3,735,999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8.12</w:t>
            </w:r>
          </w:p>
        </w:tc>
        <w:tc>
          <w:tcPr>
            <w:tcW w:w="577" w:type="dxa"/>
            <w:tcBorders/>
            <w:shd w:fill="FFFFFF" w:val="clear"/>
            <w:vAlign w:val="center"/>
          </w:tcPr>
          <w:p>
            <w:pPr>
              <w:pStyle w:val="TableContents"/>
              <w:bidi w:val="0"/>
              <w:spacing w:before="0" w:after="283"/>
              <w:jc w:val="left"/>
              <w:rPr/>
            </w:pPr>
            <w:r>
              <w:rPr/>
              <w:t>%</w:t>
            </w:r>
          </w:p>
        </w:tc>
        <w:tc>
          <w:tcPr>
            <w:tcW w:w="16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Nicole Harvey</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649" w:type="dxa"/>
            <w:tcBorders/>
            <w:shd w:fill="CCEEFF" w:val="clear"/>
            <w:vAlign w:val="center"/>
          </w:tcPr>
          <w:p>
            <w:pPr>
              <w:pStyle w:val="TableContents"/>
              <w:bidi w:val="0"/>
              <w:spacing w:before="0" w:after="283"/>
              <w:jc w:val="right"/>
              <w:rPr/>
            </w:pPr>
            <w:r>
              <w:rPr/>
              <w:t>195,372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p>
        </w:tc>
        <w:tc>
          <w:tcPr>
            <w:tcW w:w="5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 </w:t>
            </w:r>
          </w:p>
        </w:tc>
      </w:tr>
      <w:tr>
        <w:trPr/>
        <w:tc>
          <w:tcPr>
            <w:tcW w:w="32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Marchetti</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649" w:type="dxa"/>
            <w:tcBorders/>
            <w:shd w:fill="FFFFFF" w:val="clear"/>
            <w:vAlign w:val="center"/>
          </w:tcPr>
          <w:p>
            <w:pPr>
              <w:pStyle w:val="TableContents"/>
              <w:bidi w:val="0"/>
              <w:spacing w:before="0" w:after="283"/>
              <w:jc w:val="right"/>
              <w:rPr/>
            </w:pPr>
            <w:r>
              <w:rPr/>
              <w:t>194,157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 </w:t>
            </w:r>
          </w:p>
        </w:tc>
      </w:tr>
      <w:tr>
        <w:trPr/>
        <w:tc>
          <w:tcPr>
            <w:tcW w:w="32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Tyler Bourns </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649" w:type="dxa"/>
            <w:tcBorders/>
            <w:shd w:fill="CCEEFF" w:val="clear"/>
            <w:vAlign w:val="center"/>
          </w:tcPr>
          <w:p>
            <w:pPr>
              <w:pStyle w:val="TableContents"/>
              <w:bidi w:val="0"/>
              <w:spacing w:before="0" w:after="283"/>
              <w:jc w:val="right"/>
              <w:rPr/>
            </w:pPr>
            <w:r>
              <w:rPr/>
              <w:t>60,490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 </w:t>
            </w:r>
          </w:p>
        </w:tc>
      </w:tr>
      <w:tr>
        <w:trPr/>
        <w:tc>
          <w:tcPr>
            <w:tcW w:w="32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Luisa Ingargiola</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649" w:type="dxa"/>
            <w:tcBorders/>
            <w:shd w:fill="FFFFFF" w:val="clear"/>
            <w:vAlign w:val="center"/>
          </w:tcPr>
          <w:p>
            <w:pPr>
              <w:pStyle w:val="TableContents"/>
              <w:bidi w:val="0"/>
              <w:spacing w:before="0" w:after="283"/>
              <w:jc w:val="right"/>
              <w:rPr/>
            </w:pPr>
            <w:r>
              <w:rPr/>
              <w:t>62,307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 </w:t>
            </w:r>
          </w:p>
        </w:tc>
      </w:tr>
      <w:tr>
        <w:trPr/>
        <w:tc>
          <w:tcPr>
            <w:tcW w:w="32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Nelson</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649" w:type="dxa"/>
            <w:tcBorders/>
            <w:shd w:fill="CCEEFF" w:val="clear"/>
            <w:vAlign w:val="center"/>
          </w:tcPr>
          <w:p>
            <w:pPr>
              <w:pStyle w:val="TableContents"/>
              <w:bidi w:val="0"/>
              <w:spacing w:before="0" w:after="283"/>
              <w:jc w:val="right"/>
              <w:rPr/>
            </w:pPr>
            <w:r>
              <w:rPr/>
              <w:t>29,565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 </w:t>
            </w:r>
          </w:p>
        </w:tc>
      </w:tr>
      <w:tr>
        <w:trPr/>
        <w:tc>
          <w:tcPr>
            <w:tcW w:w="3283" w:type="dxa"/>
            <w:tcBorders/>
            <w:shd w:fill="FFFFFF" w:val="clear"/>
            <w:vAlign w:val="center"/>
          </w:tcPr>
          <w:p>
            <w:pPr>
              <w:pStyle w:val="TableContents"/>
              <w:bidi w:val="0"/>
              <w:spacing w:before="0" w:after="283"/>
              <w:jc w:val="left"/>
              <w:rPr/>
            </w:pPr>
            <w:r>
              <w:rPr/>
              <w:t>Perry Boyle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649" w:type="dxa"/>
            <w:tcBorders/>
            <w:shd w:fill="FFFFFF" w:val="clear"/>
            <w:vAlign w:val="center"/>
          </w:tcPr>
          <w:p>
            <w:pPr>
              <w:pStyle w:val="TableContents"/>
              <w:bidi w:val="0"/>
              <w:spacing w:before="0" w:after="283"/>
              <w:jc w:val="right"/>
              <w:rPr/>
            </w:pPr>
            <w:r>
              <w:rPr/>
              <w:t>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 </w:t>
            </w:r>
          </w:p>
        </w:tc>
      </w:tr>
      <w:tr>
        <w:trPr/>
        <w:tc>
          <w:tcPr>
            <w:tcW w:w="3283" w:type="dxa"/>
            <w:tcBorders/>
            <w:shd w:fill="CCEEFF" w:val="clear"/>
            <w:vAlign w:val="center"/>
          </w:tcPr>
          <w:p>
            <w:pPr>
              <w:pStyle w:val="TableContents"/>
              <w:bidi w:val="0"/>
              <w:spacing w:before="0" w:after="283"/>
              <w:jc w:val="left"/>
              <w:rPr/>
            </w:pPr>
            <w:r>
              <w:rPr/>
              <w:t>Jonathan Bellows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6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0</w:t>
            </w:r>
          </w:p>
        </w:tc>
        <w:tc>
          <w:tcPr>
            <w:tcW w:w="5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0</w:t>
            </w:r>
          </w:p>
        </w:tc>
        <w:tc>
          <w:tcPr>
            <w:tcW w:w="232" w:type="dxa"/>
            <w:tcBorders/>
            <w:shd w:fill="CCEEFF" w:val="clear"/>
            <w:vAlign w:val="center"/>
          </w:tcPr>
          <w:p>
            <w:pPr>
              <w:pStyle w:val="TableContents"/>
              <w:bidi w:val="0"/>
              <w:spacing w:before="0" w:after="283"/>
              <w:jc w:val="left"/>
              <w:rPr/>
            </w:pPr>
            <w:r>
              <w:rPr/>
              <w:t> </w:t>
            </w:r>
          </w:p>
        </w:tc>
      </w:tr>
      <w:tr>
        <w:trPr/>
        <w:tc>
          <w:tcPr>
            <w:tcW w:w="3283" w:type="dxa"/>
            <w:tcBorders/>
            <w:shd w:fill="FFFFFF" w:val="clear"/>
            <w:vAlign w:val="center"/>
          </w:tcPr>
          <w:p>
            <w:pPr>
              <w:pStyle w:val="TableContents"/>
              <w:bidi w:val="0"/>
              <w:spacing w:before="0" w:after="283"/>
              <w:jc w:val="left"/>
              <w:rPr/>
            </w:pPr>
            <w:r>
              <w:rPr/>
              <w:t>Rick Parod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64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0</w:t>
            </w:r>
          </w:p>
        </w:tc>
        <w:tc>
          <w:tcPr>
            <w:tcW w:w="5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0</w:t>
            </w:r>
          </w:p>
        </w:tc>
        <w:tc>
          <w:tcPr>
            <w:tcW w:w="232" w:type="dxa"/>
            <w:tcBorders/>
            <w:shd w:fill="FFFFFF" w:val="clear"/>
            <w:vAlign w:val="center"/>
          </w:tcPr>
          <w:p>
            <w:pPr>
              <w:pStyle w:val="TableContents"/>
              <w:bidi w:val="0"/>
              <w:spacing w:before="0" w:after="283"/>
              <w:jc w:val="left"/>
              <w:rPr/>
            </w:pPr>
            <w:r>
              <w:rPr/>
              <w:t> </w:t>
            </w:r>
          </w:p>
        </w:tc>
      </w:tr>
      <w:tr>
        <w:trPr/>
        <w:tc>
          <w:tcPr>
            <w:tcW w:w="3283" w:type="dxa"/>
            <w:tcBorders/>
            <w:shd w:fill="CCEEFF" w:val="clear"/>
            <w:vAlign w:val="center"/>
          </w:tcPr>
          <w:p>
            <w:pPr>
              <w:pStyle w:val="TableContents"/>
              <w:bidi w:val="0"/>
              <w:spacing w:before="0" w:after="283"/>
              <w:jc w:val="left"/>
              <w:rPr/>
            </w:pPr>
            <w:r>
              <w:rPr/>
              <w:t>Karina Montilla Edmonds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6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0</w:t>
            </w:r>
          </w:p>
        </w:tc>
        <w:tc>
          <w:tcPr>
            <w:tcW w:w="5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0</w:t>
            </w:r>
          </w:p>
        </w:tc>
        <w:tc>
          <w:tcPr>
            <w:tcW w:w="232" w:type="dxa"/>
            <w:tcBorders/>
            <w:shd w:fill="CCEEFF" w:val="clear"/>
            <w:vAlign w:val="center"/>
          </w:tcPr>
          <w:p>
            <w:pPr>
              <w:pStyle w:val="TableContents"/>
              <w:bidi w:val="0"/>
              <w:spacing w:before="0" w:after="283"/>
              <w:jc w:val="left"/>
              <w:rPr/>
            </w:pPr>
            <w:r>
              <w:rPr/>
              <w:t> </w:t>
            </w:r>
          </w:p>
        </w:tc>
      </w:tr>
      <w:tr>
        <w:trPr/>
        <w:tc>
          <w:tcPr>
            <w:tcW w:w="3283" w:type="dxa"/>
            <w:tcBorders/>
            <w:shd w:fill="FFFFFF" w:val="clear"/>
            <w:vAlign w:val="center"/>
          </w:tcPr>
          <w:p>
            <w:pPr>
              <w:pStyle w:val="TableContents"/>
              <w:bidi w:val="0"/>
              <w:spacing w:before="0" w:after="283"/>
              <w:jc w:val="left"/>
              <w:rPr>
                <w:b/>
                <w:i/>
              </w:rPr>
            </w:pPr>
            <w:r>
              <w:rPr>
                <w:b/>
                <w:i/>
              </w:rPr>
              <w:t>All Directors and Officers as a Group (9 persons)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649" w:type="dxa"/>
            <w:tcBorders/>
            <w:shd w:fill="FFFFFF" w:val="clear"/>
            <w:vAlign w:val="center"/>
          </w:tcPr>
          <w:p>
            <w:pPr>
              <w:pStyle w:val="TableContents"/>
              <w:bidi w:val="0"/>
              <w:spacing w:before="0" w:after="283"/>
              <w:jc w:val="right"/>
              <w:rPr/>
            </w:pPr>
            <w:r>
              <w:rPr/>
              <w:t>16,645,643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36.28</w:t>
            </w:r>
          </w:p>
        </w:tc>
        <w:tc>
          <w:tcPr>
            <w:tcW w:w="577" w:type="dxa"/>
            <w:tcBorders/>
            <w:shd w:fill="FFFFFF" w:val="clear"/>
            <w:vAlign w:val="center"/>
          </w:tcPr>
          <w:p>
            <w:pPr>
              <w:pStyle w:val="TableContents"/>
              <w:bidi w:val="0"/>
              <w:spacing w:before="0" w:after="283"/>
              <w:jc w:val="left"/>
              <w:rPr/>
            </w:pPr>
            <w:r>
              <w:rPr/>
              <w:t>%</w:t>
            </w:r>
          </w:p>
        </w:tc>
        <w:tc>
          <w:tcPr>
            <w:tcW w:w="16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(“Dynavolt”) on October 12, 2022. The business address of Dynavolt is Flat/Room 02-03 26/F, Bea Tower Millennium City 5, 418 Kwun Tong Road, Kwun Tong,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May 24, 2023. The business address of Mr. Gong is 930 Tahoe Blvd. Suite 802, PMB 860, Incline Village, Nevada 89451.</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40,000,000 shares of common stock not yet payable as the earnout contingencies have not yet been met and will not be met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1,217,906 shares held on behalf of the Phares 2021 GRAT dated July 9, 2021, of which Dr. Phares is the trustee, and (ii) 173,748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108,751 shares of common stock issuable upon exercise of outstanding stock options exercisable within 60 days of May 24, 2023. On April 26, 2023, Ms. Harvey’s employment with us ended.</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Includes 107,024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Includes 21,931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62,307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29,565 shares of common stock issuable upon exercise of outstanding stock options exercisable within 60 days of May 24, 2023.</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13"/>
      <w:bookmarkEnd w:id="30"/>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You are encouraged to read the applicable provisions of the NRS, our Articles of Incorporation and our Bylaws in their entirety for a complete description of the rights and preferences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175,000,000 shares of capital stock authorized under our Articles of Incorporation, which consists of 170,000,000 shares of common stock with a par value of $0.0001 per share and 5,000,000 shares of preferred stock with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24, 2023 there were 45,885,513 shares of common stock outstanding and no shares of preferred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to each warrant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$16.00 per share for any ten (10) trading days within a 30-trading day period ending three business days before we send the notice of redemption;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have certain anti-dilution and adjustment rights upon certain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Private Warrants are entitled to certain registration rights. The Private Warrants purchased by Sponsor will not be exercisable on or after August 10, 2026, in accordance with the Financial Industry Regulatory Authority, Inc. (“FINRA”) Rule 5110(g), as long as Sponsor or any of its related persons beneficially own the Private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Penny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were issued on the Closing Date and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our Warrants is American Stock Transfer &amp;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authorizes a total of 5,000,000 shares of preferred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Charter, the Bylaws and Nevada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Articles of Incorporation, we have not opted out of the business combination provisions of NRS 78.411 to 78.444, inclusive.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for Amendment of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“DFLI” and our Public Warrants are currently listed on The Nasdaq Capital Market under the symbol “DFLIW”.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14"/>
      <w:bookmarkEnd w:id="31"/>
      <w:r>
        <w:rPr>
          <w:rFonts w:ascii="Times New Roman;Times;Serif" w:hAnsi="Times New Roman;Times;Serif"/>
          <w:b/>
          <w:i w:val="false"/>
          <w:caps w:val="false"/>
          <w:smallCaps w:val="false"/>
          <w:sz w:val="20"/>
        </w:rPr>
        <w:t>UNDERWRITING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underwriting agreement with Roth Capital Partners, LLC, as representative of the underwriters, with respect to the shares of common stock subject to this offering. Subject to certain conditions, we have agreed to sell to the underwriters, and the underwriters have severally agreed to purchase, the number of shares of common stock provided below opposite their names.</w:t>
      </w:r>
    </w:p>
    <w:p>
      <w:pPr>
        <w:pStyle w:val="TextBody"/>
        <w:bidi w:val="0"/>
        <w:spacing w:before="0" w:after="0"/>
        <w:ind w:left="0" w:right="0" w:firstLine="720"/>
        <w:jc w:val="both"/>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40"/>
        <w:gridCol w:w="60"/>
        <w:gridCol w:w="1535"/>
        <w:gridCol w:w="75"/>
      </w:tblGrid>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Chardan Capital Markets, LLC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of common stock subject to their acceptance of the shares of common stock from us and subject to prior sale. The underwriting agreement provides that the obligations of the underwriters to pay for and accept delivery of the shares of common stock offered by this prospectus are subject to the approval of certain legal matters by their counsel and to certain other conditions. The underwriters are obligated, severally and not jointly, to take and pay for all of the shares of common stock if any such shares are taken. However, the underwriters are not required to take or pay for the shares of common stock covered by the underwriters’ over-allotment option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Over-Allotment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exercisable for 45 days from the date of this prospectus, to purchase up to an aggregate of additional shares of common stock to cover over-allotments, if any, at the public offering price set forth on the cover page of this prospectus, less the underwriting discount. The underwriters may exercise this option solely for the purpose of covering over-allotments, if any, made in connection with the offering of the shares of common stock offered by this prospectus. If the underwriters exercise this option, the underwriters will be obligated, severally and not jointly, subject to certain conditions, to purchase the additional shares for which the option has been exercised in approximately the same proportion as shown in the table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 Commissions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have advised us that they propose to offer the shares of common stock to the public at the public offering price set forth on the cover page of this prospectus and to certain dealers at that price less a concession not in excess of $       per share. After this offering, the public offering price, concession and reallowance to dealers may be changed by the underwriters. No such change will change the amount of proceeds to be received by us as set forth on the cover page of this prospectus. The shares of common stock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underwriting discount payable to the underwriters by us in connection with this offering. Such amounts are shown assuming both no exercise and full exercise of the underwriters’ over-allotment option to purchase additional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9"/>
        <w:gridCol w:w="60"/>
        <w:gridCol w:w="179"/>
        <w:gridCol w:w="519"/>
        <w:gridCol w:w="60"/>
        <w:gridCol w:w="60"/>
        <w:gridCol w:w="975"/>
        <w:gridCol w:w="2829"/>
        <w:gridCol w:w="60"/>
        <w:gridCol w:w="60"/>
        <w:gridCol w:w="916"/>
        <w:gridCol w:w="2660"/>
        <w:gridCol w:w="78"/>
      </w:tblGrid>
      <w:tr>
        <w:trPr/>
        <w:tc>
          <w:tcPr>
            <w:tcW w:w="17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Without Exercise of Over- Allotment Option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With Exercise of Over- Allotment Option (1)</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Does not include the Underwriters’ Warrants as described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also agreed to reimburse the underwriters for reasonable out-of-pocket expenses, including the fees and disbursements of their counsel, up to an aggregate of $100,000, plus up to $10,000 for counsel fees related to FINRA clearance of the offering. We estimate that the total expenses payable by us in connection with this offering, other than the underwriting discount and commissions referred to above, will be approximately $ </w:t>
        <w:tab/>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issue to the Underwriters the Underwriters’ Warrants to purchase a number of shares of our common stock equal to an aggregate of 5% of the common stock sold in this offering. The Underwriters’ Warrants will have an exercise price equal to 125% of the public offering price of the common stock sold in this offering and may be exercised on a cashless basis. The Underwriters’ Warrants are not redeemable by us, and will expire on the fifth anniversary of the effectiveness of the registration statement of which this prospectus is a part. The Underwriters’ Warrants will provide for adjustment in the number and price of the Underwriters’ Warrants (and the shares of common stock underlying the Underwriters’ Warrants) in the event of recapitalization, merger or other fundamental transaction. The Underwriters’ Warrants and the underlying shares of common stock have been deemed compensation by FINRA and are therefore subject to FINRA Rule 5110(g)(1). In accordance with FINRA Rule 5110(g)(1), neither the Underwriters’ Warrants nor any shares of common stock issued upon exercise of the Underwriters’ Warrants may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the Underwriters’ Warrants are being issued, except the transfer of any security:</w:t>
      </w:r>
    </w:p>
    <w:p>
      <w:pPr>
        <w:pStyle w:val="TextBody"/>
        <w:bidi w:val="0"/>
        <w:spacing w:before="0" w:after="0"/>
        <w:ind w:left="0" w:right="0" w:firstLine="72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operation of law or by reason of reorganization of the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FINRA member firm participating in this offering and the officers or partners thereof, if all securities so transferred remain subject to the lock-up restriction described above for the remainder of the time period;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aggregate amount of securities of the Company held by either an underwriter or a related person do not exceed 1% of the securities being offered;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or conversion of any security, if all securities received remain subject to the lock-up restriction set forth above for the remainder of the time period.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Warrants will contain provisions for registration rights for a period of five years at the Company’s expense. The registration rights relating to Underwriters’ Warrants shall comply with the requirements of FINRA Rule 5110(g)(8).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officers and directors and have agreed, subject to limited exceptions, for a period of 90 days after the date of the underwriting agreement, not to offer, sell, contract to sell, pledge, grant any option to purchase, make any short sale or otherwise dispose of, directly or indirectly any shares of common stock or any securities convertible into or exchangeable for our common stock either owned as of the date of the underwriting agreement or thereafter acquired without the prior written consent of the representative. The representative may, in its sole discretion and at any time or from time to time before the termination of the lock-up period, without notice, release all or any portion of the securities subject to lock-up agreements.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 and Penalty Bids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 permit bids to purchase the underlying security so long as the stabilizing bids do not exceed a specified maximum.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are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Syndicate covering transactions involve purchases of shares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representative to reclaim a selling concession from a syndicate member when the common stock originally sold by the syndicate member is purchased in a stabilizing or syndicate covering transaction to cover syndicate short positions.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may also engage in passive market making transactions in our common stock. Passive market making may stabilize the market price of the common stock at a level above that which might otherwise prevail in the open market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Neither we nor the underwriters make any representation or prediction as to the direction or magnitude of any effect that the transactions described above may have on the price of the common stock. In addition, neither we nor the underwriters make any representations that the underwriters will engage in these stabilizing transactions or that any transaction, once commenced, will not be discontinued without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 electronic format may be made available on websites or through other online services maintained by an underwriter, or by their affiliates. Other than this prospectus in electronic format, the information on each underwriter’s website and any information contained in any other website maintained by an underwriter is not part of this prospectus or the registration statement of which this prospectus form a part, has not been approved and/or endorsed by us or any of the underwriters in their capacity as underwriters, and should not be relied upon by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each underwriter and/or their respective affiliates have provided, and may in the future provide, various investment banking and other financial services for us for which services they have received and, may in the future receive, customary fees. In the course of their businesses, each underwriter and their respective affiliates may actively trade our securities or loans for their own account or for the accounts of customers, and, accordingly, an underwriter and its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15"/>
      <w:bookmarkEnd w:id="32"/>
      <w:r>
        <w:rPr>
          <w:rFonts w:ascii="Times New Roman;Times;Serif" w:hAnsi="Times New Roman;Times;Serif"/>
          <w:b/>
          <w:i w:val="false"/>
          <w:caps w:val="false"/>
          <w:smallCaps w:val="false"/>
          <w:sz w:val="20"/>
        </w:rPr>
        <w:t>NOTICE TO 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of common stock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legal entity which is a qualified investor as defined under Article 2 of the UK Prospectus Regulation;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fewer than 150 natural or legal persons (other than qualified investors as defined under Article 2 of the UK Prospectus Regulation), subject to obtaining the prior consent of the representatives for any such offer;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circumstances falling within Section 86 of the FSMA,</w:t>
            </w:r>
          </w:p>
        </w:tc>
      </w:tr>
    </w:tbl>
    <w:p>
      <w:pPr>
        <w:pStyle w:val="TextBody"/>
        <w:bidi w:val="0"/>
        <w:spacing w:before="0" w:after="0"/>
        <w:ind w:left="77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Economic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this document does not constitute an approved prospectus in accordance with European Commission’s Regulation on Prospectuses no. 809/2004 and no such prospectus is to be prepared and approved in connection with this offering. Accordingly, in relation to each Member State of the European Economic Area which has implemented the Prospectus Directive (being the Directive of the European Parliament and of the Council 2003/71/EC and including any relevant implementing measure in each Relevant Member State) (each, a Relevant Member State), with effect from and including the date on which the Prospectus Directive is implemented in that Relevant Member State (the Relevant Implementation Date) an offer of securities to the public may not be made in that Relevant Member State prior to the publication of a prospectus in relation to such securities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securities to the public in that Relevant Member State at any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legal entities which are authorized or regulated to operate in the financial markets or, if not so authorized or regulated, whose corporate purpose is solely to invest in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legal entity which has two or more of (1) an average of at least 250 employees during the last financial year; (2) a total balance sheet of more than €43,000,000; and (3) an annual net turnover of more than €50,000,000, as shown in the last annual or consolidated accounts;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circumstances which do not require the publication by the Issuer of a prospectus pursuant to Article 3 of the Prospectus Directive.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of securities to the public” in relation to any of the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For these purposes the shares offered hereby are “securities.”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16"/>
      <w:bookmarkEnd w:id="3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17"/>
      <w:bookmarkEnd w:id="34"/>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Parsons Behle &amp; Latimer, Reno, Nevada. The underwriters are being represented by Duane Morris LLP, New York, New York,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18"/>
      <w:bookmarkEnd w:id="35"/>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2021 and for each of the two years in the period ended December 31, 2022 included in this Prospectus and in the Registration Statement have been so included in reliance on the report of BDO USA,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3"/>
        <w:gridCol w:w="402"/>
      </w:tblGrid>
      <w:tr>
        <w:trPr/>
        <w:tc>
          <w:tcPr>
            <w:tcW w:w="9803" w:type="dxa"/>
            <w:tcBorders/>
            <w:shd w:fill="CCEC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w:t>
            </w:r>
          </w:p>
        </w:tc>
        <w:tc>
          <w:tcPr>
            <w:tcW w:w="402" w:type="dxa"/>
            <w:tcBorders/>
            <w:shd w:fill="CCEC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803" w:type="dxa"/>
            <w:tcBorders/>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Consolidated Balance Sheets as of December 31, 2022 and 2021</w:t>
              </w:r>
            </w:hyperlink>
          </w:p>
        </w:tc>
        <w:tc>
          <w:tcPr>
            <w:tcW w:w="4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803" w:type="dxa"/>
            <w:tcBorders/>
            <w:shd w:fill="CCEC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Consolidated Statements of Operations for the years ended December 31, 2022 and 2021</w:t>
              </w:r>
            </w:hyperlink>
          </w:p>
        </w:tc>
        <w:tc>
          <w:tcPr>
            <w:tcW w:w="402" w:type="dxa"/>
            <w:tcBorders/>
            <w:shd w:fill="CCEC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803" w:type="dxa"/>
            <w:tcBorders/>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Consolidated Statements of Changes in Stockholders’ Equity for the years ended December 31, 2022 and 2021</w:t>
              </w:r>
            </w:hyperlink>
          </w:p>
        </w:tc>
        <w:tc>
          <w:tcPr>
            <w:tcW w:w="4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803"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Statements of Cash Flows for the years ended December 31, 2022 and 2021</w:t>
              </w:r>
            </w:hyperlink>
          </w:p>
        </w:tc>
        <w:tc>
          <w:tcPr>
            <w:tcW w:w="4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803"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Notes to Financial Statements</w:t>
              </w:r>
            </w:hyperlink>
          </w:p>
        </w:tc>
        <w:tc>
          <w:tcPr>
            <w:tcW w:w="4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803" w:type="dxa"/>
            <w:tcBorders/>
            <w:shd w:fill="CCEEFF" w:val="clear"/>
            <w:vAlign w:val="center"/>
          </w:tcPr>
          <w:p>
            <w:pPr>
              <w:pStyle w:val="TableContents"/>
              <w:bidi w:val="0"/>
              <w:spacing w:before="0" w:after="283"/>
              <w:jc w:val="left"/>
              <w:rPr/>
            </w:pPr>
            <w:hyperlink w:anchor="fs_001">
              <w:r>
                <w:rPr>
                  <w:rStyle w:val="InternetLink"/>
                  <w:rFonts w:ascii="Times New Roman;Times;Serif" w:hAnsi="Times New Roman;Times;Serif"/>
                  <w:b w:val="false"/>
                  <w:i w:val="false"/>
                  <w:caps w:val="false"/>
                  <w:smallCaps w:val="false"/>
                  <w:sz w:val="20"/>
                </w:rPr>
                <w:t>Unaudited Consolidated Balance Sheets as of March 31, 2023 (unaudited) and December 31, 2022</w:t>
              </w:r>
            </w:hyperlink>
          </w:p>
        </w:tc>
        <w:tc>
          <w:tcPr>
            <w:tcW w:w="4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803" w:type="dxa"/>
            <w:tcBorders/>
            <w:shd w:fill="FFFFFF" w:val="clear"/>
            <w:vAlign w:val="center"/>
          </w:tcPr>
          <w:p>
            <w:pPr>
              <w:pStyle w:val="TableContents"/>
              <w:bidi w:val="0"/>
              <w:spacing w:before="0" w:after="283"/>
              <w:jc w:val="left"/>
              <w:rPr/>
            </w:pPr>
            <w:hyperlink w:anchor="fs_002">
              <w:r>
                <w:rPr>
                  <w:rStyle w:val="InternetLink"/>
                  <w:rFonts w:ascii="Times New Roman;Times;Serif" w:hAnsi="Times New Roman;Times;Serif"/>
                  <w:b w:val="false"/>
                  <w:i w:val="false"/>
                  <w:caps w:val="false"/>
                  <w:smallCaps w:val="false"/>
                  <w:sz w:val="20"/>
                </w:rPr>
                <w:t>Unaudited Consolidated Statements of Operations for the three months ended March 31, 2023 and 2022</w:t>
              </w:r>
            </w:hyperlink>
          </w:p>
        </w:tc>
        <w:tc>
          <w:tcPr>
            <w:tcW w:w="4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803" w:type="dxa"/>
            <w:tcBorders/>
            <w:shd w:fill="CCEEFF" w:val="clear"/>
            <w:vAlign w:val="center"/>
          </w:tcPr>
          <w:p>
            <w:pPr>
              <w:pStyle w:val="TableContents"/>
              <w:bidi w:val="0"/>
              <w:spacing w:before="0" w:after="283"/>
              <w:jc w:val="left"/>
              <w:rPr/>
            </w:pPr>
            <w:hyperlink w:anchor="fs_003">
              <w:r>
                <w:rPr>
                  <w:rStyle w:val="InternetLink"/>
                  <w:rFonts w:ascii="Times New Roman;Times;Serif" w:hAnsi="Times New Roman;Times;Serif"/>
                  <w:b w:val="false"/>
                  <w:i w:val="false"/>
                  <w:caps w:val="false"/>
                  <w:smallCaps w:val="false"/>
                  <w:sz w:val="20"/>
                </w:rPr>
                <w:t>Unaudited Consolidated Statements of Changes in Stockholders’ Equity for the three months ended March 31, 2023 and 2022</w:t>
              </w:r>
            </w:hyperlink>
          </w:p>
        </w:tc>
        <w:tc>
          <w:tcPr>
            <w:tcW w:w="4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803" w:type="dxa"/>
            <w:tcBorders/>
            <w:shd w:fill="FFFFFF" w:val="clear"/>
            <w:vAlign w:val="center"/>
          </w:tcPr>
          <w:p>
            <w:pPr>
              <w:pStyle w:val="TableContents"/>
              <w:bidi w:val="0"/>
              <w:spacing w:before="0" w:after="283"/>
              <w:jc w:val="left"/>
              <w:rPr/>
            </w:pPr>
            <w:hyperlink w:anchor="fs_004">
              <w:r>
                <w:rPr>
                  <w:rStyle w:val="InternetLink"/>
                  <w:rFonts w:ascii="Times New Roman;Times;Serif" w:hAnsi="Times New Roman;Times;Serif"/>
                  <w:b w:val="false"/>
                  <w:i w:val="false"/>
                  <w:caps w:val="false"/>
                  <w:smallCaps w:val="false"/>
                  <w:sz w:val="20"/>
                </w:rPr>
                <w:t>Unaudited Statements of Cash Flows for the three months ended March 31, 2023 and 2022</w:t>
              </w:r>
            </w:hyperlink>
          </w:p>
        </w:tc>
        <w:tc>
          <w:tcPr>
            <w:tcW w:w="4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803" w:type="dxa"/>
            <w:tcBorders/>
            <w:shd w:fill="CCEEFF" w:val="clear"/>
            <w:vAlign w:val="center"/>
          </w:tcPr>
          <w:p>
            <w:pPr>
              <w:pStyle w:val="TableContents"/>
              <w:bidi w:val="0"/>
              <w:spacing w:before="0" w:after="283"/>
              <w:jc w:val="left"/>
              <w:rPr/>
            </w:pPr>
            <w:hyperlink w:anchor="fs_005">
              <w:r>
                <w:rPr>
                  <w:rStyle w:val="InternetLink"/>
                  <w:rFonts w:ascii="Times New Roman;Times;Serif" w:hAnsi="Times New Roman;Times;Serif"/>
                  <w:b w:val="false"/>
                  <w:i w:val="false"/>
                  <w:caps w:val="false"/>
                  <w:smallCaps w:val="false"/>
                  <w:sz w:val="20"/>
                </w:rPr>
                <w:t>Notes to Unaudited Financial Statements</w:t>
              </w:r>
            </w:hyperlink>
          </w:p>
        </w:tc>
        <w:tc>
          <w:tcPr>
            <w:tcW w:w="4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17"/>
      <w:bookmarkEnd w:id="3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2023</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bookmarkStart w:id="37" w:name="xdx_043_c20220101__20221231_zQvswFKrwqai"/>
      <w:bookmarkEnd w:id="3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18"/>
      <w:bookmarkEnd w:id="38"/>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39" w:name="xdx_30F_111_pn3n3_zHAKSpT0ZM94"/>
      <w:bookmarkStart w:id="40" w:name="xdx_30F_111_pn3n3_zHAKSpT0ZM94"/>
      <w:bookmarkEnd w:id="40"/>
    </w:p>
    <w:tbl>
      <w:tblPr>
        <w:tblW w:w="10205" w:type="dxa"/>
        <w:jc w:val="left"/>
        <w:tblInd w:w="0" w:type="dxa"/>
        <w:tblLayout w:type="fixed"/>
        <w:tblCellMar>
          <w:top w:w="0" w:type="dxa"/>
          <w:left w:w="0" w:type="dxa"/>
          <w:bottom w:w="0" w:type="dxa"/>
          <w:right w:w="0" w:type="dxa"/>
        </w:tblCellMar>
      </w:tblPr>
      <w:tblGrid>
        <w:gridCol w:w="8165"/>
        <w:gridCol w:w="60"/>
        <w:gridCol w:w="140"/>
        <w:gridCol w:w="755"/>
        <w:gridCol w:w="95"/>
        <w:gridCol w:w="60"/>
        <w:gridCol w:w="140"/>
        <w:gridCol w:w="680"/>
        <w:gridCol w:w="110"/>
      </w:tblGrid>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 w:name="xdx_49E_20221231_z8QopvI5amCd"/>
            <w:bookmarkEnd w:id="41"/>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 w:name="xdx_492_20211231_zt7FDaBJmL0j"/>
            <w:bookmarkEnd w:id="42"/>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bookmarkStart w:id="43" w:name="xdx_40D_eus-gaap--AssetsCurrentAbstract_"/>
            <w:bookmarkEnd w:id="43"/>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 w:name="xdx_40D_eus-gaap--CashAndCashEquivalents"/>
            <w:bookmarkEnd w:id="44"/>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25,586</w:t>
            </w:r>
          </w:p>
        </w:tc>
        <w:tc>
          <w:tcPr>
            <w:tcW w:w="110" w:type="dxa"/>
            <w:tcBorders/>
            <w:shd w:fill="FFFFFF" w:val="clear"/>
            <w:vAlign w:val="center"/>
          </w:tcPr>
          <w:p>
            <w:pPr>
              <w:pStyle w:val="TableContents"/>
              <w:bidi w:val="0"/>
              <w:spacing w:before="0" w:after="283"/>
              <w:jc w:val="left"/>
              <w:rPr/>
            </w:pPr>
            <w:r>
              <w:rPr/>
              <w:t> </w:t>
            </w:r>
            <w:bookmarkStart w:id="45" w:name="xdx_401_eus-gaap--RestrictedCashCurrent_"/>
            <w:bookmarkEnd w:id="45"/>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3,044</w:t>
            </w:r>
          </w:p>
        </w:tc>
        <w:tc>
          <w:tcPr>
            <w:tcW w:w="110" w:type="dxa"/>
            <w:tcBorders/>
            <w:shd w:fill="CCEEFF" w:val="clear"/>
            <w:vAlign w:val="center"/>
          </w:tcPr>
          <w:p>
            <w:pPr>
              <w:pStyle w:val="TableContents"/>
              <w:bidi w:val="0"/>
              <w:spacing w:before="0" w:after="283"/>
              <w:jc w:val="left"/>
              <w:rPr/>
            </w:pPr>
            <w:r>
              <w:rPr/>
              <w:t> </w:t>
            </w:r>
            <w:bookmarkStart w:id="46" w:name="xdx_40D_eus-gaap--AccountsReceivableNetC"/>
            <w:bookmarkEnd w:id="46"/>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w:t>
            </w:r>
          </w:p>
        </w:tc>
        <w:tc>
          <w:tcPr>
            <w:tcW w:w="110" w:type="dxa"/>
            <w:tcBorders/>
            <w:shd w:fill="FFFFFF" w:val="clear"/>
            <w:vAlign w:val="center"/>
          </w:tcPr>
          <w:p>
            <w:pPr>
              <w:pStyle w:val="TableContents"/>
              <w:bidi w:val="0"/>
              <w:spacing w:before="0" w:after="283"/>
              <w:jc w:val="left"/>
              <w:rPr/>
            </w:pPr>
            <w:r>
              <w:rPr/>
              <w:t> </w:t>
            </w:r>
            <w:bookmarkStart w:id="47" w:name="xdx_408_eus-gaap--InventoryNet_i01I_maAC"/>
            <w:bookmarkEnd w:id="47"/>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27,127</w:t>
            </w:r>
          </w:p>
        </w:tc>
        <w:tc>
          <w:tcPr>
            <w:tcW w:w="110" w:type="dxa"/>
            <w:tcBorders/>
            <w:shd w:fill="CCEEFF" w:val="clear"/>
            <w:vAlign w:val="center"/>
          </w:tcPr>
          <w:p>
            <w:pPr>
              <w:pStyle w:val="TableContents"/>
              <w:bidi w:val="0"/>
              <w:spacing w:before="0" w:after="283"/>
              <w:jc w:val="left"/>
              <w:rPr/>
            </w:pPr>
            <w:r>
              <w:rPr/>
              <w:t> </w:t>
            </w:r>
            <w:bookmarkStart w:id="48" w:name="xdx_40C_ecustom--PrepaidExpenseOtherThan"/>
            <w:bookmarkEnd w:id="48"/>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110" w:type="dxa"/>
            <w:tcBorders/>
            <w:shd w:fill="FFFFFF" w:val="clear"/>
            <w:vAlign w:val="center"/>
          </w:tcPr>
          <w:p>
            <w:pPr>
              <w:pStyle w:val="TableContents"/>
              <w:bidi w:val="0"/>
              <w:spacing w:before="0" w:after="283"/>
              <w:jc w:val="left"/>
              <w:rPr/>
            </w:pPr>
            <w:r>
              <w:rPr/>
              <w:t> </w:t>
            </w:r>
            <w:bookmarkStart w:id="49" w:name="xdx_400_eus-gaap--Supplies_i01I_maACzdsP"/>
            <w:bookmarkEnd w:id="49"/>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110" w:type="dxa"/>
            <w:tcBorders/>
            <w:shd w:fill="CCEEFF" w:val="clear"/>
            <w:vAlign w:val="center"/>
          </w:tcPr>
          <w:p>
            <w:pPr>
              <w:pStyle w:val="TableContents"/>
              <w:bidi w:val="0"/>
              <w:spacing w:before="0" w:after="283"/>
              <w:jc w:val="left"/>
              <w:rPr/>
            </w:pPr>
            <w:r>
              <w:rPr/>
              <w:t> </w:t>
            </w:r>
            <w:bookmarkStart w:id="50" w:name="xdx_402_eus-gaap--PrepaidTaxes_i01I_maAC"/>
            <w:bookmarkEnd w:id="50"/>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51" w:name="xdx_400_eus-gaap--OtherAssetsCurrent_i01"/>
            <w:bookmarkEnd w:id="51"/>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w:t>
            </w:r>
          </w:p>
        </w:tc>
        <w:tc>
          <w:tcPr>
            <w:tcW w:w="110" w:type="dxa"/>
            <w:tcBorders/>
            <w:shd w:fill="CCEEFF" w:val="clear"/>
            <w:vAlign w:val="center"/>
          </w:tcPr>
          <w:p>
            <w:pPr>
              <w:pStyle w:val="TableContents"/>
              <w:bidi w:val="0"/>
              <w:spacing w:before="0" w:after="283"/>
              <w:jc w:val="left"/>
              <w:rPr/>
            </w:pPr>
            <w:r>
              <w:rPr/>
              <w:t> </w:t>
            </w:r>
            <w:bookmarkStart w:id="52" w:name="xdx_404_eus-gaap--AssetsCurrent_i01TI_mt"/>
            <w:bookmarkEnd w:id="52"/>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66,081</w:t>
            </w:r>
          </w:p>
        </w:tc>
        <w:tc>
          <w:tcPr>
            <w:tcW w:w="110" w:type="dxa"/>
            <w:tcBorders/>
            <w:shd w:fill="FFFFFF" w:val="clear"/>
            <w:vAlign w:val="center"/>
          </w:tcPr>
          <w:p>
            <w:pPr>
              <w:pStyle w:val="TableContents"/>
              <w:bidi w:val="0"/>
              <w:spacing w:before="0" w:after="283"/>
              <w:jc w:val="left"/>
              <w:rPr/>
            </w:pPr>
            <w:r>
              <w:rPr/>
              <w:t> </w:t>
            </w:r>
            <w:bookmarkStart w:id="53" w:name="xdx_402_eus-gaap--PropertyPlantAndEquipm"/>
            <w:bookmarkEnd w:id="53"/>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 w:name="xdx_40E_eus-gaap--MachineryAndEquipmentG"/>
            <w:bookmarkEnd w:id="54"/>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w:t>
            </w:r>
          </w:p>
        </w:tc>
        <w:tc>
          <w:tcPr>
            <w:tcW w:w="110" w:type="dxa"/>
            <w:tcBorders/>
            <w:shd w:fill="FFFFFF" w:val="clear"/>
            <w:vAlign w:val="center"/>
          </w:tcPr>
          <w:p>
            <w:pPr>
              <w:pStyle w:val="TableContents"/>
              <w:bidi w:val="0"/>
              <w:spacing w:before="0" w:after="283"/>
              <w:jc w:val="left"/>
              <w:rPr/>
            </w:pPr>
            <w:r>
              <w:rPr/>
              <w:t> </w:t>
            </w:r>
            <w:bookmarkStart w:id="55" w:name="xdx_40A_eus-gaap--FurnitureAndFixturesGr"/>
            <w:bookmarkEnd w:id="55"/>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10" w:type="dxa"/>
            <w:tcBorders/>
            <w:shd w:fill="CCEEFF" w:val="clear"/>
            <w:vAlign w:val="center"/>
          </w:tcPr>
          <w:p>
            <w:pPr>
              <w:pStyle w:val="TableContents"/>
              <w:bidi w:val="0"/>
              <w:spacing w:before="0" w:after="283"/>
              <w:jc w:val="left"/>
              <w:rPr/>
            </w:pPr>
            <w:r>
              <w:rPr/>
              <w:t> </w:t>
            </w:r>
            <w:bookmarkStart w:id="56" w:name="xdx_406_eus-gaap--LeaseholdImprovementsG"/>
            <w:bookmarkEnd w:id="56"/>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w:t>
            </w:r>
          </w:p>
        </w:tc>
        <w:tc>
          <w:tcPr>
            <w:tcW w:w="110" w:type="dxa"/>
            <w:tcBorders/>
            <w:shd w:fill="FFFFFF" w:val="clear"/>
            <w:vAlign w:val="center"/>
          </w:tcPr>
          <w:p>
            <w:pPr>
              <w:pStyle w:val="TableContents"/>
              <w:bidi w:val="0"/>
              <w:spacing w:before="0" w:after="283"/>
              <w:jc w:val="left"/>
              <w:rPr/>
            </w:pPr>
            <w:r>
              <w:rPr/>
              <w:t> </w:t>
            </w:r>
            <w:bookmarkStart w:id="57" w:name="xdx_404_ecustom--VehicleGross_i01I_maPPA"/>
            <w:bookmarkEnd w:id="57"/>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Vehicle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w:t>
            </w:r>
          </w:p>
        </w:tc>
        <w:tc>
          <w:tcPr>
            <w:tcW w:w="110" w:type="dxa"/>
            <w:tcBorders/>
            <w:shd w:fill="CCEEFF" w:val="clear"/>
            <w:vAlign w:val="center"/>
          </w:tcPr>
          <w:p>
            <w:pPr>
              <w:pStyle w:val="TableContents"/>
              <w:bidi w:val="0"/>
              <w:spacing w:before="0" w:after="283"/>
              <w:jc w:val="left"/>
              <w:rPr/>
            </w:pPr>
            <w:r>
              <w:rPr/>
              <w:t> </w:t>
            </w:r>
            <w:bookmarkStart w:id="58" w:name="xdx_409_eus-gaap--PropertyPlantAndEquipm"/>
            <w:bookmarkEnd w:id="58"/>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5,318</w:t>
            </w:r>
          </w:p>
        </w:tc>
        <w:tc>
          <w:tcPr>
            <w:tcW w:w="110" w:type="dxa"/>
            <w:tcBorders/>
            <w:shd w:fill="FFFFFF" w:val="clear"/>
            <w:vAlign w:val="center"/>
          </w:tcPr>
          <w:p>
            <w:pPr>
              <w:pStyle w:val="TableContents"/>
              <w:bidi w:val="0"/>
              <w:spacing w:before="0" w:after="283"/>
              <w:jc w:val="left"/>
              <w:rPr/>
            </w:pPr>
            <w:r>
              <w:rPr/>
              <w:t> </w:t>
            </w:r>
            <w:bookmarkStart w:id="59" w:name="xdx_40B_eus-gaap--AccumulatedDepreciatio"/>
            <w:bookmarkEnd w:id="59"/>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 w:name="xdx_409_eus-gaap--PropertyPlantAndEquipm"/>
            <w:bookmarkEnd w:id="60"/>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4,461</w:t>
            </w:r>
          </w:p>
        </w:tc>
        <w:tc>
          <w:tcPr>
            <w:tcW w:w="110" w:type="dxa"/>
            <w:tcBorders/>
            <w:shd w:fill="FFFFFF" w:val="clear"/>
            <w:vAlign w:val="center"/>
          </w:tcPr>
          <w:p>
            <w:pPr>
              <w:pStyle w:val="TableContents"/>
              <w:bidi w:val="0"/>
              <w:spacing w:before="0" w:after="283"/>
              <w:jc w:val="left"/>
              <w:rPr/>
            </w:pPr>
            <w:r>
              <w:rPr/>
              <w:t> </w:t>
            </w:r>
            <w:bookmarkStart w:id="61" w:name="xdx_40F_eus-gaap--OperatingLeaseRightOfU"/>
            <w:bookmarkEnd w:id="61"/>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5,709</w:t>
            </w:r>
          </w:p>
        </w:tc>
        <w:tc>
          <w:tcPr>
            <w:tcW w:w="110" w:type="dxa"/>
            <w:tcBorders/>
            <w:shd w:fill="CCEEFF" w:val="clear"/>
            <w:vAlign w:val="center"/>
          </w:tcPr>
          <w:p>
            <w:pPr>
              <w:pStyle w:val="TableContents"/>
              <w:bidi w:val="0"/>
              <w:spacing w:before="0" w:after="283"/>
              <w:jc w:val="left"/>
              <w:rPr/>
            </w:pPr>
            <w:r>
              <w:rPr/>
              <w:t> </w:t>
            </w:r>
            <w:bookmarkStart w:id="62" w:name="xdx_401_eus-gaap--Assets_iTI_mtAzQCo_zbB"/>
            <w:bookmarkEnd w:id="62"/>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76,251</w:t>
            </w:r>
          </w:p>
        </w:tc>
        <w:tc>
          <w:tcPr>
            <w:tcW w:w="110" w:type="dxa"/>
            <w:tcBorders/>
            <w:shd w:fill="FFFFFF" w:val="clear"/>
            <w:vAlign w:val="center"/>
          </w:tcPr>
          <w:p>
            <w:pPr>
              <w:pStyle w:val="TableContents"/>
              <w:bidi w:val="0"/>
              <w:spacing w:before="0" w:after="283"/>
              <w:jc w:val="left"/>
              <w:rPr/>
            </w:pPr>
            <w:r>
              <w:rPr/>
              <w:t> </w:t>
            </w:r>
            <w:bookmarkStart w:id="63" w:name="xdx_40C_eus-gaap--LiabilitiesCurrentAbst"/>
            <w:bookmarkEnd w:id="63"/>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 w:name="xdx_406_eus-gaap--AccountsPayableCurrent"/>
            <w:bookmarkEnd w:id="64"/>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11,360</w:t>
            </w:r>
          </w:p>
        </w:tc>
        <w:tc>
          <w:tcPr>
            <w:tcW w:w="110" w:type="dxa"/>
            <w:tcBorders/>
            <w:shd w:fill="FFFFFF" w:val="clear"/>
            <w:vAlign w:val="center"/>
          </w:tcPr>
          <w:p>
            <w:pPr>
              <w:pStyle w:val="TableContents"/>
              <w:bidi w:val="0"/>
              <w:spacing w:before="0" w:after="283"/>
              <w:jc w:val="left"/>
              <w:rPr/>
            </w:pPr>
            <w:r>
              <w:rPr/>
              <w:t> </w:t>
            </w:r>
            <w:bookmarkStart w:id="65" w:name="xdx_40E_eus-gaap--EmployeeRelatedLiabili"/>
            <w:bookmarkEnd w:id="65"/>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w:t>
            </w:r>
          </w:p>
        </w:tc>
        <w:tc>
          <w:tcPr>
            <w:tcW w:w="110" w:type="dxa"/>
            <w:tcBorders/>
            <w:shd w:fill="CCEEFF" w:val="clear"/>
            <w:vAlign w:val="center"/>
          </w:tcPr>
          <w:p>
            <w:pPr>
              <w:pStyle w:val="TableContents"/>
              <w:bidi w:val="0"/>
              <w:spacing w:before="0" w:after="283"/>
              <w:jc w:val="left"/>
              <w:rPr/>
            </w:pPr>
            <w:r>
              <w:rPr/>
              <w:t> </w:t>
            </w:r>
            <w:bookmarkStart w:id="66" w:name="xdx_40B_eus-gaap--ContractWithCustomerLi"/>
            <w:bookmarkEnd w:id="66"/>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110" w:type="dxa"/>
            <w:tcBorders/>
            <w:shd w:fill="FFFFFF" w:val="clear"/>
            <w:vAlign w:val="center"/>
          </w:tcPr>
          <w:p>
            <w:pPr>
              <w:pStyle w:val="TableContents"/>
              <w:bidi w:val="0"/>
              <w:spacing w:before="0" w:after="283"/>
              <w:jc w:val="left"/>
              <w:rPr/>
            </w:pPr>
            <w:r>
              <w:rPr/>
              <w:t> </w:t>
            </w:r>
            <w:bookmarkStart w:id="67" w:name="xdx_406_ecustom--UncertainTaxPositionLia"/>
            <w:bookmarkEnd w:id="67"/>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68" w:name="xdx_404_eus-gaap--AccruedIncomeTaxesCurr"/>
            <w:bookmarkEnd w:id="68"/>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110" w:type="dxa"/>
            <w:tcBorders/>
            <w:shd w:fill="FFFFFF" w:val="clear"/>
            <w:vAlign w:val="center"/>
          </w:tcPr>
          <w:p>
            <w:pPr>
              <w:pStyle w:val="TableContents"/>
              <w:bidi w:val="0"/>
              <w:spacing w:before="0" w:after="283"/>
              <w:jc w:val="left"/>
              <w:rPr/>
            </w:pPr>
            <w:r>
              <w:rPr/>
              <w:t> </w:t>
            </w:r>
            <w:bookmarkStart w:id="69" w:name="xdx_401_eus-gaap--NotesPayableCurrent_i0"/>
            <w:bookmarkEnd w:id="69"/>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w:t>
            </w:r>
          </w:p>
        </w:tc>
        <w:tc>
          <w:tcPr>
            <w:tcW w:w="110" w:type="dxa"/>
            <w:tcBorders/>
            <w:shd w:fill="CCEEFF" w:val="clear"/>
            <w:vAlign w:val="center"/>
          </w:tcPr>
          <w:p>
            <w:pPr>
              <w:pStyle w:val="TableContents"/>
              <w:bidi w:val="0"/>
              <w:spacing w:before="0" w:after="283"/>
              <w:jc w:val="left"/>
              <w:rPr/>
            </w:pPr>
            <w:r>
              <w:rPr/>
              <w:t> </w:t>
            </w:r>
            <w:bookmarkStart w:id="70" w:name="xdx_40A_eus-gaap--OperatingLeaseLiabilit"/>
            <w:bookmarkEnd w:id="70"/>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w:t>
            </w:r>
          </w:p>
        </w:tc>
        <w:tc>
          <w:tcPr>
            <w:tcW w:w="110" w:type="dxa"/>
            <w:tcBorders/>
            <w:shd w:fill="FFFFFF" w:val="clear"/>
            <w:vAlign w:val="center"/>
          </w:tcPr>
          <w:p>
            <w:pPr>
              <w:pStyle w:val="TableContents"/>
              <w:bidi w:val="0"/>
              <w:spacing w:before="0" w:after="283"/>
              <w:jc w:val="left"/>
              <w:rPr/>
            </w:pPr>
            <w:r>
              <w:rPr/>
              <w:t> </w:t>
            </w:r>
            <w:bookmarkStart w:id="71" w:name="xdx_40C_eus-gaap--LiabilitiesCurrent_i01"/>
            <w:bookmarkEnd w:id="71"/>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17,990</w:t>
            </w:r>
          </w:p>
        </w:tc>
        <w:tc>
          <w:tcPr>
            <w:tcW w:w="110" w:type="dxa"/>
            <w:tcBorders/>
            <w:shd w:fill="CCEEFF" w:val="clear"/>
            <w:vAlign w:val="center"/>
          </w:tcPr>
          <w:p>
            <w:pPr>
              <w:pStyle w:val="TableContents"/>
              <w:bidi w:val="0"/>
              <w:spacing w:before="0" w:after="283"/>
              <w:jc w:val="left"/>
              <w:rPr/>
            </w:pPr>
            <w:r>
              <w:rPr/>
              <w:t> </w:t>
            </w:r>
            <w:bookmarkStart w:id="72" w:name="xdx_40A_eus-gaap--LiabilitiesNoncurrentA"/>
            <w:bookmarkEnd w:id="72"/>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 w:name="xdx_409_eus-gaap--LongTermNotesPayable_i"/>
            <w:bookmarkEnd w:id="73"/>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payable-noncurrent,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37,053</w:t>
            </w:r>
          </w:p>
        </w:tc>
        <w:tc>
          <w:tcPr>
            <w:tcW w:w="110" w:type="dxa"/>
            <w:tcBorders/>
            <w:shd w:fill="CCEEFF" w:val="clear"/>
            <w:vAlign w:val="center"/>
          </w:tcPr>
          <w:p>
            <w:pPr>
              <w:pStyle w:val="TableContents"/>
              <w:bidi w:val="0"/>
              <w:spacing w:before="0" w:after="283"/>
              <w:jc w:val="left"/>
              <w:rPr/>
            </w:pPr>
            <w:r>
              <w:rPr/>
              <w:t> </w:t>
            </w:r>
            <w:bookmarkStart w:id="74" w:name="xdx_40E_eus-gaap--DeferredIncomeTaxLiabi"/>
            <w:bookmarkEnd w:id="74"/>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110" w:type="dxa"/>
            <w:tcBorders/>
            <w:shd w:fill="FFFFFF" w:val="clear"/>
            <w:vAlign w:val="center"/>
          </w:tcPr>
          <w:p>
            <w:pPr>
              <w:pStyle w:val="TableContents"/>
              <w:bidi w:val="0"/>
              <w:spacing w:before="0" w:after="283"/>
              <w:jc w:val="left"/>
              <w:rPr/>
            </w:pPr>
            <w:r>
              <w:rPr/>
              <w:t> </w:t>
            </w:r>
            <w:bookmarkStart w:id="75" w:name="xdx_40E_ecustom--WarrantLiabilityNoncurr"/>
            <w:bookmarkEnd w:id="75"/>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 w:name="xdx_40C_eus-gaap--OtherAccruedLiabilitie"/>
            <w:bookmarkEnd w:id="76"/>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long-term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77" w:name="xdx_408_eus-gaap--OperatingLeaseLiabilit"/>
            <w:bookmarkEnd w:id="77"/>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w:t>
            </w:r>
          </w:p>
        </w:tc>
        <w:tc>
          <w:tcPr>
            <w:tcW w:w="110" w:type="dxa"/>
            <w:tcBorders/>
            <w:shd w:fill="CCEEFF" w:val="clear"/>
            <w:vAlign w:val="center"/>
          </w:tcPr>
          <w:p>
            <w:pPr>
              <w:pStyle w:val="TableContents"/>
              <w:bidi w:val="0"/>
              <w:spacing w:before="0" w:after="283"/>
              <w:jc w:val="left"/>
              <w:rPr/>
            </w:pPr>
            <w:r>
              <w:rPr/>
              <w:t> </w:t>
            </w:r>
            <w:bookmarkStart w:id="78" w:name="xdx_40B_eus-gaap--LiabilitiesNoncurrent_"/>
            <w:bookmarkEnd w:id="78"/>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42,200</w:t>
            </w:r>
          </w:p>
        </w:tc>
        <w:tc>
          <w:tcPr>
            <w:tcW w:w="110" w:type="dxa"/>
            <w:tcBorders/>
            <w:shd w:fill="FFFFFF" w:val="clear"/>
            <w:vAlign w:val="center"/>
          </w:tcPr>
          <w:p>
            <w:pPr>
              <w:pStyle w:val="TableContents"/>
              <w:bidi w:val="0"/>
              <w:spacing w:before="0" w:after="283"/>
              <w:jc w:val="left"/>
              <w:rPr/>
            </w:pPr>
            <w:r>
              <w:rPr/>
              <w:t> </w:t>
            </w:r>
            <w:bookmarkStart w:id="79" w:name="xdx_40E_eus-gaap--Liabilities_i01TI_mtLz"/>
            <w:bookmarkEnd w:id="79"/>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60,190</w:t>
            </w:r>
          </w:p>
        </w:tc>
        <w:tc>
          <w:tcPr>
            <w:tcW w:w="110" w:type="dxa"/>
            <w:tcBorders/>
            <w:shd w:fill="CCEEFF" w:val="clear"/>
            <w:vAlign w:val="center"/>
          </w:tcPr>
          <w:p>
            <w:pPr>
              <w:pStyle w:val="TableContents"/>
              <w:bidi w:val="0"/>
              <w:spacing w:before="0" w:after="283"/>
              <w:jc w:val="left"/>
              <w:rPr/>
            </w:pPr>
            <w:r>
              <w:rPr/>
              <w:t> </w:t>
            </w:r>
            <w:bookmarkStart w:id="80" w:name="xdx_406_eus-gaap--CommitmentsAndContinge"/>
            <w:bookmarkEnd w:id="80"/>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(See 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81" w:name="xdx_40E_eus-gaap--StockholdersEquityAbst"/>
            <w:bookmarkEnd w:id="81"/>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 w:name="xdx_402_eus-gaap--CommonStockValue_i01I_"/>
            <w:bookmarkEnd w:id="82"/>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Common stock, </w:t>
            </w:r>
            <w:bookmarkStart w:id="83" w:name="xdx_908_eus-gaap--CommonStockSharesAutho"/>
            <w:bookmarkStart w:id="84" w:name="xdx_902_eus-gaap--CommonStockSharesAutho"/>
            <w:bookmarkEnd w:id="83"/>
            <w:bookmarkEnd w:id="84"/>
            <w:r>
              <w:rPr>
                <w:rFonts w:ascii="Times New Roman;Times;Serif" w:hAnsi="Times New Roman;Times;Serif"/>
              </w:rPr>
              <w:t>170,000,000 shares, $</w:t>
            </w:r>
            <w:bookmarkStart w:id="85" w:name="xdx_90C_eus-gaap--CommonStockParOrStated"/>
            <w:bookmarkStart w:id="86" w:name="xdx_901_eus-gaap--CommonStockParOrStated"/>
            <w:bookmarkEnd w:id="85"/>
            <w:bookmarkEnd w:id="86"/>
            <w:r>
              <w:rPr>
                <w:rFonts w:ascii="Times New Roman;Times;Serif" w:hAnsi="Times New Roman;Times;Serif"/>
              </w:rPr>
              <w:t xml:space="preserve">0.0001 par value, authorized, </w:t>
            </w:r>
            <w:bookmarkStart w:id="87" w:name="xdx_906_eus-gaap--CommonStockSharesOutst"/>
            <w:bookmarkStart w:id="88" w:name="xdx_901_eus-gaap--CommonStockSharesIssue"/>
            <w:bookmarkEnd w:id="87"/>
            <w:bookmarkEnd w:id="88"/>
            <w:r>
              <w:rPr>
                <w:rFonts w:ascii="Times New Roman;Times;Serif" w:hAnsi="Times New Roman;Times;Serif"/>
              </w:rPr>
              <w:t xml:space="preserve">43,272,728 and </w:t>
            </w:r>
            <w:bookmarkStart w:id="89" w:name="xdx_900_eus-gaap--CommonStockSharesOutst"/>
            <w:bookmarkStart w:id="90" w:name="xdx_90F_eus-gaap--CommonStockSharesIssue"/>
            <w:bookmarkEnd w:id="89"/>
            <w:bookmarkEnd w:id="90"/>
            <w:r>
              <w:rPr>
                <w:rFonts w:ascii="Times New Roman;Times;Serif" w:hAnsi="Times New Roman;Times;Serif"/>
              </w:rPr>
              <w:t>36,496,998 shares issued and outstanding as of December 31, 2022 and 2021,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FFFFFF" w:val="clear"/>
            <w:vAlign w:val="center"/>
          </w:tcPr>
          <w:p>
            <w:pPr>
              <w:pStyle w:val="TableContents"/>
              <w:bidi w:val="0"/>
              <w:spacing w:before="0" w:after="283"/>
              <w:jc w:val="left"/>
              <w:rPr/>
            </w:pPr>
            <w:r>
              <w:rPr/>
              <w:t> </w:t>
            </w:r>
            <w:bookmarkStart w:id="91" w:name="xdx_402_eus-gaap--PreferredStockValue_i0"/>
            <w:bookmarkEnd w:id="91"/>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Preferred stock, </w:t>
            </w:r>
            <w:bookmarkStart w:id="92" w:name="xdx_902_eus-gaap--PreferredStockSharesAu"/>
            <w:bookmarkStart w:id="93" w:name="xdx_905_eus-gaap--PreferredStockSharesAu"/>
            <w:bookmarkEnd w:id="92"/>
            <w:bookmarkEnd w:id="93"/>
            <w:r>
              <w:rPr>
                <w:rFonts w:ascii="Times New Roman;Times;Serif" w:hAnsi="Times New Roman;Times;Serif"/>
              </w:rPr>
              <w:t>5,000,000 shares, $</w:t>
            </w:r>
            <w:bookmarkStart w:id="94" w:name="xdx_901_eus-gaap--PreferredStockParOrSta"/>
            <w:bookmarkStart w:id="95" w:name="xdx_900_eus-gaap--PreferredStockParOrSta"/>
            <w:bookmarkEnd w:id="94"/>
            <w:bookmarkEnd w:id="95"/>
            <w:r>
              <w:rPr>
                <w:rFonts w:ascii="Times New Roman;Times;Serif" w:hAnsi="Times New Roman;Times;Serif"/>
              </w:rPr>
              <w:t xml:space="preserve">0.0001 par value, authorized, </w:t>
            </w:r>
            <w:bookmarkStart w:id="96" w:name="xdx_908_eus-gaap--PreferredStockSharesOu"/>
            <w:bookmarkStart w:id="97" w:name="xdx_902_eus-gaap--PreferredStockSharesIs"/>
            <w:bookmarkStart w:id="98" w:name="xdx_904_eus-gaap--PreferredStockSharesOu"/>
            <w:bookmarkStart w:id="99" w:name="xdx_904_eus-gaap--PreferredStockSharesIs"/>
            <w:bookmarkEnd w:id="96"/>
            <w:bookmarkEnd w:id="97"/>
            <w:bookmarkEnd w:id="98"/>
            <w:bookmarkEnd w:id="99"/>
            <w:r>
              <w:rPr>
                <w:rFonts w:ascii="Times New Roman;Times;Serif" w:hAnsi="Times New Roman;Times;Serif"/>
              </w:rPr>
              <w:t>no shares issued and outstanding as of December 31, 2022 and 2021,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00" w:name="xdx_409_eus-gaap--AdditionalPaidInCapita"/>
            <w:bookmarkEnd w:id="100"/>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110" w:type="dxa"/>
            <w:tcBorders/>
            <w:shd w:fill="FFFFFF" w:val="clear"/>
            <w:vAlign w:val="center"/>
          </w:tcPr>
          <w:p>
            <w:pPr>
              <w:pStyle w:val="TableContents"/>
              <w:bidi w:val="0"/>
              <w:spacing w:before="0" w:after="283"/>
              <w:jc w:val="left"/>
              <w:rPr/>
            </w:pPr>
            <w:r>
              <w:rPr/>
              <w:t> </w:t>
            </w:r>
            <w:bookmarkStart w:id="101" w:name="xdx_40E_eus-gaap--RetainedEarningsAccumu"/>
            <w:bookmarkEnd w:id="101"/>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(deficit) earnings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110" w:type="dxa"/>
            <w:tcBorders/>
            <w:shd w:fill="CCEEFF" w:val="clear"/>
            <w:vAlign w:val="center"/>
          </w:tcPr>
          <w:p>
            <w:pPr>
              <w:pStyle w:val="TableContents"/>
              <w:bidi w:val="0"/>
              <w:spacing w:before="0" w:after="283"/>
              <w:jc w:val="left"/>
              <w:rPr/>
            </w:pPr>
            <w:r>
              <w:rPr/>
              <w:t> </w:t>
            </w:r>
            <w:bookmarkStart w:id="102" w:name="xdx_405_eus-gaap--StockholdersEquity_i01"/>
            <w:bookmarkEnd w:id="102"/>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0" w:type="dxa"/>
            <w:tcBorders/>
            <w:shd w:fill="FFFFFF" w:val="clear"/>
            <w:vAlign w:val="center"/>
          </w:tcPr>
          <w:p>
            <w:pPr>
              <w:pStyle w:val="TableContents"/>
              <w:bidi w:val="0"/>
              <w:spacing w:before="0" w:after="283"/>
              <w:jc w:val="left"/>
              <w:rPr/>
            </w:pPr>
            <w:r>
              <w:rPr/>
              <w:t> </w:t>
            </w:r>
            <w:bookmarkStart w:id="103" w:name="xdx_401_eus-gaap--LiabilitiesAndStockhol"/>
            <w:bookmarkEnd w:id="103"/>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4" w:name="a_019"/>
      <w:bookmarkEnd w:id="104"/>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w:t>
      </w:r>
      <w:r>
        <w:rPr>
          <w:rFonts w:ascii="Times New Roman;Times;Serif" w:hAnsi="Times New Roman;Times;Serif"/>
          <w:b/>
          <w:i w:val="false"/>
          <w:caps/>
          <w:sz w:val="20"/>
        </w:rPr>
        <w:t>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5" w:name="xdx_30D_113_pn3n3_zrFJ0lICmMb2"/>
      <w:bookmarkStart w:id="106" w:name="xdx_30D_113_pn3n3_zrFJ0lICmMb2"/>
      <w:bookmarkEnd w:id="106"/>
    </w:p>
    <w:tbl>
      <w:tblPr>
        <w:tblW w:w="7325" w:type="dxa"/>
        <w:jc w:val="left"/>
        <w:tblInd w:w="0" w:type="dxa"/>
        <w:tblLayout w:type="fixed"/>
        <w:tblCellMar>
          <w:top w:w="0" w:type="dxa"/>
          <w:left w:w="0" w:type="dxa"/>
          <w:bottom w:w="0" w:type="dxa"/>
          <w:right w:w="0" w:type="dxa"/>
        </w:tblCellMar>
      </w:tblPr>
      <w:tblGrid>
        <w:gridCol w:w="4520"/>
        <w:gridCol w:w="60"/>
        <w:gridCol w:w="140"/>
        <w:gridCol w:w="1100"/>
        <w:gridCol w:w="95"/>
        <w:gridCol w:w="60"/>
        <w:gridCol w:w="140"/>
        <w:gridCol w:w="1100"/>
        <w:gridCol w:w="110"/>
      </w:tblGrid>
      <w:tr>
        <w:trPr/>
        <w:tc>
          <w:tcPr>
            <w:tcW w:w="4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7" w:name="xdx_496_20220101__20221231_zikGnyYoIaQ9"/>
            <w:bookmarkEnd w:id="107"/>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8" w:name="xdx_499_20210101__20211231_zhRTJm1AdWg1"/>
            <w:bookmarkEnd w:id="108"/>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bookmarkStart w:id="109" w:name="xdx_40E_eus-gaap--RevenueFromContractWit"/>
            <w:bookmarkEnd w:id="109"/>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110" w:type="dxa"/>
            <w:tcBorders/>
            <w:shd w:fill="CCEEFF" w:val="clear"/>
            <w:vAlign w:val="center"/>
          </w:tcPr>
          <w:p>
            <w:pPr>
              <w:pStyle w:val="TableContents"/>
              <w:bidi w:val="0"/>
              <w:spacing w:before="0" w:after="283"/>
              <w:jc w:val="left"/>
              <w:rPr/>
            </w:pPr>
            <w:r>
              <w:rPr/>
              <w:t> </w:t>
            </w:r>
            <w:bookmarkStart w:id="110" w:name="xdx_40A_eus-gaap--CostOfGoodsAndServices"/>
            <w:bookmarkEnd w:id="110"/>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48,375</w:t>
            </w:r>
          </w:p>
        </w:tc>
        <w:tc>
          <w:tcPr>
            <w:tcW w:w="110" w:type="dxa"/>
            <w:tcBorders/>
            <w:shd w:fill="FFFFFF" w:val="clear"/>
            <w:vAlign w:val="center"/>
          </w:tcPr>
          <w:p>
            <w:pPr>
              <w:pStyle w:val="TableContents"/>
              <w:bidi w:val="0"/>
              <w:spacing w:before="0" w:after="283"/>
              <w:jc w:val="left"/>
              <w:rPr/>
            </w:pPr>
            <w:r>
              <w:rPr/>
              <w:t> </w:t>
            </w:r>
            <w:bookmarkStart w:id="111" w:name="xdx_40F_eus-gaap--GrossProfit_iT_mtGPzM3"/>
            <w:bookmarkEnd w:id="111"/>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29,625</w:t>
            </w:r>
          </w:p>
        </w:tc>
        <w:tc>
          <w:tcPr>
            <w:tcW w:w="110" w:type="dxa"/>
            <w:tcBorders/>
            <w:shd w:fill="CCEEFF" w:val="clear"/>
            <w:vAlign w:val="center"/>
          </w:tcPr>
          <w:p>
            <w:pPr>
              <w:pStyle w:val="TableContents"/>
              <w:bidi w:val="0"/>
              <w:spacing w:before="0" w:after="283"/>
              <w:jc w:val="left"/>
              <w:rPr/>
            </w:pPr>
            <w:r>
              <w:rPr/>
              <w:t> </w:t>
            </w:r>
            <w:bookmarkStart w:id="112" w:name="xdx_40C_eus-gaap--OperatingExpensesAbstr"/>
            <w:bookmarkEnd w:id="112"/>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3" w:name="xdx_401_eus-gaap--ResearchAndDevelopment"/>
            <w:bookmarkEnd w:id="113"/>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2,689</w:t>
            </w:r>
          </w:p>
        </w:tc>
        <w:tc>
          <w:tcPr>
            <w:tcW w:w="110" w:type="dxa"/>
            <w:tcBorders/>
            <w:shd w:fill="CCEEFF" w:val="clear"/>
            <w:vAlign w:val="center"/>
          </w:tcPr>
          <w:p>
            <w:pPr>
              <w:pStyle w:val="TableContents"/>
              <w:bidi w:val="0"/>
              <w:spacing w:before="0" w:after="283"/>
              <w:jc w:val="left"/>
              <w:rPr/>
            </w:pPr>
            <w:r>
              <w:rPr/>
              <w:t> </w:t>
            </w:r>
            <w:bookmarkStart w:id="114" w:name="xdx_407_eus-gaap--GeneralAndAdministrati"/>
            <w:bookmarkEnd w:id="114"/>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110" w:type="dxa"/>
            <w:tcBorders/>
            <w:shd w:fill="FFFFFF" w:val="clear"/>
            <w:vAlign w:val="center"/>
          </w:tcPr>
          <w:p>
            <w:pPr>
              <w:pStyle w:val="TableContents"/>
              <w:bidi w:val="0"/>
              <w:spacing w:before="0" w:after="283"/>
              <w:jc w:val="left"/>
              <w:rPr/>
            </w:pPr>
            <w:r>
              <w:rPr/>
              <w:t> </w:t>
            </w:r>
            <w:bookmarkStart w:id="115" w:name="xdx_405_eus-gaap--SellingAndMarketingExp"/>
            <w:bookmarkEnd w:id="115"/>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9,848</w:t>
            </w:r>
          </w:p>
        </w:tc>
        <w:tc>
          <w:tcPr>
            <w:tcW w:w="110" w:type="dxa"/>
            <w:tcBorders/>
            <w:shd w:fill="CCEEFF" w:val="clear"/>
            <w:vAlign w:val="center"/>
          </w:tcPr>
          <w:p>
            <w:pPr>
              <w:pStyle w:val="TableContents"/>
              <w:bidi w:val="0"/>
              <w:spacing w:before="0" w:after="283"/>
              <w:jc w:val="left"/>
              <w:rPr/>
            </w:pPr>
            <w:r>
              <w:rPr/>
              <w:t> </w:t>
            </w:r>
            <w:bookmarkStart w:id="116" w:name="xdx_40B_eus-gaap--OperatingExpenses_i01T"/>
            <w:bookmarkEnd w:id="116"/>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23,158</w:t>
            </w:r>
          </w:p>
        </w:tc>
        <w:tc>
          <w:tcPr>
            <w:tcW w:w="110" w:type="dxa"/>
            <w:tcBorders/>
            <w:shd w:fill="FFFFFF" w:val="clear"/>
            <w:vAlign w:val="center"/>
          </w:tcPr>
          <w:p>
            <w:pPr>
              <w:pStyle w:val="TableContents"/>
              <w:bidi w:val="0"/>
              <w:spacing w:before="0" w:after="283"/>
              <w:jc w:val="left"/>
              <w:rPr/>
            </w:pPr>
            <w:r>
              <w:rPr/>
              <w:t> </w:t>
            </w:r>
            <w:bookmarkStart w:id="117" w:name="xdx_403_eus-gaap--OperatingIncomeLoss_iT"/>
            <w:bookmarkEnd w:id="117"/>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6,467</w:t>
            </w:r>
          </w:p>
        </w:tc>
        <w:tc>
          <w:tcPr>
            <w:tcW w:w="110" w:type="dxa"/>
            <w:tcBorders/>
            <w:shd w:fill="CCEEFF" w:val="clear"/>
            <w:vAlign w:val="center"/>
          </w:tcPr>
          <w:p>
            <w:pPr>
              <w:pStyle w:val="TableContents"/>
              <w:bidi w:val="0"/>
              <w:spacing w:before="0" w:after="283"/>
              <w:jc w:val="left"/>
              <w:rPr/>
            </w:pPr>
            <w:r>
              <w:rPr/>
              <w:t> </w:t>
            </w:r>
            <w:bookmarkStart w:id="118" w:name="xdx_409_eus-gaap--NonoperatingIncomeExpe"/>
            <w:bookmarkEnd w:id="118"/>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9" w:name="xdx_403_eus-gaap--OtherNonoperatingIncom"/>
            <w:bookmarkEnd w:id="119"/>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bidi w:val="0"/>
              <w:spacing w:before="0" w:after="283"/>
              <w:jc w:val="left"/>
              <w:rPr/>
            </w:pPr>
            <w:r>
              <w:rPr/>
              <w:t> </w:t>
            </w:r>
            <w:bookmarkStart w:id="120" w:name="xdx_404_eus-gaap--InterestExpense_i01N_d"/>
            <w:bookmarkEnd w:id="120"/>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1" w:name="xdx_408_eus-gaap--FairValueAdjustmentOfW"/>
            <w:bookmarkEnd w:id="121"/>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22" w:name="xdx_400_eus-gaap--GainsLossesOnExtinguis"/>
            <w:bookmarkEnd w:id="122"/>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23" w:name="xdx_40E_eus-gaap--NonoperatingIncomeExpe"/>
            <w:bookmarkEnd w:id="123"/>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4" w:name="xdx_404_eus-gaap--IncomeLossFromContinui"/>
            <w:bookmarkEnd w:id="124"/>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Income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5,949</w:t>
            </w:r>
          </w:p>
        </w:tc>
        <w:tc>
          <w:tcPr>
            <w:tcW w:w="110" w:type="dxa"/>
            <w:tcBorders/>
            <w:shd w:fill="FFFFFF" w:val="clear"/>
            <w:vAlign w:val="center"/>
          </w:tcPr>
          <w:p>
            <w:pPr>
              <w:pStyle w:val="TableContents"/>
              <w:bidi w:val="0"/>
              <w:spacing w:before="0" w:after="283"/>
              <w:jc w:val="left"/>
              <w:rPr/>
            </w:pPr>
            <w:r>
              <w:rPr/>
              <w:t> </w:t>
            </w:r>
            <w:bookmarkStart w:id="125" w:name="xdx_40A_eus-gaap--IncomeTaxExpenseBenefi"/>
            <w:bookmarkEnd w:id="125"/>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1,611</w:t>
            </w:r>
          </w:p>
        </w:tc>
        <w:tc>
          <w:tcPr>
            <w:tcW w:w="110" w:type="dxa"/>
            <w:tcBorders/>
            <w:shd w:fill="CCEEFF" w:val="clear"/>
            <w:vAlign w:val="center"/>
          </w:tcPr>
          <w:p>
            <w:pPr>
              <w:pStyle w:val="TableContents"/>
              <w:bidi w:val="0"/>
              <w:spacing w:before="0" w:after="283"/>
              <w:jc w:val="left"/>
              <w:rPr/>
            </w:pPr>
            <w:r>
              <w:rPr/>
              <w:t> </w:t>
            </w:r>
            <w:bookmarkStart w:id="126" w:name="xdx_404_eus-gaap--NetIncomeLoss_iT_mtNIL"/>
            <w:bookmarkEnd w:id="126"/>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0" w:type="dxa"/>
            <w:tcBorders/>
            <w:shd w:fill="FFFFFF" w:val="clear"/>
            <w:vAlign w:val="center"/>
          </w:tcPr>
          <w:p>
            <w:pPr>
              <w:pStyle w:val="TableContents"/>
              <w:bidi w:val="0"/>
              <w:spacing w:before="0" w:after="283"/>
              <w:jc w:val="left"/>
              <w:rPr/>
            </w:pPr>
            <w:r>
              <w:rPr/>
              <w:t> </w:t>
            </w:r>
            <w:bookmarkStart w:id="127" w:name="xdx_405_eus-gaap--EarningsPerShareBasic_"/>
            <w:bookmarkEnd w:id="127"/>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110" w:type="dxa"/>
            <w:tcBorders/>
            <w:shd w:fill="CCEEFF" w:val="clear"/>
            <w:vAlign w:val="center"/>
          </w:tcPr>
          <w:p>
            <w:pPr>
              <w:pStyle w:val="TableContents"/>
              <w:bidi w:val="0"/>
              <w:spacing w:before="0" w:after="283"/>
              <w:jc w:val="left"/>
              <w:rPr/>
            </w:pPr>
            <w:r>
              <w:rPr/>
              <w:t> </w:t>
            </w:r>
            <w:bookmarkStart w:id="128" w:name="xdx_40D_eus-gaap--EarningsPerShareDilute"/>
            <w:bookmarkEnd w:id="128"/>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110" w:type="dxa"/>
            <w:tcBorders/>
            <w:shd w:fill="FFFFFF" w:val="clear"/>
            <w:vAlign w:val="center"/>
          </w:tcPr>
          <w:p>
            <w:pPr>
              <w:pStyle w:val="TableContents"/>
              <w:bidi w:val="0"/>
              <w:spacing w:before="0" w:after="283"/>
              <w:jc w:val="left"/>
              <w:rPr/>
            </w:pPr>
            <w:r>
              <w:rPr/>
              <w:t> </w:t>
            </w:r>
            <w:bookmarkStart w:id="129" w:name="xdx_40F_eus-gaap--WeightedAverageNumberO"/>
            <w:bookmarkEnd w:id="129"/>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110" w:type="dxa"/>
            <w:tcBorders/>
            <w:shd w:fill="CCEEFF" w:val="clear"/>
            <w:vAlign w:val="center"/>
          </w:tcPr>
          <w:p>
            <w:pPr>
              <w:pStyle w:val="TableContents"/>
              <w:bidi w:val="0"/>
              <w:spacing w:before="0" w:after="283"/>
              <w:jc w:val="left"/>
              <w:rPr/>
            </w:pPr>
            <w:r>
              <w:rPr/>
              <w:t> </w:t>
            </w:r>
            <w:bookmarkStart w:id="130" w:name="xdx_408_eus-gaap--WeightedAverageNumberO"/>
            <w:bookmarkEnd w:id="130"/>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37,742,337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1" w:name="a_020"/>
      <w:bookmarkEnd w:id="131"/>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2" w:name="xdx_309_114_pn3n3_zSHSZAAVJG5b"/>
      <w:bookmarkStart w:id="133" w:name="xdx_309_114_pn3n3_zSHSZAAVJG5b"/>
      <w:bookmarkEnd w:id="133"/>
    </w:p>
    <w:tbl>
      <w:tblPr>
        <w:tblW w:w="10205" w:type="dxa"/>
        <w:jc w:val="left"/>
        <w:tblInd w:w="0" w:type="dxa"/>
        <w:tblLayout w:type="fixed"/>
        <w:tblCellMar>
          <w:top w:w="0" w:type="dxa"/>
          <w:left w:w="0" w:type="dxa"/>
          <w:bottom w:w="0" w:type="dxa"/>
          <w:right w:w="0" w:type="dxa"/>
        </w:tblCellMar>
      </w:tblPr>
      <w:tblGrid>
        <w:gridCol w:w="2006"/>
        <w:gridCol w:w="60"/>
        <w:gridCol w:w="60"/>
        <w:gridCol w:w="1175"/>
        <w:gridCol w:w="95"/>
        <w:gridCol w:w="60"/>
        <w:gridCol w:w="155"/>
        <w:gridCol w:w="705"/>
        <w:gridCol w:w="95"/>
        <w:gridCol w:w="60"/>
        <w:gridCol w:w="60"/>
        <w:gridCol w:w="1100"/>
        <w:gridCol w:w="60"/>
        <w:gridCol w:w="60"/>
        <w:gridCol w:w="172"/>
        <w:gridCol w:w="688"/>
        <w:gridCol w:w="60"/>
        <w:gridCol w:w="60"/>
        <w:gridCol w:w="198"/>
        <w:gridCol w:w="967"/>
        <w:gridCol w:w="60"/>
        <w:gridCol w:w="60"/>
        <w:gridCol w:w="160"/>
        <w:gridCol w:w="867"/>
        <w:gridCol w:w="95"/>
        <w:gridCol w:w="60"/>
        <w:gridCol w:w="140"/>
        <w:gridCol w:w="755"/>
        <w:gridCol w:w="112"/>
      </w:tblGrid>
      <w:tr>
        <w:trPr/>
        <w:tc>
          <w:tcPr>
            <w:tcW w:w="2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4" w:name="xdx_4B6_us-gaap--StatementEquityComponen"/>
            <w:bookmarkEnd w:id="134"/>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5" w:name="xdx_4B3_us-gaap--StatementEquityComponen"/>
            <w:bookmarkEnd w:id="135"/>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6" w:name="xdx_4BD_us-gaap--StatementEquityComponen"/>
            <w:bookmarkEnd w:id="136"/>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7" w:name="xdx_4B1_us-gaap--StatementEquityComponen"/>
            <w:bookmarkEnd w:id="137"/>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8" w:name="xdx_4B2_zudbw95ftfVf"/>
            <w:bookmarkEnd w:id="138"/>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Redeemable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Retained 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2" w:type="dxa"/>
            <w:tcBorders/>
            <w:vAlign w:val="center"/>
          </w:tcPr>
          <w:p>
            <w:pPr>
              <w:pStyle w:val="TableContents"/>
              <w:bidi w:val="0"/>
              <w:spacing w:before="0" w:after="283"/>
              <w:jc w:val="left"/>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139" w:name="xdx_438_c20210101__20211231_eus-gaap--St"/>
            <w:bookmarkEnd w:id="139"/>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January 1, 2021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0" w:name="xdx_986_eus-gaap--SharesOutstanding_iS_p"/>
            <w:bookmarkEnd w:id="140"/>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1" w:name="xdx_985_eus-gaap--SharesOutstanding_iS_p"/>
            <w:bookmarkEnd w:id="141"/>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20,040,470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8,555</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42" w:name="xdx_407_ecustom--StockIssuedDuringPeriod"/>
            <w:bookmarkEnd w:id="142"/>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Retroactive application of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3" w:name="xdx_986_ecustom--StockIssuedDuringPeriod"/>
            <w:bookmarkEnd w:id="143"/>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4" w:name="xdx_98D_ecustom--StockIssuedDuringPeriod"/>
            <w:bookmarkEnd w:id="144"/>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15,469,477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2" w:type="dxa"/>
            <w:tcBorders/>
            <w:shd w:fill="CCEEFF" w:val="clear"/>
            <w:vAlign w:val="center"/>
          </w:tcPr>
          <w:p>
            <w:pPr>
              <w:pStyle w:val="TableContents"/>
              <w:bidi w:val="0"/>
              <w:spacing w:before="0" w:after="283"/>
              <w:jc w:val="left"/>
              <w:rPr/>
            </w:pPr>
            <w:r>
              <w:rPr/>
              <w:t> </w:t>
            </w:r>
            <w:bookmarkStart w:id="145" w:name="xdx_40A_ecustom--StockholdersEquityAdjus"/>
            <w:bookmarkEnd w:id="145"/>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balance,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6" w:name="xdx_981_ecustom--StockholdersEquityAdjus"/>
            <w:bookmarkEnd w:id="146"/>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35,509,947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10,555</w:t>
            </w:r>
          </w:p>
        </w:tc>
        <w:tc>
          <w:tcPr>
            <w:tcW w:w="112" w:type="dxa"/>
            <w:tcBorders/>
            <w:shd w:fill="FFFFFF" w:val="clear"/>
            <w:vAlign w:val="center"/>
          </w:tcPr>
          <w:p>
            <w:pPr>
              <w:pStyle w:val="TableContents"/>
              <w:bidi w:val="0"/>
              <w:spacing w:before="0" w:after="283"/>
              <w:jc w:val="left"/>
              <w:rPr/>
            </w:pPr>
            <w:r>
              <w:rPr/>
              <w:t> </w:t>
            </w:r>
            <w:bookmarkStart w:id="147" w:name="xdx_406_eus-gaap--NetIncomeLoss_pn3n3_zM"/>
            <w:bookmarkEnd w:id="147"/>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2" w:type="dxa"/>
            <w:tcBorders/>
            <w:shd w:fill="CCEEFF" w:val="clear"/>
            <w:vAlign w:val="center"/>
          </w:tcPr>
          <w:p>
            <w:pPr>
              <w:pStyle w:val="TableContents"/>
              <w:bidi w:val="0"/>
              <w:spacing w:before="0" w:after="283"/>
              <w:jc w:val="left"/>
              <w:rPr/>
            </w:pPr>
            <w:r>
              <w:rPr/>
              <w:t> </w:t>
            </w:r>
            <w:bookmarkStart w:id="148" w:name="xdx_400_eus-gaap--AdjustmentsToAdditiona"/>
            <w:bookmarkEnd w:id="148"/>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112" w:type="dxa"/>
            <w:tcBorders/>
            <w:shd w:fill="FFFFFF" w:val="clear"/>
            <w:vAlign w:val="center"/>
          </w:tcPr>
          <w:p>
            <w:pPr>
              <w:pStyle w:val="TableContents"/>
              <w:bidi w:val="0"/>
              <w:spacing w:before="0" w:after="283"/>
              <w:jc w:val="left"/>
              <w:rPr/>
            </w:pPr>
            <w:r>
              <w:rPr/>
              <w:t> </w:t>
            </w:r>
            <w:bookmarkStart w:id="149" w:name="xdx_403_eus-gaap--StockIssuedDuringPerio"/>
            <w:bookmarkEnd w:id="149"/>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50" w:name="xdx_98E_eus-gaap--StockIssuedDuringPerio"/>
            <w:bookmarkEnd w:id="150"/>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51" w:name="xdx_432_c20210101__20211231_eus-gaap--St"/>
            <w:bookmarkEnd w:id="151"/>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2" w:name="xdx_985_eus-gaap--SharesOutstanding_iE_p"/>
            <w:bookmarkEnd w:id="152"/>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3" w:name="xdx_985_eus-gaap--SharesOutstanding_iE_p"/>
            <w:bookmarkEnd w:id="15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54" w:name="xdx_43B_c20220101__20221231_eus-gaap--St"/>
            <w:bookmarkEnd w:id="154"/>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-January 1, 2022, after giving effect to the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D_eus-gaap--SharesOutstanding_iS_p"/>
            <w:bookmarkEnd w:id="155"/>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B_eus-gaap--SharesOutstanding_iS_p"/>
            <w:bookmarkEnd w:id="15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CCEEFF" w:val="clear"/>
            <w:vAlign w:val="center"/>
          </w:tcPr>
          <w:p>
            <w:pPr>
              <w:pStyle w:val="TableContents"/>
              <w:bidi w:val="0"/>
              <w:spacing w:before="0" w:after="283"/>
              <w:jc w:val="left"/>
              <w:rPr/>
            </w:pPr>
            <w:r>
              <w:rPr/>
              <w:t> </w:t>
            </w:r>
            <w:bookmarkStart w:id="157" w:name="xdx_43E_c20220101__20221231_eus-gaap--St"/>
            <w:bookmarkEnd w:id="157"/>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8" w:name="xdx_987_eus-gaap--SharesOutstanding_iS_p"/>
            <w:bookmarkEnd w:id="158"/>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9" w:name="xdx_98D_eus-gaap--SharesOutstanding_iS_p"/>
            <w:bookmarkEnd w:id="159"/>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60" w:name="xdx_40E_eus-gaap--NetIncomeLoss_i01_pn3n"/>
            <w:bookmarkEnd w:id="160"/>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1" w:name="xdx_409_eus-gaap--NetIncomeLoss_pn3n3_zS"/>
            <w:bookmarkEnd w:id="161"/>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2" w:name="xdx_407_eus-gaap--StockIssuedDuringPerio"/>
            <w:bookmarkEnd w:id="162"/>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6_eus-gaap--StockIssuedDuringPerio"/>
            <w:bookmarkEnd w:id="163"/>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2" w:type="dxa"/>
            <w:tcBorders/>
            <w:shd w:fill="FFFFFF" w:val="clear"/>
            <w:vAlign w:val="center"/>
          </w:tcPr>
          <w:p>
            <w:pPr>
              <w:pStyle w:val="TableContents"/>
              <w:bidi w:val="0"/>
              <w:spacing w:before="0" w:after="283"/>
              <w:jc w:val="left"/>
              <w:rPr/>
            </w:pPr>
            <w:r>
              <w:rPr/>
              <w:t> </w:t>
            </w:r>
            <w:bookmarkStart w:id="164" w:name="xdx_40B_eus-gaap--StockIssuedDuringPerio"/>
            <w:bookmarkEnd w:id="164"/>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0_eus-gaap--StockIssuedDuringPerio"/>
            <w:bookmarkEnd w:id="16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112" w:type="dxa"/>
            <w:tcBorders/>
            <w:shd w:fill="CCEEFF" w:val="clear"/>
            <w:vAlign w:val="center"/>
          </w:tcPr>
          <w:p>
            <w:pPr>
              <w:pStyle w:val="TableContents"/>
              <w:bidi w:val="0"/>
              <w:spacing w:before="0" w:after="283"/>
              <w:jc w:val="left"/>
              <w:rPr/>
            </w:pPr>
            <w:r>
              <w:rPr/>
              <w:t> </w:t>
            </w:r>
            <w:bookmarkStart w:id="166" w:name="xdx_400_ecustom--StockIssuedDuringPeriod"/>
            <w:bookmarkEnd w:id="166"/>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capitalization, net of transaction costs (See Note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A_ecustom--StockIssuedDuringPeriod"/>
            <w:bookmarkEnd w:id="167"/>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bidi w:val="0"/>
              <w:spacing w:before="0" w:after="283"/>
              <w:jc w:val="left"/>
              <w:rPr>
                <w:sz w:val="4"/>
                <w:szCs w:val="4"/>
              </w:rPr>
            </w:pPr>
            <w:r>
              <w:rPr>
                <w:sz w:val="4"/>
                <w:szCs w:val="4"/>
              </w:rPr>
            </w:r>
            <w:bookmarkStart w:id="168" w:name="xdx_40B_eus-gaap--StockIssuedDuringPerio"/>
            <w:bookmarkStart w:id="169" w:name="xdx_40B_eus-gaap--StockIssuedDuringPerio"/>
            <w:bookmarkEnd w:id="169"/>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4_eus-gaap--StockIssuedDuringPerio"/>
            <w:bookmarkEnd w:id="170"/>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112" w:type="dxa"/>
            <w:tcBorders/>
            <w:shd w:fill="CCEEFF" w:val="clear"/>
            <w:vAlign w:val="center"/>
          </w:tcPr>
          <w:p>
            <w:pPr>
              <w:pStyle w:val="TableContents"/>
              <w:bidi w:val="0"/>
              <w:spacing w:before="0" w:after="283"/>
              <w:jc w:val="left"/>
              <w:rPr/>
            </w:pPr>
            <w:r>
              <w:rPr/>
              <w:t> </w:t>
            </w:r>
            <w:bookmarkStart w:id="171" w:name="xdx_407_eus-gaap--AdjustmentsToAdditiona"/>
            <w:bookmarkEnd w:id="171"/>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112" w:type="dxa"/>
            <w:tcBorders/>
            <w:shd w:fill="FFFFFF" w:val="clear"/>
            <w:vAlign w:val="center"/>
          </w:tcPr>
          <w:p>
            <w:pPr>
              <w:pStyle w:val="TableContents"/>
              <w:bidi w:val="0"/>
              <w:spacing w:before="0" w:after="283"/>
              <w:jc w:val="left"/>
              <w:rPr/>
            </w:pPr>
            <w:r>
              <w:rPr/>
              <w:t> </w:t>
            </w:r>
            <w:bookmarkStart w:id="172" w:name="xdx_439_c20220101__20221231_eus-gaap--St"/>
            <w:bookmarkEnd w:id="172"/>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3" w:name="xdx_98F_eus-gaap--SharesOutstanding_iE_p"/>
            <w:bookmarkEnd w:id="173"/>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 w:name="xdx_98E_eus-gaap--SharesOutstanding_iE_p"/>
            <w:bookmarkEnd w:id="17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11,332</w:t>
            </w:r>
          </w:p>
        </w:tc>
        <w:tc>
          <w:tcPr>
            <w:tcW w:w="112" w:type="dxa"/>
            <w:tcBorders/>
            <w:shd w:fill="CCEEFF" w:val="clear"/>
            <w:vAlign w:val="center"/>
          </w:tcPr>
          <w:p>
            <w:pPr>
              <w:pStyle w:val="TableContents"/>
              <w:bidi w:val="0"/>
              <w:spacing w:before="0" w:after="283"/>
              <w:jc w:val="left"/>
              <w:rPr/>
            </w:pPr>
            <w:r>
              <w:rPr/>
              <w:t> </w:t>
            </w:r>
            <w:bookmarkStart w:id="175" w:name="xdx_43E_c20220101__20221231_eus-gaap--St"/>
            <w:bookmarkEnd w:id="175"/>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6" w:name="xdx_98F_eus-gaap--SharesOutstanding_iE_p"/>
            <w:bookmarkEnd w:id="176"/>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7" w:name="xdx_983_eus-gaap--SharesOutstanding_iE_p"/>
            <w:bookmarkEnd w:id="17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11,332</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8" w:name="a_021"/>
      <w:bookmarkEnd w:id="178"/>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9" w:name="xdx_30A_112_pn3n3_z6xP3Bgfd2bh"/>
      <w:bookmarkStart w:id="180" w:name="xdx_30A_112_pn3n3_z6xP3Bgfd2bh"/>
      <w:bookmarkEnd w:id="180"/>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81" w:name="xdx_499_20220101__20221231_zFsHJiEo7eGc"/>
            <w:bookmarkEnd w:id="181"/>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82" w:name="xdx_497_20210101__20211231_zJyS6DtXB3b2"/>
            <w:bookmarkEnd w:id="182"/>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bookmarkStart w:id="183" w:name="xdx_400_eus-gaap--NetCashProvidedByUsedI"/>
            <w:bookmarkEnd w:id="18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4" w:name="xdx_40E_eus-gaap--NetIncomeLoss_i01_maNC"/>
            <w:bookmarkEnd w:id="18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0" w:type="dxa"/>
            <w:tcBorders/>
            <w:shd w:fill="FFFFFF" w:val="clear"/>
            <w:vAlign w:val="center"/>
          </w:tcPr>
          <w:p>
            <w:pPr>
              <w:pStyle w:val="TableContents"/>
              <w:bidi w:val="0"/>
              <w:spacing w:before="0" w:after="283"/>
              <w:jc w:val="left"/>
              <w:rPr/>
            </w:pPr>
            <w:r>
              <w:rPr/>
              <w:t> </w:t>
            </w:r>
            <w:bookmarkStart w:id="185" w:name="xdx_40A_eus-gaap--AdjustmentsToReconcile"/>
            <w:bookmarkEnd w:id="185"/>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Income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6" w:name="xdx_408_eus-gaap--AdjustmentsToReconcile"/>
            <w:bookmarkEnd w:id="18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Income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7" w:name="xdx_404_eus-gaap--ShareBasedCompensation"/>
            <w:bookmarkEnd w:id="18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110" w:type="dxa"/>
            <w:tcBorders/>
            <w:shd w:fill="FFFFFF" w:val="clear"/>
            <w:vAlign w:val="center"/>
          </w:tcPr>
          <w:p>
            <w:pPr>
              <w:pStyle w:val="TableContents"/>
              <w:bidi w:val="0"/>
              <w:spacing w:before="0" w:after="283"/>
              <w:jc w:val="left"/>
              <w:rPr/>
            </w:pPr>
            <w:r>
              <w:rPr/>
              <w:t> </w:t>
            </w:r>
            <w:bookmarkStart w:id="188" w:name="xdx_401_eus-gaap--GainsLossesOnExtinguis"/>
            <w:bookmarkEnd w:id="188"/>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89" w:name="xdx_400_eus-gaap--AmortizationOfDebtDisc"/>
            <w:bookmarkEnd w:id="18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110" w:type="dxa"/>
            <w:tcBorders/>
            <w:shd w:fill="FFFFFF" w:val="clear"/>
            <w:vAlign w:val="center"/>
          </w:tcPr>
          <w:p>
            <w:pPr>
              <w:pStyle w:val="TableContents"/>
              <w:bidi w:val="0"/>
              <w:spacing w:before="0" w:after="283"/>
              <w:jc w:val="left"/>
              <w:rPr/>
            </w:pPr>
            <w:r>
              <w:rPr/>
              <w:t> </w:t>
            </w:r>
            <w:bookmarkStart w:id="190" w:name="xdx_401_eus-gaap--FairValueAdjustmentOfW"/>
            <w:bookmarkEnd w:id="190"/>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91" w:name="xdx_404_eus-gaap--DeferredIncomeTaxExpen"/>
            <w:bookmarkEnd w:id="19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110" w:type="dxa"/>
            <w:tcBorders/>
            <w:shd w:fill="FFFFFF" w:val="clear"/>
            <w:vAlign w:val="center"/>
          </w:tcPr>
          <w:p>
            <w:pPr>
              <w:pStyle w:val="TableContents"/>
              <w:bidi w:val="0"/>
              <w:spacing w:before="0" w:after="283"/>
              <w:jc w:val="left"/>
              <w:rPr/>
            </w:pPr>
            <w:r>
              <w:rPr/>
              <w:t> </w:t>
            </w:r>
            <w:bookmarkStart w:id="192" w:name="xdx_407_eus-gaap--PaidInKindInterest_i02"/>
            <w:bookmarkEnd w:id="192"/>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(paid-in-kind)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93" w:name="xdx_408_eus-gaap--ProvisionForDoubtfulAc"/>
            <w:bookmarkEnd w:id="193"/>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10" w:type="dxa"/>
            <w:tcBorders/>
            <w:shd w:fill="FFFFFF" w:val="clear"/>
            <w:vAlign w:val="center"/>
          </w:tcPr>
          <w:p>
            <w:pPr>
              <w:pStyle w:val="TableContents"/>
              <w:bidi w:val="0"/>
              <w:spacing w:before="0" w:after="283"/>
              <w:jc w:val="left"/>
              <w:rPr/>
            </w:pPr>
            <w:r>
              <w:rPr/>
              <w:t> </w:t>
            </w:r>
            <w:bookmarkStart w:id="194" w:name="xdx_40A_eus-gaap--DepreciationDepletionA"/>
            <w:bookmarkEnd w:id="19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w:t>
            </w:r>
          </w:p>
        </w:tc>
        <w:tc>
          <w:tcPr>
            <w:tcW w:w="110" w:type="dxa"/>
            <w:tcBorders/>
            <w:shd w:fill="CCEEFF" w:val="clear"/>
            <w:vAlign w:val="center"/>
          </w:tcPr>
          <w:p>
            <w:pPr>
              <w:pStyle w:val="TableContents"/>
              <w:bidi w:val="0"/>
              <w:spacing w:before="0" w:after="283"/>
              <w:jc w:val="left"/>
              <w:rPr/>
            </w:pPr>
            <w:r>
              <w:rPr/>
              <w:t> </w:t>
            </w:r>
            <w:bookmarkStart w:id="195" w:name="xdx_409_eus-gaap--GainLossOnSaleOfProper"/>
            <w:bookmarkEnd w:id="19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110" w:type="dxa"/>
            <w:tcBorders/>
            <w:shd w:fill="FFFFFF" w:val="clear"/>
            <w:vAlign w:val="center"/>
          </w:tcPr>
          <w:p>
            <w:pPr>
              <w:pStyle w:val="TableContents"/>
              <w:bidi w:val="0"/>
              <w:spacing w:before="0" w:after="283"/>
              <w:jc w:val="left"/>
              <w:rPr/>
            </w:pPr>
            <w:r>
              <w:rPr/>
              <w:t> </w:t>
            </w:r>
            <w:bookmarkStart w:id="196" w:name="xdx_403_ecustom--AssumptionOfWarrantLiab"/>
            <w:bookmarkEnd w:id="196"/>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Assumption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97" w:name="xdx_407_eus-gaap--IncreaseDecreaseInOper"/>
            <w:bookmarkEnd w:id="19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8" w:name="xdx_40C_eus-gaap--IncreaseDecreaseInAcco"/>
            <w:bookmarkEnd w:id="198"/>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w:t>
            </w:r>
          </w:p>
        </w:tc>
        <w:tc>
          <w:tcPr>
            <w:tcW w:w="110" w:type="dxa"/>
            <w:tcBorders/>
            <w:shd w:fill="CCEEFF" w:val="clear"/>
            <w:vAlign w:val="center"/>
          </w:tcPr>
          <w:p>
            <w:pPr>
              <w:pStyle w:val="TableContents"/>
              <w:bidi w:val="0"/>
              <w:spacing w:before="0" w:after="283"/>
              <w:jc w:val="left"/>
              <w:rPr/>
            </w:pPr>
            <w:r>
              <w:rPr/>
              <w:t> </w:t>
            </w:r>
            <w:bookmarkStart w:id="199" w:name="xdx_401_eus-gaap--IncreaseDecreaseInInve"/>
            <w:bookmarkEnd w:id="19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(21,179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0" w:name="xdx_401_eus-gaap--IncreaseDecreaseInPrep"/>
            <w:bookmarkEnd w:id="200"/>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CCEEFF" w:val="clear"/>
            <w:vAlign w:val="center"/>
          </w:tcPr>
          <w:p>
            <w:pPr>
              <w:pStyle w:val="TableContents"/>
              <w:bidi w:val="0"/>
              <w:spacing w:before="0" w:after="283"/>
              <w:jc w:val="left"/>
              <w:rPr/>
            </w:pPr>
            <w:r>
              <w:rPr/>
              <w:t> </w:t>
            </w:r>
            <w:bookmarkStart w:id="201" w:name="xdx_40F_ecustom--IncreaseDecreaseInPrepa"/>
            <w:bookmarkEnd w:id="20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2" w:name="xdx_40F_eus-gaap--IncreaseDecreaseInOthe"/>
            <w:bookmarkEnd w:id="202"/>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 w:name="xdx_40B_eus-gaap--IncreaseDecreaseInOthe"/>
            <w:bookmarkEnd w:id="203"/>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w:t>
            </w:r>
          </w:p>
        </w:tc>
        <w:tc>
          <w:tcPr>
            <w:tcW w:w="110" w:type="dxa"/>
            <w:tcBorders/>
            <w:shd w:fill="FFFFFF" w:val="clear"/>
            <w:vAlign w:val="center"/>
          </w:tcPr>
          <w:p>
            <w:pPr>
              <w:pStyle w:val="TableContents"/>
              <w:bidi w:val="0"/>
              <w:spacing w:before="0" w:after="283"/>
              <w:jc w:val="left"/>
              <w:rPr/>
            </w:pPr>
            <w:r>
              <w:rPr/>
              <w:t> </w:t>
            </w:r>
            <w:bookmarkStart w:id="204" w:name="xdx_403_eus-gaap--IncreaseDecreaseInAccr"/>
            <w:bookmarkEnd w:id="20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 w:name="xdx_40A_eus-gaap--IncreaseDecreaseInAcco"/>
            <w:bookmarkEnd w:id="20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8,903</w:t>
            </w:r>
          </w:p>
        </w:tc>
        <w:tc>
          <w:tcPr>
            <w:tcW w:w="110" w:type="dxa"/>
            <w:tcBorders/>
            <w:shd w:fill="FFFFFF" w:val="clear"/>
            <w:vAlign w:val="center"/>
          </w:tcPr>
          <w:p>
            <w:pPr>
              <w:pStyle w:val="TableContents"/>
              <w:bidi w:val="0"/>
              <w:spacing w:before="0" w:after="283"/>
              <w:jc w:val="left"/>
              <w:rPr/>
            </w:pPr>
            <w:r>
              <w:rPr/>
              <w:t> </w:t>
            </w:r>
            <w:bookmarkStart w:id="206" w:name="xdx_40E_ecustom--IncreaseDecreaseInUnrec"/>
            <w:bookmarkEnd w:id="206"/>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7" w:name="xdx_40C_eus-gaap--IncreaseDecreaseInCont"/>
            <w:bookmarkEnd w:id="20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8" w:name="xdx_400_eus-gaap--AdjustmentsToReconcile"/>
            <w:bookmarkEnd w:id="208"/>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(17,911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 w:name="xdx_40D_eus-gaap--NetCashProvidedByUsedI"/>
            <w:bookmarkEnd w:id="20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0" w:name="xdx_407_eus-gaap--NetCashProvidedByUsedI"/>
            <w:bookmarkEnd w:id="210"/>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1" w:name="xdx_401_eus-gaap--ProceedsFromSaleOfProp"/>
            <w:bookmarkEnd w:id="21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10" w:type="dxa"/>
            <w:tcBorders/>
            <w:shd w:fill="FFFFFF" w:val="clear"/>
            <w:vAlign w:val="center"/>
          </w:tcPr>
          <w:p>
            <w:pPr>
              <w:pStyle w:val="TableContents"/>
              <w:bidi w:val="0"/>
              <w:spacing w:before="0" w:after="283"/>
              <w:jc w:val="left"/>
              <w:rPr/>
            </w:pPr>
            <w:r>
              <w:rPr/>
              <w:t> </w:t>
            </w:r>
            <w:bookmarkStart w:id="212" w:name="xdx_403_eus-gaap--PaymentsToAcquirePrope"/>
            <w:bookmarkEnd w:id="212"/>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3" w:name="xdx_402_eus-gaap--NetCashProvidedByUsedI"/>
            <w:bookmarkEnd w:id="213"/>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4" w:name="xdx_40D_eus-gaap--NetCashProvidedByUsedI"/>
            <w:bookmarkEnd w:id="21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5" w:name="xdx_400_eus-gaap--ProceedsFromIssuanceIn"/>
            <w:bookmarkEnd w:id="21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public offering,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6" w:name="xdx_408_eus-gaap--ProceedsFromWarrantExe"/>
            <w:bookmarkEnd w:id="21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7" w:name="xdx_40B_eus-gaap--ProceedsFromBankDebt_i"/>
            <w:bookmarkEnd w:id="21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18" w:name="xdx_402_eus-gaap--ProceedsFromNotesPayab"/>
            <w:bookmarkEnd w:id="218"/>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0" w:type="dxa"/>
            <w:tcBorders/>
            <w:shd w:fill="CCEEFF" w:val="clear"/>
            <w:vAlign w:val="center"/>
          </w:tcPr>
          <w:p>
            <w:pPr>
              <w:pStyle w:val="TableContents"/>
              <w:bidi w:val="0"/>
              <w:spacing w:before="0" w:after="283"/>
              <w:jc w:val="left"/>
              <w:rPr/>
            </w:pPr>
            <w:r>
              <w:rPr/>
              <w:t> </w:t>
            </w:r>
            <w:bookmarkStart w:id="219" w:name="xdx_40C_eus-gaap--RepaymentsOfNotesPayab"/>
            <w:bookmarkEnd w:id="21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from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20" w:name="xdx_400_eus-gaap--PaymentsOfDebtIssuance"/>
            <w:bookmarkEnd w:id="220"/>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1" w:name="xdx_408_eus-gaap--ProceedsFromStockOptio"/>
            <w:bookmarkEnd w:id="22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10" w:type="dxa"/>
            <w:tcBorders/>
            <w:shd w:fill="FFFFFF" w:val="clear"/>
            <w:vAlign w:val="center"/>
          </w:tcPr>
          <w:p>
            <w:pPr>
              <w:pStyle w:val="TableContents"/>
              <w:bidi w:val="0"/>
              <w:spacing w:before="0" w:after="283"/>
              <w:jc w:val="left"/>
              <w:rPr/>
            </w:pPr>
            <w:r>
              <w:rPr/>
              <w:t> </w:t>
            </w:r>
            <w:bookmarkStart w:id="222" w:name="xdx_401_eus-gaap--ProceedsFromIssuanceOf"/>
            <w:bookmarkEnd w:id="222"/>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stock purchase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23" w:name="xdx_401_eus-gaap--ProceedsFromLongTermLi"/>
            <w:bookmarkEnd w:id="223"/>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revolving note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FFFFFF" w:val="clear"/>
            <w:vAlign w:val="center"/>
          </w:tcPr>
          <w:p>
            <w:pPr>
              <w:pStyle w:val="TableContents"/>
              <w:bidi w:val="0"/>
              <w:spacing w:before="0" w:after="283"/>
              <w:jc w:val="left"/>
              <w:rPr/>
            </w:pPr>
            <w:r>
              <w:rPr/>
              <w:t> </w:t>
            </w:r>
            <w:bookmarkStart w:id="224" w:name="xdx_405_eus-gaap--RepaymentsOfLongTermLi"/>
            <w:bookmarkEnd w:id="22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revolving note agreement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5" w:name="xdx_40F_eus-gaap--NetCashProvidedByUsedI"/>
            <w:bookmarkEnd w:id="22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38,906</w:t>
            </w:r>
          </w:p>
        </w:tc>
        <w:tc>
          <w:tcPr>
            <w:tcW w:w="110" w:type="dxa"/>
            <w:tcBorders/>
            <w:shd w:fill="FFFFFF" w:val="clear"/>
            <w:vAlign w:val="center"/>
          </w:tcPr>
          <w:p>
            <w:pPr>
              <w:pStyle w:val="TableContents"/>
              <w:bidi w:val="0"/>
              <w:spacing w:before="0" w:after="283"/>
              <w:jc w:val="left"/>
              <w:rPr/>
            </w:pPr>
            <w:r>
              <w:rPr/>
              <w:t> </w:t>
            </w:r>
            <w:bookmarkStart w:id="226" w:name="xdx_40F_eus-gaap--CashCashEquivalentsRes"/>
            <w:bookmarkEnd w:id="226"/>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Increase in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22,424</w:t>
            </w:r>
          </w:p>
        </w:tc>
        <w:tc>
          <w:tcPr>
            <w:tcW w:w="110" w:type="dxa"/>
            <w:tcBorders/>
            <w:shd w:fill="CCEEFF" w:val="clear"/>
            <w:vAlign w:val="center"/>
          </w:tcPr>
          <w:p>
            <w:pPr>
              <w:pStyle w:val="TableContents"/>
              <w:bidi w:val="0"/>
              <w:spacing w:before="0" w:after="283"/>
              <w:jc w:val="left"/>
              <w:rPr/>
            </w:pPr>
            <w:r>
              <w:rPr/>
              <w:t> </w:t>
            </w:r>
            <w:bookmarkStart w:id="227" w:name="xdx_407_eus-gaap--CashCashEquivalentsRes"/>
            <w:bookmarkEnd w:id="22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6,206</w:t>
            </w:r>
          </w:p>
        </w:tc>
        <w:tc>
          <w:tcPr>
            <w:tcW w:w="110" w:type="dxa"/>
            <w:tcBorders/>
            <w:shd w:fill="FFFFFF" w:val="clear"/>
            <w:vAlign w:val="center"/>
          </w:tcPr>
          <w:p>
            <w:pPr>
              <w:pStyle w:val="TableContents"/>
              <w:bidi w:val="0"/>
              <w:spacing w:before="0" w:after="283"/>
              <w:jc w:val="left"/>
              <w:rPr/>
            </w:pPr>
            <w:r>
              <w:rPr/>
              <w:t> </w:t>
            </w:r>
            <w:bookmarkStart w:id="228" w:name="xdx_40A_eus-gaap--CashCashEquivalentsRes"/>
            <w:bookmarkEnd w:id="228"/>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28,630</w:t>
            </w:r>
          </w:p>
        </w:tc>
        <w:tc>
          <w:tcPr>
            <w:tcW w:w="110" w:type="dxa"/>
            <w:tcBorders/>
            <w:shd w:fill="CCEEFF" w:val="clear"/>
            <w:vAlign w:val="center"/>
          </w:tcPr>
          <w:p>
            <w:pPr>
              <w:pStyle w:val="TableContents"/>
              <w:bidi w:val="0"/>
              <w:spacing w:before="0" w:after="283"/>
              <w:jc w:val="left"/>
              <w:rPr/>
            </w:pPr>
            <w:r>
              <w:rPr/>
              <w:t> </w:t>
            </w:r>
            <w:bookmarkStart w:id="229" w:name="xdx_40F_eus-gaap--SupplementalCashFlowIn"/>
            <w:bookmarkEnd w:id="229"/>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0" w:name="xdx_400_eus-gaap--IncomeTaxesPaidNet_i01"/>
            <w:bookmarkEnd w:id="230"/>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2,390</w:t>
            </w:r>
          </w:p>
        </w:tc>
        <w:tc>
          <w:tcPr>
            <w:tcW w:w="110" w:type="dxa"/>
            <w:tcBorders/>
            <w:shd w:fill="CCEEFF" w:val="clear"/>
            <w:vAlign w:val="center"/>
          </w:tcPr>
          <w:p>
            <w:pPr>
              <w:pStyle w:val="TableContents"/>
              <w:bidi w:val="0"/>
              <w:spacing w:before="0" w:after="283"/>
              <w:jc w:val="left"/>
              <w:rPr/>
            </w:pPr>
            <w:r>
              <w:rPr/>
              <w:t> </w:t>
            </w:r>
            <w:bookmarkStart w:id="231" w:name="xdx_406_eus-gaap--InterestPaidNet_i01_pp"/>
            <w:bookmarkEnd w:id="231"/>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FFFFFF" w:val="clear"/>
            <w:vAlign w:val="center"/>
          </w:tcPr>
          <w:p>
            <w:pPr>
              <w:pStyle w:val="TableContents"/>
              <w:bidi w:val="0"/>
              <w:spacing w:before="0" w:after="283"/>
              <w:jc w:val="left"/>
              <w:rPr/>
            </w:pPr>
            <w:r>
              <w:rPr/>
              <w:t> </w:t>
            </w:r>
            <w:bookmarkStart w:id="232" w:name="xdx_405_eus-gaap--CashFlowNoncashInvesti"/>
            <w:bookmarkEnd w:id="232"/>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3" w:name="xdx_40D_ecustom--NonCashReceivableOfOpti"/>
            <w:bookmarkEnd w:id="233"/>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 of options exercised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110" w:type="dxa"/>
            <w:tcBorders/>
            <w:shd w:fill="FFFFFF" w:val="clear"/>
            <w:vAlign w:val="center"/>
          </w:tcPr>
          <w:p>
            <w:pPr>
              <w:pStyle w:val="TableContents"/>
              <w:bidi w:val="0"/>
              <w:spacing w:before="0" w:after="283"/>
              <w:jc w:val="left"/>
              <w:rPr/>
            </w:pPr>
            <w:r>
              <w:rPr/>
              <w:t> </w:t>
            </w:r>
            <w:bookmarkStart w:id="234" w:name="xdx_40F_eus-gaap--CapitalExpendituresInc"/>
            <w:bookmarkEnd w:id="23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110" w:type="dxa"/>
            <w:tcBorders/>
            <w:shd w:fill="CCEEFF" w:val="clear"/>
            <w:vAlign w:val="center"/>
          </w:tcPr>
          <w:p>
            <w:pPr>
              <w:pStyle w:val="TableContents"/>
              <w:bidi w:val="0"/>
              <w:spacing w:before="0" w:after="283"/>
              <w:jc w:val="left"/>
              <w:rPr/>
            </w:pPr>
            <w:r>
              <w:rPr/>
              <w:t> </w:t>
            </w:r>
            <w:bookmarkStart w:id="235" w:name="xdx_408_eus-gaap--RightOfUseAssetObtaine"/>
            <w:bookmarkEnd w:id="23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5,745</w:t>
            </w:r>
          </w:p>
        </w:tc>
        <w:tc>
          <w:tcPr>
            <w:tcW w:w="110" w:type="dxa"/>
            <w:tcBorders/>
            <w:shd w:fill="FFFFFF" w:val="clear"/>
            <w:vAlign w:val="center"/>
          </w:tcPr>
          <w:p>
            <w:pPr>
              <w:pStyle w:val="TableContents"/>
              <w:bidi w:val="0"/>
              <w:spacing w:before="0" w:after="283"/>
              <w:jc w:val="left"/>
              <w:rPr/>
            </w:pPr>
            <w:r>
              <w:rPr/>
              <w:t> </w:t>
            </w:r>
            <w:bookmarkStart w:id="236" w:name="xdx_406_ecustom--CashlessExerciseOfLiabi"/>
            <w:bookmarkEnd w:id="236"/>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7" w:name="a_022"/>
      <w:bookmarkEnd w:id="237"/>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8" w:name="xdx_803_eus-gaap--NatureOfOperations_z0z"/>
      <w:bookmarkEnd w:id="238"/>
      <w:r>
        <w:rPr>
          <w:rFonts w:ascii="Times New Roman;Times;Serif" w:hAnsi="Times New Roman;Times;Serif"/>
          <w:b/>
          <w:i w:val="false"/>
          <w:caps w:val="false"/>
          <w:smallCaps w:val="false"/>
          <w:sz w:val="20"/>
        </w:rPr>
        <w:t>NOTE 1 — </w:t>
      </w:r>
      <w:bookmarkStart w:id="239" w:name="xdx_829_ztnKfgykOZ1k"/>
      <w:bookmarkEnd w:id="239"/>
      <w:r>
        <w:rPr>
          <w:rFonts w:ascii="Times New Roman;Times;Serif" w:hAnsi="Times New Roman;Times;Serif"/>
          <w:b/>
          <w:i w:val="false"/>
          <w:caps w:val="false"/>
          <w:smallCaps w:val="false"/>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w:t>
      </w:r>
      <w:r>
        <w:rPr>
          <w:rFonts w:ascii="Times New Roman;Times;Serif" w:hAnsi="Times New Roman;Times;Serif"/>
          <w:b/>
          <w:i w:val="false"/>
          <w:caps w:val="false"/>
          <w:smallCaps w:val="false"/>
          <w:sz w:val="20"/>
        </w:rPr>
        <w:t>New Dragonfly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a merger transaction between Chardan NexTech Acquisition 2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Dragonfly Energy Corp.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and Bronco Merger Sub, Inc.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was completed pursuant to which Merger Sub was merged with and into Legacy Dragonfly, with Legacy Dragonfly surviving the merger. As a result of the merger, Legacy Dragonfly became a wholly owned subsidiary of New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Times New Roman;Times;Serif" w:hAnsi="Times New Roman;Times;Serif"/>
          <w:b w:val="false"/>
          <w:i/>
          <w:caps w:val="false"/>
          <w:smallCaps w:val="false"/>
          <w:sz w:val="20"/>
        </w:rPr>
        <w:t>Note 3 – Reverse Capitalization</w:t>
      </w:r>
      <w:r>
        <w:rPr>
          <w:rFonts w:ascii="Times New Roman;Times;Serif" w:hAnsi="Times New Roman;Times;Serif"/>
          <w:b w:val="false"/>
          <w:i w:val="false"/>
          <w:caps w:val="false"/>
          <w:smallCaps w:val="false"/>
          <w:sz w:val="20"/>
        </w:rPr>
        <w:t xml:space="preserve"> 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0" w:name="xdx_802_eus-gaap--SignificantAccountingP"/>
      <w:bookmarkEnd w:id="240"/>
      <w:r>
        <w:rPr>
          <w:rFonts w:ascii="Times New Roman;Times;Serif" w:hAnsi="Times New Roman;Times;Serif"/>
          <w:b/>
          <w:i w:val="false"/>
          <w:caps w:val="false"/>
          <w:smallCaps w:val="false"/>
          <w:sz w:val="20"/>
        </w:rPr>
        <w:t>NOTE 2 — </w:t>
      </w:r>
      <w:bookmarkStart w:id="241" w:name="xdx_821_zSgu9RIhMMWe"/>
      <w:bookmarkEnd w:id="241"/>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42" w:name="xdx_849_eus-gaap--BasisOfAccountingPolic"/>
      <w:bookmarkEnd w:id="242"/>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pursuant to the rules and regulations of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in accordance with generally accepted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present the consolidated financial statements of the Company and its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u w:val="single"/>
        </w:rPr>
      </w:pPr>
      <w:bookmarkStart w:id="243" w:name="xdx_862_zhHkLvHvo0S1"/>
      <w:bookmarkStart w:id="244" w:name="xdx_848_ecustom--GoingConcernPolicyTextB"/>
      <w:bookmarkEnd w:id="243"/>
      <w:bookmarkEnd w:id="244"/>
      <w:r>
        <w:rPr>
          <w:rFonts w:ascii="Times New Roman;Times;Serif" w:hAnsi="Times New Roman;Times;Serif"/>
          <w:b w:val="false"/>
          <w:i/>
          <w:caps w:val="false"/>
          <w:smallCaps w:val="false"/>
          <w:sz w:val="20"/>
          <w:u w:val="single"/>
        </w:rPr>
        <w:t>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incurred losses and had a negative cash flow from operations. As of December 31, 2022, the Company had $</w:t>
      </w:r>
      <w:bookmarkStart w:id="245" w:name="xdx_90E_eus-gaap--CashAndCashEquivalents"/>
      <w:bookmarkEnd w:id="245"/>
      <w:r>
        <w:rPr>
          <w:rFonts w:ascii="Times New Roman;Times;Serif" w:hAnsi="Times New Roman;Times;Serif"/>
          <w:b w:val="false"/>
          <w:i w:val="false"/>
          <w:caps w:val="false"/>
          <w:smallCaps w:val="false"/>
          <w:sz w:val="20"/>
        </w:rPr>
        <w:t>17,781 in cash and cash equivalents and working capital of $</w:t>
      </w:r>
      <w:bookmarkStart w:id="246" w:name="xdx_907_ecustom--WorkingCapital_pn3n3_c2"/>
      <w:bookmarkEnd w:id="246"/>
      <w:r>
        <w:rPr>
          <w:rFonts w:ascii="Times New Roman;Times;Serif" w:hAnsi="Times New Roman;Times;Serif"/>
          <w:b w:val="false"/>
          <w:i w:val="false"/>
          <w:caps w:val="false"/>
          <w:smallCaps w:val="false"/>
          <w:sz w:val="20"/>
        </w:rPr>
        <w:t>32,923.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247" w:name="xdx_902_eus-gaap--DebtInstrumentFaceAmou"/>
      <w:bookmarkEnd w:id="247"/>
      <w:r>
        <w:rPr>
          <w:rFonts w:ascii="Times New Roman;Times;Serif" w:hAnsi="Times New Roman;Times;Serif"/>
          <w:b w:val="false"/>
          <w:i w:val="false"/>
          <w:caps w:val="false"/>
          <w:smallCaps w:val="false"/>
          <w:sz w:val="20"/>
        </w:rPr>
        <w:t>75,000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48" w:name="xdx_84B_ecustom--RecentlyAdoptedAccounti"/>
      <w:bookmarkEnd w:id="248"/>
      <w:r>
        <w:rPr>
          <w:rFonts w:ascii="Times New Roman;Times;Serif" w:hAnsi="Times New Roman;Times;Serif"/>
          <w:b w:val="false"/>
          <w:i/>
          <w:caps w:val="false"/>
          <w:smallCaps w:val="false"/>
          <w:sz w:val="20"/>
          <w:u w:val="single"/>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issued Accounting Standards Update (“</w:t>
      </w:r>
      <w:r>
        <w:rPr>
          <w:rFonts w:ascii="Times New Roman;Times;Serif" w:hAnsi="Times New Roman;Times;Serif"/>
          <w:b/>
          <w:i w:val="false"/>
          <w:caps w:val="false"/>
          <w:smallCaps w:val="false"/>
          <w:sz w:val="20"/>
        </w:rPr>
        <w:t>ASU</w:t>
      </w:r>
      <w:r>
        <w:rPr>
          <w:rFonts w:ascii="Times New Roman;Times;Serif" w:hAnsi="Times New Roman;Times;Serif"/>
          <w:b w:val="false"/>
          <w:i w:val="false"/>
          <w:caps w:val="false"/>
          <w:smallCaps w:val="false"/>
          <w:sz w:val="20"/>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49" w:name="xdx_84E_eus-gaap--NewAccountingPronounce"/>
      <w:bookmarkEnd w:id="249"/>
      <w:r>
        <w:rPr>
          <w:rFonts w:ascii="Times New Roman;Times;Serif" w:hAnsi="Times New Roman;Times;Serif"/>
          <w:b w:val="false"/>
          <w:i/>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the FASB issued ASU 2020-06, </w:t>
      </w:r>
      <w:r>
        <w:rPr>
          <w:rFonts w:ascii="Times New Roman;Times;Serif" w:hAnsi="Times New Roman;Times;Serif"/>
          <w:b w:val="false"/>
          <w:i/>
          <w:caps w:val="false"/>
          <w:smallCaps w:val="false"/>
          <w:sz w:val="20"/>
        </w:rPr>
        <w:t xml:space="preserve">Debt—Debt with Conversion and Other Options (Subtopic 470-20) and Derivatives and Hedging—Contracts in Entity’s Own Equity (Subtopic 815-40)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ASU 2020-06</w:t>
      </w:r>
      <w:r>
        <w:rPr>
          <w:rFonts w:ascii="Times New Roman;Times;Serif" w:hAnsi="Times New Roman;Times;Serif"/>
          <w:b w:val="false"/>
          <w:i w:val="false"/>
          <w:caps w:val="false"/>
          <w:smallCaps w:val="false"/>
          <w:sz w:val="20"/>
        </w:rPr>
        <w:t>”)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0" w:name="xdx_84F_eus-gaap--CashAndCashEquivalents"/>
      <w:bookmarkEnd w:id="250"/>
      <w:r>
        <w:rPr>
          <w:rFonts w:ascii="Times New Roman;Times;Serif" w:hAnsi="Times New Roman;Times;Serif"/>
          <w:b w:val="false"/>
          <w:i/>
          <w:caps w:val="false"/>
          <w:smallCaps w:val="false"/>
          <w:sz w:val="20"/>
          <w:u w:val="single"/>
        </w:rPr>
        <w:t>Cash, Restricted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short-term debt securities purchased with a maturity of three months or less to be cash equivalents. There were </w:t>
      </w:r>
      <w:bookmarkStart w:id="251" w:name="xdx_90B_eus-gaap--CashEquivalentsAtCarry"/>
      <w:bookmarkStart w:id="252" w:name="xdx_900_eus-gaap--CashEquivalentsAtCarry"/>
      <w:bookmarkEnd w:id="251"/>
      <w:bookmarkEnd w:id="252"/>
      <w:r>
        <w:rPr>
          <w:rFonts w:ascii="Times New Roman;Times;Serif" w:hAnsi="Times New Roman;Times;Serif"/>
          <w:b w:val="false"/>
          <w:i w:val="false"/>
          <w:caps w:val="false"/>
          <w:smallCaps w:val="false"/>
          <w:sz w:val="20"/>
        </w:rPr>
        <w:t xml:space="preserve">no cash equivalents as of December 31, 2022 or 2021. The Company also maintained a restricted cash balance to satisfy its note payable requirements as of December 31, 2021 (Refer to Note 7). There were </w:t>
      </w:r>
      <w:bookmarkStart w:id="253" w:name="xdx_903_eus-gaap--RestrictedCash_iI_do_c"/>
      <w:bookmarkEnd w:id="253"/>
      <w:r>
        <w:rPr>
          <w:rFonts w:ascii="Times New Roman;Times;Serif" w:hAnsi="Times New Roman;Times;Serif"/>
          <w:b w:val="false"/>
          <w:i w:val="false"/>
          <w:caps w:val="false"/>
          <w:smallCaps w:val="false"/>
          <w:sz w:val="20"/>
        </w:rPr>
        <w:t>no restricted cash balances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4" w:name="xdx_84B_eus-gaap--TradeAndOtherAccountsR"/>
      <w:bookmarkEnd w:id="254"/>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trade receivables are recorded when billed and represent claims against third parties that will be settled in cash. Generally, payment is due from customers within </w:t>
      </w:r>
      <w:bookmarkStart w:id="255" w:name="xdx_90D_ecustom--PeriodWithinWhichPaymen"/>
      <w:bookmarkEnd w:id="255"/>
      <w:r>
        <w:rPr>
          <w:rFonts w:ascii="Times New Roman;Times;Serif" w:hAnsi="Times New Roman;Times;Serif"/>
          <w:b w:val="false"/>
          <w:i w:val="false"/>
          <w:caps w:val="false"/>
          <w:smallCaps w:val="false"/>
          <w:sz w:val="20"/>
        </w:rPr>
        <w:t>30-60 days of the invoice date and the contracts do not have significant financing components. Trade accounts receivables are recorded gross and are net of any applicable allowance. The Company has an allowance for doubtful accounts as of December 31, 2022 and 2021 of $</w:t>
      </w:r>
      <w:bookmarkStart w:id="256" w:name="xdx_90F_eus-gaap--AllowanceForDoubtfulAc"/>
      <w:bookmarkEnd w:id="256"/>
      <w:r>
        <w:rPr>
          <w:rFonts w:ascii="Times New Roman;Times;Serif" w:hAnsi="Times New Roman;Times;Serif"/>
          <w:b w:val="false"/>
          <w:i w:val="false"/>
          <w:caps w:val="false"/>
          <w:smallCaps w:val="false"/>
          <w:sz w:val="20"/>
        </w:rPr>
        <w:t>90 and $</w:t>
      </w:r>
      <w:bookmarkStart w:id="257" w:name="xdx_90F_eus-gaap--AllowanceForDoubtfulAc"/>
      <w:bookmarkEnd w:id="257"/>
      <w:r>
        <w:rPr>
          <w:rFonts w:ascii="Times New Roman;Times;Serif" w:hAnsi="Times New Roman;Times;Serif"/>
          <w:b w:val="false"/>
          <w:i w:val="false"/>
          <w:caps w:val="false"/>
          <w:smallCaps w:val="false"/>
          <w:sz w:val="20"/>
        </w:rPr>
        <w:t>50,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8" w:name="xdx_849_eus-gaap--InventoryPolicyTextBlo"/>
      <w:bookmarkEnd w:id="258"/>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9" w:name="xdx_846_eus-gaap--PropertyPlantAndEquipm"/>
      <w:bookmarkEnd w:id="259"/>
      <w:r>
        <w:rPr>
          <w:rFonts w:ascii="Times New Roman;Times;Serif" w:hAnsi="Times New Roman;Times;Serif"/>
          <w:b w:val="false"/>
          <w:i/>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w:t>
      </w:r>
      <w:bookmarkStart w:id="260" w:name="xdx_907_eus-gaap--Depreciation_pn3n3_c20"/>
      <w:bookmarkEnd w:id="260"/>
      <w:r>
        <w:rPr>
          <w:rFonts w:ascii="Times New Roman;Times;Serif" w:hAnsi="Times New Roman;Times;Serif"/>
          <w:b w:val="false"/>
          <w:i w:val="false"/>
          <w:caps w:val="false"/>
          <w:smallCaps w:val="false"/>
          <w:sz w:val="20"/>
        </w:rPr>
        <w:t>891 and $</w:t>
      </w:r>
      <w:bookmarkStart w:id="261" w:name="xdx_90B_eus-gaap--Depreciation_pn3n3_c20"/>
      <w:bookmarkEnd w:id="261"/>
      <w:r>
        <w:rPr>
          <w:rFonts w:ascii="Times New Roman;Times;Serif" w:hAnsi="Times New Roman;Times;Serif"/>
          <w:b w:val="false"/>
          <w:i w:val="false"/>
          <w:caps w:val="false"/>
          <w:smallCaps w:val="false"/>
          <w:sz w:val="20"/>
        </w:rPr>
        <w:t>617, respectively. The various classes of property and equipment and estimated useful lives are as follows:</w:t>
      </w:r>
    </w:p>
    <w:p>
      <w:pPr>
        <w:pStyle w:val="TextBody"/>
        <w:bidi w:val="0"/>
        <w:spacing w:before="0" w:after="0"/>
        <w:ind w:left="0" w:right="0" w:hanging="0"/>
        <w:jc w:val="both"/>
        <w:rPr>
          <w:caps w:val="false"/>
          <w:smallCaps w:val="false"/>
        </w:rPr>
      </w:pPr>
      <w:bookmarkStart w:id="262" w:name="xdx_89D_eus-gaap--PropertyPlantAndEquipm"/>
      <w:bookmarkEnd w:id="262"/>
      <w:r>
        <w:rPr>
          <w:caps w:val="false"/>
          <w:smallCaps w:val="false"/>
        </w:rPr>
        <w:t> </w:t>
      </w:r>
      <w:bookmarkStart w:id="263" w:name="xdx_8B2_zdiVltlKKBxl"/>
      <w:bookmarkEnd w:id="263"/>
      <w:r>
        <w:rPr>
          <w:rFonts w:ascii="Times New Roman;Times;Serif" w:hAnsi="Times New Roman;Times;Serif"/>
          <w:b w:val="false"/>
          <w:i w:val="false"/>
          <w:caps w:val="false"/>
          <w:smallCaps w:val="false"/>
          <w:sz w:val="20"/>
        </w:rPr>
        <w:t>SCHEDULE OF VARIOUS CLASSES OF PROPERTY AND EQUIPMENT AND ESTIMATED USEFUL LIVES</w:t>
      </w:r>
    </w:p>
    <w:tbl>
      <w:tblPr>
        <w:tblW w:w="4660" w:type="dxa"/>
        <w:jc w:val="left"/>
        <w:tblInd w:w="0" w:type="dxa"/>
        <w:tblLayout w:type="fixed"/>
        <w:tblCellMar>
          <w:top w:w="0" w:type="dxa"/>
          <w:left w:w="0" w:type="dxa"/>
          <w:bottom w:w="0" w:type="dxa"/>
          <w:right w:w="0" w:type="dxa"/>
        </w:tblCellMar>
      </w:tblPr>
      <w:tblGrid>
        <w:gridCol w:w="2540"/>
        <w:gridCol w:w="2120"/>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4" w:name="xdx_909_eus-gaap--PropertyPlantAndEquipm"/>
            <w:bookmarkEnd w:id="264"/>
            <w:r>
              <w:rPr>
                <w:rFonts w:ascii="Times New Roman;Times;Serif" w:hAnsi="Times New Roman;Times;Serif"/>
                <w:b w:val="false"/>
                <w:i w:val="false"/>
                <w:caps w:val="false"/>
                <w:smallCaps w:val="false"/>
                <w:sz w:val="20"/>
              </w:rPr>
              <w:t xml:space="preserve">3 to </w:t>
            </w:r>
            <w:bookmarkStart w:id="265" w:name="xdx_90D_eus-gaap--PropertyPlantAndEquipm"/>
            <w:bookmarkEnd w:id="265"/>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6" w:name="xdx_90C_eus-gaap--PropertyPlantAndEquipm"/>
            <w:bookmarkEnd w:id="266"/>
            <w:r>
              <w:rPr>
                <w:rFonts w:ascii="Times New Roman;Times;Serif" w:hAnsi="Times New Roman;Times;Serif"/>
                <w:b w:val="false"/>
                <w:i w:val="false"/>
                <w:caps w:val="false"/>
                <w:smallCaps w:val="false"/>
                <w:sz w:val="20"/>
              </w:rPr>
              <w:t>5 years</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7" w:name="xdx_90C_eus-gaap--PropertyPlantAndEquipm"/>
            <w:bookmarkEnd w:id="267"/>
            <w:r>
              <w:rPr>
                <w:rFonts w:ascii="Times New Roman;Times;Serif" w:hAnsi="Times New Roman;Times;Serif"/>
                <w:b w:val="false"/>
                <w:i w:val="false"/>
                <w:caps w:val="false"/>
                <w:smallCaps w:val="false"/>
                <w:sz w:val="20"/>
              </w:rPr>
              <w:t xml:space="preserve">3 to </w:t>
            </w:r>
            <w:bookmarkStart w:id="268" w:name="xdx_90C_eus-gaap--PropertyPlantAndEquipm"/>
            <w:bookmarkEnd w:id="268"/>
            <w:r>
              <w:rPr>
                <w:rFonts w:ascii="Times New Roman;Times;Serif" w:hAnsi="Times New Roman;Times;Serif"/>
                <w:b w:val="false"/>
                <w:i w:val="false"/>
                <w:caps w:val="false"/>
                <w:smallCaps w:val="false"/>
                <w:sz w:val="20"/>
              </w:rPr>
              <w:t xml:space="preserve">7 years </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9" w:name="xdx_90F_ecustom--PropertyAndEquipmentEst"/>
            <w:bookmarkEnd w:id="269"/>
            <w:r>
              <w:rPr>
                <w:rFonts w:ascii="Times New Roman;Times;Serif" w:hAnsi="Times New Roman;Times;Serif"/>
                <w:b w:val="false"/>
                <w:i w:val="false"/>
                <w:caps w:val="false"/>
                <w:smallCaps w:val="false"/>
                <w:sz w:val="20"/>
              </w:rPr>
              <w:t>Remaining Term of Lease</w:t>
            </w:r>
          </w:p>
        </w:tc>
      </w:tr>
    </w:tbl>
    <w:p>
      <w:pPr>
        <w:pStyle w:val="TextBody"/>
        <w:bidi w:val="0"/>
        <w:spacing w:before="0" w:after="0"/>
        <w:ind w:left="0" w:right="0" w:hanging="0"/>
        <w:jc w:val="both"/>
        <w:rPr>
          <w:caps w:val="false"/>
          <w:smallCaps w:val="false"/>
        </w:rPr>
      </w:pPr>
      <w:bookmarkStart w:id="270" w:name="xdx_8AF_z7QDqCEN8i1l"/>
      <w:bookmarkEnd w:id="27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1" w:name="xdx_846_eus-gaap--UseOfEstimates_zaeSyb5"/>
      <w:bookmarkEnd w:id="271"/>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2" w:name="xdx_848_eus-gaap--ImpairmentOrDisposalOf"/>
      <w:bookmarkEnd w:id="272"/>
      <w:r>
        <w:rPr>
          <w:rFonts w:ascii="Times New Roman;Times;Serif" w:hAnsi="Times New Roman;Times;Serif"/>
          <w:b w:val="false"/>
          <w:i/>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3" w:name="xdx_840_ecustom--WarrantsPolicyTextBlock"/>
      <w:bookmarkEnd w:id="273"/>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Derivatives and Hedging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4" w:name="xdx_845_eus-gaap--CommitmentsAndContinge"/>
      <w:bookmarkEnd w:id="274"/>
      <w:r>
        <w:rPr>
          <w:rFonts w:ascii="Times New Roman;Times;Serif" w:hAnsi="Times New Roman;Times;Serif"/>
          <w:b w:val="false"/>
          <w:i/>
          <w:caps w:val="false"/>
          <w:smallCaps w:val="false"/>
          <w:sz w:val="20"/>
          <w:u w:val="single"/>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5" w:name="xdx_847_eus-gaap--RevenueFromContractWit"/>
      <w:bookmarkEnd w:id="275"/>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due within </w:t>
      </w:r>
      <w:bookmarkStart w:id="276" w:name="xdx_906_ecustom--PaymentTermForDistribut"/>
      <w:bookmarkEnd w:id="276"/>
      <w:r>
        <w:rPr>
          <w:rFonts w:ascii="Times New Roman;Times;Serif" w:hAnsi="Times New Roman;Times;Serif"/>
          <w:b w:val="false"/>
          <w:i w:val="false"/>
          <w:caps w:val="false"/>
          <w:smallCaps w:val="false"/>
          <w:sz w:val="20"/>
        </w:rPr>
        <w:t>30-</w:t>
      </w:r>
      <w:bookmarkStart w:id="277" w:name="xdx_909_ecustom--PaymentTermForDistribut"/>
      <w:bookmarkEnd w:id="277"/>
      <w:r>
        <w:rPr>
          <w:rFonts w:ascii="Times New Roman;Times;Serif" w:hAnsi="Times New Roman;Times;Serif"/>
          <w:b w:val="false"/>
          <w:i w:val="false"/>
          <w:caps w:val="false"/>
          <w:smallCaps w:val="false"/>
          <w:sz w:val="20"/>
        </w:rPr>
        <w:t>60 days after shipment. In such instances, the Company records a customer deposit liability. The Company recognizes these contract liabilities as sales after the revenue criteria are met. The company had $</w:t>
      </w:r>
      <w:bookmarkStart w:id="278" w:name="xdx_908_eus-gaap--ContractWithCustomerLi"/>
      <w:bookmarkEnd w:id="278"/>
      <w:r>
        <w:rPr>
          <w:rFonts w:ascii="Times New Roman;Times;Serif" w:hAnsi="Times New Roman;Times;Serif"/>
          <w:b w:val="false"/>
          <w:i w:val="false"/>
          <w:caps w:val="false"/>
          <w:smallCaps w:val="false"/>
          <w:sz w:val="20"/>
        </w:rPr>
        <w:t>1,779 of contract liabilities as of January 1, 2021. As of December 31, 2022 and 2021, the contract liability related to the Company’s customer deposits approximated $</w:t>
      </w:r>
      <w:bookmarkStart w:id="279" w:name="xdx_90E_eus-gaap--ContractWithCustomerLi"/>
      <w:bookmarkEnd w:id="279"/>
      <w:r>
        <w:rPr>
          <w:rFonts w:ascii="Times New Roman;Times;Serif" w:hAnsi="Times New Roman;Times;Serif"/>
          <w:b w:val="false"/>
          <w:i w:val="false"/>
          <w:caps w:val="false"/>
          <w:smallCaps w:val="false"/>
          <w:sz w:val="20"/>
        </w:rPr>
        <w:t>238 and $</w:t>
      </w:r>
      <w:bookmarkStart w:id="280" w:name="xdx_901_eus-gaap--ContractWithCustomerLi"/>
      <w:bookmarkEnd w:id="280"/>
      <w:r>
        <w:rPr>
          <w:rFonts w:ascii="Times New Roman;Times;Serif" w:hAnsi="Times New Roman;Times;Serif"/>
          <w:b w:val="false"/>
          <w:i w:val="false"/>
          <w:caps w:val="false"/>
          <w:smallCaps w:val="false"/>
          <w:sz w:val="20"/>
        </w:rPr>
        <w:t>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81" w:name="xdx_86C_z1ZZlQzBTXn9"/>
      <w:bookmarkStart w:id="282" w:name="xdx_842_ecustom--DisaggregationOfRevenue"/>
      <w:bookmarkEnd w:id="281"/>
      <w:bookmarkEnd w:id="282"/>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3" w:name="xdx_89A_eus-gaap--DisaggregationOfRevenu"/>
      <w:bookmarkEnd w:id="283"/>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caps w:val="false"/>
          <w:smallCaps w:val="false"/>
        </w:rPr>
      </w:pPr>
      <w:r>
        <w:rPr>
          <w:caps w:val="false"/>
          <w:smallCaps w:val="false"/>
        </w:rPr>
        <w:t> </w:t>
      </w:r>
      <w:bookmarkStart w:id="284" w:name="xdx_8BA_zsZEasDW4rg7"/>
      <w:bookmarkEnd w:id="284"/>
      <w:r>
        <w:rPr>
          <w:rFonts w:ascii="Times New Roman;Times;Serif" w:hAnsi="Times New Roman;Times;Serif"/>
          <w:b w:val="false"/>
          <w:i w:val="false"/>
          <w:caps w:val="false"/>
          <w:smallCaps w:val="false"/>
          <w:sz w:val="20"/>
        </w:rPr>
        <w:t>SCHEDULE OF DISAGGREGATED REVENUES BY DISTRIBUTION CHANNEL</w:t>
      </w:r>
    </w:p>
    <w:tbl>
      <w:tblPr>
        <w:tblW w:w="4990" w:type="dxa"/>
        <w:jc w:val="left"/>
        <w:tblInd w:w="0" w:type="dxa"/>
        <w:tblLayout w:type="fixed"/>
        <w:tblCellMar>
          <w:top w:w="0" w:type="dxa"/>
          <w:left w:w="0" w:type="dxa"/>
          <w:bottom w:w="28" w:type="dxa"/>
          <w:right w:w="0" w:type="dxa"/>
        </w:tblCellMar>
      </w:tblPr>
      <w:tblGrid>
        <w:gridCol w:w="3095"/>
        <w:gridCol w:w="60"/>
        <w:gridCol w:w="140"/>
        <w:gridCol w:w="680"/>
        <w:gridCol w:w="60"/>
        <w:gridCol w:w="60"/>
        <w:gridCol w:w="140"/>
        <w:gridCol w:w="680"/>
        <w:gridCol w:w="75"/>
      </w:tblGrid>
      <w:tr>
        <w:trPr/>
        <w:tc>
          <w:tcPr>
            <w:tcW w:w="309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Sales</w:t>
            </w:r>
          </w:p>
        </w:tc>
        <w:tc>
          <w:tcPr>
            <w:tcW w:w="60" w:type="dxa"/>
            <w:tcBorders/>
            <w:tcMar>
              <w:bottom w:w="0" w:type="dxa"/>
            </w:tcMar>
            <w:vAlign w:val="center"/>
          </w:tcPr>
          <w:p>
            <w:pPr>
              <w:pStyle w:val="TableContents"/>
              <w:bidi w:val="0"/>
              <w:spacing w:before="0" w:after="283"/>
              <w:jc w:val="left"/>
              <w:rPr/>
            </w:pPr>
            <w:r>
              <w:rPr/>
              <w:t> </w:t>
            </w:r>
            <w:bookmarkStart w:id="285" w:name="xdx_497_20220101__20221231_zlAN1Civ0pWk"/>
            <w:bookmarkEnd w:id="285"/>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86" w:name="xdx_49D_20210101__20211231_zNMsDDa8xWGg"/>
            <w:bookmarkEnd w:id="286"/>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tcMar>
              <w:bottom w:w="0" w:type="dxa"/>
            </w:tcMar>
            <w:vAlign w:val="center"/>
          </w:tcPr>
          <w:p>
            <w:pPr>
              <w:pStyle w:val="TableContents"/>
              <w:bidi w:val="0"/>
              <w:spacing w:before="0" w:after="283"/>
              <w:jc w:val="left"/>
              <w:rPr/>
            </w:pPr>
            <w:r>
              <w:rPr/>
              <w:t> </w:t>
            </w:r>
            <w:bookmarkStart w:id="287" w:name="xdx_400_eus-gaap--RevenueFromContractWit"/>
            <w:bookmarkEnd w:id="287"/>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59,042</w:t>
            </w:r>
          </w:p>
        </w:tc>
        <w:tc>
          <w:tcPr>
            <w:tcW w:w="75" w:type="dxa"/>
            <w:tcBorders/>
            <w:shd w:fill="CCEEFF" w:val="clear"/>
            <w:tcMar>
              <w:bottom w:w="0" w:type="dxa"/>
            </w:tcMar>
            <w:vAlign w:val="center"/>
          </w:tcPr>
          <w:p>
            <w:pPr>
              <w:pStyle w:val="TableContents"/>
              <w:bidi w:val="0"/>
              <w:spacing w:before="0" w:after="283"/>
              <w:jc w:val="left"/>
              <w:rPr/>
            </w:pPr>
            <w:r>
              <w:rPr/>
              <w:t> </w:t>
            </w:r>
            <w:bookmarkStart w:id="288" w:name="xdx_40B_eus-gaap--RevenueFromContractWit"/>
            <w:bookmarkEnd w:id="288"/>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Distributor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10,733</w:t>
            </w:r>
          </w:p>
        </w:tc>
        <w:tc>
          <w:tcPr>
            <w:tcW w:w="75" w:type="dxa"/>
            <w:tcBorders/>
            <w:shd w:fill="FFFFFF" w:val="clear"/>
            <w:tcMar>
              <w:bottom w:w="0" w:type="dxa"/>
            </w:tcMar>
            <w:vAlign w:val="center"/>
          </w:tcPr>
          <w:p>
            <w:pPr>
              <w:pStyle w:val="TableContents"/>
              <w:bidi w:val="0"/>
              <w:spacing w:before="0" w:after="283"/>
              <w:jc w:val="left"/>
              <w:rPr/>
            </w:pPr>
            <w:r>
              <w:rPr/>
              <w:t> </w:t>
            </w:r>
            <w:bookmarkStart w:id="289" w:name="xdx_400_eus-gaap--RevenueFromContractWit"/>
            <w:bookmarkEnd w:id="289"/>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Original equipment manufacture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8,225</w:t>
            </w:r>
          </w:p>
        </w:tc>
        <w:tc>
          <w:tcPr>
            <w:tcW w:w="75" w:type="dxa"/>
            <w:tcBorders/>
            <w:shd w:fill="CCEEFF" w:val="clear"/>
            <w:tcMar>
              <w:bottom w:w="0" w:type="dxa"/>
            </w:tcMar>
            <w:vAlign w:val="center"/>
          </w:tcPr>
          <w:p>
            <w:pPr>
              <w:pStyle w:val="TableContents"/>
              <w:bidi w:val="0"/>
              <w:spacing w:before="0" w:after="283"/>
              <w:jc w:val="left"/>
              <w:rPr/>
            </w:pPr>
            <w:r>
              <w:rPr/>
              <w:t> </w:t>
            </w:r>
            <w:bookmarkStart w:id="290" w:name="xdx_40A_eus-gaap--RevenueFromContractWit"/>
            <w:bookmarkEnd w:id="290"/>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75" w:type="dxa"/>
            <w:tcBorders/>
            <w:shd w:fill="FFFFFF" w:val="clear"/>
            <w:tcMar>
              <w:bottom w:w="0" w:type="dxa"/>
            </w:tcMar>
            <w:vAlign w:val="center"/>
          </w:tcPr>
          <w:p>
            <w:pPr>
              <w:pStyle w:val="TableContents"/>
              <w:bidi w:val="0"/>
              <w:spacing w:before="0" w:after="283"/>
              <w:jc w:val="left"/>
              <w:rPr/>
            </w:pPr>
            <w:r>
              <w:rPr/>
              <w:t> </w:t>
            </w:r>
            <w:bookmarkStart w:id="291" w:name="xdx_408_eus-gaap--RevenueFromContractWit"/>
            <w:bookmarkEnd w:id="291"/>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2" w:name="xdx_8A6_zTJXZhysIpbi"/>
      <w:bookmarkEnd w:id="29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3" w:name="xdx_86C_zusSbzqZF1k1"/>
      <w:bookmarkStart w:id="294" w:name="xdx_84C_ecustom--ShippingAndHandlingCost"/>
      <w:bookmarkEnd w:id="293"/>
      <w:bookmarkEnd w:id="294"/>
      <w:r>
        <w:rPr>
          <w:rFonts w:ascii="Times New Roman;Times;Serif" w:hAnsi="Times New Roman;Times;Serif"/>
          <w:b w:val="false"/>
          <w:i/>
          <w:caps w:val="false"/>
          <w:smallCaps w:val="false"/>
          <w:sz w:val="20"/>
          <w:u w:val="single"/>
        </w:rPr>
        <w:t>Shipping and Handling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w:t>
      </w:r>
      <w:bookmarkStart w:id="295" w:name="xdx_908_ecustom--ShippingAndHandlingCost"/>
      <w:bookmarkEnd w:id="295"/>
      <w:r>
        <w:rPr>
          <w:rFonts w:ascii="Times New Roman;Times;Serif" w:hAnsi="Times New Roman;Times;Serif"/>
          <w:b w:val="false"/>
          <w:i w:val="false"/>
          <w:caps w:val="false"/>
          <w:smallCaps w:val="false"/>
          <w:sz w:val="20"/>
        </w:rPr>
        <w:t>5,440 and $</w:t>
      </w:r>
      <w:bookmarkStart w:id="296" w:name="xdx_90F_ecustom--ShippingAndHandlingCost"/>
      <w:bookmarkEnd w:id="296"/>
      <w:r>
        <w:rPr>
          <w:rFonts w:ascii="Times New Roman;Times;Serif" w:hAnsi="Times New Roman;Times;Serif"/>
          <w:b w:val="false"/>
          <w:i w:val="false"/>
          <w:caps w:val="false"/>
          <w:smallCaps w:val="false"/>
          <w:sz w:val="20"/>
        </w:rPr>
        <w:t>5,105 for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7" w:name="xdx_864_zep8SYN4hJ6b"/>
      <w:bookmarkStart w:id="298" w:name="xdx_84B_ecustom--ProductWarrantyPolicyTe"/>
      <w:bookmarkEnd w:id="297"/>
      <w:bookmarkEnd w:id="298"/>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299" w:name="xdx_904_ecustom--ProductWarrantyTermProv"/>
      <w:bookmarkEnd w:id="299"/>
      <w:r>
        <w:rPr>
          <w:rFonts w:ascii="Times New Roman;Times;Serif" w:hAnsi="Times New Roman;Times;Serif"/>
          <w:b w:val="false"/>
          <w:i w:val="false"/>
          <w:caps w:val="false"/>
          <w:smallCaps w:val="false"/>
          <w:sz w:val="20"/>
        </w:rPr>
        <w:t xml:space="preserve">5 to </w:t>
      </w:r>
      <w:bookmarkStart w:id="300" w:name="xdx_90B_ecustom--ProductWarrantyTermProv"/>
      <w:bookmarkEnd w:id="300"/>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w:t>
      </w:r>
      <w:bookmarkStart w:id="301" w:name="xdx_90D_eus-gaap--ProductWarrantyAccrual"/>
      <w:bookmarkEnd w:id="301"/>
      <w:r>
        <w:rPr>
          <w:rFonts w:ascii="Times New Roman;Times;Serif" w:hAnsi="Times New Roman;Times;Serif"/>
          <w:b w:val="false"/>
          <w:i w:val="false"/>
          <w:caps w:val="false"/>
          <w:smallCaps w:val="false"/>
          <w:sz w:val="20"/>
        </w:rPr>
        <w:t>328 and $</w:t>
      </w:r>
      <w:bookmarkStart w:id="302" w:name="xdx_901_eus-gaap--ProductWarrantyAccrual"/>
      <w:bookmarkEnd w:id="302"/>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3" w:name="xdx_84E_eus-gaap--ConcentrationRiskCredi"/>
      <w:bookmarkEnd w:id="303"/>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Receivables from </w:t>
      </w:r>
      <w:bookmarkStart w:id="304" w:name="xdx_909_ecustom--NumberOfCustomers_pid_d"/>
      <w:bookmarkEnd w:id="304"/>
      <w:r>
        <w:rPr>
          <w:rFonts w:ascii="Times New Roman;Times;Serif" w:hAnsi="Times New Roman;Times;Serif"/>
          <w:b w:val="false"/>
          <w:i w:val="false"/>
          <w:caps w:val="false"/>
          <w:smallCaps w:val="false"/>
          <w:sz w:val="20"/>
        </w:rPr>
        <w:t xml:space="preserve">three customers comprised approximately </w:t>
      </w:r>
      <w:bookmarkStart w:id="305" w:name="xdx_909_eus-gaap--ConcentrationRiskPerce"/>
      <w:bookmarkEnd w:id="305"/>
      <w:r>
        <w:rPr>
          <w:rFonts w:ascii="Times New Roman;Times;Serif" w:hAnsi="Times New Roman;Times;Serif"/>
          <w:b w:val="false"/>
          <w:i w:val="false"/>
          <w:caps w:val="false"/>
          <w:smallCaps w:val="false"/>
          <w:sz w:val="20"/>
        </w:rPr>
        <w:t xml:space="preserve">18%, </w:t>
      </w:r>
      <w:bookmarkStart w:id="306" w:name="xdx_906_eus-gaap--ConcentrationRiskPerce"/>
      <w:bookmarkEnd w:id="306"/>
      <w:r>
        <w:rPr>
          <w:rFonts w:ascii="Times New Roman;Times;Serif" w:hAnsi="Times New Roman;Times;Serif"/>
          <w:b w:val="false"/>
          <w:i w:val="false"/>
          <w:caps w:val="false"/>
          <w:smallCaps w:val="false"/>
          <w:sz w:val="20"/>
        </w:rPr>
        <w:t xml:space="preserve">10% and </w:t>
      </w:r>
      <w:bookmarkStart w:id="307" w:name="xdx_903_eus-gaap--ConcentrationRiskPerce"/>
      <w:bookmarkEnd w:id="307"/>
      <w:r>
        <w:rPr>
          <w:rFonts w:ascii="Times New Roman;Times;Serif" w:hAnsi="Times New Roman;Times;Serif"/>
          <w:b w:val="false"/>
          <w:i w:val="false"/>
          <w:caps w:val="false"/>
          <w:smallCaps w:val="false"/>
          <w:sz w:val="20"/>
        </w:rPr>
        <w:t xml:space="preserve">10%, respectively, of accounts receivable as of December 31, 2022. Receivables from </w:t>
      </w:r>
      <w:bookmarkStart w:id="308" w:name="xdx_907_ecustom--NumberOfCustomers_pid_d"/>
      <w:bookmarkEnd w:id="308"/>
      <w:r>
        <w:rPr>
          <w:rFonts w:ascii="Times New Roman;Times;Serif" w:hAnsi="Times New Roman;Times;Serif"/>
          <w:b w:val="false"/>
          <w:i w:val="false"/>
          <w:caps w:val="false"/>
          <w:smallCaps w:val="false"/>
          <w:sz w:val="20"/>
        </w:rPr>
        <w:t xml:space="preserve">two customers comprised approximately </w:t>
      </w:r>
      <w:bookmarkStart w:id="309" w:name="xdx_906_eus-gaap--ConcentrationRiskPerce"/>
      <w:bookmarkEnd w:id="309"/>
      <w:r>
        <w:rPr>
          <w:rFonts w:ascii="Times New Roman;Times;Serif" w:hAnsi="Times New Roman;Times;Serif"/>
          <w:b w:val="false"/>
          <w:i w:val="false"/>
          <w:caps w:val="false"/>
          <w:smallCaps w:val="false"/>
          <w:sz w:val="20"/>
        </w:rPr>
        <w:t xml:space="preserve">42% and </w:t>
      </w:r>
      <w:bookmarkStart w:id="310" w:name="xdx_904_eus-gaap--ConcentrationRiskPerce"/>
      <w:bookmarkEnd w:id="310"/>
      <w:r>
        <w:rPr>
          <w:rFonts w:ascii="Times New Roman;Times;Serif" w:hAnsi="Times New Roman;Times;Serif"/>
          <w:b w:val="false"/>
          <w:i w:val="false"/>
          <w:caps w:val="false"/>
          <w:smallCaps w:val="false"/>
          <w:sz w:val="20"/>
        </w:rPr>
        <w:t>16%, respectively, of accounts receivable as of December 31, 2021. There are no other significant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w:t>
      </w:r>
      <w:bookmarkStart w:id="311" w:name="xdx_909_ecustom--NumberOfVendors_pid_dc_"/>
      <w:bookmarkEnd w:id="311"/>
      <w:r>
        <w:rPr>
          <w:rFonts w:ascii="Times New Roman;Times;Serif" w:hAnsi="Times New Roman;Times;Serif"/>
          <w:b w:val="false"/>
          <w:i w:val="false"/>
          <w:caps w:val="false"/>
          <w:smallCaps w:val="false"/>
          <w:sz w:val="20"/>
        </w:rPr>
        <w:t xml:space="preserve">one customer accounted for approximately </w:t>
      </w:r>
      <w:bookmarkStart w:id="312" w:name="xdx_90D_eus-gaap--ConcentrationRiskPerce"/>
      <w:bookmarkEnd w:id="312"/>
      <w:r>
        <w:rPr>
          <w:rFonts w:ascii="Times New Roman;Times;Serif" w:hAnsi="Times New Roman;Times;Serif"/>
          <w:b w:val="false"/>
          <w:i w:val="false"/>
          <w:caps w:val="false"/>
          <w:smallCaps w:val="false"/>
          <w:sz w:val="20"/>
        </w:rPr>
        <w:t>22% of the Company’s sales for year ended December 31, 2022. There were no significant revenue concentrations for the year ended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Payables to </w:t>
      </w:r>
      <w:bookmarkStart w:id="313" w:name="xdx_90D_ecustom--NumberOfCustomers_pid_d"/>
      <w:bookmarkEnd w:id="313"/>
      <w:r>
        <w:rPr>
          <w:rFonts w:ascii="Times New Roman;Times;Serif" w:hAnsi="Times New Roman;Times;Serif"/>
          <w:b w:val="false"/>
          <w:i w:val="false"/>
          <w:caps w:val="false"/>
          <w:smallCaps w:val="false"/>
          <w:sz w:val="20"/>
        </w:rPr>
        <w:t xml:space="preserve">one vendor comprised approximately </w:t>
      </w:r>
      <w:bookmarkStart w:id="314" w:name="xdx_90B_eus-gaap--ConcentrationRiskPerce"/>
      <w:bookmarkEnd w:id="314"/>
      <w:r>
        <w:rPr>
          <w:rFonts w:ascii="Times New Roman;Times;Serif" w:hAnsi="Times New Roman;Times;Serif"/>
          <w:b w:val="false"/>
          <w:i w:val="false"/>
          <w:caps w:val="false"/>
          <w:smallCaps w:val="false"/>
          <w:sz w:val="20"/>
        </w:rPr>
        <w:t>61% of accounts payables as of December 31, 2022. There were no significant payable concentrations as of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2022, </w:t>
      </w:r>
      <w:bookmarkStart w:id="315" w:name="xdx_90E_ecustom--NumberOfVendors_pid_dc_"/>
      <w:bookmarkEnd w:id="315"/>
      <w:r>
        <w:rPr>
          <w:rFonts w:ascii="Times New Roman;Times;Serif" w:hAnsi="Times New Roman;Times;Serif"/>
          <w:b w:val="false"/>
          <w:i w:val="false"/>
          <w:caps w:val="false"/>
          <w:smallCaps w:val="false"/>
          <w:sz w:val="20"/>
        </w:rPr>
        <w:t xml:space="preserve">one vendor accounted for approximately </w:t>
      </w:r>
      <w:bookmarkStart w:id="316" w:name="xdx_902_eus-gaap--ConcentrationRiskPerce"/>
      <w:bookmarkEnd w:id="316"/>
      <w:r>
        <w:rPr>
          <w:rFonts w:ascii="Times New Roman;Times;Serif" w:hAnsi="Times New Roman;Times;Serif"/>
          <w:b w:val="false"/>
          <w:i w:val="false"/>
          <w:caps w:val="false"/>
          <w:smallCaps w:val="false"/>
          <w:sz w:val="20"/>
        </w:rPr>
        <w:t xml:space="preserve">28% of the Company’s total purchases, respectively. For the year ended December 31, 2021, </w:t>
      </w:r>
      <w:bookmarkStart w:id="317" w:name="xdx_908_ecustom--NumberOfVendors_pid_dc_"/>
      <w:bookmarkEnd w:id="317"/>
      <w:r>
        <w:rPr>
          <w:rFonts w:ascii="Times New Roman;Times;Serif" w:hAnsi="Times New Roman;Times;Serif"/>
          <w:b w:val="false"/>
          <w:i w:val="false"/>
          <w:caps w:val="false"/>
          <w:smallCaps w:val="false"/>
          <w:sz w:val="20"/>
        </w:rPr>
        <w:t xml:space="preserve">three vendors accounted for approximately </w:t>
      </w:r>
      <w:bookmarkStart w:id="318" w:name="xdx_909_eus-gaap--ConcentrationRiskPerce"/>
      <w:bookmarkEnd w:id="318"/>
      <w:r>
        <w:rPr>
          <w:rFonts w:ascii="Times New Roman;Times;Serif" w:hAnsi="Times New Roman;Times;Serif"/>
          <w:b w:val="false"/>
          <w:i w:val="false"/>
          <w:caps w:val="false"/>
          <w:smallCaps w:val="false"/>
          <w:sz w:val="20"/>
        </w:rPr>
        <w:t xml:space="preserve">27%, </w:t>
      </w:r>
      <w:bookmarkStart w:id="319" w:name="xdx_90F_eus-gaap--ConcentrationRiskPerce"/>
      <w:bookmarkEnd w:id="319"/>
      <w:r>
        <w:rPr>
          <w:rFonts w:ascii="Times New Roman;Times;Serif" w:hAnsi="Times New Roman;Times;Serif"/>
          <w:b w:val="false"/>
          <w:i w:val="false"/>
          <w:caps w:val="false"/>
          <w:smallCaps w:val="false"/>
          <w:sz w:val="20"/>
        </w:rPr>
        <w:t xml:space="preserve">10% and </w:t>
      </w:r>
      <w:bookmarkStart w:id="320" w:name="xdx_907_eus-gaap--ConcentrationRiskPerce"/>
      <w:bookmarkEnd w:id="320"/>
      <w:r>
        <w:rPr>
          <w:rFonts w:ascii="Times New Roman;Times;Serif" w:hAnsi="Times New Roman;Times;Serif"/>
          <w:b w:val="false"/>
          <w:i w:val="false"/>
          <w:caps w:val="false"/>
          <w:smallCaps w:val="false"/>
          <w:sz w:val="20"/>
        </w:rPr>
        <w:t>10% of the Company’s total purchases,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1" w:name="xdx_842_eus-gaap--DeferredChargesPolicyT"/>
      <w:bookmarkEnd w:id="321"/>
      <w:r>
        <w:rPr>
          <w:rFonts w:ascii="Times New Roman;Times;Serif" w:hAnsi="Times New Roman;Times;Serif"/>
          <w:b w:val="false"/>
          <w:i/>
          <w:caps w:val="false"/>
          <w:smallCaps w:val="false"/>
          <w:sz w:val="20"/>
          <w:u w:val="single"/>
        </w:rPr>
        <w:t>Deferred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2" w:name="xdx_841_eus-gaap--ResearchAndDevelopment"/>
      <w:bookmarkEnd w:id="322"/>
      <w:r>
        <w:rPr>
          <w:rFonts w:ascii="Times New Roman;Times;Serif" w:hAnsi="Times New Roman;Times;Serif"/>
          <w:b w:val="false"/>
          <w:i/>
          <w:caps w:val="false"/>
          <w:smallCaps w:val="false"/>
          <w:sz w:val="20"/>
          <w:u w:val="single"/>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3" w:name="xdx_84B_eus-gaap--AdvertisingCostsPolicy"/>
      <w:bookmarkEnd w:id="323"/>
      <w:r>
        <w:rPr>
          <w:rFonts w:ascii="Times New Roman;Times;Serif" w:hAnsi="Times New Roman;Times;Serif"/>
          <w:b w:val="false"/>
          <w:i/>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w:t>
      </w:r>
      <w:bookmarkStart w:id="324" w:name="xdx_904_eus-gaap--AdvertisingExpense_pn3"/>
      <w:bookmarkEnd w:id="324"/>
      <w:r>
        <w:rPr>
          <w:rFonts w:ascii="Times New Roman;Times;Serif" w:hAnsi="Times New Roman;Times;Serif"/>
          <w:b w:val="false"/>
          <w:i w:val="false"/>
          <w:caps w:val="false"/>
          <w:smallCaps w:val="false"/>
          <w:sz w:val="20"/>
        </w:rPr>
        <w:t>2,334 and $</w:t>
      </w:r>
      <w:bookmarkStart w:id="325" w:name="xdx_906_eus-gaap--AdvertisingExpense_pn3"/>
      <w:bookmarkEnd w:id="325"/>
      <w:r>
        <w:rPr>
          <w:rFonts w:ascii="Times New Roman;Times;Serif" w:hAnsi="Times New Roman;Times;Serif"/>
          <w:b w:val="false"/>
          <w:i w:val="false"/>
          <w:caps w:val="false"/>
          <w:smallCaps w:val="false"/>
          <w:sz w:val="20"/>
        </w:rPr>
        <w:t>1,690 for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6" w:name="xdx_844_eus-gaap--CompensationRelatedCos"/>
      <w:bookmarkEnd w:id="326"/>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bookmarkStart w:id="327" w:name="xdx_85E_zXKQhCqzgGYg"/>
      <w:bookmarkEnd w:id="32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8" w:name="xdx_849_eus-gaap--IncomeTaxPolicyTextBlo"/>
      <w:bookmarkEnd w:id="328"/>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has a liability of $</w:t>
      </w:r>
      <w:bookmarkStart w:id="329" w:name="xdx_909_eus-gaap--UnrecognizedTaxBenefit"/>
      <w:bookmarkEnd w:id="329"/>
      <w:r>
        <w:rPr>
          <w:rFonts w:ascii="Times New Roman;Times;Serif" w:hAnsi="Times New Roman;Times;Serif"/>
          <w:b w:val="false"/>
          <w:i w:val="false"/>
          <w:caps w:val="false"/>
          <w:smallCaps w:val="false"/>
          <w:sz w:val="20"/>
        </w:rPr>
        <w:t>128 and $</w:t>
      </w:r>
      <w:bookmarkStart w:id="330" w:name="xdx_909_eus-gaap--UnrecognizedTaxBenefit"/>
      <w:bookmarkEnd w:id="330"/>
      <w:r>
        <w:rPr>
          <w:rFonts w:ascii="Times New Roman;Times;Serif" w:hAnsi="Times New Roman;Times;Serif"/>
          <w:b w:val="false"/>
          <w:i w:val="false"/>
          <w:caps w:val="false"/>
          <w:smallCaps w:val="false"/>
          <w:sz w:val="20"/>
        </w:rPr>
        <w:t>0 as of December 31, 2022 and 2021, respectively, of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1" w:name="xdx_840_eus-gaap--EarningsPerSharePolicy"/>
      <w:bookmarkEnd w:id="331"/>
      <w:r>
        <w:rPr>
          <w:rFonts w:ascii="Times New Roman;Times;Serif" w:hAnsi="Times New Roman;Times;Serif"/>
          <w:b w:val="false"/>
          <w:i/>
          <w:caps w:val="false"/>
          <w:smallCaps w:val="false"/>
          <w:sz w:val="20"/>
          <w:u w:val="single"/>
        </w:rPr>
        <w:t>Net (Loss) Earnings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earnings gives effect to all potentially dilutive common equivalent shares, including outstanding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Times New Roman;Times;Serif" w:hAnsi="Times New Roman;Times;Serif"/>
          <w:b w:val="false"/>
          <w:i/>
          <w:caps w:val="false"/>
          <w:smallCaps w:val="false"/>
          <w:sz w:val="20"/>
        </w:rPr>
        <w:t>Note 3 - Reverse Capitalization</w:t>
      </w:r>
      <w:r>
        <w:rPr>
          <w:rFonts w:ascii="Times New Roman;Times;Serif" w:hAnsi="Times New Roman;Times;Serif"/>
          <w:b w:val="false"/>
          <w:i w:val="false"/>
          <w:caps w:val="false"/>
          <w:smallCaps w:val="false"/>
          <w:sz w:val="20"/>
        </w:rPr>
        <w:t xml:space="preserve"> for details and discussion of the retrospective adjustment of net loss per share.</w:t>
      </w:r>
    </w:p>
    <w:p>
      <w:pPr>
        <w:pStyle w:val="TextBody"/>
        <w:bidi w:val="0"/>
        <w:spacing w:before="0" w:after="0"/>
        <w:ind w:left="0" w:right="0" w:hanging="0"/>
        <w:jc w:val="both"/>
        <w:rPr>
          <w:caps w:val="false"/>
          <w:smallCaps w:val="false"/>
        </w:rPr>
      </w:pPr>
      <w:bookmarkStart w:id="332" w:name="xdx_85A_z5obT12cpXBl"/>
      <w:bookmarkEnd w:id="33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3" w:name="xdx_84F_eus-gaap--LesseeLeasesPolicyText"/>
      <w:bookmarkEnd w:id="333"/>
      <w:r>
        <w:rPr>
          <w:rFonts w:ascii="Times New Roman;Times;Serif" w:hAnsi="Times New Roman;Times;Serif"/>
          <w:b w:val="false"/>
          <w:i/>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4" w:name="xdx_84E_eus-gaap--SegmentReportingPolicy"/>
      <w:bookmarkEnd w:id="334"/>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w:t>
      </w:r>
      <w:bookmarkStart w:id="335" w:name="xdx_90E_eus-gaap--NumberOfOperatingSegme"/>
      <w:bookmarkEnd w:id="335"/>
      <w:r>
        <w:rPr>
          <w:rFonts w:ascii="Times New Roman;Times;Serif" w:hAnsi="Times New Roman;Times;Serif"/>
          <w:b w:val="false"/>
          <w:i w:val="false"/>
          <w:caps w:val="false"/>
          <w:smallCaps w:val="false"/>
          <w:sz w:val="20"/>
        </w:rPr>
        <w:t>one operating segment.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36" w:name="xdx_80B_ecustom--ReverseCapitalizationDi"/>
      <w:bookmarkEnd w:id="336"/>
      <w:r>
        <w:rPr>
          <w:rFonts w:ascii="Times New Roman;Times;Serif" w:hAnsi="Times New Roman;Times;Serif"/>
          <w:b/>
          <w:i w:val="false"/>
          <w:caps/>
          <w:sz w:val="20"/>
        </w:rPr>
        <w:t xml:space="preserve">Note 3 – </w:t>
      </w:r>
      <w:bookmarkStart w:id="337" w:name="xdx_82C_zsZt1got7dPh"/>
      <w:bookmarkEnd w:id="337"/>
      <w:r>
        <w:rPr>
          <w:rFonts w:ascii="Times New Roman;Times;Serif" w:hAnsi="Times New Roman;Times;Serif"/>
          <w:b/>
          <w:i w:val="false"/>
          <w:caps/>
          <w:sz w:val="20"/>
        </w:rPr>
        <w:t>REVERSE CAPITALIZATION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guidance applicable to these circumstances, the equity structure has been restated in all comparable periods up to October 7, 2022, to reflect the number of shares of the Company’s common stock, $</w:t>
      </w:r>
      <w:bookmarkStart w:id="338" w:name="xdx_903_eus-gaap--CommonStockParOrStated"/>
      <w:bookmarkEnd w:id="338"/>
      <w:r>
        <w:rPr>
          <w:rFonts w:ascii="Times New Roman;Times;Serif" w:hAnsi="Times New Roman;Times;Serif"/>
          <w:b w:val="false"/>
          <w:i w:val="false"/>
          <w:caps w:val="false"/>
          <w:smallCaps w:val="false"/>
          <w:sz w:val="20"/>
        </w:rPr>
        <w:t xml:space="preserve">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w:t>
      </w:r>
      <w:bookmarkStart w:id="339" w:name="xdx_90A_ecustom--RecapitalizationExchang"/>
      <w:bookmarkEnd w:id="339"/>
      <w:r>
        <w:rPr>
          <w:rFonts w:ascii="Times New Roman;Times;Serif" w:hAnsi="Times New Roman;Times;Serif"/>
          <w:b w:val="false"/>
          <w:i w:val="false"/>
          <w:caps w:val="false"/>
          <w:smallCaps w:val="false"/>
          <w:sz w:val="20"/>
        </w:rPr>
        <w:t>1.182 established in the merger. Legacy Dragonfly’s convertible preferred stock previously classified as temporary equity was retroactively adjusted, converted into common stock and reclassified to permanent equity as a result of the 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before the closing of the merger, and prior to the PIPE Financing, and the funds remaining after such redemptions, totaling approximately $</w:t>
      </w:r>
      <w:bookmarkStart w:id="340" w:name="xdx_907_ecustom--RemainingFundsAfterRede"/>
      <w:bookmarkEnd w:id="340"/>
      <w:r>
        <w:rPr>
          <w:rFonts w:ascii="Times New Roman;Times;Serif" w:hAnsi="Times New Roman;Times;Serif"/>
          <w:b w:val="false"/>
          <w:i w:val="false"/>
          <w:caps w:val="false"/>
          <w:smallCaps w:val="false"/>
          <w:sz w:val="20"/>
        </w:rPr>
        <w:t xml:space="preserve">6,265, became available to finance transaction expenses and the future operations of New Dragonfly. In connection with the merger, CNTQ entered into agreements with new investors and existing Legacy Dragonfly investors to subscribe and purchase an aggregate of approximately </w:t>
      </w:r>
      <w:bookmarkStart w:id="341" w:name="xdx_905_eus-gaap--StockRepurchasedDuring"/>
      <w:bookmarkEnd w:id="341"/>
      <w:r>
        <w:rPr>
          <w:rFonts w:ascii="Times New Roman;Times;Serif" w:hAnsi="Times New Roman;Times;Serif"/>
          <w:b w:val="false"/>
          <w:i w:val="false"/>
          <w:caps w:val="false"/>
          <w:smallCaps w:val="false"/>
          <w:sz w:val="20"/>
        </w:rPr>
        <w:t>500,000 shares of CNTQ Class A common stock (the “</w:t>
      </w:r>
      <w:r>
        <w:rPr>
          <w:rFonts w:ascii="Times New Roman;Times;Serif" w:hAnsi="Times New Roman;Times;Serif"/>
          <w:b/>
          <w:i w:val="false"/>
          <w:caps w:val="false"/>
          <w:smallCaps w:val="false"/>
          <w:sz w:val="20"/>
        </w:rPr>
        <w:t>PIPE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Financing was consummated on September 26, 2022 and resulted in gross proceeds of an additional approximately $</w:t>
      </w:r>
      <w:bookmarkStart w:id="342" w:name="xdx_90F_eus-gaap--ProceedsFromShortTermD"/>
      <w:bookmarkEnd w:id="342"/>
      <w:r>
        <w:rPr>
          <w:rFonts w:ascii="Times New Roman;Times;Serif" w:hAnsi="Times New Roman;Times;Serif"/>
          <w:b w:val="false"/>
          <w:i w:val="false"/>
          <w:caps w:val="false"/>
          <w:smallCaps w:val="false"/>
          <w:sz w:val="20"/>
        </w:rPr>
        <w:t>5,017, prior to payment of the transaction costs. As part of the PIPE Financing, the Company entered an initial Term Loan for an aggregate principal amount of $</w:t>
      </w:r>
      <w:bookmarkStart w:id="343" w:name="xdx_903_eus-gaap--DebtInstrumentFaceAmou"/>
      <w:bookmarkEnd w:id="343"/>
      <w:r>
        <w:rPr>
          <w:rFonts w:ascii="Times New Roman;Times;Serif" w:hAnsi="Times New Roman;Times;Serif"/>
          <w:b w:val="false"/>
          <w:i w:val="false"/>
          <w:caps w:val="false"/>
          <w:smallCaps w:val="false"/>
          <w:sz w:val="20"/>
        </w:rPr>
        <w:t>75,000. The Company incurred debt issuance costs of $</w:t>
      </w:r>
      <w:bookmarkStart w:id="344" w:name="xdx_900_eus-gaap--PaymentsOfDebtIssuance"/>
      <w:bookmarkEnd w:id="344"/>
      <w:r>
        <w:rPr>
          <w:rFonts w:ascii="Times New Roman;Times;Serif" w:hAnsi="Times New Roman;Times;Serif"/>
          <w:b w:val="false"/>
          <w:i w:val="false"/>
          <w:caps w:val="false"/>
          <w:smallCaps w:val="false"/>
          <w:sz w:val="20"/>
        </w:rPr>
        <w:t>1,950 of original issuance discount and additional $</w:t>
      </w:r>
      <w:bookmarkStart w:id="345" w:name="xdx_90B_eus-gaap--PaymentsOfFinancingCos"/>
      <w:bookmarkEnd w:id="345"/>
      <w:r>
        <w:rPr>
          <w:rFonts w:ascii="Times New Roman;Times;Serif" w:hAnsi="Times New Roman;Times;Serif"/>
          <w:b w:val="false"/>
          <w:i w:val="false"/>
          <w:caps w:val="false"/>
          <w:smallCaps w:val="false"/>
          <w:sz w:val="20"/>
        </w:rPr>
        <w:t>2,081 of transaction costs that were allocated to the Term Loan, resulting in net cash proceeds of $</w:t>
      </w:r>
      <w:bookmarkStart w:id="346" w:name="xdx_901_eus-gaap--ProceedsFromLoans_pn3n"/>
      <w:bookmarkEnd w:id="346"/>
      <w:r>
        <w:rPr>
          <w:rFonts w:ascii="Times New Roman;Times;Serif" w:hAnsi="Times New Roman;Times;Serif"/>
          <w:b w:val="false"/>
          <w:i w:val="false"/>
          <w:caps w:val="false"/>
          <w:smallCaps w:val="false"/>
          <w:sz w:val="20"/>
        </w:rPr>
        <w:t>70,969. In addition, $</w:t>
      </w:r>
      <w:bookmarkStart w:id="347" w:name="xdx_902_eus-gaap--DebtInstrumentUnamorti"/>
      <w:bookmarkEnd w:id="347"/>
      <w:r>
        <w:rPr>
          <w:rFonts w:ascii="Times New Roman;Times;Serif" w:hAnsi="Times New Roman;Times;Serif"/>
          <w:b w:val="false"/>
          <w:i w:val="false"/>
          <w:caps w:val="false"/>
          <w:smallCaps w:val="false"/>
          <w:sz w:val="20"/>
        </w:rPr>
        <w:t>52,956 of Term Loan warrants based on their combined relative fair values was recorded as a debt discount resulting in initial carrying amount of debt of $</w:t>
      </w:r>
      <w:bookmarkStart w:id="348" w:name="xdx_902_eus-gaap--DebtInstrumentCarrying"/>
      <w:bookmarkEnd w:id="348"/>
      <w:r>
        <w:rPr>
          <w:rFonts w:ascii="Times New Roman;Times;Serif" w:hAnsi="Times New Roman;Times;Serif"/>
          <w:b w:val="false"/>
          <w:i w:val="false"/>
          <w:caps w:val="false"/>
          <w:smallCaps w:val="false"/>
          <w:sz w:val="20"/>
        </w:rPr>
        <w:t>18,013. Pursuant to the terms of the loan agreement, the Term Loan was advanced in one tranche on the closing date and the funds were used to refinance on the closing date prior indebtedness of $</w:t>
      </w:r>
      <w:bookmarkStart w:id="349" w:name="xdx_90C_eus-gaap--ExtinguishmentOfDebtAm"/>
      <w:bookmarkEnd w:id="349"/>
      <w:r>
        <w:rPr>
          <w:rFonts w:ascii="Times New Roman;Times;Serif" w:hAnsi="Times New Roman;Times;Serif"/>
          <w:b w:val="false"/>
          <w:i w:val="false"/>
          <w:caps w:val="false"/>
          <w:smallCaps w:val="false"/>
          <w:sz w:val="20"/>
        </w:rPr>
        <w:t>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w:t>
      </w:r>
      <w:bookmarkStart w:id="350" w:name="xdx_901_ecustom--TransactionCosts_pn3n3_"/>
      <w:bookmarkEnd w:id="350"/>
      <w:r>
        <w:rPr>
          <w:rFonts w:ascii="Times New Roman;Times;Serif" w:hAnsi="Times New Roman;Times;Serif"/>
          <w:b w:val="false"/>
          <w:i w:val="false"/>
          <w:caps w:val="false"/>
          <w:smallCaps w:val="false"/>
          <w:sz w:val="20"/>
        </w:rPr>
        <w:t>13,221 were allocated to all instruments assumed and issued in the merger on a relative fair value basis. As such, the Company allocated $</w:t>
      </w:r>
      <w:bookmarkStart w:id="351" w:name="xdx_90B_ecustom--TransactionCosts_pn3n3_"/>
      <w:bookmarkEnd w:id="351"/>
      <w:r>
        <w:rPr>
          <w:rFonts w:ascii="Times New Roman;Times;Serif" w:hAnsi="Times New Roman;Times;Serif"/>
          <w:b w:val="false"/>
          <w:i w:val="false"/>
          <w:caps w:val="false"/>
          <w:smallCaps w:val="false"/>
          <w:sz w:val="20"/>
        </w:rPr>
        <w:t>2,081 to the Term Loan, $</w:t>
      </w:r>
      <w:bookmarkStart w:id="352" w:name="xdx_90C_ecustom--TransactionCosts_pn3n3_"/>
      <w:bookmarkEnd w:id="352"/>
      <w:r>
        <w:rPr>
          <w:rFonts w:ascii="Times New Roman;Times;Serif" w:hAnsi="Times New Roman;Times;Serif"/>
          <w:b w:val="false"/>
          <w:i w:val="false"/>
          <w:caps w:val="false"/>
          <w:smallCaps w:val="false"/>
          <w:sz w:val="20"/>
        </w:rPr>
        <w:t>9,633 to equity instruments, which was expensed in general and administrative expenses as the offering costs exceeded the proceeds received, and $</w:t>
      </w:r>
      <w:bookmarkStart w:id="353" w:name="xdx_908_ecustom--TransactionCosts_pn3n3_"/>
      <w:bookmarkEnd w:id="353"/>
      <w:r>
        <w:rPr>
          <w:rFonts w:ascii="Times New Roman;Times;Serif" w:hAnsi="Times New Roman;Times;Serif"/>
          <w:b w:val="false"/>
          <w:i w:val="false"/>
          <w:caps w:val="false"/>
          <w:smallCaps w:val="false"/>
          <w:sz w:val="20"/>
        </w:rPr>
        <w:t>1,507 to the warrant liabilities assumed and warrant liabilities issued with the term debt, which was expensed within the general and administrative expenses within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terms of the merger, the Company assumed $</w:t>
      </w:r>
      <w:bookmarkStart w:id="354" w:name="xdx_90B_ecustom--TransactionCosts_pn3n3_"/>
      <w:bookmarkEnd w:id="354"/>
      <w:r>
        <w:rPr>
          <w:rFonts w:ascii="Times New Roman;Times;Serif" w:hAnsi="Times New Roman;Times;Serif"/>
          <w:b w:val="false"/>
          <w:i w:val="false"/>
          <w:caps w:val="false"/>
          <w:smallCaps w:val="false"/>
          <w:sz w:val="20"/>
        </w:rPr>
        <w:t>18,072 of CNTQ accrued and unpaid transaction expenses, of which all were paid upon consummation of the merger. As detailed below, $</w:t>
      </w:r>
      <w:bookmarkStart w:id="355" w:name="xdx_908_ecustom--ProceedsFromIssuanceOfL"/>
      <w:bookmarkEnd w:id="355"/>
      <w:r>
        <w:rPr>
          <w:rFonts w:ascii="Times New Roman;Times;Serif" w:hAnsi="Times New Roman;Times;Serif"/>
          <w:b w:val="false"/>
          <w:i w:val="false"/>
          <w:caps w:val="false"/>
          <w:smallCaps w:val="false"/>
          <w:sz w:val="20"/>
        </w:rPr>
        <w:t>10,197 of these costs were expensed as the amount exceeded the proceeds received and such costs were determined not be a return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closing of the merger, the Company’s certificate of incorporation was amended and restated to, among other things, increase the total number of authorized shares of all classes of capital stock to </w:t>
      </w:r>
      <w:bookmarkStart w:id="356" w:name="xdx_901_eus-gaap--CapitalUnitsAuthorized"/>
      <w:bookmarkEnd w:id="356"/>
      <w:r>
        <w:rPr>
          <w:rFonts w:ascii="Times New Roman;Times;Serif" w:hAnsi="Times New Roman;Times;Serif"/>
          <w:b w:val="false"/>
          <w:i w:val="false"/>
          <w:caps w:val="false"/>
          <w:smallCaps w:val="false"/>
          <w:sz w:val="20"/>
        </w:rPr>
        <w:t xml:space="preserve">175,000,000 common shares, of which </w:t>
      </w:r>
      <w:bookmarkStart w:id="357" w:name="xdx_901_eus-gaap--CommonStockSharesAutho"/>
      <w:bookmarkEnd w:id="357"/>
      <w:r>
        <w:rPr>
          <w:rFonts w:ascii="Times New Roman;Times;Serif" w:hAnsi="Times New Roman;Times;Serif"/>
          <w:b w:val="false"/>
          <w:i w:val="false"/>
          <w:caps w:val="false"/>
          <w:smallCaps w:val="false"/>
          <w:sz w:val="20"/>
        </w:rPr>
        <w:t xml:space="preserve">170,000,000 were designated as common stock and </w:t>
      </w:r>
      <w:bookmarkStart w:id="358" w:name="xdx_901_eus-gaap--PreferredStockSharesAu"/>
      <w:bookmarkEnd w:id="358"/>
      <w:r>
        <w:rPr>
          <w:rFonts w:ascii="Times New Roman;Times;Serif" w:hAnsi="Times New Roman;Times;Serif"/>
          <w:b w:val="false"/>
          <w:i w:val="false"/>
          <w:caps w:val="false"/>
          <w:smallCaps w:val="false"/>
          <w:sz w:val="20"/>
        </w:rPr>
        <w:t>5,000,000 were designated as preferred stock, both having a par value of $</w:t>
      </w:r>
      <w:bookmarkStart w:id="359" w:name="xdx_908_eus-gaap--CommonStockParOrStated"/>
      <w:bookmarkStart w:id="360" w:name="xdx_902_eus-gaap--PreferredStockParOrSta"/>
      <w:bookmarkEnd w:id="359"/>
      <w:bookmarkEnd w:id="360"/>
      <w:r>
        <w:rPr>
          <w:rFonts w:ascii="Times New Roman;Times;Serif" w:hAnsi="Times New Roman;Times;Serif"/>
          <w:b w:val="false"/>
          <w:i w:val="false"/>
          <w:caps w:val="false"/>
          <w:smallCaps w:val="false"/>
          <w:sz w:val="20"/>
        </w:rPr>
        <w:t>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1" w:name="xdx_89B_ecustom--ScheduleOfMergerCashFlo"/>
      <w:bookmarkEnd w:id="361"/>
      <w:r>
        <w:rPr>
          <w:rFonts w:ascii="Times New Roman;Times;Serif" w:hAnsi="Times New Roman;Times;Serif"/>
          <w:b w:val="false"/>
          <w:i w:val="false"/>
          <w:caps w:val="false"/>
          <w:smallCaps w:val="false"/>
          <w:sz w:val="20"/>
        </w:rPr>
        <w:t>The following table summarizes the elements of the merger allocated to the Consolidated Statements of Operations:</w:t>
      </w:r>
    </w:p>
    <w:p>
      <w:pPr>
        <w:pStyle w:val="TextBody"/>
        <w:bidi w:val="0"/>
        <w:spacing w:before="0" w:after="0"/>
        <w:ind w:left="0" w:right="0" w:hanging="0"/>
        <w:jc w:val="both"/>
        <w:rPr>
          <w:caps w:val="false"/>
          <w:smallCaps w:val="false"/>
        </w:rPr>
      </w:pPr>
      <w:r>
        <w:rPr>
          <w:caps w:val="false"/>
          <w:smallCaps w:val="false"/>
        </w:rPr>
        <w:t> </w:t>
      </w:r>
      <w:bookmarkStart w:id="362" w:name="xdx_8B6_zc0xRalE3aid"/>
      <w:bookmarkEnd w:id="362"/>
      <w:r>
        <w:rPr>
          <w:rFonts w:ascii="Times New Roman;Times;Serif" w:hAnsi="Times New Roman;Times;Serif"/>
          <w:b w:val="false"/>
          <w:i w:val="false"/>
          <w:caps w:val="false"/>
          <w:smallCaps w:val="false"/>
          <w:sz w:val="20"/>
        </w:rPr>
        <w:t>SCHEDULE OF MERGER CASH FLOW AND SHAREHOLDERS EQUITY</w:t>
      </w:r>
    </w:p>
    <w:tbl>
      <w:tblPr>
        <w:tblW w:w="4565" w:type="dxa"/>
        <w:jc w:val="left"/>
        <w:tblInd w:w="0" w:type="dxa"/>
        <w:tblLayout w:type="fixed"/>
        <w:tblCellMar>
          <w:top w:w="0" w:type="dxa"/>
          <w:left w:w="0" w:type="dxa"/>
          <w:bottom w:w="0" w:type="dxa"/>
          <w:right w:w="0" w:type="dxa"/>
        </w:tblCellMar>
      </w:tblPr>
      <w:tblGrid>
        <w:gridCol w:w="3635"/>
        <w:gridCol w:w="60"/>
        <w:gridCol w:w="125"/>
        <w:gridCol w:w="650"/>
        <w:gridCol w:w="95"/>
      </w:tblGrid>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3" w:name="xdx_496_20220101__20221231__us-gaap--Deb"/>
            <w:bookmarkEnd w:id="363"/>
          </w:p>
        </w:tc>
        <w:tc>
          <w:tcPr>
            <w:tcW w:w="775" w:type="dxa"/>
            <w:gridSpan w:val="2"/>
            <w:tcBorders>
              <w:bottom w:val="single" w:sz="12"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64" w:name="xdx_409_eus-gaap--ProceedsFromIssuanceOf"/>
            <w:bookmarkEnd w:id="364"/>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CNTQ trust and PIPE Investors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65" w:name="xdx_40A_eus-gaap--ProceedsFromIssuanceOf"/>
            <w:bookmarkEnd w:id="365"/>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CNTQ</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66" w:name="xdx_408_eus-gaap--ProceedsFromIssuanceOf"/>
            <w:bookmarkEnd w:id="366"/>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Proceeds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67" w:name="xdx_404_ecustom--NetLiabilitiesAssumedIn"/>
            <w:bookmarkEnd w:id="367"/>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liabilities assumed in merger transaction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8" w:name="xdx_40A_eus-gaap--LiabilitiesAssumed1_iN"/>
            <w:bookmarkEnd w:id="368"/>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assumed in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9" w:name="xdx_404_ecustom--NetDeficitAssumedInMerg"/>
            <w:bookmarkEnd w:id="369"/>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note payable settlement at close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0" w:name="xdx_40D_ecustom--TransactionCosts_pn3n3_"/>
            <w:bookmarkEnd w:id="370"/>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transaction costs paid at close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1" w:name="xdx_400_ecustom--ProceedsFromIssuanceOfL"/>
            <w:bookmarkEnd w:id="371"/>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deficit assumed in recapitalization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tbl>
      <w:tblPr>
        <w:tblW w:w="7544" w:type="dxa"/>
        <w:jc w:val="left"/>
        <w:tblInd w:w="0" w:type="dxa"/>
        <w:tblLayout w:type="fixed"/>
        <w:tblCellMar>
          <w:top w:w="0" w:type="dxa"/>
          <w:left w:w="0" w:type="dxa"/>
          <w:bottom w:w="0" w:type="dxa"/>
          <w:right w:w="0" w:type="dxa"/>
        </w:tblCellMar>
      </w:tblPr>
      <w:tblGrid>
        <w:gridCol w:w="5630"/>
        <w:gridCol w:w="60"/>
        <w:gridCol w:w="90"/>
        <w:gridCol w:w="1654"/>
        <w:gridCol w:w="110"/>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2" w:name="xdx_498_20220101__20221231__us-gaap--Deb"/>
            <w:bookmarkEnd w:id="372"/>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Number of Shares</w:t>
            </w:r>
          </w:p>
        </w:tc>
        <w:tc>
          <w:tcPr>
            <w:tcW w:w="110" w:type="dxa"/>
            <w:tcBorders/>
            <w:vAlign w:val="center"/>
          </w:tcPr>
          <w:p>
            <w:pPr>
              <w:pStyle w:val="TableContents"/>
              <w:bidi w:val="0"/>
              <w:spacing w:before="0" w:after="283"/>
              <w:jc w:val="left"/>
              <w:rPr/>
            </w:pPr>
            <w:r>
              <w:rPr/>
              <w:t> </w:t>
            </w:r>
            <w:bookmarkStart w:id="373" w:name="xdx_405_eus-gaap--CommonStockSharesOutst"/>
            <w:bookmarkEnd w:id="373"/>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outstanding prior to merger</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3,093,348</w:t>
            </w:r>
          </w:p>
        </w:tc>
        <w:tc>
          <w:tcPr>
            <w:tcW w:w="110" w:type="dxa"/>
            <w:tcBorders/>
            <w:shd w:fill="CCEEFF" w:val="clear"/>
            <w:vAlign w:val="center"/>
          </w:tcPr>
          <w:p>
            <w:pPr>
              <w:pStyle w:val="TableContents"/>
              <w:bidi w:val="0"/>
              <w:spacing w:before="0" w:after="283"/>
              <w:jc w:val="left"/>
              <w:rPr/>
            </w:pPr>
            <w:r>
              <w:rPr/>
              <w:t> </w:t>
            </w:r>
            <w:bookmarkStart w:id="374" w:name="xdx_40E_eus-gaap--StockRepurchasedDuring"/>
            <w:bookmarkEnd w:id="374"/>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Redemption of CNTQ shares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(2,016,912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5" w:name="xdx_406_eus-gaap--StockIssuedDuringPerio"/>
            <w:bookmarkEnd w:id="375"/>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CNTQ Public Shares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1,076,436</w:t>
            </w:r>
          </w:p>
        </w:tc>
        <w:tc>
          <w:tcPr>
            <w:tcW w:w="110" w:type="dxa"/>
            <w:tcBorders/>
            <w:shd w:fill="CCEEFF" w:val="clear"/>
            <w:vAlign w:val="center"/>
          </w:tcPr>
          <w:p>
            <w:pPr>
              <w:pStyle w:val="TableContents"/>
              <w:bidi w:val="0"/>
              <w:spacing w:before="0" w:after="283"/>
              <w:jc w:val="left"/>
              <w:rPr/>
            </w:pPr>
            <w:r>
              <w:rPr/>
              <w:t> </w:t>
            </w:r>
            <w:bookmarkStart w:id="376" w:name="xdx_400_eus-gaap--StockIssuedDuringPerio"/>
            <w:bookmarkEnd w:id="376"/>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CNTQ Sponsor Shares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3,162,500</w:t>
            </w:r>
          </w:p>
        </w:tc>
        <w:tc>
          <w:tcPr>
            <w:tcW w:w="110" w:type="dxa"/>
            <w:tcBorders/>
            <w:shd w:fill="FFFFFF" w:val="clear"/>
            <w:vAlign w:val="center"/>
          </w:tcPr>
          <w:p>
            <w:pPr>
              <w:pStyle w:val="TableContents"/>
              <w:bidi w:val="0"/>
              <w:spacing w:before="0" w:after="283"/>
              <w:jc w:val="left"/>
              <w:rPr/>
            </w:pPr>
            <w:r>
              <w:rPr/>
              <w:t> </w:t>
            </w:r>
            <w:bookmarkStart w:id="377" w:name="xdx_409_ecustom--StockIssuedDuringPeriod"/>
            <w:bookmarkEnd w:id="377"/>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and PIPE financing shares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4,238,936</w:t>
            </w:r>
          </w:p>
        </w:tc>
        <w:tc>
          <w:tcPr>
            <w:tcW w:w="110" w:type="dxa"/>
            <w:tcBorders/>
            <w:shd w:fill="CCEEFF" w:val="clear"/>
            <w:vAlign w:val="center"/>
          </w:tcPr>
          <w:p>
            <w:pPr>
              <w:pStyle w:val="TableContents"/>
              <w:bidi w:val="0"/>
              <w:spacing w:before="0" w:after="283"/>
              <w:jc w:val="left"/>
              <w:rPr/>
            </w:pPr>
            <w:r>
              <w:rPr/>
              <w:t> </w:t>
            </w:r>
            <w:bookmarkStart w:id="378" w:name="xdx_404_ecustom--StockConvertedReverseRe"/>
            <w:bookmarkEnd w:id="378"/>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Legacy Dragonfly shares </w:t>
            </w:r>
            <w:bookmarkStart w:id="379" w:name="xdx_F48_zd48FYJyuPBa"/>
            <w:bookmarkEnd w:id="379"/>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38,576,650</w:t>
            </w:r>
          </w:p>
        </w:tc>
        <w:tc>
          <w:tcPr>
            <w:tcW w:w="110" w:type="dxa"/>
            <w:tcBorders/>
            <w:shd w:fill="FFFFFF" w:val="clear"/>
            <w:vAlign w:val="center"/>
          </w:tcPr>
          <w:p>
            <w:pPr>
              <w:pStyle w:val="TableContents"/>
              <w:bidi w:val="0"/>
              <w:spacing w:before="0" w:after="283"/>
              <w:jc w:val="left"/>
              <w:rPr/>
            </w:pPr>
            <w:r>
              <w:rPr/>
              <w:t> </w:t>
            </w:r>
            <w:bookmarkStart w:id="380" w:name="xdx_409_eus-gaap--CommonStockSharesOutst"/>
            <w:bookmarkEnd w:id="380"/>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immediately after the merger</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42,815,586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right"/>
              <w:rPr>
                <w:rFonts w:ascii="Times New Roman;Times;Serif" w:hAnsi="Times New Roman;Times;Serif"/>
                <w:i/>
                <w:sz w:val="20"/>
              </w:rPr>
            </w:pPr>
            <w:bookmarkStart w:id="381" w:name="xdx_F03_zf30tS4MH7Wb"/>
            <w:bookmarkEnd w:id="381"/>
            <w:r>
              <w:rPr>
                <w:rFonts w:ascii="Times New Roman;Times;Serif" w:hAnsi="Times New Roman;Times;Serif"/>
                <w:i/>
                <w:sz w:val="20"/>
              </w:rPr>
              <w:t>(1)</w:t>
            </w:r>
          </w:p>
        </w:tc>
        <w:tc>
          <w:tcPr>
            <w:tcW w:w="9975" w:type="dxa"/>
            <w:tcBorders/>
            <w:vAlign w:val="center"/>
          </w:tcPr>
          <w:p>
            <w:pPr>
              <w:pStyle w:val="TableContents"/>
              <w:bidi w:val="0"/>
              <w:spacing w:before="0" w:after="283"/>
              <w:jc w:val="both"/>
              <w:rPr>
                <w:rFonts w:ascii="Times New Roman;Times;Serif" w:hAnsi="Times New Roman;Times;Serif"/>
                <w:i/>
                <w:sz w:val="20"/>
              </w:rPr>
            </w:pPr>
            <w:bookmarkStart w:id="382" w:name="xdx_F1D_zEKF38gMn591"/>
            <w:bookmarkEnd w:id="382"/>
            <w:r>
              <w:rPr>
                <w:rFonts w:ascii="Times New Roman;Times;Serif" w:hAnsi="Times New Roman;Times;Serif"/>
                <w:i/>
                <w:sz w:val="20"/>
              </w:rPr>
              <w:t>-The number of Legacy Dragonfly shares was determined from the shares of Legacy Dragonfly outstanding immediately prior to the closing of the merger converted at the Exchange Ratio. All fractional shares were rounded down.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right"/>
              <w:rPr>
                <w:i/>
              </w:rPr>
            </w:pPr>
            <w:bookmarkStart w:id="383" w:name="xdx_F00_zsKtGZLlPF6l"/>
            <w:bookmarkEnd w:id="383"/>
            <w:r>
              <w:rPr>
                <w:i/>
              </w:rPr>
              <w:t>(2)</w:t>
            </w:r>
          </w:p>
        </w:tc>
        <w:tc>
          <w:tcPr>
            <w:tcW w:w="9939" w:type="dxa"/>
            <w:tcBorders/>
            <w:vAlign w:val="center"/>
          </w:tcPr>
          <w:p>
            <w:pPr>
              <w:pStyle w:val="TableContents"/>
              <w:bidi w:val="0"/>
              <w:spacing w:before="0" w:after="283"/>
              <w:jc w:val="both"/>
              <w:rPr/>
            </w:pPr>
            <w:r>
              <w:rPr/>
              <w:t>-</w:t>
            </w:r>
            <w:bookmarkStart w:id="384" w:name="xdx_F11_zLaxQG7cV0Qh"/>
            <w:bookmarkEnd w:id="384"/>
            <w:r>
              <w:rPr>
                <w:i/>
              </w:rPr>
              <w:t>The preferred shares of Legacy Dragonfly were exchanged on a 1 to 1 ratio to common stock and the shares were then exchanged for shares of Dragonfly Energy Holdings Corp. at the Exchange Ratio.</w:t>
            </w:r>
          </w:p>
        </w:tc>
      </w:tr>
    </w:tbl>
    <w:p>
      <w:pPr>
        <w:pStyle w:val="TextBody"/>
        <w:bidi w:val="0"/>
        <w:spacing w:before="0" w:after="0"/>
        <w:ind w:left="0" w:right="0" w:hanging="0"/>
        <w:jc w:val="left"/>
        <w:rPr>
          <w:caps w:val="false"/>
          <w:smallCaps w:val="false"/>
        </w:rPr>
      </w:pPr>
      <w:bookmarkStart w:id="385" w:name="xdx_8AB_zas4Gwcfdqg6"/>
      <w:bookmarkEnd w:id="38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reverse capitalization transaction, the Company issued public warrants, private placement warrants and Term Loan warrants. Refer to Note 12 for a further description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Earnout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former holders of shares of Legacy Dragonfly common stock (including shares received as a result of the conversion of Legacy Dragonfly Preferred Stock into New Dragonfly Common Stock) are entitled to receive their pro rata share of up to </w:t>
      </w:r>
      <w:bookmarkStart w:id="386" w:name="xdx_909_ecustom--BusinessAcquisitionEqui"/>
      <w:bookmarkEnd w:id="386"/>
      <w:r>
        <w:rPr>
          <w:rFonts w:ascii="Times New Roman;Times;Serif" w:hAnsi="Times New Roman;Times;Serif"/>
          <w:b w:val="false"/>
          <w:i w:val="false"/>
          <w:caps w:val="false"/>
          <w:smallCaps w:val="false"/>
          <w:sz w:val="20"/>
        </w:rPr>
        <w:t>40,000,000 additional shares of common stock (the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xml:space="preserve">”). The Earnout Shares are issuable in three tranches. The first tranche of </w:t>
      </w:r>
      <w:bookmarkStart w:id="387" w:name="xdx_90F_ecustom--EarnoutSharesIssuable_i"/>
      <w:bookmarkEnd w:id="387"/>
      <w:r>
        <w:rPr>
          <w:rFonts w:ascii="Times New Roman;Times;Serif" w:hAnsi="Times New Roman;Times;Serif"/>
          <w:b w:val="false"/>
          <w:i w:val="false"/>
          <w:caps w:val="false"/>
          <w:smallCaps w:val="false"/>
          <w:sz w:val="20"/>
        </w:rPr>
        <w:t>15,000,000 shares is issuable if New Dragonfly’s 2023 total audited revenue is equal to or greater than $</w:t>
      </w:r>
      <w:bookmarkStart w:id="388" w:name="xdx_90C_ecustom--AuditedRevenue_c2022010"/>
      <w:bookmarkEnd w:id="388"/>
      <w:r>
        <w:rPr>
          <w:rFonts w:ascii="Times New Roman;Times;Serif" w:hAnsi="Times New Roman;Times;Serif"/>
          <w:b w:val="false"/>
          <w:i w:val="false"/>
          <w:caps w:val="false"/>
          <w:smallCaps w:val="false"/>
          <w:sz w:val="20"/>
        </w:rPr>
        <w:t>250,000 and New Dragonfly’s 2023 audited operating income is equal to or greater than $</w:t>
      </w:r>
      <w:bookmarkStart w:id="389" w:name="xdx_906_ecustom--AuditedOperatingIncome_"/>
      <w:bookmarkEnd w:id="389"/>
      <w:r>
        <w:rPr>
          <w:rFonts w:ascii="Times New Roman;Times;Serif" w:hAnsi="Times New Roman;Times;Serif"/>
          <w:b w:val="false"/>
          <w:i w:val="false"/>
          <w:caps w:val="false"/>
          <w:smallCaps w:val="false"/>
          <w:sz w:val="20"/>
        </w:rPr>
        <w:t xml:space="preserve">35,000. The second tranche of </w:t>
      </w:r>
      <w:bookmarkStart w:id="390" w:name="xdx_90A_ecustom--EarnoutSharesIssuable_i"/>
      <w:bookmarkEnd w:id="390"/>
      <w:r>
        <w:rPr>
          <w:rFonts w:ascii="Times New Roman;Times;Serif" w:hAnsi="Times New Roman;Times;Serif"/>
          <w:b w:val="false"/>
          <w:i w:val="false"/>
          <w:caps w:val="false"/>
          <w:smallCaps w:val="false"/>
          <w:sz w:val="20"/>
        </w:rPr>
        <w:t>12,500,000 shares is issuable upon achieving a volume-weighted average trading price threshold of at least $</w:t>
      </w:r>
      <w:bookmarkStart w:id="391" w:name="xdx_90A_ecustom--VolumeWeightedAveragePr"/>
      <w:bookmarkEnd w:id="391"/>
      <w:r>
        <w:rPr>
          <w:rFonts w:ascii="Times New Roman;Times;Serif" w:hAnsi="Times New Roman;Times;Serif"/>
          <w:b w:val="false"/>
          <w:i w:val="false"/>
          <w:caps w:val="false"/>
          <w:smallCaps w:val="false"/>
          <w:sz w:val="20"/>
        </w:rPr>
        <w:t xml:space="preserve">22.50 on or prior to December 31, 2026 and the third tranche of </w:t>
      </w:r>
      <w:bookmarkStart w:id="392" w:name="xdx_905_ecustom--EarnoutSharesIssuable_i"/>
      <w:bookmarkEnd w:id="392"/>
      <w:r>
        <w:rPr>
          <w:rFonts w:ascii="Times New Roman;Times;Serif" w:hAnsi="Times New Roman;Times;Serif"/>
          <w:b w:val="false"/>
          <w:i w:val="false"/>
          <w:caps w:val="false"/>
          <w:smallCaps w:val="false"/>
          <w:sz w:val="20"/>
        </w:rPr>
        <w:t>12,500,000 is issuable upon achieving a volume-weighted average trading price threshold of at least $</w:t>
      </w:r>
      <w:bookmarkStart w:id="393" w:name="xdx_90B_ecustom--VolumeWeightedAveragePr"/>
      <w:bookmarkEnd w:id="393"/>
      <w:r>
        <w:rPr>
          <w:rFonts w:ascii="Times New Roman;Times;Serif" w:hAnsi="Times New Roman;Times;Serif"/>
          <w:b w:val="false"/>
          <w:i w:val="false"/>
          <w:caps w:val="false"/>
          <w:smallCaps w:val="false"/>
          <w:sz w:val="20"/>
        </w:rPr>
        <w:t>32.50 on or prior to December 31, 2028. To the extent not previously earned, the second tranche is issuable if the $</w:t>
      </w:r>
      <w:bookmarkStart w:id="394" w:name="xdx_90C_ecustom--VolumeWeightedAveragePr"/>
      <w:bookmarkEnd w:id="394"/>
      <w:r>
        <w:rPr>
          <w:rFonts w:ascii="Times New Roman;Times;Serif" w:hAnsi="Times New Roman;Times;Serif"/>
          <w:b w:val="false"/>
          <w:i w:val="false"/>
          <w:caps w:val="false"/>
          <w:smallCaps w:val="false"/>
          <w:sz w:val="20"/>
        </w:rPr>
        <w:t>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w:t>
      </w:r>
      <w:bookmarkStart w:id="395" w:name="xdx_90E_eus-gaap--SharePrice_iI_c2022123"/>
      <w:bookmarkEnd w:id="395"/>
      <w:r>
        <w:rPr>
          <w:rFonts w:ascii="Times New Roman;Times;Serif" w:hAnsi="Times New Roman;Times;Serif"/>
          <w:b w:val="false"/>
          <w:i w:val="false"/>
          <w:caps w:val="false"/>
          <w:smallCaps w:val="false"/>
          <w:sz w:val="20"/>
        </w:rPr>
        <w:t xml:space="preserve">14.00; (2) a risk-free rate of </w:t>
      </w:r>
      <w:bookmarkStart w:id="396" w:name="xdx_908_eus-gaap--WarrantsAndRightsOutst"/>
      <w:bookmarkEnd w:id="396"/>
      <w:r>
        <w:rPr>
          <w:rFonts w:ascii="Times New Roman;Times;Serif" w:hAnsi="Times New Roman;Times;Serif"/>
          <w:b w:val="false"/>
          <w:i w:val="false"/>
          <w:caps w:val="false"/>
          <w:smallCaps w:val="false"/>
          <w:sz w:val="20"/>
        </w:rPr>
        <w:t>4.24%; (3) projected revenue and EBITDA of $</w:t>
      </w:r>
      <w:bookmarkStart w:id="397" w:name="xdx_900_eus-gaap--DebtInstrumentFairValu"/>
      <w:bookmarkEnd w:id="397"/>
      <w:r>
        <w:rPr>
          <w:rFonts w:ascii="Times New Roman;Times;Serif" w:hAnsi="Times New Roman;Times;Serif"/>
          <w:b w:val="false"/>
          <w:i w:val="false"/>
          <w:caps w:val="false"/>
          <w:smallCaps w:val="false"/>
          <w:sz w:val="20"/>
        </w:rPr>
        <w:t>255,100 and $</w:t>
      </w:r>
      <w:bookmarkStart w:id="398" w:name="xdx_900_eus-gaap--DebtInstrumentFairValu"/>
      <w:bookmarkEnd w:id="398"/>
      <w:r>
        <w:rPr>
          <w:rFonts w:ascii="Times New Roman;Times;Serif" w:hAnsi="Times New Roman;Times;Serif"/>
          <w:b w:val="false"/>
          <w:i w:val="false"/>
          <w:caps w:val="false"/>
          <w:smallCaps w:val="false"/>
          <w:sz w:val="20"/>
        </w:rPr>
        <w:t xml:space="preserve">41,000, respectively; (4) expected volatility of future annual revenue and future annual EBITDA of </w:t>
      </w:r>
      <w:bookmarkStart w:id="399" w:name="xdx_907_eus-gaap--WarrantsAndRightsOutst"/>
      <w:bookmarkEnd w:id="399"/>
      <w:r>
        <w:rPr>
          <w:rFonts w:ascii="Times New Roman;Times;Serif" w:hAnsi="Times New Roman;Times;Serif"/>
          <w:b w:val="false"/>
          <w:i w:val="false"/>
          <w:caps w:val="false"/>
          <w:smallCaps w:val="false"/>
          <w:sz w:val="20"/>
        </w:rPr>
        <w:t xml:space="preserve">42.0% and </w:t>
      </w:r>
      <w:bookmarkStart w:id="400" w:name="xdx_905_eus-gaap--WarrantsAndRightsOutst"/>
      <w:bookmarkEnd w:id="400"/>
      <w:r>
        <w:rPr>
          <w:rFonts w:ascii="Times New Roman;Times;Serif" w:hAnsi="Times New Roman;Times;Serif"/>
          <w:b w:val="false"/>
          <w:i w:val="false"/>
          <w:caps w:val="false"/>
          <w:smallCaps w:val="false"/>
          <w:sz w:val="20"/>
        </w:rPr>
        <w:t xml:space="preserve">64.0% respectively; (5) discount rate of </w:t>
      </w:r>
      <w:bookmarkStart w:id="401" w:name="xdx_909_eus-gaap--WarrantsAndRightsOutst"/>
      <w:bookmarkEnd w:id="401"/>
      <w:r>
        <w:rPr>
          <w:rFonts w:ascii="Times New Roman;Times;Serif" w:hAnsi="Times New Roman;Times;Serif"/>
          <w:b w:val="false"/>
          <w:i w:val="false"/>
          <w:caps w:val="false"/>
          <w:smallCaps w:val="false"/>
          <w:sz w:val="20"/>
        </w:rPr>
        <w:t xml:space="preserve">4.24%; and (6) expected probability of change in control of </w:t>
      </w:r>
      <w:bookmarkStart w:id="402" w:name="xdx_90E_eus-gaap--WarrantsAndRightsOutst"/>
      <w:bookmarkEnd w:id="402"/>
      <w:r>
        <w:rPr>
          <w:rFonts w:ascii="Times New Roman;Times;Serif" w:hAnsi="Times New Roman;Times;Serif"/>
          <w:b w:val="false"/>
          <w:i w:val="false"/>
          <w:caps w:val="false"/>
          <w:smallCaps w:val="false"/>
          <w:sz w:val="20"/>
        </w:rPr>
        <w:t>15.0%.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03" w:name="xdx_800_eus-gaap--FairValueDisclosuresTe"/>
      <w:bookmarkEnd w:id="403"/>
      <w:r>
        <w:rPr>
          <w:rFonts w:ascii="Times New Roman;Times;Serif" w:hAnsi="Times New Roman;Times;Serif"/>
          <w:b/>
          <w:i w:val="false"/>
          <w:caps/>
          <w:sz w:val="20"/>
        </w:rPr>
        <w:t xml:space="preserve">Note 4 - </w:t>
      </w:r>
      <w:bookmarkStart w:id="404" w:name="xdx_826_zfbAXR8Udxpg"/>
      <w:bookmarkEnd w:id="404"/>
      <w:r>
        <w:rPr>
          <w:rFonts w:ascii="Times New Roman;Times;Serif" w:hAnsi="Times New Roman;Times;Serif"/>
          <w:b/>
          <w:i w:val="false"/>
          <w:caps/>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w:t>
      </w:r>
      <w:r>
        <w:rPr>
          <w:rFonts w:ascii="Times New Roman;Times;Serif" w:hAnsi="Times New Roman;Times;Serif"/>
          <w:b/>
          <w:i w:val="false"/>
          <w:caps w:val="false"/>
          <w:smallCaps w:val="false"/>
          <w:sz w:val="20"/>
        </w:rPr>
        <w:t>ASC 820</w:t>
      </w:r>
      <w:r>
        <w:rPr>
          <w:rFonts w:ascii="Times New Roman;Times;Serif" w:hAnsi="Times New Roman;Times;Serif"/>
          <w:b w:val="false"/>
          <w:i w:val="false"/>
          <w:caps w:val="false"/>
          <w:smallCaps w:val="false"/>
          <w:sz w:val="20"/>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inputs are unobservable inputs that reflect the Company’s own assumptions about the inputs that market participants would use in pricing the asset or liability.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2022 and 2021:</w:t>
      </w:r>
    </w:p>
    <w:p>
      <w:pPr>
        <w:pStyle w:val="TextBody"/>
        <w:bidi w:val="0"/>
        <w:spacing w:before="0" w:after="0"/>
        <w:ind w:left="0" w:right="0" w:hanging="0"/>
        <w:jc w:val="both"/>
        <w:rPr>
          <w:caps w:val="false"/>
          <w:smallCaps w:val="false"/>
        </w:rPr>
      </w:pPr>
      <w:bookmarkStart w:id="405" w:name="xdx_899_eus-gaap--ScheduleOfFairValueAss"/>
      <w:bookmarkEnd w:id="405"/>
      <w:r>
        <w:rPr>
          <w:caps w:val="false"/>
          <w:smallCaps w:val="false"/>
        </w:rPr>
        <w:t> </w:t>
      </w:r>
      <w:bookmarkStart w:id="406" w:name="xdx_8BF_zKrjzdSBlNcg"/>
      <w:bookmarkEnd w:id="406"/>
      <w:r>
        <w:rPr>
          <w:rFonts w:ascii="Times New Roman;Times;Serif" w:hAnsi="Times New Roman;Times;Serif"/>
          <w:b w:val="false"/>
          <w:i w:val="false"/>
          <w:caps w:val="false"/>
          <w:smallCaps w:val="false"/>
          <w:sz w:val="20"/>
        </w:rPr>
        <w:t>SCHEDULE OF FAIR VALUE, ASSETS AND LIABILITIES</w:t>
      </w:r>
    </w:p>
    <w:tbl>
      <w:tblPr>
        <w:tblW w:w="10205" w:type="dxa"/>
        <w:jc w:val="left"/>
        <w:tblInd w:w="0" w:type="dxa"/>
        <w:tblLayout w:type="fixed"/>
        <w:tblCellMar>
          <w:top w:w="0" w:type="dxa"/>
          <w:left w:w="0" w:type="dxa"/>
          <w:bottom w:w="0" w:type="dxa"/>
          <w:right w:w="0" w:type="dxa"/>
        </w:tblCellMar>
      </w:tblPr>
      <w:tblGrid>
        <w:gridCol w:w="4216"/>
        <w:gridCol w:w="60"/>
        <w:gridCol w:w="286"/>
        <w:gridCol w:w="1402"/>
        <w:gridCol w:w="60"/>
        <w:gridCol w:w="60"/>
        <w:gridCol w:w="174"/>
        <w:gridCol w:w="847"/>
        <w:gridCol w:w="60"/>
        <w:gridCol w:w="60"/>
        <w:gridCol w:w="207"/>
        <w:gridCol w:w="678"/>
        <w:gridCol w:w="60"/>
        <w:gridCol w:w="60"/>
        <w:gridCol w:w="177"/>
        <w:gridCol w:w="710"/>
        <w:gridCol w:w="60"/>
        <w:gridCol w:w="60"/>
        <w:gridCol w:w="150"/>
        <w:gridCol w:w="737"/>
        <w:gridCol w:w="81"/>
      </w:tblGrid>
      <w:tr>
        <w:trPr/>
        <w:tc>
          <w:tcPr>
            <w:tcW w:w="42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848"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 2022</w:t>
            </w:r>
          </w:p>
        </w:tc>
        <w:tc>
          <w:tcPr>
            <w:tcW w:w="81" w:type="dxa"/>
            <w:tcBorders/>
            <w:vAlign w:val="center"/>
          </w:tcPr>
          <w:p>
            <w:pPr>
              <w:pStyle w:val="TableContents"/>
              <w:bidi w:val="0"/>
              <w:spacing w:before="0" w:after="283"/>
              <w:jc w:val="center"/>
              <w:rPr/>
            </w:pPr>
            <w:r>
              <w:rPr/>
              <w:t> </w:t>
            </w:r>
          </w:p>
        </w:tc>
      </w:tr>
      <w:tr>
        <w:trPr/>
        <w:tc>
          <w:tcPr>
            <w:tcW w:w="42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6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3)</w:t>
            </w:r>
          </w:p>
        </w:tc>
        <w:tc>
          <w:tcPr>
            <w:tcW w:w="81" w:type="dxa"/>
            <w:tcBorders/>
            <w:vAlign w:val="center"/>
          </w:tcPr>
          <w:p>
            <w:pPr>
              <w:pStyle w:val="TableContents"/>
              <w:bidi w:val="0"/>
              <w:spacing w:before="0" w:after="283"/>
              <w:jc w:val="center"/>
              <w:rPr/>
            </w:pPr>
            <w:r>
              <w:rPr/>
              <w:t> </w:t>
            </w:r>
          </w:p>
        </w:tc>
      </w:tr>
      <w:tr>
        <w:trPr/>
        <w:tc>
          <w:tcPr>
            <w:tcW w:w="4216"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8"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liability-Term Loan</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7" w:name="xdx_986_ecustom--LiabilitiesCarryingValu"/>
            <w:bookmarkEnd w:id="407"/>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8" w:name="xdx_98F_eus-gaap--SharesSubjectToMandato"/>
            <w:bookmarkEnd w:id="408"/>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9" w:name="xdx_989_eus-gaap--SharesSubjectToMandato"/>
            <w:bookmarkEnd w:id="409"/>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0" w:name="xdx_98E_eus-gaap--SharesSubjectToMandato"/>
            <w:bookmarkEnd w:id="410"/>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1" w:name="xdx_98C_eus-gaap--SharesSubjectToMandato"/>
            <w:bookmarkEnd w:id="411"/>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81" w:type="dxa"/>
            <w:tcBorders/>
            <w:shd w:fill="FFFFFF" w:val="clear"/>
            <w:vAlign w:val="center"/>
          </w:tcPr>
          <w:p>
            <w:pPr>
              <w:pStyle w:val="TableContents"/>
              <w:bidi w:val="0"/>
              <w:spacing w:before="0" w:after="283"/>
              <w:jc w:val="left"/>
              <w:rPr/>
            </w:pPr>
            <w:r>
              <w:rPr/>
              <w:t> </w:t>
            </w:r>
          </w:p>
        </w:tc>
      </w:tr>
      <w:tr>
        <w:trPr/>
        <w:tc>
          <w:tcPr>
            <w:tcW w:w="42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liability-Private Placement Warrants</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2" w:name="xdx_98C_ecustom--LiabilitiesCarryingValu"/>
            <w:bookmarkEnd w:id="412"/>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3" w:name="xdx_988_eus-gaap--SharesSubjectToMandato"/>
            <w:bookmarkEnd w:id="413"/>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4" w:name="xdx_98D_eus-gaap--SharesSubjectToMandato"/>
            <w:bookmarkEnd w:id="414"/>
          </w:p>
        </w:tc>
        <w:tc>
          <w:tcPr>
            <w:tcW w:w="67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5" w:name="xdx_985_eus-gaap--SharesSubjectToMandato"/>
            <w:bookmarkEnd w:id="415"/>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6" w:name="xdx_989_eus-gaap--SharesSubjectToMandato"/>
            <w:bookmarkEnd w:id="416"/>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7" w:name="xdx_98E_ecustom--LiabilitiesCarryingValu"/>
            <w:bookmarkEnd w:id="417"/>
          </w:p>
        </w:tc>
        <w:tc>
          <w:tcPr>
            <w:tcW w:w="14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8" w:name="xdx_984_eus-gaap--SharesSubjectToMandato"/>
            <w:bookmarkEnd w:id="418"/>
          </w:p>
        </w:tc>
        <w:tc>
          <w:tcPr>
            <w:tcW w:w="8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9" w:name="xdx_98E_eus-gaap--SharesSubjectToMandato"/>
            <w:bookmarkEnd w:id="419"/>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0" w:name="xdx_982_eus-gaap--SharesSubjectToMandato"/>
            <w:bookmarkEnd w:id="420"/>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1" w:name="xdx_98F_eus-gaap--SharesSubjectToMandato"/>
            <w:bookmarkEnd w:id="421"/>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2" w:name="xdx_8AA_zpkrKcmYFG2h"/>
      <w:bookmarkEnd w:id="422"/>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assets or liabilities that were measured at fair value as of December 31,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December 31, 2022 and 2021 because of the relatively short maturity of these instruments.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3" w:name="xdx_807_eus-gaap--InventoryDisclosureTex"/>
      <w:bookmarkEnd w:id="423"/>
      <w:r>
        <w:rPr>
          <w:rFonts w:ascii="Times New Roman;Times;Serif" w:hAnsi="Times New Roman;Times;Serif"/>
          <w:b/>
          <w:i w:val="false"/>
          <w:caps w:val="false"/>
          <w:smallCaps w:val="false"/>
          <w:sz w:val="20"/>
        </w:rPr>
        <w:t>NOTE 5 — </w:t>
      </w:r>
      <w:bookmarkStart w:id="424" w:name="xdx_828_zs0WQqKHn549"/>
      <w:bookmarkEnd w:id="424"/>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25" w:name="xdx_899_eus-gaap--ScheduleOfInventoryCur"/>
      <w:bookmarkEnd w:id="425"/>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bookmarkStart w:id="426" w:name="xdx_8B4_zqUhXAJywNL7"/>
      <w:bookmarkEnd w:id="426"/>
      <w:r>
        <w:rPr>
          <w:rFonts w:ascii="Times New Roman;Times;Serif" w:hAnsi="Times New Roman;Times;Serif"/>
          <w:b w:val="false"/>
          <w:i w:val="false"/>
          <w:caps w:val="false"/>
          <w:smallCaps w:val="false"/>
          <w:sz w:val="20"/>
        </w:rPr>
        <w:t>SCHEDULE OF INVENTORY</w:t>
      </w:r>
    </w:p>
    <w:tbl>
      <w:tblPr>
        <w:tblW w:w="4573" w:type="dxa"/>
        <w:jc w:val="left"/>
        <w:tblInd w:w="0" w:type="dxa"/>
        <w:tblLayout w:type="fixed"/>
        <w:tblCellMar>
          <w:top w:w="0" w:type="dxa"/>
          <w:left w:w="0" w:type="dxa"/>
          <w:bottom w:w="0" w:type="dxa"/>
          <w:right w:w="0" w:type="dxa"/>
        </w:tblCellMar>
      </w:tblPr>
      <w:tblGrid>
        <w:gridCol w:w="1490"/>
        <w:gridCol w:w="60"/>
        <w:gridCol w:w="241"/>
        <w:gridCol w:w="1173"/>
        <w:gridCol w:w="60"/>
        <w:gridCol w:w="60"/>
        <w:gridCol w:w="241"/>
        <w:gridCol w:w="11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7" w:name="xdx_496_20221231_zDWFc71STLgj"/>
            <w:bookmarkEnd w:id="427"/>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49B_20211231_zWL4wAlnbci8"/>
            <w:bookmarkEnd w:id="428"/>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2021</w:t>
            </w:r>
          </w:p>
        </w:tc>
        <w:tc>
          <w:tcPr>
            <w:tcW w:w="75" w:type="dxa"/>
            <w:tcBorders/>
            <w:vAlign w:val="center"/>
          </w:tcPr>
          <w:p>
            <w:pPr>
              <w:pStyle w:val="TableContents"/>
              <w:bidi w:val="0"/>
              <w:spacing w:before="0" w:after="283"/>
              <w:jc w:val="left"/>
              <w:rPr/>
            </w:pPr>
            <w:r>
              <w:rPr/>
              <w:t> </w:t>
            </w:r>
            <w:bookmarkStart w:id="429" w:name="xdx_404_eus-gaap--InventoryRawMaterials_"/>
            <w:bookmarkEnd w:id="429"/>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22,885</w:t>
            </w:r>
          </w:p>
        </w:tc>
        <w:tc>
          <w:tcPr>
            <w:tcW w:w="75" w:type="dxa"/>
            <w:tcBorders/>
            <w:shd w:fill="CCEEFF" w:val="clear"/>
            <w:vAlign w:val="center"/>
          </w:tcPr>
          <w:p>
            <w:pPr>
              <w:pStyle w:val="TableContents"/>
              <w:bidi w:val="0"/>
              <w:spacing w:before="0" w:after="283"/>
              <w:jc w:val="left"/>
              <w:rPr/>
            </w:pPr>
            <w:r>
              <w:rPr/>
              <w:t> </w:t>
            </w:r>
            <w:bookmarkStart w:id="430" w:name="xdx_401_eus-gaap--InventoryFinishedGoods"/>
            <w:bookmarkEnd w:id="430"/>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4,242</w:t>
            </w:r>
          </w:p>
        </w:tc>
        <w:tc>
          <w:tcPr>
            <w:tcW w:w="75" w:type="dxa"/>
            <w:tcBorders/>
            <w:shd w:fill="FFFFFF" w:val="clear"/>
            <w:vAlign w:val="center"/>
          </w:tcPr>
          <w:p>
            <w:pPr>
              <w:pStyle w:val="TableContents"/>
              <w:bidi w:val="0"/>
              <w:spacing w:before="0" w:after="283"/>
              <w:jc w:val="left"/>
              <w:rPr/>
            </w:pPr>
            <w:r>
              <w:rPr/>
              <w:t> </w:t>
            </w:r>
            <w:bookmarkStart w:id="431" w:name="xdx_40B_eus-gaap--InventoryNet_iTI_pn3n3"/>
            <w:bookmarkEnd w:id="431"/>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inventory</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32" w:name="xdx_8A6_zqKJiUTPlvx1"/>
      <w:bookmarkEnd w:id="43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3" w:name="xdx_808_eus-gaap--CommitmentsAndContinge"/>
      <w:bookmarkEnd w:id="433"/>
      <w:r>
        <w:rPr>
          <w:rFonts w:ascii="Times New Roman;Times;Serif" w:hAnsi="Times New Roman;Times;Serif"/>
          <w:b/>
          <w:i w:val="false"/>
          <w:caps w:val="false"/>
          <w:smallCaps w:val="false"/>
          <w:sz w:val="20"/>
        </w:rPr>
        <w:t>NOTE 6 — </w:t>
      </w:r>
      <w:bookmarkStart w:id="434" w:name="xdx_823_zQBgXdsHfN83"/>
      <w:bookmarkEnd w:id="434"/>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and engineering office, all located in Reno, Nevada. The leases require annual escalating monthly payments ranging from $</w:t>
      </w:r>
      <w:bookmarkStart w:id="435" w:name="xdx_90B_eus-gaap--OperatingLeasePayments"/>
      <w:bookmarkEnd w:id="435"/>
      <w:r>
        <w:rPr>
          <w:rFonts w:ascii="Times New Roman;Times;Serif" w:hAnsi="Times New Roman;Times;Serif"/>
          <w:b w:val="false"/>
          <w:i w:val="false"/>
          <w:caps w:val="false"/>
          <w:smallCaps w:val="false"/>
          <w:sz w:val="20"/>
        </w:rPr>
        <w:t>60 to $</w:t>
      </w:r>
      <w:bookmarkStart w:id="436" w:name="xdx_904_eus-gaap--OperatingLeasePayments"/>
      <w:bookmarkEnd w:id="436"/>
      <w:r>
        <w:rPr>
          <w:rFonts w:ascii="Times New Roman;Times;Serif" w:hAnsi="Times New Roman;Times;Serif"/>
          <w:b w:val="false"/>
          <w:i w:val="false"/>
          <w:caps w:val="false"/>
          <w:smallCaps w:val="false"/>
          <w:sz w:val="20"/>
        </w:rPr>
        <w:t>74. In December of 2021, the Company entered into another lease for additional warehouse space located in Reno, Nevada that requires annual escalating monthly payments ranging from $</w:t>
      </w:r>
      <w:bookmarkStart w:id="437" w:name="xdx_90A_eus-gaap--OperatingLeasePayments"/>
      <w:bookmarkEnd w:id="437"/>
      <w:r>
        <w:rPr>
          <w:rFonts w:ascii="Times New Roman;Times;Serif" w:hAnsi="Times New Roman;Times;Serif"/>
          <w:b w:val="false"/>
          <w:i w:val="false"/>
          <w:caps w:val="false"/>
          <w:smallCaps w:val="false"/>
          <w:sz w:val="20"/>
        </w:rPr>
        <w:t>47 to $</w:t>
      </w:r>
      <w:bookmarkStart w:id="438" w:name="xdx_904_eus-gaap--OperatingLeasePayments"/>
      <w:bookmarkEnd w:id="438"/>
      <w:r>
        <w:rPr>
          <w:rFonts w:ascii="Times New Roman;Times;Serif" w:hAnsi="Times New Roman;Times;Serif"/>
          <w:b w:val="false"/>
          <w:i w:val="false"/>
          <w:caps w:val="false"/>
          <w:smallCaps w:val="false"/>
          <w:sz w:val="20"/>
        </w:rPr>
        <w:t xml:space="preserve">55. On February 2, 2022, the Company entered into a </w:t>
      </w:r>
      <w:bookmarkStart w:id="439" w:name="xdx_906_eus-gaap--LesseeOperatingLeaseTe"/>
      <w:bookmarkEnd w:id="439"/>
      <w:r>
        <w:rPr>
          <w:rFonts w:ascii="Times New Roman;Times;Serif" w:hAnsi="Times New Roman;Times;Serif"/>
          <w:b w:val="false"/>
          <w:i w:val="false"/>
          <w:caps w:val="false"/>
          <w:smallCaps w:val="false"/>
          <w:sz w:val="20"/>
        </w:rPr>
        <w:t>124-month lease agreement in Reno, Nevada. The lease calls for monthly base rent of $</w:t>
      </w:r>
      <w:bookmarkStart w:id="440" w:name="xdx_906_ecustom--LesseeOperatingLeaseMon"/>
      <w:bookmarkEnd w:id="440"/>
      <w:r>
        <w:rPr>
          <w:rFonts w:ascii="Times New Roman;Times;Serif" w:hAnsi="Times New Roman;Times;Serif"/>
          <w:b w:val="false"/>
          <w:i w:val="false"/>
          <w:caps w:val="false"/>
          <w:smallCaps w:val="false"/>
          <w:sz w:val="20"/>
        </w:rPr>
        <w:t>230, $</w:t>
      </w:r>
      <w:bookmarkStart w:id="441" w:name="xdx_902_eus-gaap--OperatingLeaseCost_pn3"/>
      <w:bookmarkEnd w:id="441"/>
      <w:r>
        <w:rPr>
          <w:rFonts w:ascii="Times New Roman;Times;Serif" w:hAnsi="Times New Roman;Times;Serif"/>
          <w:b w:val="false"/>
          <w:i w:val="false"/>
          <w:caps w:val="false"/>
          <w:smallCaps w:val="false"/>
          <w:sz w:val="20"/>
        </w:rPr>
        <w:t>23 of fixed operating expense costs, and estimated monthly property taxes of $</w:t>
      </w:r>
      <w:bookmarkStart w:id="442" w:name="xdx_90A_ecustom--LesseeOperatingLeaseEst"/>
      <w:bookmarkEnd w:id="442"/>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443" w:name="xdx_90B_ecustom--LesseeOperatingLeasePer"/>
      <w:bookmarkEnd w:id="443"/>
      <w:r>
        <w:rPr>
          <w:rFonts w:ascii="Times New Roman;Times;Serif" w:hAnsi="Times New Roman;Times;Serif"/>
          <w:b w:val="false"/>
          <w:i w:val="false"/>
          <w:caps w:val="false"/>
          <w:smallCaps w:val="false"/>
          <w:sz w:val="20"/>
        </w:rPr>
        <w:t xml:space="preserve">3% and </w:t>
      </w:r>
      <w:bookmarkStart w:id="444" w:name="xdx_904_ecustom--LesseeOperatingLeasePer"/>
      <w:bookmarkEnd w:id="444"/>
      <w:r>
        <w:rPr>
          <w:rFonts w:ascii="Times New Roman;Times;Serif" w:hAnsi="Times New Roman;Times;Serif"/>
          <w:b w:val="false"/>
          <w:i w:val="false"/>
          <w:caps w:val="false"/>
          <w:smallCaps w:val="false"/>
          <w:sz w:val="20"/>
        </w:rPr>
        <w:t xml:space="preserve">2.4%, respectively, on an annual basis. The first payment is due upon substantial completion of construction of the building which is expected to be within </w:t>
      </w:r>
      <w:bookmarkStart w:id="445" w:name="xdx_903_ecustom--LesseeOperatingLeaseTer"/>
      <w:bookmarkEnd w:id="445"/>
      <w:r>
        <w:rPr>
          <w:rFonts w:ascii="Times New Roman;Times;Serif" w:hAnsi="Times New Roman;Times;Serif"/>
          <w:b w:val="false"/>
          <w:i w:val="false"/>
          <w:caps w:val="false"/>
          <w:smallCaps w:val="false"/>
          <w:sz w:val="20"/>
        </w:rPr>
        <w:t>2 years from the effective date. As of December 31, 2022, the lease has not commenced as the Company does not have control over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6" w:name="xdx_89F_ecustom--DisclosureForBreakoutOf"/>
      <w:bookmarkEnd w:id="446"/>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both"/>
        <w:rPr>
          <w:caps w:val="false"/>
          <w:smallCaps w:val="false"/>
        </w:rPr>
      </w:pPr>
      <w:r>
        <w:rPr>
          <w:caps w:val="false"/>
          <w:smallCaps w:val="false"/>
        </w:rPr>
        <w:t> </w:t>
      </w:r>
      <w:bookmarkStart w:id="447" w:name="xdx_8BE_zt8KLPtbgvHl"/>
      <w:bookmarkEnd w:id="447"/>
      <w:r>
        <w:rPr>
          <w:rFonts w:ascii="Times New Roman;Times;Serif" w:hAnsi="Times New Roman;Times;Serif"/>
          <w:b w:val="false"/>
          <w:i w:val="false"/>
          <w:caps w:val="false"/>
          <w:smallCaps w:val="false"/>
          <w:sz w:val="20"/>
        </w:rPr>
        <w:t>SCHEDULE OF TABLE REPRESENTING THE BREAKOUT OF THE OPERATING LEASES</w:t>
      </w:r>
    </w:p>
    <w:tbl>
      <w:tblPr>
        <w:tblW w:w="6840" w:type="dxa"/>
        <w:jc w:val="left"/>
        <w:tblInd w:w="0" w:type="dxa"/>
        <w:tblLayout w:type="fixed"/>
        <w:tblCellMar>
          <w:top w:w="0" w:type="dxa"/>
          <w:left w:w="0" w:type="dxa"/>
          <w:bottom w:w="0" w:type="dxa"/>
          <w:right w:w="0" w:type="dxa"/>
        </w:tblCellMar>
      </w:tblPr>
      <w:tblGrid>
        <w:gridCol w:w="3755"/>
        <w:gridCol w:w="60"/>
        <w:gridCol w:w="283"/>
        <w:gridCol w:w="1132"/>
        <w:gridCol w:w="60"/>
        <w:gridCol w:w="60"/>
        <w:gridCol w:w="283"/>
        <w:gridCol w:w="1132"/>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8" w:name="xdx_495_20221231_zakPoxcMoui2"/>
            <w:bookmarkEnd w:id="448"/>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9" w:name="xdx_498_20211231_zXMZQzCCXMol"/>
            <w:bookmarkEnd w:id="449"/>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2021</w:t>
            </w:r>
          </w:p>
        </w:tc>
        <w:tc>
          <w:tcPr>
            <w:tcW w:w="75" w:type="dxa"/>
            <w:tcBorders/>
            <w:vAlign w:val="center"/>
          </w:tcPr>
          <w:p>
            <w:pPr>
              <w:pStyle w:val="TableContents"/>
              <w:bidi w:val="0"/>
              <w:spacing w:before="0" w:after="283"/>
              <w:jc w:val="left"/>
              <w:rPr/>
            </w:pPr>
            <w:r>
              <w:rPr/>
              <w:t> </w:t>
            </w:r>
            <w:bookmarkStart w:id="450" w:name="xdx_40E_eus-gaap--OperatingLeaseRightOfU"/>
            <w:bookmarkEnd w:id="450"/>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5,709</w:t>
            </w:r>
          </w:p>
        </w:tc>
        <w:tc>
          <w:tcPr>
            <w:tcW w:w="75" w:type="dxa"/>
            <w:tcBorders/>
            <w:shd w:fill="CCEEFF" w:val="clear"/>
            <w:vAlign w:val="center"/>
          </w:tcPr>
          <w:p>
            <w:pPr>
              <w:pStyle w:val="TableContents"/>
              <w:bidi w:val="0"/>
              <w:spacing w:before="0" w:after="283"/>
              <w:jc w:val="left"/>
              <w:rPr/>
            </w:pPr>
            <w:r>
              <w:rPr/>
              <w:t> </w:t>
            </w:r>
            <w:bookmarkStart w:id="451" w:name="xdx_402_eus-gaap--OperatingLeaseLiabilit"/>
            <w:bookmarkEnd w:id="451"/>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w:t>
            </w:r>
          </w:p>
        </w:tc>
        <w:tc>
          <w:tcPr>
            <w:tcW w:w="75" w:type="dxa"/>
            <w:tcBorders/>
            <w:shd w:fill="FFFFFF" w:val="clear"/>
            <w:vAlign w:val="center"/>
          </w:tcPr>
          <w:p>
            <w:pPr>
              <w:pStyle w:val="TableContents"/>
              <w:bidi w:val="0"/>
              <w:spacing w:before="0" w:after="283"/>
              <w:jc w:val="left"/>
              <w:rPr/>
            </w:pPr>
            <w:r>
              <w:rPr/>
              <w:t> </w:t>
            </w:r>
            <w:bookmarkStart w:id="452" w:name="xdx_401_eus-gaap--OperatingLeaseLiabilit"/>
            <w:bookmarkEnd w:id="452"/>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w:t>
            </w:r>
          </w:p>
        </w:tc>
        <w:tc>
          <w:tcPr>
            <w:tcW w:w="75" w:type="dxa"/>
            <w:tcBorders/>
            <w:shd w:fill="CCEEFF" w:val="clear"/>
            <w:vAlign w:val="center"/>
          </w:tcPr>
          <w:p>
            <w:pPr>
              <w:pStyle w:val="TableContents"/>
              <w:bidi w:val="0"/>
              <w:spacing w:before="0" w:after="283"/>
              <w:jc w:val="left"/>
              <w:rPr/>
            </w:pPr>
            <w:r>
              <w:rPr/>
              <w:t> </w:t>
            </w:r>
            <w:bookmarkStart w:id="453" w:name="xdx_409_eus-gaap--OperatingLeaseLiabilit"/>
            <w:bookmarkEnd w:id="453"/>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5,776</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bookmarkStart w:id="454" w:name="xdx_904_eus-gaap--OperatingLeaseWeighted"/>
            <w:bookmarkEnd w:id="454"/>
            <w:r>
              <w:rPr>
                <w:rFonts w:ascii="Times New Roman;Times;Serif" w:hAnsi="Times New Roman;Times;Serif"/>
                <w:sz w:val="20"/>
              </w:rPr>
              <w:t>3.6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bookmarkStart w:id="455" w:name="xdx_901_eus-gaap--OperatingLeaseWeighted"/>
            <w:bookmarkEnd w:id="455"/>
            <w:r>
              <w:rPr>
                <w:rFonts w:ascii="Times New Roman;Times;Serif" w:hAnsi="Times New Roman;Times;Serif"/>
                <w:sz w:val="20"/>
              </w:rPr>
              <w:t>4.6 years</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bookmarkStart w:id="456" w:name="xdx_906_eus-gaap--OperatingLeaseWeighted"/>
            <w:bookmarkEnd w:id="456"/>
            <w:r>
              <w:rPr>
                <w:rFonts w:ascii="Times New Roman;Times;Serif" w:hAnsi="Times New Roman;Times;Serif"/>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bookmarkStart w:id="457" w:name="xdx_90B_eus-gaap--OperatingLeaseWeighted"/>
            <w:bookmarkEnd w:id="457"/>
            <w:r>
              <w:rPr>
                <w:rFonts w:ascii="Times New Roman;Times;Serif" w:hAnsi="Times New Roman;Times;Serif"/>
              </w:rPr>
              <w:t>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58" w:name="xdx_8A8_zNSXWvEAQ0P3"/>
      <w:bookmarkEnd w:id="4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9" w:name="xdx_895_eus-gaap--LesseeOperatingLeaseLi"/>
      <w:bookmarkEnd w:id="459"/>
      <w:r>
        <w:rPr>
          <w:rFonts w:ascii="Times New Roman;Times;Serif" w:hAnsi="Times New Roman;Times;Serif"/>
          <w:b w:val="false"/>
          <w:i w:val="false"/>
          <w:caps w:val="false"/>
          <w:smallCaps w:val="false"/>
          <w:sz w:val="20"/>
        </w:rPr>
        <w:t>At December 31, 2022,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60" w:name="xdx_8B5_zmBMjcGzjLm"/>
      <w:bookmarkEnd w:id="460"/>
      <w:r>
        <w:rPr>
          <w:rFonts w:ascii="Times New Roman;Times;Serif" w:hAnsi="Times New Roman;Times;Serif"/>
          <w:b w:val="false"/>
          <w:i w:val="false"/>
          <w:caps w:val="false"/>
          <w:smallCaps w:val="false"/>
          <w:sz w:val="20"/>
        </w:rPr>
        <w:t>SCHEDULE OF THE FUTURE MINIMUM LEASE PAYMENTS UNDER THE OPERATING LEASES</w:t>
      </w:r>
    </w:p>
    <w:tbl>
      <w:tblPr>
        <w:tblW w:w="3735" w:type="dxa"/>
        <w:jc w:val="left"/>
        <w:tblInd w:w="0" w:type="dxa"/>
        <w:tblLayout w:type="fixed"/>
        <w:tblCellMar>
          <w:top w:w="0" w:type="dxa"/>
          <w:left w:w="0" w:type="dxa"/>
          <w:bottom w:w="0" w:type="dxa"/>
          <w:right w:w="0" w:type="dxa"/>
        </w:tblCellMar>
      </w:tblPr>
      <w:tblGrid>
        <w:gridCol w:w="2900"/>
        <w:gridCol w:w="60"/>
        <w:gridCol w:w="140"/>
        <w:gridCol w:w="560"/>
        <w:gridCol w:w="75"/>
      </w:tblGrid>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61" w:name="xdx_494_20221231_zjGTD0kYfeqb"/>
            <w:bookmarkEnd w:id="461"/>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62" w:name="xdx_406_eus-gaap--LesseeOperatingLeaseLi"/>
            <w:bookmarkEnd w:id="462"/>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1,399</w:t>
            </w:r>
          </w:p>
        </w:tc>
        <w:tc>
          <w:tcPr>
            <w:tcW w:w="75" w:type="dxa"/>
            <w:tcBorders/>
            <w:shd w:fill="CCEEFF" w:val="clear"/>
            <w:vAlign w:val="center"/>
          </w:tcPr>
          <w:p>
            <w:pPr>
              <w:pStyle w:val="TableContents"/>
              <w:bidi w:val="0"/>
              <w:spacing w:before="0" w:after="283"/>
              <w:jc w:val="left"/>
              <w:rPr/>
            </w:pPr>
            <w:r>
              <w:rPr/>
              <w:t> </w:t>
            </w:r>
            <w:bookmarkStart w:id="463" w:name="xdx_402_eus-gaap--LesseeOperatingLeaseLi"/>
            <w:bookmarkEnd w:id="463"/>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w:t>
            </w:r>
          </w:p>
        </w:tc>
        <w:tc>
          <w:tcPr>
            <w:tcW w:w="75" w:type="dxa"/>
            <w:tcBorders/>
            <w:shd w:fill="FFFFFF" w:val="clear"/>
            <w:vAlign w:val="center"/>
          </w:tcPr>
          <w:p>
            <w:pPr>
              <w:pStyle w:val="TableContents"/>
              <w:bidi w:val="0"/>
              <w:spacing w:before="0" w:after="283"/>
              <w:jc w:val="left"/>
              <w:rPr/>
            </w:pPr>
            <w:r>
              <w:rPr/>
              <w:t> </w:t>
            </w:r>
            <w:bookmarkStart w:id="464" w:name="xdx_403_eus-gaap--LesseeOperatingLeaseLi"/>
            <w:bookmarkEnd w:id="464"/>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w:t>
            </w:r>
          </w:p>
        </w:tc>
        <w:tc>
          <w:tcPr>
            <w:tcW w:w="75" w:type="dxa"/>
            <w:tcBorders/>
            <w:shd w:fill="CCEEFF" w:val="clear"/>
            <w:vAlign w:val="center"/>
          </w:tcPr>
          <w:p>
            <w:pPr>
              <w:pStyle w:val="TableContents"/>
              <w:bidi w:val="0"/>
              <w:spacing w:before="0" w:after="283"/>
              <w:jc w:val="left"/>
              <w:rPr/>
            </w:pPr>
            <w:r>
              <w:rPr/>
              <w:t> </w:t>
            </w:r>
            <w:bookmarkStart w:id="465" w:name="xdx_402_eus-gaap--LesseeOperatingLeaseLi"/>
            <w:bookmarkEnd w:id="465"/>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w:t>
            </w:r>
          </w:p>
        </w:tc>
        <w:tc>
          <w:tcPr>
            <w:tcW w:w="75" w:type="dxa"/>
            <w:tcBorders/>
            <w:shd w:fill="FFFFFF" w:val="clear"/>
            <w:vAlign w:val="center"/>
          </w:tcPr>
          <w:p>
            <w:pPr>
              <w:pStyle w:val="TableContents"/>
              <w:bidi w:val="0"/>
              <w:spacing w:before="0" w:after="283"/>
              <w:jc w:val="left"/>
              <w:rPr/>
            </w:pPr>
            <w:r>
              <w:rPr/>
              <w:t> </w:t>
            </w:r>
            <w:bookmarkStart w:id="466" w:name="xdx_408_eus-gaap--LesseeOperatingLeaseLi"/>
            <w:bookmarkEnd w:id="466"/>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5,167</w:t>
            </w:r>
          </w:p>
        </w:tc>
        <w:tc>
          <w:tcPr>
            <w:tcW w:w="75" w:type="dxa"/>
            <w:tcBorders/>
            <w:shd w:fill="CCEEFF" w:val="clear"/>
            <w:vAlign w:val="center"/>
          </w:tcPr>
          <w:p>
            <w:pPr>
              <w:pStyle w:val="TableContents"/>
              <w:bidi w:val="0"/>
              <w:spacing w:before="0" w:after="283"/>
              <w:jc w:val="left"/>
              <w:rPr/>
            </w:pPr>
            <w:r>
              <w:rPr/>
              <w:t> </w:t>
            </w:r>
            <w:bookmarkStart w:id="467" w:name="xdx_40E_eus-gaap--LesseeOperatingLeaseLi"/>
            <w:bookmarkEnd w:id="467"/>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w:t>
            </w:r>
          </w:p>
        </w:tc>
        <w:tc>
          <w:tcPr>
            <w:tcW w:w="75" w:type="dxa"/>
            <w:tcBorders/>
            <w:shd w:fill="FFFFFF" w:val="clear"/>
            <w:vAlign w:val="center"/>
          </w:tcPr>
          <w:p>
            <w:pPr>
              <w:pStyle w:val="TableContents"/>
              <w:bidi w:val="0"/>
              <w:spacing w:before="0" w:after="283"/>
              <w:jc w:val="left"/>
              <w:rPr/>
            </w:pPr>
            <w:r>
              <w:rPr/>
              <w:t> </w:t>
            </w:r>
            <w:bookmarkStart w:id="468" w:name="xdx_40A_eus-gaap--OperatingLeaseLiabilit"/>
            <w:bookmarkEnd w:id="468"/>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69" w:name="xdx_8A8_zy29tuvbISpb"/>
      <w:bookmarkEnd w:id="469"/>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70" w:name="xdx_8BE_zrWP2c9gotha"/>
      <w:bookmarkStart w:id="471" w:name="xdx_899_eus-gaap--LeaseCostTableTextBloc"/>
      <w:bookmarkEnd w:id="470"/>
      <w:bookmarkEnd w:id="471"/>
      <w:r>
        <w:rPr>
          <w:rFonts w:ascii="Times New Roman;Times;Serif" w:hAnsi="Times New Roman;Times;Serif"/>
          <w:b w:val="false"/>
          <w:i w:val="false"/>
          <w:caps w:val="false"/>
          <w:smallCaps w:val="false"/>
          <w:sz w:val="20"/>
        </w:rPr>
        <w:t>SCHEDULE OF LEASE COST</w:t>
      </w:r>
    </w:p>
    <w:tbl>
      <w:tblPr>
        <w:tblW w:w="7654" w:type="dxa"/>
        <w:jc w:val="left"/>
        <w:tblInd w:w="0" w:type="dxa"/>
        <w:tblLayout w:type="fixed"/>
        <w:tblCellMar>
          <w:top w:w="0" w:type="dxa"/>
          <w:left w:w="0" w:type="dxa"/>
          <w:bottom w:w="0" w:type="dxa"/>
          <w:right w:w="0" w:type="dxa"/>
        </w:tblCellMar>
      </w:tblPr>
      <w:tblGrid>
        <w:gridCol w:w="1940"/>
        <w:gridCol w:w="60"/>
        <w:gridCol w:w="2570"/>
        <w:gridCol w:w="60"/>
        <w:gridCol w:w="283"/>
        <w:gridCol w:w="1132"/>
        <w:gridCol w:w="60"/>
        <w:gridCol w:w="60"/>
        <w:gridCol w:w="380"/>
        <w:gridCol w:w="1034"/>
        <w:gridCol w:w="75"/>
      </w:tblGrid>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940" w:type="dxa"/>
            <w:tcBorders>
              <w:bottom w:val="single" w:sz="12" w:space="0" w:color="000000"/>
            </w:tcBorders>
            <w:tcMar>
              <w:bottom w:w="28" w:type="dxa"/>
            </w:tcMar>
            <w:vAlign w:val="center"/>
          </w:tcPr>
          <w:p>
            <w:pPr>
              <w:pStyle w:val="TableContents"/>
              <w:bidi w:val="0"/>
              <w:spacing w:before="0" w:after="283"/>
              <w:jc w:val="left"/>
              <w:rPr>
                <w:b/>
              </w:rPr>
            </w:pPr>
            <w:r>
              <w:rPr>
                <w:b/>
              </w:rPr>
              <w:t>Lease cost</w:t>
            </w:r>
          </w:p>
        </w:tc>
        <w:tc>
          <w:tcPr>
            <w:tcW w:w="60" w:type="dxa"/>
            <w:tcBorders/>
            <w:vAlign w:val="center"/>
          </w:tcPr>
          <w:p>
            <w:pPr>
              <w:pStyle w:val="TableContents"/>
              <w:bidi w:val="0"/>
              <w:spacing w:before="0" w:after="283"/>
              <w:jc w:val="left"/>
              <w:rPr/>
            </w:pPr>
            <w:r>
              <w:rPr/>
              <w:t> </w:t>
            </w:r>
          </w:p>
        </w:tc>
        <w:tc>
          <w:tcPr>
            <w:tcW w:w="2570" w:type="dxa"/>
            <w:tcBorders>
              <w:bottom w:val="single" w:sz="12" w:space="0" w:color="000000"/>
            </w:tcBorders>
            <w:tcMar>
              <w:bottom w:w="28" w:type="dxa"/>
            </w:tcMar>
            <w:vAlign w:val="center"/>
          </w:tcPr>
          <w:p>
            <w:pPr>
              <w:pStyle w:val="TableContents"/>
              <w:bidi w:val="0"/>
              <w:spacing w:before="0" w:after="283"/>
              <w:jc w:val="left"/>
              <w:rPr>
                <w:b/>
              </w:rPr>
            </w:pPr>
            <w:r>
              <w:rPr>
                <w:b/>
              </w:rPr>
              <w:t>Classification</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472" w:name="xdx_98F_eus-gaap--OperatingLeaseCost_pn3"/>
            <w:bookmarkEnd w:id="472"/>
          </w:p>
        </w:tc>
        <w:tc>
          <w:tcPr>
            <w:tcW w:w="1132" w:type="dxa"/>
            <w:tcBorders/>
            <w:shd w:fill="CCEEFF" w:val="clear"/>
            <w:vAlign w:val="center"/>
          </w:tcPr>
          <w:p>
            <w:pPr>
              <w:pStyle w:val="TableContents"/>
              <w:bidi w:val="0"/>
              <w:spacing w:before="0" w:after="283"/>
              <w:jc w:val="right"/>
              <w:rPr/>
            </w:pPr>
            <w:r>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bookmarkStart w:id="473" w:name="xdx_985_eus-gaap--OperatingLeaseCost_pn3"/>
            <w:bookmarkEnd w:id="473"/>
          </w:p>
        </w:tc>
        <w:tc>
          <w:tcPr>
            <w:tcW w:w="1034" w:type="dxa"/>
            <w:tcBorders/>
            <w:shd w:fill="CCEEFF" w:val="clear"/>
            <w:vAlign w:val="center"/>
          </w:tcPr>
          <w:p>
            <w:pPr>
              <w:pStyle w:val="TableContents"/>
              <w:bidi w:val="0"/>
              <w:spacing w:before="0" w:after="283"/>
              <w:jc w:val="right"/>
              <w:rPr/>
            </w:pPr>
            <w:r>
              <w:rPr/>
              <w:t>633</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474" w:name="xdx_984_eus-gaap--OperatingLeaseCost_pn3"/>
            <w:bookmarkEnd w:id="474"/>
          </w:p>
        </w:tc>
        <w:tc>
          <w:tcPr>
            <w:tcW w:w="1132" w:type="dxa"/>
            <w:tcBorders/>
            <w:shd w:fill="FFFFFF" w:val="clear"/>
            <w:vAlign w:val="center"/>
          </w:tcPr>
          <w:p>
            <w:pPr>
              <w:pStyle w:val="TableContents"/>
              <w:bidi w:val="0"/>
              <w:spacing w:before="0" w:after="283"/>
              <w:jc w:val="right"/>
              <w:rPr/>
            </w:pPr>
            <w:r>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bookmarkStart w:id="475" w:name="xdx_98E_eus-gaap--OperatingLeaseCost_pn3"/>
            <w:bookmarkEnd w:id="475"/>
          </w:p>
        </w:tc>
        <w:tc>
          <w:tcPr>
            <w:tcW w:w="1034" w:type="dxa"/>
            <w:tcBorders/>
            <w:shd w:fill="FFFFFF" w:val="clear"/>
            <w:vAlign w:val="center"/>
          </w:tcPr>
          <w:p>
            <w:pPr>
              <w:pStyle w:val="TableContents"/>
              <w:bidi w:val="0"/>
              <w:spacing w:before="0" w:after="283"/>
              <w:jc w:val="right"/>
              <w:rPr/>
            </w:pPr>
            <w:r>
              <w:rPr/>
              <w:t>103</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476" w:name="xdx_987_eus-gaap--OperatingLeaseCost_pn3"/>
            <w:bookmarkEnd w:id="476"/>
          </w:p>
        </w:tc>
        <w:tc>
          <w:tcPr>
            <w:tcW w:w="1132"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bookmarkStart w:id="477" w:name="xdx_98B_eus-gaap--OperatingLeaseCost_pn3"/>
            <w:bookmarkEnd w:id="477"/>
          </w:p>
        </w:tc>
        <w:tc>
          <w:tcPr>
            <w:tcW w:w="1034" w:type="dxa"/>
            <w:tcBorders/>
            <w:shd w:fill="CCEEFF" w:val="clear"/>
            <w:vAlign w:val="center"/>
          </w:tcPr>
          <w:p>
            <w:pPr>
              <w:pStyle w:val="TableContents"/>
              <w:bidi w:val="0"/>
              <w:spacing w:before="0" w:after="283"/>
              <w:jc w:val="right"/>
              <w:rPr/>
            </w:pPr>
            <w:r>
              <w:rPr/>
              <w:t>42</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78" w:name="xdx_98A_eus-gaap--OperatingLeaseCost_pn3"/>
            <w:bookmarkEnd w:id="478"/>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79" w:name="xdx_986_eus-gaap--OperatingLeaseCost_pn3"/>
            <w:bookmarkEnd w:id="479"/>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0" w:name="xdx_987_eus-gaap--OperatingLeaseCost_pn3"/>
            <w:bookmarkEnd w:id="480"/>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1" w:name="xdx_98C_eus-gaap--OperatingLeaseCost_pn3"/>
            <w:bookmarkEnd w:id="481"/>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820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482" w:name="xdx_8A7_zpUKse69i2Xf"/>
      <w:bookmarkEnd w:id="48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120" w:after="283"/>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10 for further discussion regarding contingent consideration arising from the April 2022 Asset Purchase agreement with Thomason Jones Company,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for further discussion regarding the earnout related to the reverse capitalization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3" w:name="xdx_80D_eus-gaap--DebtDisclosureTextBloc"/>
      <w:bookmarkEnd w:id="483"/>
      <w:r>
        <w:rPr>
          <w:rFonts w:ascii="Times New Roman;Times;Serif" w:hAnsi="Times New Roman;Times;Serif"/>
          <w:b/>
          <w:i w:val="false"/>
          <w:caps w:val="false"/>
          <w:smallCaps w:val="false"/>
          <w:sz w:val="20"/>
        </w:rPr>
        <w:t>NOTE 7 — LONG-TERM DEBT</w:t>
      </w:r>
    </w:p>
    <w:p>
      <w:pPr>
        <w:pStyle w:val="TextBody"/>
        <w:bidi w:val="0"/>
        <w:spacing w:before="0" w:after="0"/>
        <w:ind w:left="0" w:right="0" w:hanging="0"/>
        <w:jc w:val="left"/>
        <w:rPr>
          <w:caps w:val="false"/>
          <w:smallCaps w:val="false"/>
        </w:rPr>
      </w:pPr>
      <w:r>
        <w:rPr>
          <w:caps w:val="false"/>
          <w:smallCaps w:val="false"/>
        </w:rPr>
        <w:t> </w:t>
      </w:r>
      <w:bookmarkStart w:id="484" w:name="xdx_827_zr1KqFdkFzC7"/>
      <w:bookmarkEnd w:id="484"/>
      <w:r>
        <w:rPr>
          <w:rFonts w:ascii="Times New Roman;Times;Serif" w:hAnsi="Times New Roman;Times;Serif"/>
          <w:b w:val="false"/>
          <w:i w:val="false"/>
          <w:caps w:val="false"/>
          <w:smallCaps w:val="false"/>
          <w:sz w:val="20"/>
        </w:rPr>
        <w:t>DEBT</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 Trust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the Company entered into agreements to issue $</w:t>
      </w:r>
      <w:bookmarkStart w:id="485" w:name="xdx_900_eus-gaap--DebtInstrumentFaceAmou"/>
      <w:bookmarkEnd w:id="485"/>
      <w:r>
        <w:rPr>
          <w:rFonts w:ascii="Times New Roman;Times;Serif" w:hAnsi="Times New Roman;Times;Serif"/>
          <w:b w:val="false"/>
          <w:i w:val="false"/>
          <w:caps w:val="false"/>
          <w:smallCaps w:val="false"/>
          <w:sz w:val="20"/>
        </w:rPr>
        <w:t>45,000 in fixed rate senior notes (the “</w:t>
      </w:r>
      <w:r>
        <w:rPr>
          <w:rFonts w:ascii="Times New Roman;Times;Serif" w:hAnsi="Times New Roman;Times;Serif"/>
          <w:b/>
          <w:i w:val="false"/>
          <w:caps w:val="false"/>
          <w:smallCaps w:val="false"/>
          <w:sz w:val="20"/>
        </w:rPr>
        <w:t>Series 2021-6 Notes</w:t>
      </w:r>
      <w:r>
        <w:rPr>
          <w:rFonts w:ascii="Times New Roman;Times;Serif" w:hAnsi="Times New Roman;Times;Serif"/>
          <w:b w:val="false"/>
          <w:i w:val="false"/>
          <w:caps w:val="false"/>
          <w:smallCaps w:val="false"/>
          <w:sz w:val="20"/>
        </w:rPr>
        <w:t>”) pursuant to a Trust Indenture held by UMB Bank, as trustee and disbursing agent, and NewLight Capital, LLC as servicer (the “</w:t>
      </w:r>
      <w:r>
        <w:rPr>
          <w:rFonts w:ascii="Times New Roman;Times;Serif" w:hAnsi="Times New Roman;Times;Serif"/>
          <w:b/>
          <w:i w:val="false"/>
          <w:caps w:val="false"/>
          <w:smallCaps w:val="false"/>
          <w:sz w:val="20"/>
        </w:rPr>
        <w:t>Servicer</w:t>
      </w:r>
      <w:r>
        <w:rPr>
          <w:rFonts w:ascii="Times New Roman;Times;Serif" w:hAnsi="Times New Roman;Times;Serif"/>
          <w:b w:val="false"/>
          <w:i w:val="false"/>
          <w:caps w:val="false"/>
          <w:smallCaps w:val="false"/>
          <w:sz w:val="20"/>
        </w:rPr>
        <w:t>”). The trust and debt documents also required the entry into a Lender Collateral Residual Value Insurance Policy (the “</w:t>
      </w:r>
      <w:r>
        <w:rPr>
          <w:rFonts w:ascii="Times New Roman;Times;Serif" w:hAnsi="Times New Roman;Times;Serif"/>
          <w:b/>
          <w:i w:val="false"/>
          <w:caps w:val="false"/>
          <w:smallCaps w:val="false"/>
          <w:sz w:val="20"/>
        </w:rPr>
        <w:t>Insurance Policy</w:t>
      </w:r>
      <w:r>
        <w:rPr>
          <w:rFonts w:ascii="Times New Roman;Times;Serif" w:hAnsi="Times New Roman;Times;Serif"/>
          <w:b w:val="false"/>
          <w:i w:val="false"/>
          <w:caps w:val="false"/>
          <w:smallCaps w:val="false"/>
          <w:sz w:val="20"/>
        </w:rPr>
        <w:t>”), with UMB Bank as named insured for $</w:t>
      </w:r>
      <w:bookmarkStart w:id="486" w:name="xdx_90E_ecustom--DebtInstrumentInsuredAm"/>
      <w:bookmarkEnd w:id="486"/>
      <w:r>
        <w:rPr>
          <w:rFonts w:ascii="Times New Roman;Times;Serif" w:hAnsi="Times New Roman;Times;Serif"/>
          <w:b w:val="false"/>
          <w:i w:val="false"/>
          <w:caps w:val="false"/>
          <w:smallCaps w:val="false"/>
          <w:sz w:val="20"/>
        </w:rPr>
        <w:t>45,000, and engagement of a placement agent, Tribe Capital Markets,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date of the financing the Company received a wire for $</w:t>
      </w:r>
      <w:bookmarkStart w:id="487" w:name="xdx_90E_ecustom--NetProceedsFromIssuance"/>
      <w:bookmarkEnd w:id="487"/>
      <w:r>
        <w:rPr>
          <w:rFonts w:ascii="Times New Roman;Times;Serif" w:hAnsi="Times New Roman;Times;Serif"/>
          <w:b w:val="false"/>
          <w:i w:val="false"/>
          <w:caps w:val="false"/>
          <w:smallCaps w:val="false"/>
          <w:sz w:val="20"/>
        </w:rPr>
        <w:t>35,474, which is comprised of the gross proceeds of $</w:t>
      </w:r>
      <w:bookmarkStart w:id="488" w:name="xdx_905_eus-gaap--ProceedsFromNotesPayab"/>
      <w:bookmarkEnd w:id="488"/>
      <w:r>
        <w:rPr>
          <w:rFonts w:ascii="Times New Roman;Times;Serif" w:hAnsi="Times New Roman;Times;Serif"/>
          <w:b w:val="false"/>
          <w:i w:val="false"/>
          <w:caps w:val="false"/>
          <w:smallCaps w:val="false"/>
          <w:sz w:val="20"/>
        </w:rPr>
        <w:t>45,000 less $</w:t>
      </w:r>
      <w:bookmarkStart w:id="489" w:name="xdx_905_ecustom--DepositsToCertainReserv"/>
      <w:bookmarkEnd w:id="489"/>
      <w:r>
        <w:rPr>
          <w:rFonts w:ascii="Times New Roman;Times;Serif" w:hAnsi="Times New Roman;Times;Serif"/>
          <w:b w:val="false"/>
          <w:i w:val="false"/>
          <w:caps w:val="false"/>
          <w:smallCaps w:val="false"/>
          <w:sz w:val="20"/>
        </w:rPr>
        <w:t xml:space="preserve">3,188 in deposits to certain reserve accounts (see subsection labeled </w:t>
      </w:r>
      <w:r>
        <w:rPr>
          <w:rFonts w:ascii="Times New Roman;Times;Serif" w:hAnsi="Times New Roman;Times;Serif"/>
          <w:b w:val="false"/>
          <w:i/>
          <w:caps w:val="false"/>
          <w:smallCaps w:val="false"/>
          <w:sz w:val="20"/>
        </w:rPr>
        <w:t xml:space="preserve">Reserve Accounts </w:t>
      </w:r>
      <w:r>
        <w:rPr>
          <w:rFonts w:ascii="Times New Roman;Times;Serif" w:hAnsi="Times New Roman;Times;Serif"/>
          <w:b w:val="false"/>
          <w:i w:val="false"/>
          <w:caps w:val="false"/>
          <w:smallCaps w:val="false"/>
          <w:sz w:val="20"/>
        </w:rPr>
        <w:t>below), and $</w:t>
      </w:r>
      <w:bookmarkStart w:id="490" w:name="xdx_90D_ecustom--ExpensesWithdrawnFromGr"/>
      <w:bookmarkEnd w:id="490"/>
      <w:r>
        <w:rPr>
          <w:rFonts w:ascii="Times New Roman;Times;Serif" w:hAnsi="Times New Roman;Times;Serif"/>
          <w:b w:val="false"/>
          <w:i w:val="false"/>
          <w:caps w:val="false"/>
          <w:smallCaps w:val="false"/>
          <w:sz w:val="20"/>
        </w:rPr>
        <w:t>6,338 in expenses withdrawn from the gross proceeds, which included $</w:t>
      </w:r>
      <w:bookmarkStart w:id="491" w:name="xdx_90E_ecustom--PrepaidPolicyPremiumsAn"/>
      <w:bookmarkEnd w:id="491"/>
      <w:r>
        <w:rPr>
          <w:rFonts w:ascii="Times New Roman;Times;Serif" w:hAnsi="Times New Roman;Times;Serif"/>
          <w:b w:val="false"/>
          <w:i w:val="false"/>
          <w:caps w:val="false"/>
          <w:smallCaps w:val="false"/>
          <w:sz w:val="20"/>
        </w:rPr>
        <w:t xml:space="preserve">4,725 in prepaid policy premiums and related costs underlying the Insurance Policy (see subsection labelled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below), a prepaid loan monitoring fee of $</w:t>
      </w:r>
      <w:bookmarkStart w:id="492" w:name="xdx_904_ecustom--PrepaidLoanMonitoringFe"/>
      <w:bookmarkEnd w:id="492"/>
      <w:r>
        <w:rPr>
          <w:rFonts w:ascii="Times New Roman;Times;Serif" w:hAnsi="Times New Roman;Times;Serif"/>
          <w:b w:val="false"/>
          <w:i w:val="false"/>
          <w:caps w:val="false"/>
          <w:smallCaps w:val="false"/>
          <w:sz w:val="20"/>
        </w:rPr>
        <w:t>60 and $</w:t>
      </w:r>
      <w:bookmarkStart w:id="493" w:name="xdx_908_ecustom--OtherDebtIssuanceCosts_"/>
      <w:bookmarkEnd w:id="493"/>
      <w:r>
        <w:rPr>
          <w:rFonts w:ascii="Times New Roman;Times;Serif" w:hAnsi="Times New Roman;Times;Serif"/>
          <w:b w:val="false"/>
          <w:i w:val="false"/>
          <w:caps w:val="false"/>
          <w:smallCaps w:val="false"/>
          <w:sz w:val="20"/>
        </w:rPr>
        <w:t>1,553 in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for the Series 2021-6 Notes underlying the Trust Indenture is $</w:t>
      </w:r>
      <w:bookmarkStart w:id="494" w:name="xdx_90B_eus-gaap--DebtInstrumentFaceAmou"/>
      <w:bookmarkEnd w:id="494"/>
      <w:r>
        <w:rPr>
          <w:rFonts w:ascii="Times New Roman;Times;Serif" w:hAnsi="Times New Roman;Times;Serif"/>
          <w:b w:val="false"/>
          <w:i w:val="false"/>
          <w:caps w:val="false"/>
          <w:smallCaps w:val="false"/>
          <w:sz w:val="20"/>
        </w:rPr>
        <w:t xml:space="preserve">45,000 in principal on the date of the closing of the financing. The debt bears interest at </w:t>
      </w:r>
      <w:bookmarkStart w:id="495" w:name="xdx_900_eus-gaap--DebtInstrumentInterest"/>
      <w:bookmarkEnd w:id="495"/>
      <w:r>
        <w:rPr>
          <w:rFonts w:ascii="Times New Roman;Times;Serif" w:hAnsi="Times New Roman;Times;Serif"/>
          <w:b w:val="false"/>
          <w:i w:val="false"/>
          <w:caps w:val="false"/>
          <w:smallCaps w:val="false"/>
          <w:sz w:val="20"/>
        </w:rPr>
        <w:t>5.50% per annum accruing monthly on a 360 day basis. Late payments will be subject to a $</w:t>
      </w:r>
      <w:bookmarkStart w:id="496" w:name="xdx_90C_ecustom--DebtInstrumentLateFee_c"/>
      <w:bookmarkEnd w:id="496"/>
      <w:r>
        <w:rPr>
          <w:rFonts w:ascii="Times New Roman;Times;Serif" w:hAnsi="Times New Roman;Times;Serif"/>
          <w:b w:val="false"/>
          <w:i w:val="false"/>
          <w:caps w:val="false"/>
          <w:smallCaps w:val="false"/>
          <w:sz w:val="20"/>
        </w:rPr>
        <w:t xml:space="preserve">50 late fee and default interest based on a rate </w:t>
      </w:r>
      <w:bookmarkStart w:id="497" w:name="xdx_902_ecustom--DebtInstrumentDefaultIn"/>
      <w:bookmarkEnd w:id="497"/>
      <w:r>
        <w:rPr>
          <w:rFonts w:ascii="Times New Roman;Times;Serif" w:hAnsi="Times New Roman;Times;Serif"/>
          <w:b w:val="false"/>
          <w:i w:val="false"/>
          <w:caps w:val="false"/>
          <w:smallCaps w:val="false"/>
          <w:sz w:val="20"/>
        </w:rPr>
        <w:t xml:space="preserve">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w:t>
      </w:r>
      <w:bookmarkStart w:id="498" w:name="xdx_901_ecustom--DebtInstrumentNumberOfE"/>
      <w:bookmarkEnd w:id="498"/>
      <w:r>
        <w:rPr>
          <w:rFonts w:ascii="Times New Roman;Times;Serif" w:hAnsi="Times New Roman;Times;Serif"/>
          <w:b w:val="false"/>
          <w:i w:val="false"/>
          <w:caps w:val="false"/>
          <w:smallCaps w:val="false"/>
          <w:sz w:val="20"/>
        </w:rPr>
        <w:t>twenty four equal installments of principal in the amount of $</w:t>
      </w:r>
      <w:bookmarkStart w:id="499" w:name="xdx_908_eus-gaap--DebtInstrumentPeriodic"/>
      <w:bookmarkEnd w:id="499"/>
      <w:r>
        <w:rPr>
          <w:rFonts w:ascii="Times New Roman;Times;Serif" w:hAnsi="Times New Roman;Times;Serif"/>
          <w:b w:val="false"/>
          <w:i w:val="false"/>
          <w:caps w:val="false"/>
          <w:smallCaps w:val="false"/>
          <w:sz w:val="20"/>
        </w:rPr>
        <w:t xml:space="preserve">1,875, plus accrued interest on the unpaid principal amount. Any remaining obligations were due and payable on </w:t>
      </w:r>
      <w:bookmarkStart w:id="500" w:name="xdx_90F_eus-gaap--DebtInstrumentMaturity"/>
      <w:bookmarkEnd w:id="500"/>
      <w:r>
        <w:rPr>
          <w:rFonts w:ascii="Times New Roman;Times;Serif" w:hAnsi="Times New Roman;Times;Serif"/>
          <w:b w:val="false"/>
          <w:i w:val="false"/>
          <w:caps w:val="false"/>
          <w:smallCaps w:val="false"/>
          <w:sz w:val="20"/>
        </w:rPr>
        <w:t>November 1, 2024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below) as such funds must be reimbursed by the Company to the insurer.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 total of $</w:t>
      </w:r>
      <w:bookmarkStart w:id="501" w:name="xdx_905_eus-gaap--InterestExpenseDebtExc"/>
      <w:bookmarkEnd w:id="501"/>
      <w:r>
        <w:rPr>
          <w:rFonts w:ascii="Times New Roman;Times;Serif" w:hAnsi="Times New Roman;Times;Serif"/>
          <w:b w:val="false"/>
          <w:i w:val="false"/>
          <w:caps w:val="false"/>
          <w:smallCaps w:val="false"/>
          <w:sz w:val="20"/>
        </w:rPr>
        <w:t>1,873 of interest expense was incurred under the debt. Amortization of the debt issuance costs amounted to $</w:t>
      </w:r>
      <w:bookmarkStart w:id="502" w:name="xdx_90A_eus-gaap--AmortizationOfFinancin"/>
      <w:bookmarkEnd w:id="502"/>
      <w:r>
        <w:rPr>
          <w:rFonts w:ascii="Times New Roman;Times;Serif" w:hAnsi="Times New Roman;Times;Serif"/>
          <w:b w:val="false"/>
          <w:i w:val="false"/>
          <w:caps w:val="false"/>
          <w:smallCaps w:val="false"/>
          <w:sz w:val="20"/>
        </w:rPr>
        <w:t xml:space="preserve">1,783 during the year ended December 31, 2022. In connection with the merger on October 7, 2022, the Company entered into a Term Loan, Guarantee and Security Agreement (see subsection labeled </w:t>
      </w:r>
      <w:r>
        <w:rPr>
          <w:rFonts w:ascii="Times New Roman;Times;Serif" w:hAnsi="Times New Roman;Times;Serif"/>
          <w:b w:val="false"/>
          <w:i/>
          <w:caps w:val="false"/>
          <w:smallCaps w:val="false"/>
          <w:sz w:val="20"/>
        </w:rPr>
        <w:t>Term Loan Agreement</w:t>
      </w:r>
      <w:r>
        <w:rPr>
          <w:rFonts w:ascii="Times New Roman;Times;Serif" w:hAnsi="Times New Roman;Times;Serif"/>
          <w:b w:val="false"/>
          <w:i w:val="false"/>
          <w:caps w:val="false"/>
          <w:smallCaps w:val="false"/>
          <w:sz w:val="20"/>
        </w:rPr>
        <w:t xml:space="preserve"> below) and the outstanding principal balance for the Series 2021-6 Notes underlying the Trust Indenture was paid in full. A loss on extinguishment of $</w:t>
      </w:r>
      <w:bookmarkStart w:id="503" w:name="xdx_903_eus-gaap--GainsLossesOnExtinguis"/>
      <w:bookmarkEnd w:id="503"/>
      <w:r>
        <w:rPr>
          <w:rFonts w:ascii="Times New Roman;Times;Serif" w:hAnsi="Times New Roman;Times;Serif"/>
          <w:b w:val="false"/>
          <w:i w:val="false"/>
          <w:caps w:val="false"/>
          <w:smallCaps w:val="false"/>
          <w:sz w:val="20"/>
        </w:rPr>
        <w:t>4,824 was recognized upon settlement. The net balance of $</w:t>
      </w:r>
      <w:bookmarkStart w:id="504" w:name="xdx_90C_eus-gaap--LongTermDebt_iI_pn3n3_"/>
      <w:bookmarkEnd w:id="504"/>
      <w:r>
        <w:rPr>
          <w:rFonts w:ascii="Times New Roman;Times;Serif" w:hAnsi="Times New Roman;Times;Serif"/>
          <w:b w:val="false"/>
          <w:i w:val="false"/>
          <w:caps w:val="false"/>
          <w:smallCaps w:val="false"/>
          <w:sz w:val="20"/>
        </w:rPr>
        <w:t>40,712 on the date of the merger consisted of $</w:t>
      </w:r>
      <w:bookmarkStart w:id="505" w:name="xdx_90A_eus-gaap--DebtInstrumentFaceAmou"/>
      <w:bookmarkEnd w:id="505"/>
      <w:r>
        <w:rPr>
          <w:rFonts w:ascii="Times New Roman;Times;Serif" w:hAnsi="Times New Roman;Times;Serif"/>
          <w:b w:val="false"/>
          <w:i w:val="false"/>
          <w:caps w:val="false"/>
          <w:smallCaps w:val="false"/>
          <w:sz w:val="20"/>
        </w:rPr>
        <w:t>45,000 in principal less $</w:t>
      </w:r>
      <w:bookmarkStart w:id="506" w:name="xdx_908_eus-gaap--DebtInstrumentUnamorti"/>
      <w:bookmarkEnd w:id="506"/>
      <w:r>
        <w:rPr>
          <w:rFonts w:ascii="Times New Roman;Times;Serif" w:hAnsi="Times New Roman;Times;Serif"/>
          <w:b w:val="false"/>
          <w:i w:val="false"/>
          <w:caps w:val="false"/>
          <w:smallCaps w:val="false"/>
          <w:sz w:val="20"/>
        </w:rPr>
        <w:t>4,288 in unamortized debt discount related to the debt issuance costs and Insurance Policy.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Reserve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7" w:name="xdx_89A_ecustom--ScheduleOfDepositsIntoR"/>
      <w:bookmarkEnd w:id="507"/>
      <w:r>
        <w:rPr>
          <w:rFonts w:ascii="Times New Roman;Times;Serif" w:hAnsi="Times New Roman;Times;Serif"/>
          <w:b w:val="false"/>
          <w:i w:val="false"/>
          <w:caps w:val="false"/>
          <w:smallCaps w:val="false"/>
          <w:sz w:val="20"/>
        </w:rPr>
        <w:t>Deposits into the reserve accounts consisted of the following items:</w:t>
      </w:r>
    </w:p>
    <w:p>
      <w:pPr>
        <w:pStyle w:val="TextBody"/>
        <w:bidi w:val="0"/>
        <w:spacing w:before="0" w:after="0"/>
        <w:ind w:left="0" w:right="0" w:hanging="0"/>
        <w:jc w:val="left"/>
        <w:rPr>
          <w:caps w:val="false"/>
          <w:smallCaps w:val="false"/>
        </w:rPr>
      </w:pPr>
      <w:r>
        <w:rPr>
          <w:caps w:val="false"/>
          <w:smallCaps w:val="false"/>
        </w:rPr>
        <w:t> </w:t>
      </w:r>
      <w:bookmarkStart w:id="508" w:name="xdx_8BD_zZuR6vRWsZMi"/>
      <w:bookmarkEnd w:id="508"/>
      <w:r>
        <w:rPr>
          <w:rFonts w:ascii="Times New Roman;Times;Serif" w:hAnsi="Times New Roman;Times;Serif"/>
          <w:b w:val="false"/>
          <w:i w:val="false"/>
          <w:caps w:val="false"/>
          <w:smallCaps w:val="false"/>
          <w:sz w:val="20"/>
        </w:rPr>
        <w:t>SCHEDULE OF DEPOSITS INTO RESERVE ACCOUNTS</w:t>
      </w:r>
    </w:p>
    <w:tbl>
      <w:tblPr>
        <w:tblW w:w="3240" w:type="dxa"/>
        <w:jc w:val="left"/>
        <w:tblInd w:w="0" w:type="dxa"/>
        <w:tblLayout w:type="fixed"/>
        <w:tblCellMar>
          <w:top w:w="0" w:type="dxa"/>
          <w:left w:w="0" w:type="dxa"/>
          <w:bottom w:w="0" w:type="dxa"/>
          <w:right w:w="0" w:type="dxa"/>
        </w:tblCellMar>
      </w:tblPr>
      <w:tblGrid>
        <w:gridCol w:w="2405"/>
        <w:gridCol w:w="60"/>
        <w:gridCol w:w="140"/>
        <w:gridCol w:w="560"/>
        <w:gridCol w:w="75"/>
      </w:tblGrid>
      <w:tr>
        <w:trPr/>
        <w:tc>
          <w:tcPr>
            <w:tcW w:w="2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9" w:name="xdx_491_20221231_zTvBr13jzahk"/>
            <w:bookmarkEnd w:id="509"/>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0" w:name="xdx_404_ecustom--PaymentReserveFund_iI_p"/>
            <w:bookmarkEnd w:id="510"/>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Reserve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3,044</w:t>
            </w:r>
          </w:p>
        </w:tc>
        <w:tc>
          <w:tcPr>
            <w:tcW w:w="75" w:type="dxa"/>
            <w:tcBorders/>
            <w:shd w:fill="CCEEFF" w:val="clear"/>
            <w:vAlign w:val="center"/>
          </w:tcPr>
          <w:p>
            <w:pPr>
              <w:pStyle w:val="TableContents"/>
              <w:bidi w:val="0"/>
              <w:spacing w:before="0" w:after="283"/>
              <w:jc w:val="left"/>
              <w:rPr/>
            </w:pPr>
            <w:r>
              <w:rPr/>
              <w:t> </w:t>
            </w:r>
            <w:bookmarkStart w:id="511" w:name="xdx_40B_ecustom--CapitalizedInterestFund"/>
            <w:bookmarkEnd w:id="511"/>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Interest Fund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75" w:type="dxa"/>
            <w:tcBorders/>
            <w:shd w:fill="FFFFFF" w:val="clear"/>
            <w:vAlign w:val="center"/>
          </w:tcPr>
          <w:p>
            <w:pPr>
              <w:pStyle w:val="TableContents"/>
              <w:bidi w:val="0"/>
              <w:spacing w:before="0" w:after="283"/>
              <w:jc w:val="left"/>
              <w:rPr/>
            </w:pPr>
            <w:r>
              <w:rPr/>
              <w:t> </w:t>
            </w:r>
            <w:bookmarkStart w:id="512" w:name="xdx_402_ecustom--DepositsToCertainReserv"/>
            <w:bookmarkEnd w:id="512"/>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3" w:name="xdx_8AF_zOu4krf8iPSl"/>
      <w:bookmarkEnd w:id="51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w:t>
      </w:r>
      <w:bookmarkStart w:id="514" w:name="xdx_900_ecustom--CapitalizedInterestFund"/>
      <w:bookmarkEnd w:id="514"/>
      <w:r>
        <w:rPr>
          <w:rFonts w:ascii="Times New Roman;Times;Serif" w:hAnsi="Times New Roman;Times;Serif"/>
          <w:b w:val="false"/>
          <w:i w:val="false"/>
          <w:caps w:val="false"/>
          <w:smallCaps w:val="false"/>
          <w:sz w:val="20"/>
        </w:rPr>
        <w:t>3,088.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settled the Trust Indenture and the balance in the Payment Reserve Fund was offset against the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Loan Monitoring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to incur ongoing monitoring service by NewLight Capital, LLC for </w:t>
      </w:r>
      <w:bookmarkStart w:id="515" w:name="xdx_90D_ecustom--OngoingMonitoringServic"/>
      <w:bookmarkEnd w:id="515"/>
      <w:r>
        <w:rPr>
          <w:rFonts w:ascii="Times New Roman;Times;Serif" w:hAnsi="Times New Roman;Times;Serif"/>
          <w:b w:val="false"/>
          <w:i w:val="false"/>
          <w:caps w:val="false"/>
          <w:smallCaps w:val="false"/>
          <w:sz w:val="20"/>
        </w:rPr>
        <w:t>24 months at $</w:t>
      </w:r>
      <w:bookmarkStart w:id="516" w:name="xdx_900_ecustom--LoanMonitoringFees_pn3n"/>
      <w:bookmarkEnd w:id="516"/>
      <w:r>
        <w:rPr>
          <w:rFonts w:ascii="Times New Roman;Times;Serif" w:hAnsi="Times New Roman;Times;Serif"/>
          <w:b w:val="false"/>
          <w:i w:val="false"/>
          <w:caps w:val="false"/>
          <w:smallCaps w:val="false"/>
          <w:sz w:val="20"/>
        </w:rPr>
        <w:t>180 total expense. These services entail monitory of financial records and information related to collateral enforcement on an ongoing basis. The $</w:t>
      </w:r>
      <w:bookmarkStart w:id="517" w:name="xdx_90A_ecustom--PrepaidLoanMonitoringFe"/>
      <w:bookmarkEnd w:id="517"/>
      <w:r>
        <w:rPr>
          <w:rFonts w:ascii="Times New Roman;Times;Serif" w:hAnsi="Times New Roman;Times;Serif"/>
          <w:b w:val="false"/>
          <w:i w:val="false"/>
          <w:caps w:val="false"/>
          <w:smallCaps w:val="false"/>
          <w:sz w:val="20"/>
        </w:rPr>
        <w:t xml:space="preserve">60 prepayment funded on the date of closing was recognized as a prepaid expense and was being amortized on a straight line basis over the first </w:t>
      </w:r>
      <w:bookmarkStart w:id="518" w:name="xdx_907_ecustom--LoanMonitoringFeesAmort"/>
      <w:bookmarkEnd w:id="518"/>
      <w:r>
        <w:rPr>
          <w:rFonts w:ascii="Times New Roman;Times;Serif" w:hAnsi="Times New Roman;Times;Serif"/>
          <w:b w:val="false"/>
          <w:i w:val="false"/>
          <w:caps w:val="false"/>
          <w:smallCaps w:val="false"/>
          <w:sz w:val="20"/>
        </w:rPr>
        <w:t>10 months of the agreement as the amount was paid in full in connection with the merger. The Company incurred $</w:t>
      </w:r>
      <w:bookmarkStart w:id="519" w:name="xdx_906_ecustom--LoanMonitoringFees_pn3n"/>
      <w:bookmarkEnd w:id="519"/>
      <w:r>
        <w:rPr>
          <w:rFonts w:ascii="Times New Roman;Times;Serif" w:hAnsi="Times New Roman;Times;Serif"/>
          <w:b w:val="false"/>
          <w:i w:val="false"/>
          <w:caps w:val="false"/>
          <w:smallCaps w:val="false"/>
          <w:sz w:val="20"/>
        </w:rPr>
        <w:t>77 and $</w:t>
      </w:r>
      <w:bookmarkStart w:id="520" w:name="xdx_903_ecustom--LoanMonitoringFees_pn3n"/>
      <w:bookmarkEnd w:id="520"/>
      <w:r>
        <w:rPr>
          <w:rFonts w:ascii="Times New Roman;Times;Serif" w:hAnsi="Times New Roman;Times;Serif"/>
          <w:b w:val="false"/>
          <w:i w:val="false"/>
          <w:caps w:val="false"/>
          <w:smallCaps w:val="false"/>
          <w:sz w:val="20"/>
        </w:rPr>
        <w:t>10 of monitoring fee expenses during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prepayment on that date of $</w:t>
      </w:r>
      <w:bookmarkStart w:id="521" w:name="xdx_90B_ecustom--PrepaidLoanMonitoringFe"/>
      <w:bookmarkEnd w:id="521"/>
      <w:r>
        <w:rPr>
          <w:rFonts w:ascii="Times New Roman;Times;Serif" w:hAnsi="Times New Roman;Times;Serif"/>
          <w:b w:val="false"/>
          <w:i w:val="false"/>
          <w:caps w:val="false"/>
          <w:smallCaps w:val="false"/>
          <w:sz w:val="20"/>
        </w:rPr>
        <w:t>33 was expensed and included in debt extinguishment.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Financial Covenants –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CNTQ, Legacy Dragonfly and CCM Investments 5 LLC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“Chardan Lender”),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Chardan Lender, the “</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w:t>
      </w:r>
      <w:bookmarkStart w:id="522" w:name="xdx_90B_eus-gaap--DebtInstrumentFaceAmou"/>
      <w:bookmarkEnd w:id="522"/>
      <w:r>
        <w:rPr>
          <w:rFonts w:ascii="Times New Roman;Times;Serif" w:hAnsi="Times New Roman;Times;Serif"/>
          <w:b w:val="false"/>
          <w:i w:val="false"/>
          <w:caps w:val="false"/>
          <w:smallCaps w:val="false"/>
          <w:sz w:val="20"/>
        </w:rPr>
        <w:t>75,000, or the Term Loan. The Chardan Lender backstopped its commitment under the Debt Commitment Letter by entering into a backstop commitment letter, dated as of May 20, 2022 (the “</w:t>
      </w:r>
      <w:r>
        <w:rPr>
          <w:rFonts w:ascii="Times New Roman;Times;Serif" w:hAnsi="Times New Roman;Times;Serif"/>
          <w:b/>
          <w:i w:val="false"/>
          <w:caps w:val="false"/>
          <w:smallCaps w:val="false"/>
          <w:sz w:val="20"/>
        </w:rPr>
        <w:t>Backstop Commitment Letter</w:t>
      </w:r>
      <w:r>
        <w:rPr>
          <w:rFonts w:ascii="Times New Roman;Times;Serif" w:hAnsi="Times New Roman;Times;Serif"/>
          <w:b w:val="false"/>
          <w:i w:val="false"/>
          <w:caps w:val="false"/>
          <w:smallCaps w:val="false"/>
          <w:sz w:val="20"/>
        </w:rPr>
        <w:t>”),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Chardan Lender the aggregate amount of the Term Loan held by the Chardan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w:t>
      </w:r>
      <w:bookmarkStart w:id="523" w:name="xdx_90E_ecustom--DebtInstrumentAmortizat"/>
      <w:bookmarkEnd w:id="523"/>
      <w:r>
        <w:rPr>
          <w:rFonts w:ascii="Times New Roman;Times;Serif" w:hAnsi="Times New Roman;Times;Serif"/>
          <w:b w:val="false"/>
          <w:i w:val="false"/>
          <w:caps w:val="false"/>
          <w:smallCaps w:val="false"/>
          <w:sz w:val="20"/>
        </w:rPr>
        <w:t>5% per annum (or $</w:t>
      </w:r>
      <w:bookmarkStart w:id="524" w:name="xdx_90F_ecustom--DebtInstrumentAmortizat"/>
      <w:bookmarkEnd w:id="524"/>
      <w:r>
        <w:rPr>
          <w:rFonts w:ascii="Times New Roman;Times;Serif" w:hAnsi="Times New Roman;Times;Serif"/>
          <w:b w:val="false"/>
          <w:i w:val="false"/>
          <w:caps w:val="false"/>
          <w:smallCaps w:val="false"/>
          <w:sz w:val="20"/>
        </w:rPr>
        <w:t xml:space="preserve">937.5 on the first day of each calendar quarter) beginning </w:t>
      </w:r>
      <w:bookmarkStart w:id="525" w:name="xdx_90F_ecustom--DebtInstrumentAmortizat"/>
      <w:bookmarkEnd w:id="525"/>
      <w:r>
        <w:rPr>
          <w:rFonts w:ascii="Times New Roman;Times;Serif" w:hAnsi="Times New Roman;Times;Serif"/>
          <w:b w:val="false"/>
          <w:i w:val="false"/>
          <w:caps w:val="false"/>
          <w:smallCaps w:val="false"/>
          <w:sz w:val="20"/>
        </w:rPr>
        <w:t>24 months after the Closing Date and matures on the fourth anniversary of the Closing Date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The Term Loan accrues interest (i) until April 1, 2023, at a per annum rate equal to the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xml:space="preserve">”) plus a margin equal to </w:t>
      </w:r>
      <w:bookmarkStart w:id="526" w:name="xdx_906_eus-gaap--DebtInstrumentBasisSpr"/>
      <w:bookmarkEnd w:id="526"/>
      <w:r>
        <w:rPr>
          <w:rFonts w:ascii="Times New Roman;Times;Serif" w:hAnsi="Times New Roman;Times;Serif"/>
          <w:b w:val="false"/>
          <w:i w:val="false"/>
          <w:caps w:val="false"/>
          <w:smallCaps w:val="false"/>
          <w:sz w:val="20"/>
        </w:rPr>
        <w:t xml:space="preserve">13.5%, of which </w:t>
      </w:r>
      <w:bookmarkStart w:id="527" w:name="xdx_900_ecustom--DebtInstrumentBasisSpre"/>
      <w:bookmarkEnd w:id="527"/>
      <w:r>
        <w:rPr>
          <w:rFonts w:ascii="Times New Roman;Times;Serif" w:hAnsi="Times New Roman;Times;Serif"/>
          <w:b w:val="false"/>
          <w:i w:val="false"/>
          <w:caps w:val="false"/>
          <w:smallCaps w:val="false"/>
          <w:sz w:val="20"/>
        </w:rPr>
        <w:t xml:space="preserve">7% will be payable in cash and </w:t>
      </w:r>
      <w:bookmarkStart w:id="528" w:name="xdx_908_ecustom--DebtInstrumentBasisSpre"/>
      <w:bookmarkEnd w:id="528"/>
      <w:r>
        <w:rPr>
          <w:rFonts w:ascii="Times New Roman;Times;Serif" w:hAnsi="Times New Roman;Times;Serif"/>
          <w:b w:val="false"/>
          <w:i w:val="false"/>
          <w:caps w:val="false"/>
          <w:smallCaps w:val="false"/>
          <w:sz w:val="20"/>
        </w:rPr>
        <w:t xml:space="preserve">6.5% will be paid in-kind, (ii) thereafter until October 1, 2024, at a per annum rate equal to adjusted SOFR plus </w:t>
      </w:r>
      <w:bookmarkStart w:id="529" w:name="xdx_906_ecustom--DebtInstrumentBasisSpre"/>
      <w:bookmarkEnd w:id="529"/>
      <w:r>
        <w:rPr>
          <w:rFonts w:ascii="Times New Roman;Times;Serif" w:hAnsi="Times New Roman;Times;Serif"/>
          <w:b w:val="false"/>
          <w:i w:val="false"/>
          <w:caps w:val="false"/>
          <w:smallCaps w:val="false"/>
          <w:sz w:val="20"/>
        </w:rPr>
        <w:t xml:space="preserve">7% payable in cash plus an amount ranging from </w:t>
      </w:r>
      <w:bookmarkStart w:id="530" w:name="xdx_906_ecustom--DebtInstrumentBasisSpre"/>
      <w:bookmarkEnd w:id="530"/>
      <w:r>
        <w:rPr>
          <w:rFonts w:ascii="Times New Roman;Times;Serif" w:hAnsi="Times New Roman;Times;Serif"/>
          <w:b w:val="false"/>
          <w:i w:val="false"/>
          <w:caps w:val="false"/>
          <w:smallCaps w:val="false"/>
          <w:sz w:val="20"/>
        </w:rPr>
        <w:t xml:space="preserve">4.5% to </w:t>
      </w:r>
      <w:bookmarkStart w:id="531" w:name="xdx_900_ecustom--DebtInstrumentBasisSpre"/>
      <w:bookmarkEnd w:id="531"/>
      <w:r>
        <w:rPr>
          <w:rFonts w:ascii="Times New Roman;Times;Serif" w:hAnsi="Times New Roman;Times;Serif"/>
          <w:b w:val="false"/>
          <w:i w:val="false"/>
          <w:caps w:val="false"/>
          <w:smallCaps w:val="false"/>
          <w:sz w:val="20"/>
        </w:rPr>
        <w:t xml:space="preserve">6.5%, depending on the senior leverage ratio of the consolidated company, which will be paid-in-kind and (iii) at all times thereafter, at a per annum rate equal to adjusted SOFR plus a margin ranging from </w:t>
      </w:r>
      <w:bookmarkStart w:id="532" w:name="xdx_90F_ecustom--DebtInstrumentBasisSpre"/>
      <w:bookmarkEnd w:id="532"/>
      <w:r>
        <w:rPr>
          <w:rFonts w:ascii="Times New Roman;Times;Serif" w:hAnsi="Times New Roman;Times;Serif"/>
          <w:b w:val="false"/>
          <w:i w:val="false"/>
          <w:caps w:val="false"/>
          <w:smallCaps w:val="false"/>
          <w:sz w:val="20"/>
        </w:rPr>
        <w:t xml:space="preserve">11.5% to </w:t>
      </w:r>
      <w:bookmarkStart w:id="533" w:name="xdx_90F_ecustom--DebtInstrumentBasisSpre"/>
      <w:bookmarkEnd w:id="533"/>
      <w:r>
        <w:rPr>
          <w:rFonts w:ascii="Times New Roman;Times;Serif" w:hAnsi="Times New Roman;Times;Serif"/>
          <w:b w:val="false"/>
          <w:i w:val="false"/>
          <w:caps w:val="false"/>
          <w:smallCaps w:val="false"/>
          <w:sz w:val="20"/>
        </w:rPr>
        <w:t xml:space="preserve">13.5% payable in cash, depending on the senior leverage ratio of the consolidated company. In each of the foregoing cases, adjusted SOFR will be no less than </w:t>
      </w:r>
      <w:bookmarkStart w:id="534" w:name="xdx_900_eus-gaap--DebtInstrumentBasisSpr"/>
      <w:bookmarkEnd w:id="534"/>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535" w:name="xdx_909_eus-gaap--ClassOfWarrantOrRightN"/>
      <w:bookmarkEnd w:id="535"/>
      <w:r>
        <w:rPr>
          <w:rFonts w:ascii="Times New Roman;Times;Serif" w:hAnsi="Times New Roman;Times;Serif"/>
          <w:b w:val="false"/>
          <w:i w:val="false"/>
          <w:caps w:val="false"/>
          <w:smallCaps w:val="false"/>
          <w:sz w:val="20"/>
        </w:rPr>
        <w:t xml:space="preserve">2,593,056 and (ii) the $10 warrants to issue warrants to the Term Loan Lenders exercisable to purchase an aggregate of </w:t>
      </w:r>
      <w:bookmarkStart w:id="536" w:name="xdx_902_eus-gaap--ClassOfWarrantOrRightN"/>
      <w:bookmarkEnd w:id="536"/>
      <w:r>
        <w:rPr>
          <w:rFonts w:ascii="Times New Roman;Times;Serif" w:hAnsi="Times New Roman;Times;Serif"/>
          <w:b w:val="false"/>
          <w:i w:val="false"/>
          <w:caps w:val="false"/>
          <w:smallCaps w:val="false"/>
          <w:sz w:val="20"/>
        </w:rPr>
        <w:t>1,600,000 shares of common stock at $</w:t>
      </w:r>
      <w:bookmarkStart w:id="537" w:name="xdx_900_eus-gaap--SharePrice_iI_c2022123"/>
      <w:bookmarkEnd w:id="537"/>
      <w:r>
        <w:rPr>
          <w:rFonts w:ascii="Times New Roman;Times;Serif" w:hAnsi="Times New Roman;Times;Serif"/>
          <w:b w:val="false"/>
          <w:i w:val="false"/>
          <w:caps w:val="false"/>
          <w:smallCaps w:val="false"/>
          <w:sz w:val="20"/>
        </w:rPr>
        <w:t>10 per share. Refer to Note 12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 total of $</w:t>
      </w:r>
      <w:bookmarkStart w:id="538" w:name="xdx_909_eus-gaap--InterestExpenseDebtExc"/>
      <w:bookmarkEnd w:id="538"/>
      <w:r>
        <w:rPr>
          <w:rFonts w:ascii="Times New Roman;Times;Serif" w:hAnsi="Times New Roman;Times;Serif"/>
          <w:b w:val="false"/>
          <w:i w:val="false"/>
          <w:caps w:val="false"/>
          <w:smallCaps w:val="false"/>
          <w:sz w:val="20"/>
        </w:rPr>
        <w:t>3,195 of interest expense was incurred under the debt. Amortization of the debt issuance costs amounted to $</w:t>
      </w:r>
      <w:bookmarkStart w:id="539" w:name="xdx_90D_eus-gaap--AmortizationOfFinancin"/>
      <w:bookmarkEnd w:id="539"/>
      <w:r>
        <w:rPr>
          <w:rFonts w:ascii="Times New Roman;Times;Serif" w:hAnsi="Times New Roman;Times;Serif"/>
          <w:b w:val="false"/>
          <w:i w:val="false"/>
          <w:caps w:val="false"/>
          <w:smallCaps w:val="false"/>
          <w:sz w:val="20"/>
        </w:rPr>
        <w:t>38 during the year ended December 31, 2022. The carrying balance of $</w:t>
      </w:r>
      <w:bookmarkStart w:id="540" w:name="xdx_909_eus-gaap--LongTermDebt_iI_pn3n3_"/>
      <w:bookmarkEnd w:id="540"/>
      <w:r>
        <w:rPr>
          <w:rFonts w:ascii="Times New Roman;Times;Serif" w:hAnsi="Times New Roman;Times;Serif"/>
          <w:b w:val="false"/>
          <w:i w:val="false"/>
          <w:caps w:val="false"/>
          <w:smallCaps w:val="false"/>
          <w:sz w:val="20"/>
        </w:rPr>
        <w:t>19,242 on December 31, 2022 consisted of $</w:t>
      </w:r>
      <w:bookmarkStart w:id="541" w:name="xdx_90C_eus-gaap--DebtInstrumentFaceAmou"/>
      <w:bookmarkEnd w:id="541"/>
      <w:r>
        <w:rPr>
          <w:rFonts w:ascii="Times New Roman;Times;Serif" w:hAnsi="Times New Roman;Times;Serif"/>
          <w:b w:val="false"/>
          <w:i w:val="false"/>
          <w:caps w:val="false"/>
          <w:smallCaps w:val="false"/>
          <w:sz w:val="20"/>
        </w:rPr>
        <w:t>75,000 in principal, plus $</w:t>
      </w:r>
      <w:bookmarkStart w:id="542" w:name="xdx_902_eus-gaap--PaidInKindInterest_pn3"/>
      <w:bookmarkEnd w:id="542"/>
      <w:r>
        <w:rPr>
          <w:rFonts w:ascii="Times New Roman;Times;Serif" w:hAnsi="Times New Roman;Times;Serif"/>
          <w:b w:val="false"/>
          <w:i w:val="false"/>
          <w:caps w:val="false"/>
          <w:smallCaps w:val="false"/>
          <w:sz w:val="20"/>
        </w:rPr>
        <w:t>1,192 PIK interest, less $</w:t>
      </w:r>
      <w:bookmarkStart w:id="543" w:name="xdx_908_eus-gaap--DeferredFinanceCostsNe"/>
      <w:bookmarkEnd w:id="543"/>
      <w:r>
        <w:rPr>
          <w:rFonts w:ascii="Times New Roman;Times;Serif" w:hAnsi="Times New Roman;Times;Serif"/>
          <w:b w:val="false"/>
          <w:i w:val="false"/>
          <w:caps w:val="false"/>
          <w:smallCaps w:val="false"/>
          <w:sz w:val="20"/>
        </w:rPr>
        <w:t>56,950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 –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Senior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4" w:name="xdx_904_eus-gaap--DebtInstrumentDescript"/>
      <w:bookmarkEnd w:id="544"/>
      <w:r>
        <w:rPr>
          <w:rFonts w:ascii="Times New Roman;Times;Serif" w:hAnsi="Times New Roman;Times;Serif"/>
          <w:b w:val="false"/>
          <w:i w:val="false"/>
          <w:caps w:val="false"/>
          <w:smallCaps w:val="false"/>
          <w:sz w:val="20"/>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bidi w:val="0"/>
        <w:spacing w:before="0" w:after="0"/>
        <w:ind w:left="0" w:right="0" w:hanging="0"/>
        <w:jc w:val="both"/>
        <w:rPr>
          <w:caps w:val="false"/>
          <w:smallCaps w:val="false"/>
        </w:rPr>
      </w:pPr>
      <w:bookmarkStart w:id="545" w:name="xdx_89E_ecustom--ScheduleOfLeverageRatio"/>
      <w:bookmarkEnd w:id="545"/>
      <w:r>
        <w:rPr>
          <w:caps w:val="false"/>
          <w:smallCaps w:val="false"/>
        </w:rPr>
        <w:t> </w:t>
      </w:r>
      <w:bookmarkStart w:id="546" w:name="xdx_8B3_zOTZVvzh7sz9"/>
      <w:bookmarkEnd w:id="546"/>
      <w:r>
        <w:rPr>
          <w:rFonts w:ascii="Times New Roman;Times;Serif" w:hAnsi="Times New Roman;Times;Serif"/>
          <w:b w:val="false"/>
          <w:i w:val="false"/>
          <w:caps w:val="false"/>
          <w:smallCaps w:val="false"/>
          <w:sz w:val="20"/>
        </w:rPr>
        <w:t>SCHEDULE OF LEVERAGE RATION</w:t>
      </w:r>
    </w:p>
    <w:tbl>
      <w:tblPr>
        <w:tblW w:w="5320" w:type="dxa"/>
        <w:jc w:val="left"/>
        <w:tblInd w:w="0" w:type="dxa"/>
        <w:tblLayout w:type="fixed"/>
        <w:tblCellMar>
          <w:top w:w="0" w:type="dxa"/>
          <w:left w:w="0" w:type="dxa"/>
          <w:bottom w:w="28" w:type="dxa"/>
          <w:right w:w="0" w:type="dxa"/>
        </w:tblCellMar>
      </w:tblPr>
      <w:tblGrid>
        <w:gridCol w:w="3665"/>
        <w:gridCol w:w="60"/>
        <w:gridCol w:w="1595"/>
      </w:tblGrid>
      <w:tr>
        <w:trPr/>
        <w:tc>
          <w:tcPr>
            <w:tcW w:w="36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Test Period 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Leverage Ratio</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2022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547" w:name="xdx_900_eus-gaap--DebtInstrumentDescript"/>
            <w:bookmarkEnd w:id="547"/>
            <w:r>
              <w:rPr>
                <w:rFonts w:ascii="Times New Roman;Times;Serif" w:hAnsi="Times New Roman;Times;Serif"/>
              </w:rPr>
              <w:t>6.75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2023 – 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548" w:name="xdx_902_eus-gaap--DebtInstrumentDescript"/>
            <w:bookmarkEnd w:id="548"/>
            <w:r>
              <w:rPr>
                <w:rFonts w:ascii="Times New Roman;Times;Serif" w:hAnsi="Times New Roman;Times;Serif"/>
              </w:rPr>
              <w:t>6.00 to 1.00</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2023 – 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549" w:name="xdx_905_eus-gaap--DebtInstrumentDescript"/>
            <w:bookmarkEnd w:id="549"/>
            <w:r>
              <w:rPr>
                <w:rFonts w:ascii="Times New Roman;Times;Serif" w:hAnsi="Times New Roman;Times;Serif"/>
              </w:rPr>
              <w:t>5.00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2024 – 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550" w:name="xdx_908_eus-gaap--DebtInstrumentDescript"/>
            <w:bookmarkEnd w:id="550"/>
            <w:r>
              <w:rPr>
                <w:rFonts w:ascii="Times New Roman;Times;Serif" w:hAnsi="Times New Roman;Times;Serif"/>
              </w:rPr>
              <w:t>4.00 to 1.00</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2024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551" w:name="xdx_901_eus-gaap--DebtInstrumentDescript"/>
            <w:bookmarkEnd w:id="551"/>
            <w:r>
              <w:rPr>
                <w:rFonts w:ascii="Times New Roman;Times;Serif" w:hAnsi="Times New Roman;Times;Serif"/>
              </w:rPr>
              <w:t>3.25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552" w:name="xdx_905_eus-gaap--DebtInstrumentDescript"/>
            <w:bookmarkEnd w:id="552"/>
            <w:r>
              <w:rPr>
                <w:rFonts w:ascii="Times New Roman;Times;Serif" w:hAnsi="Times New Roman;Times;Serif"/>
              </w:rPr>
              <w:t>3.00 to 1.00</w:t>
            </w:r>
          </w:p>
        </w:tc>
      </w:tr>
    </w:tbl>
    <w:p>
      <w:pPr>
        <w:pStyle w:val="TextBody"/>
        <w:bidi w:val="0"/>
        <w:spacing w:before="0" w:after="0"/>
        <w:ind w:left="0" w:right="0" w:hanging="0"/>
        <w:jc w:val="both"/>
        <w:rPr>
          <w:caps w:val="false"/>
          <w:smallCaps w:val="false"/>
        </w:rPr>
      </w:pPr>
      <w:bookmarkStart w:id="553" w:name="xdx_8A7_zx3KWHBX0rj1"/>
      <w:bookmarkEnd w:id="55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4" w:name="xdx_90A_ecustom--LiquidityDescription_c2"/>
      <w:bookmarkEnd w:id="554"/>
      <w:r>
        <w:rPr>
          <w:rFonts w:ascii="Times New Roman;Times;Serif" w:hAnsi="Times New Roman;Times;Serif"/>
          <w:b w:val="false"/>
          <w:i w:val="false"/>
          <w:caps w:val="false"/>
          <w:smallCaps w:val="false"/>
          <w:sz w:val="20"/>
        </w:rPr>
        <w:t>The Company shall not permit their liquidity (determined on a consolidated basis) to be less than $10,000 as of the last day of each fiscal month (commencing with month ending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Fixed Charge Coverage Ratio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5" w:name="xdx_909_ecustom--FixedChargeCoverageRati"/>
      <w:bookmarkEnd w:id="555"/>
      <w:r>
        <w:rPr>
          <w:rFonts w:ascii="Times New Roman;Times;Serif" w:hAnsi="Times New Roman;Times;Serif"/>
          <w:b w:val="false"/>
          <w:i w:val="false"/>
          <w:caps w:val="false"/>
          <w:smallCaps w:val="false"/>
          <w:sz w:val="20"/>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6" w:name="xdx_909_ecustom--CapitalExpendituresDesc"/>
      <w:bookmarkEnd w:id="556"/>
      <w:r>
        <w:rPr>
          <w:rFonts w:ascii="Times New Roman;Times;Serif" w:hAnsi="Times New Roman;Times;Serif"/>
          <w:b w:val="false"/>
          <w:i w:val="false"/>
          <w:caps w:val="false"/>
          <w:smallCaps w:val="false"/>
          <w:sz w:val="20"/>
        </w:rPr>
        <w:t>If consolidated EBITDA for the trailing twelve-month period ending on the most recently completed fiscal quarter is less than $15,000, then the level of capital expenditures is limited.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Long-Term Debt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7" w:name="xdx_89A_eus-gaap--ScheduleOfMaturitiesOf"/>
      <w:bookmarkEnd w:id="557"/>
      <w:r>
        <w:rPr>
          <w:rFonts w:ascii="Times New Roman;Times;Serif" w:hAnsi="Times New Roman;Times;Serif"/>
          <w:b w:val="false"/>
          <w:i w:val="false"/>
          <w:caps w:val="false"/>
          <w:smallCaps w:val="false"/>
          <w:sz w:val="20"/>
        </w:rPr>
        <w:t>At December 31, 2022, the future debt maturities are as follows:</w:t>
      </w:r>
    </w:p>
    <w:p>
      <w:pPr>
        <w:pStyle w:val="TextBody"/>
        <w:bidi w:val="0"/>
        <w:spacing w:before="0" w:after="0"/>
        <w:ind w:left="0" w:right="0" w:hanging="0"/>
        <w:jc w:val="both"/>
        <w:rPr>
          <w:caps w:val="false"/>
          <w:smallCaps w:val="false"/>
        </w:rPr>
      </w:pPr>
      <w:r>
        <w:rPr>
          <w:caps w:val="false"/>
          <w:smallCaps w:val="false"/>
        </w:rPr>
        <w:t> </w:t>
      </w:r>
      <w:bookmarkStart w:id="558" w:name="xdx_8BE_zBYBGGXMLd7k"/>
      <w:bookmarkEnd w:id="558"/>
      <w:r>
        <w:rPr>
          <w:rFonts w:ascii="Times New Roman;Times;Serif" w:hAnsi="Times New Roman;Times;Serif"/>
          <w:b w:val="false"/>
          <w:i w:val="false"/>
          <w:caps w:val="false"/>
          <w:smallCaps w:val="false"/>
          <w:sz w:val="20"/>
        </w:rPr>
        <w:t>SCHEDULE OF FUTURE DEBT MATURITIES</w:t>
      </w:r>
    </w:p>
    <w:tbl>
      <w:tblPr>
        <w:tblW w:w="7439" w:type="dxa"/>
        <w:jc w:val="left"/>
        <w:tblInd w:w="0" w:type="dxa"/>
        <w:tblLayout w:type="fixed"/>
        <w:tblCellMar>
          <w:top w:w="0" w:type="dxa"/>
          <w:left w:w="0" w:type="dxa"/>
          <w:bottom w:w="28" w:type="dxa"/>
          <w:right w:w="0" w:type="dxa"/>
        </w:tblCellMar>
      </w:tblPr>
      <w:tblGrid>
        <w:gridCol w:w="4880"/>
        <w:gridCol w:w="60"/>
        <w:gridCol w:w="373"/>
        <w:gridCol w:w="2016"/>
        <w:gridCol w:w="110"/>
      </w:tblGrid>
      <w:tr>
        <w:trPr/>
        <w:tc>
          <w:tcPr>
            <w:tcW w:w="488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59" w:name="xdx_49F_20221231_zTUrCUan6qDe"/>
            <w:bookmarkEnd w:id="559"/>
          </w:p>
        </w:tc>
        <w:tc>
          <w:tcPr>
            <w:tcW w:w="2389" w:type="dxa"/>
            <w:gridSpan w:val="2"/>
            <w:tcBorders>
              <w:bottom w:val="single" w:sz="12"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88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For the Years Ending December 31,</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Future Debt Maturities</w:t>
            </w:r>
          </w:p>
        </w:tc>
        <w:tc>
          <w:tcPr>
            <w:tcW w:w="110" w:type="dxa"/>
            <w:tcBorders/>
            <w:tcMar>
              <w:bottom w:w="0" w:type="dxa"/>
            </w:tcMar>
            <w:vAlign w:val="center"/>
          </w:tcPr>
          <w:p>
            <w:pPr>
              <w:pStyle w:val="TableContents"/>
              <w:bidi w:val="0"/>
              <w:spacing w:before="0" w:after="283"/>
              <w:jc w:val="left"/>
              <w:rPr/>
            </w:pPr>
            <w:r>
              <w:rPr/>
              <w:t> </w:t>
            </w:r>
            <w:bookmarkStart w:id="560" w:name="xdx_408_eus-gaap--LongTermDebtMaturities"/>
            <w:bookmarkEnd w:id="560"/>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561" w:name="xdx_40E_eus-gaap--LongTermDebtMaturities"/>
            <w:bookmarkEnd w:id="561"/>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938</w:t>
            </w:r>
          </w:p>
        </w:tc>
        <w:tc>
          <w:tcPr>
            <w:tcW w:w="110" w:type="dxa"/>
            <w:tcBorders/>
            <w:shd w:fill="FFFFFF" w:val="clear"/>
            <w:tcMar>
              <w:bottom w:w="0" w:type="dxa"/>
            </w:tcMar>
            <w:vAlign w:val="center"/>
          </w:tcPr>
          <w:p>
            <w:pPr>
              <w:pStyle w:val="TableContents"/>
              <w:bidi w:val="0"/>
              <w:spacing w:before="0" w:after="283"/>
              <w:jc w:val="left"/>
              <w:rPr/>
            </w:pPr>
            <w:r>
              <w:rPr/>
              <w:t> </w:t>
            </w:r>
            <w:bookmarkStart w:id="562" w:name="xdx_404_eus-gaap--LongTermDebtMaturities"/>
            <w:bookmarkEnd w:id="562"/>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w:t>
            </w:r>
          </w:p>
        </w:tc>
        <w:tc>
          <w:tcPr>
            <w:tcW w:w="110" w:type="dxa"/>
            <w:tcBorders/>
            <w:shd w:fill="CCEEFF" w:val="clear"/>
            <w:tcMar>
              <w:bottom w:w="0" w:type="dxa"/>
            </w:tcMar>
            <w:vAlign w:val="center"/>
          </w:tcPr>
          <w:p>
            <w:pPr>
              <w:pStyle w:val="TableContents"/>
              <w:bidi w:val="0"/>
              <w:spacing w:before="0" w:after="283"/>
              <w:jc w:val="left"/>
              <w:rPr/>
            </w:pPr>
            <w:r>
              <w:rPr/>
              <w:t> </w:t>
            </w:r>
            <w:bookmarkStart w:id="563" w:name="xdx_402_eus-gaap--LongTermDebtMaturities"/>
            <w:bookmarkEnd w:id="563"/>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91,809</w:t>
            </w:r>
          </w:p>
        </w:tc>
        <w:tc>
          <w:tcPr>
            <w:tcW w:w="110" w:type="dxa"/>
            <w:tcBorders/>
            <w:shd w:fill="FFFFFF" w:val="clear"/>
            <w:tcMar>
              <w:bottom w:w="0" w:type="dxa"/>
            </w:tcMar>
            <w:vAlign w:val="center"/>
          </w:tcPr>
          <w:p>
            <w:pPr>
              <w:pStyle w:val="TableContents"/>
              <w:bidi w:val="0"/>
              <w:spacing w:before="0" w:after="283"/>
              <w:jc w:val="left"/>
              <w:rPr/>
            </w:pPr>
            <w:r>
              <w:rPr/>
              <w:t> </w:t>
            </w:r>
            <w:bookmarkStart w:id="564" w:name="xdx_408_ecustom--LongTermDebtMaturitiesR"/>
            <w:bookmarkEnd w:id="564"/>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96,497</w:t>
            </w:r>
          </w:p>
        </w:tc>
        <w:tc>
          <w:tcPr>
            <w:tcW w:w="110" w:type="dxa"/>
            <w:tcBorders/>
            <w:shd w:fill="CCEEFF" w:val="clear"/>
            <w:tcMar>
              <w:bottom w:w="0" w:type="dxa"/>
            </w:tcMar>
            <w:vAlign w:val="center"/>
          </w:tcPr>
          <w:p>
            <w:pPr>
              <w:pStyle w:val="TableContents"/>
              <w:bidi w:val="0"/>
              <w:spacing w:before="0" w:after="283"/>
              <w:jc w:val="left"/>
              <w:rPr/>
            </w:pPr>
            <w:r>
              <w:rPr/>
              <w:t> </w:t>
            </w:r>
            <w:bookmarkStart w:id="565" w:name="xdx_402_ecustom--EstimatedInterestPaidin"/>
            <w:bookmarkEnd w:id="565"/>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Estimated interest paid-in-kind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6" w:name="xdx_401_eus-gaap--LongTermDebt_iTI_pn3n3"/>
            <w:bookmarkEnd w:id="566"/>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CCEEFF" w:val="clear"/>
            <w:vAlign w:val="center"/>
          </w:tcPr>
          <w:p>
            <w:pPr>
              <w:pStyle w:val="TableContents"/>
              <w:bidi w:val="0"/>
              <w:spacing w:before="0" w:after="283"/>
              <w:jc w:val="left"/>
              <w:rPr/>
            </w:pPr>
            <w:r>
              <w:rPr/>
              <w:t> </w:t>
            </w:r>
          </w:p>
        </w:tc>
        <w:tc>
          <w:tcPr>
            <w:tcW w:w="201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76,192</w:t>
            </w:r>
          </w:p>
        </w:tc>
        <w:tc>
          <w:tcPr>
            <w:tcW w:w="110" w:type="dxa"/>
            <w:tcBorders/>
            <w:shd w:fill="CCEEFF" w:val="clear"/>
            <w:tcMar>
              <w:bottom w:w="0" w:type="dxa"/>
            </w:tcMar>
            <w:vAlign w:val="center"/>
          </w:tcPr>
          <w:p>
            <w:pPr>
              <w:pStyle w:val="TableContents"/>
              <w:bidi w:val="0"/>
              <w:spacing w:before="0" w:after="283"/>
              <w:jc w:val="left"/>
              <w:rPr/>
            </w:pPr>
            <w:r>
              <w:rPr/>
              <w:t> </w:t>
            </w:r>
            <w:bookmarkStart w:id="567" w:name="xdx_407_eus-gaap--DeferredFinanceCostsNe"/>
            <w:bookmarkEnd w:id="567"/>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Unamortized debt issuance costs,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(56,950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8" w:name="xdx_40F_eus-gaap--DebtInstrumentCarrying"/>
            <w:bookmarkEnd w:id="568"/>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carrying amount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CCEEFF" w:val="clear"/>
            <w:vAlign w:val="center"/>
          </w:tcPr>
          <w:p>
            <w:pPr>
              <w:pStyle w:val="TableContents"/>
              <w:bidi w:val="0"/>
              <w:spacing w:before="0" w:after="283"/>
              <w:jc w:val="left"/>
              <w:rPr/>
            </w:pPr>
            <w:r>
              <w:rPr/>
              <w:t> </w:t>
            </w:r>
          </w:p>
        </w:tc>
        <w:tc>
          <w:tcPr>
            <w:tcW w:w="201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110" w:type="dxa"/>
            <w:tcBorders/>
            <w:shd w:fill="CCEEFF" w:val="clear"/>
            <w:tcMar>
              <w:bottom w:w="0" w:type="dxa"/>
            </w:tcMar>
            <w:vAlign w:val="center"/>
          </w:tcPr>
          <w:p>
            <w:pPr>
              <w:pStyle w:val="TableContents"/>
              <w:bidi w:val="0"/>
              <w:spacing w:before="0" w:after="283"/>
              <w:jc w:val="left"/>
              <w:rPr/>
            </w:pPr>
            <w:r>
              <w:rPr/>
              <w:t> </w:t>
            </w:r>
            <w:bookmarkStart w:id="569" w:name="xdx_407_eus-gaap--LongTermDebtCurrent_iN"/>
            <w:bookmarkEnd w:id="569"/>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0" w:name="xdx_401_eus-gaap--LongTermDebtNoncurrent"/>
            <w:bookmarkEnd w:id="570"/>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1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71" w:name="xdx_8A8_znQ3vJBMqNn"/>
      <w:bookmarkEnd w:id="57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72" w:name="xdx_800_ecustom--RevolvingNoteAgreementT"/>
      <w:bookmarkEnd w:id="572"/>
      <w:r>
        <w:rPr>
          <w:rFonts w:ascii="Times New Roman;Times;Serif" w:hAnsi="Times New Roman;Times;Serif"/>
          <w:b/>
          <w:i w:val="false"/>
          <w:caps/>
          <w:sz w:val="20"/>
        </w:rPr>
        <w:t xml:space="preserve">Note 8 - </w:t>
      </w:r>
      <w:bookmarkStart w:id="573" w:name="xdx_822_ziso0LAw4UU4"/>
      <w:bookmarkEnd w:id="573"/>
      <w:r>
        <w:rPr>
          <w:rFonts w:ascii="Times New Roman;Times;Serif" w:hAnsi="Times New Roman;Times;Serif"/>
          <w:b/>
          <w:i w:val="false"/>
          <w:caps/>
          <w:sz w:val="20"/>
        </w:rPr>
        <w:t>REVOLVING NOTE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2021, the Company entered into a revolving note agreement with a lender to borrow up to $</w:t>
      </w:r>
      <w:bookmarkStart w:id="574" w:name="xdx_90A_eus-gaap--LineOfCreditFacilityMa"/>
      <w:bookmarkEnd w:id="574"/>
      <w:r>
        <w:rPr>
          <w:rFonts w:ascii="Times New Roman;Times;Serif" w:hAnsi="Times New Roman;Times;Serif"/>
          <w:b w:val="false"/>
          <w:i w:val="false"/>
          <w:caps w:val="false"/>
          <w:smallCaps w:val="false"/>
          <w:sz w:val="20"/>
        </w:rPr>
        <w:t xml:space="preserve">8,000. The borrowing amount is limited and based on the lesser of maximum principal amount of </w:t>
      </w:r>
      <w:bookmarkStart w:id="575" w:name="xdx_90D_eus-gaap--LineOfCreditFacilityMa"/>
      <w:bookmarkEnd w:id="575"/>
      <w:r>
        <w:rPr>
          <w:rFonts w:ascii="Times New Roman;Times;Serif" w:hAnsi="Times New Roman;Times;Serif"/>
          <w:b w:val="false"/>
          <w:i w:val="false"/>
          <w:caps w:val="false"/>
          <w:smallCaps w:val="false"/>
          <w:sz w:val="20"/>
        </w:rPr>
        <w:t xml:space="preserve">$8,000 and the sum equal to </w:t>
      </w:r>
      <w:bookmarkStart w:id="576" w:name="xdx_904_ecustom--PercentageOfEligibleAcc"/>
      <w:bookmarkEnd w:id="576"/>
      <w:r>
        <w:rPr>
          <w:rFonts w:ascii="Times New Roman;Times;Serif" w:hAnsi="Times New Roman;Times;Serif"/>
          <w:b w:val="false"/>
          <w:i w:val="false"/>
          <w:caps w:val="false"/>
          <w:smallCaps w:val="false"/>
          <w:sz w:val="20"/>
        </w:rPr>
        <w:t xml:space="preserve">80% of eligible accounts receivable and </w:t>
      </w:r>
      <w:bookmarkStart w:id="577" w:name="xdx_901_ecustom--PercentageOfEligibleInv"/>
      <w:bookmarkEnd w:id="577"/>
      <w:r>
        <w:rPr>
          <w:rFonts w:ascii="Times New Roman;Times;Serif" w:hAnsi="Times New Roman;Times;Serif"/>
          <w:b w:val="false"/>
          <w:i w:val="false"/>
          <w:caps w:val="false"/>
          <w:smallCaps w:val="false"/>
          <w:sz w:val="20"/>
        </w:rPr>
        <w:t>50% of eligible inventory. Interest on each advance shall accrue at the prime rate announced by US Bank from time to time, as and when such rate changes. The revolving credit amount is collateralized by all assets of the Company. The Company drew an initial amount of $</w:t>
      </w:r>
      <w:bookmarkStart w:id="578" w:name="xdx_90A_eus-gaap--ProceedsFromLinesOfCre"/>
      <w:bookmarkEnd w:id="578"/>
      <w:r>
        <w:rPr>
          <w:rFonts w:ascii="Times New Roman;Times;Serif" w:hAnsi="Times New Roman;Times;Serif"/>
          <w:b w:val="false"/>
          <w:i w:val="false"/>
          <w:caps w:val="false"/>
          <w:smallCaps w:val="false"/>
          <w:sz w:val="20"/>
        </w:rPr>
        <w:t>5,000 under the facility, which it subsequently re-paid and the revolving note was terminated as a closing condition of the 2021-6 Notes.</w:t>
      </w:r>
    </w:p>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120" w:after="283"/>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579" w:name="xdx_804_eus-gaap--IncomeTaxDisclosureTex"/>
      <w:bookmarkEnd w:id="579"/>
      <w:r>
        <w:rPr>
          <w:rFonts w:ascii="Times New Roman;Times;Serif" w:hAnsi="Times New Roman;Times;Serif"/>
          <w:b/>
          <w:i w:val="false"/>
          <w:caps/>
          <w:sz w:val="20"/>
        </w:rPr>
        <w:t xml:space="preserve">Note 9 - </w:t>
      </w:r>
      <w:bookmarkStart w:id="580" w:name="xdx_825_zRSjJY6NoUW7"/>
      <w:bookmarkEnd w:id="580"/>
      <w:r>
        <w:rPr>
          <w:rFonts w:ascii="Times New Roman;Times;Serif" w:hAnsi="Times New Roman;Times;Serif"/>
          <w:b/>
          <w:i w:val="false"/>
          <w:caps/>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1" w:name="xdx_89C_eus-gaap--ScheduleOfComponentsOf"/>
      <w:bookmarkEnd w:id="581"/>
      <w:r>
        <w:rPr>
          <w:rFonts w:ascii="Times New Roman;Times;Serif" w:hAnsi="Times New Roman;Times;Serif"/>
          <w:b w:val="false"/>
          <w:i w:val="false"/>
          <w:caps w:val="false"/>
          <w:smallCaps w:val="false"/>
          <w:sz w:val="20"/>
        </w:rPr>
        <w:t>The income tax expense consists of the following items: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2" w:name="xdx_8B4_zy2I2ARopBn1"/>
      <w:bookmarkEnd w:id="582"/>
      <w:r>
        <w:rPr>
          <w:rFonts w:ascii="Times New Roman;Times;Serif" w:hAnsi="Times New Roman;Times;Serif"/>
          <w:b w:val="false"/>
          <w:i w:val="false"/>
          <w:caps w:val="false"/>
          <w:smallCaps w:val="false"/>
          <w:sz w:val="20"/>
        </w:rPr>
        <w:t>SCHEDULE OF INCOME TAX EXPENSE </w:t>
      </w:r>
    </w:p>
    <w:tbl>
      <w:tblPr>
        <w:tblW w:w="3285" w:type="dxa"/>
        <w:jc w:val="left"/>
        <w:tblInd w:w="0" w:type="dxa"/>
        <w:tblLayout w:type="fixed"/>
        <w:tblCellMar>
          <w:top w:w="0" w:type="dxa"/>
          <w:left w:w="0" w:type="dxa"/>
          <w:bottom w:w="0" w:type="dxa"/>
          <w:right w:w="0" w:type="dxa"/>
        </w:tblCellMar>
      </w:tblPr>
      <w:tblGrid>
        <w:gridCol w:w="1700"/>
        <w:gridCol w:w="60"/>
        <w:gridCol w:w="140"/>
        <w:gridCol w:w="455"/>
        <w:gridCol w:w="95"/>
        <w:gridCol w:w="60"/>
        <w:gridCol w:w="140"/>
        <w:gridCol w:w="560"/>
        <w:gridCol w:w="75"/>
      </w:tblGrid>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83" w:name="xdx_491_20220101__20221231_zuOlbZbA7XP7"/>
            <w:bookmarkEnd w:id="583"/>
          </w:p>
        </w:tc>
        <w:tc>
          <w:tcPr>
            <w:tcW w:w="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84" w:name="xdx_495_20210101__20211231_zMyNFMXQHFtb"/>
            <w:bookmarkEnd w:id="584"/>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center"/>
              <w:rPr/>
            </w:pPr>
            <w:r>
              <w:rPr/>
              <w:t> </w:t>
            </w:r>
            <w:bookmarkStart w:id="585" w:name="xdx_406_eus-gaap--CurrentIncomeTaxExpens"/>
            <w:bookmarkEnd w:id="585"/>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w:t>
            </w:r>
          </w:p>
        </w:tc>
        <w:tc>
          <w:tcPr>
            <w:tcW w:w="75" w:type="dxa"/>
            <w:tcBorders/>
            <w:shd w:fill="CCEEFF" w:val="clear"/>
            <w:vAlign w:val="center"/>
          </w:tcPr>
          <w:p>
            <w:pPr>
              <w:pStyle w:val="TableContents"/>
              <w:bidi w:val="0"/>
              <w:spacing w:before="0" w:after="283"/>
              <w:jc w:val="left"/>
              <w:rPr/>
            </w:pPr>
            <w:r>
              <w:rPr/>
              <w:t> </w:t>
            </w:r>
            <w:bookmarkStart w:id="586" w:name="xdx_40E_eus-gaap--DeferredIncomeTaxesAnd"/>
            <w:bookmarkEnd w:id="586"/>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75" w:type="dxa"/>
            <w:tcBorders/>
            <w:shd w:fill="FFFFFF" w:val="clear"/>
            <w:vAlign w:val="center"/>
          </w:tcPr>
          <w:p>
            <w:pPr>
              <w:pStyle w:val="TableContents"/>
              <w:bidi w:val="0"/>
              <w:spacing w:before="0" w:after="283"/>
              <w:jc w:val="left"/>
              <w:rPr/>
            </w:pPr>
            <w:r>
              <w:rPr/>
              <w:t> </w:t>
            </w:r>
            <w:bookmarkStart w:id="587" w:name="xdx_406_eus-gaap--IncomeTaxExpenseBenefi"/>
            <w:bookmarkEnd w:id="587"/>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8" w:name="xdx_8AE_ze1rM739ntu7"/>
      <w:bookmarkEnd w:id="5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9" w:name="xdx_89D_eus-gaap--ScheduleOfDeferredTaxA"/>
      <w:bookmarkEnd w:id="589"/>
      <w:r>
        <w:rPr>
          <w:rFonts w:ascii="Times New Roman;Times;Serif" w:hAnsi="Times New Roman;Times;Serif"/>
          <w:b w:val="false"/>
          <w:i w:val="false"/>
          <w:caps w:val="false"/>
          <w:smallCaps w:val="false"/>
          <w:sz w:val="20"/>
        </w:rPr>
        <w:t>Components of deferred tax assets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0" w:name="xdx_8B9_z5MX5OOYqql6"/>
      <w:bookmarkEnd w:id="590"/>
      <w:r>
        <w:rPr>
          <w:rFonts w:ascii="Times New Roman;Times;Serif" w:hAnsi="Times New Roman;Times;Serif"/>
          <w:b w:val="false"/>
          <w:i w:val="false"/>
          <w:caps w:val="false"/>
          <w:smallCaps w:val="false"/>
          <w:sz w:val="20"/>
        </w:rPr>
        <w:t>SCHEDULE OF COMPONENTS OF DEFERRED TAX ASSETS (LIABILITIES) </w:t>
      </w:r>
    </w:p>
    <w:tbl>
      <w:tblPr>
        <w:tblW w:w="4970" w:type="dxa"/>
        <w:jc w:val="left"/>
        <w:tblInd w:w="0" w:type="dxa"/>
        <w:tblLayout w:type="fixed"/>
        <w:tblCellMar>
          <w:top w:w="0" w:type="dxa"/>
          <w:left w:w="0" w:type="dxa"/>
          <w:bottom w:w="0" w:type="dxa"/>
          <w:right w:w="0" w:type="dxa"/>
        </w:tblCellMar>
      </w:tblPr>
      <w:tblGrid>
        <w:gridCol w:w="3170"/>
        <w:gridCol w:w="60"/>
        <w:gridCol w:w="140"/>
        <w:gridCol w:w="635"/>
        <w:gridCol w:w="95"/>
        <w:gridCol w:w="60"/>
        <w:gridCol w:w="140"/>
        <w:gridCol w:w="560"/>
        <w:gridCol w:w="110"/>
      </w:tblGrid>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91" w:name="xdx_49C_20221231_zQpLlW1l0G16"/>
            <w:bookmarkEnd w:id="591"/>
          </w:p>
        </w:tc>
        <w:tc>
          <w:tcPr>
            <w:tcW w:w="77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92" w:name="xdx_496_20211231_zDXiSWUTFWMk"/>
            <w:bookmarkEnd w:id="592"/>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2021</w:t>
            </w:r>
          </w:p>
        </w:tc>
        <w:tc>
          <w:tcPr>
            <w:tcW w:w="110" w:type="dxa"/>
            <w:tcBorders/>
            <w:vAlign w:val="center"/>
          </w:tcPr>
          <w:p>
            <w:pPr>
              <w:pStyle w:val="TableContents"/>
              <w:bidi w:val="0"/>
              <w:spacing w:before="0" w:after="283"/>
              <w:jc w:val="center"/>
              <w:rPr/>
            </w:pPr>
            <w:r>
              <w:rPr/>
              <w:t> </w:t>
            </w:r>
            <w:bookmarkStart w:id="593" w:name="xdx_40E_eus-gaap--DeferredTaxAssetsGross"/>
            <w:bookmarkEnd w:id="593"/>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94" w:name="xdx_40A_ecustom--DeferredTaxAssetsLiabil"/>
            <w:bookmarkEnd w:id="594"/>
          </w:p>
        </w:tc>
      </w:tr>
      <w:tr>
        <w:trPr/>
        <w:tc>
          <w:tcPr>
            <w:tcW w:w="3170"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1,221</w:t>
            </w:r>
          </w:p>
        </w:tc>
        <w:tc>
          <w:tcPr>
            <w:tcW w:w="110" w:type="dxa"/>
            <w:tcBorders/>
            <w:shd w:fill="FFFFFF" w:val="clear"/>
            <w:vAlign w:val="center"/>
          </w:tcPr>
          <w:p>
            <w:pPr>
              <w:pStyle w:val="TableContents"/>
              <w:bidi w:val="0"/>
              <w:spacing w:before="0" w:after="283"/>
              <w:jc w:val="left"/>
              <w:rPr/>
            </w:pPr>
            <w:r>
              <w:rPr/>
              <w:t> </w:t>
            </w:r>
            <w:bookmarkStart w:id="595" w:name="xdx_407_eus-gaap--DeferredTaxAssetsTaxDe"/>
            <w:bookmarkEnd w:id="595"/>
          </w:p>
        </w:tc>
      </w:tr>
      <w:tr>
        <w:trPr/>
        <w:tc>
          <w:tcPr>
            <w:tcW w:w="31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bookmarkStart w:id="596" w:name="xdx_40F_eus-gaap--DeferredTaxAssetsTaxDe"/>
            <w:bookmarkEnd w:id="596"/>
          </w:p>
        </w:tc>
      </w:tr>
      <w:tr>
        <w:trPr/>
        <w:tc>
          <w:tcPr>
            <w:tcW w:w="31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97" w:name="xdx_40E_eus-gaap--DeferredTaxAssetsTaxDe"/>
            <w:bookmarkEnd w:id="597"/>
          </w:p>
        </w:tc>
      </w:tr>
      <w:tr>
        <w:trPr/>
        <w:tc>
          <w:tcPr>
            <w:tcW w:w="3170" w:type="dxa"/>
            <w:tcBorders/>
            <w:shd w:fill="CCEEFF" w:val="clear"/>
            <w:vAlign w:val="center"/>
          </w:tcPr>
          <w:p>
            <w:pPr>
              <w:pStyle w:val="TableContents"/>
              <w:bidi w:val="0"/>
              <w:spacing w:before="0" w:after="283"/>
              <w:jc w:val="left"/>
              <w:rPr/>
            </w:pPr>
            <w:r>
              <w:rPr/>
              <w:t>Allowance for bad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bookmarkStart w:id="598" w:name="xdx_408_eus-gaap--DeferredTaxAssetsInPro"/>
            <w:bookmarkEnd w:id="598"/>
          </w:p>
        </w:tc>
      </w:tr>
      <w:tr>
        <w:trPr/>
        <w:tc>
          <w:tcPr>
            <w:tcW w:w="3170" w:type="dxa"/>
            <w:tcBorders/>
            <w:shd w:fill="FFFFFF" w:val="clear"/>
            <w:vAlign w:val="center"/>
          </w:tcPr>
          <w:p>
            <w:pPr>
              <w:pStyle w:val="TableContents"/>
              <w:bidi w:val="0"/>
              <w:spacing w:before="0" w:after="283"/>
              <w:jc w:val="left"/>
              <w:rPr/>
            </w:pPr>
            <w:r>
              <w:rPr/>
              <w:t>Research and development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99" w:name="xdx_406_eus-gaap--DeferredTaxAssetsGoodw"/>
            <w:bookmarkEnd w:id="599"/>
          </w:p>
        </w:tc>
      </w:tr>
      <w:tr>
        <w:trPr/>
        <w:tc>
          <w:tcPr>
            <w:tcW w:w="3170" w:type="dxa"/>
            <w:tcBorders/>
            <w:shd w:fill="CCEEFF" w:val="clear"/>
            <w:vAlign w:val="center"/>
          </w:tcPr>
          <w:p>
            <w:pPr>
              <w:pStyle w:val="TableContents"/>
              <w:bidi w:val="0"/>
              <w:spacing w:before="0" w:after="283"/>
              <w:jc w:val="left"/>
              <w:rPr/>
            </w:pPr>
            <w:r>
              <w:rPr/>
              <w:t>Fixed assets and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00" w:name="xdx_40E_ecustom--DeferredTaxAssetsIntere"/>
            <w:bookmarkEnd w:id="600"/>
          </w:p>
        </w:tc>
      </w:tr>
      <w:tr>
        <w:trPr/>
        <w:tc>
          <w:tcPr>
            <w:tcW w:w="31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01" w:name="xdx_402_ecustom--DeferredTaxAssetsPrepai"/>
            <w:bookmarkEnd w:id="601"/>
          </w:p>
        </w:tc>
      </w:tr>
      <w:tr>
        <w:trPr/>
        <w:tc>
          <w:tcPr>
            <w:tcW w:w="31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02" w:name="xdx_40B_eus-gaap--DeferredTaxAssetsOpera"/>
            <w:bookmarkEnd w:id="602"/>
          </w:p>
        </w:tc>
      </w:tr>
      <w:tr>
        <w:trPr/>
        <w:tc>
          <w:tcPr>
            <w:tcW w:w="3170" w:type="dxa"/>
            <w:tcBorders/>
            <w:shd w:fill="FFFFFF" w:val="clear"/>
            <w:vAlign w:val="center"/>
          </w:tcPr>
          <w:p>
            <w:pPr>
              <w:pStyle w:val="TableContents"/>
              <w:bidi w:val="0"/>
              <w:spacing w:before="0" w:after="283"/>
              <w:jc w:val="left"/>
              <w:rPr/>
            </w:pPr>
            <w:r>
              <w:rPr/>
              <w:t>Net 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3,727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03" w:name="xdx_40F_eus-gaap--DeferredTaxAssetsInven"/>
            <w:bookmarkEnd w:id="603"/>
          </w:p>
        </w:tc>
      </w:tr>
      <w:tr>
        <w:trPr/>
        <w:tc>
          <w:tcPr>
            <w:tcW w:w="3170" w:type="dxa"/>
            <w:tcBorders/>
            <w:shd w:fill="CCEEFF" w:val="clear"/>
            <w:vAlign w:val="center"/>
          </w:tcPr>
          <w:p>
            <w:pPr>
              <w:pStyle w:val="TableContents"/>
              <w:bidi w:val="0"/>
              <w:spacing w:before="0" w:after="283"/>
              <w:jc w:val="left"/>
              <w:rPr/>
            </w:pPr>
            <w:r>
              <w:rPr/>
              <w:t>Inventory (Sec. 263A)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110" w:type="dxa"/>
            <w:tcBorders/>
            <w:shd w:fill="CCEEFF" w:val="clear"/>
            <w:vAlign w:val="center"/>
          </w:tcPr>
          <w:p>
            <w:pPr>
              <w:pStyle w:val="TableContents"/>
              <w:bidi w:val="0"/>
              <w:spacing w:before="0" w:after="283"/>
              <w:jc w:val="left"/>
              <w:rPr/>
            </w:pPr>
            <w:r>
              <w:rPr/>
              <w:t> </w:t>
            </w:r>
            <w:bookmarkStart w:id="604" w:name="xdx_405_eus-gaap--DeferredTaxAssetsGross"/>
            <w:bookmarkEnd w:id="604"/>
          </w:p>
        </w:tc>
      </w:tr>
      <w:tr>
        <w:trPr/>
        <w:tc>
          <w:tcPr>
            <w:tcW w:w="3170" w:type="dxa"/>
            <w:tcBorders/>
            <w:shd w:fill="FFFFFF" w:val="clear"/>
            <w:vAlign w:val="center"/>
          </w:tcPr>
          <w:p>
            <w:pPr>
              <w:pStyle w:val="TableContents"/>
              <w:bidi w:val="0"/>
              <w:spacing w:before="0" w:after="283"/>
              <w:jc w:val="left"/>
              <w:rPr/>
            </w:pPr>
            <w:r>
              <w:rPr/>
              <w:t>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1,360</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05" w:name="xdx_40A_ecustom--DeferredTaxLiabilitiesR"/>
            <w:bookmarkEnd w:id="605"/>
          </w:p>
        </w:tc>
      </w:tr>
      <w:tr>
        <w:trPr/>
        <w:tc>
          <w:tcPr>
            <w:tcW w:w="3170"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1,207</w:t>
            </w:r>
          </w:p>
        </w:tc>
        <w:tc>
          <w:tcPr>
            <w:tcW w:w="110" w:type="dxa"/>
            <w:tcBorders/>
            <w:shd w:fill="CCEEFF" w:val="clear"/>
            <w:vAlign w:val="center"/>
          </w:tcPr>
          <w:p>
            <w:pPr>
              <w:pStyle w:val="TableContents"/>
              <w:bidi w:val="0"/>
              <w:spacing w:before="0" w:after="283"/>
              <w:jc w:val="left"/>
              <w:rPr/>
            </w:pPr>
            <w:r>
              <w:rPr/>
              <w:t> </w:t>
            </w:r>
            <w:bookmarkStart w:id="606" w:name="xdx_406_eus-gaap--DeferredTaxLiabilities"/>
            <w:bookmarkEnd w:id="606"/>
          </w:p>
        </w:tc>
      </w:tr>
      <w:tr>
        <w:trPr/>
        <w:tc>
          <w:tcPr>
            <w:tcW w:w="3170" w:type="dxa"/>
            <w:tcBorders/>
            <w:shd w:fill="FFFFFF" w:val="clear"/>
            <w:vAlign w:val="center"/>
          </w:tcPr>
          <w:p>
            <w:pPr>
              <w:pStyle w:val="TableContents"/>
              <w:bidi w:val="0"/>
              <w:spacing w:before="0" w:after="283"/>
              <w:jc w:val="left"/>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606</w:t>
            </w:r>
          </w:p>
        </w:tc>
        <w:tc>
          <w:tcPr>
            <w:tcW w:w="110" w:type="dxa"/>
            <w:tcBorders/>
            <w:shd w:fill="FFFFFF" w:val="clear"/>
            <w:vAlign w:val="center"/>
          </w:tcPr>
          <w:p>
            <w:pPr>
              <w:pStyle w:val="TableContents"/>
              <w:bidi w:val="0"/>
              <w:spacing w:before="0" w:after="283"/>
              <w:jc w:val="left"/>
              <w:rPr/>
            </w:pPr>
            <w:r>
              <w:rPr/>
              <w:t> </w:t>
            </w:r>
            <w:bookmarkStart w:id="607" w:name="xdx_400_eus-gaap--DeferredIncomeTaxLiabi"/>
            <w:bookmarkEnd w:id="607"/>
          </w:p>
        </w:tc>
      </w:tr>
      <w:tr>
        <w:trPr/>
        <w:tc>
          <w:tcPr>
            <w:tcW w:w="317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1,813</w:t>
            </w:r>
          </w:p>
        </w:tc>
        <w:tc>
          <w:tcPr>
            <w:tcW w:w="110" w:type="dxa"/>
            <w:tcBorders/>
            <w:shd w:fill="CCEEFF" w:val="clear"/>
            <w:vAlign w:val="center"/>
          </w:tcPr>
          <w:p>
            <w:pPr>
              <w:pStyle w:val="TableContents"/>
              <w:bidi w:val="0"/>
              <w:spacing w:before="0" w:after="283"/>
              <w:jc w:val="left"/>
              <w:rPr/>
            </w:pPr>
            <w:r>
              <w:rPr/>
              <w:t> </w:t>
            </w:r>
            <w:bookmarkStart w:id="608" w:name="xdx_400_ecustom--DeferredTaxAssets_iI_pn"/>
            <w:bookmarkEnd w:id="608"/>
          </w:p>
        </w:tc>
      </w:tr>
      <w:tr>
        <w:trPr/>
        <w:tc>
          <w:tcPr>
            <w:tcW w:w="3170" w:type="dxa"/>
            <w:tcBorders/>
            <w:shd w:fill="FFFFFF" w:val="clear"/>
            <w:vAlign w:val="center"/>
          </w:tcPr>
          <w:p>
            <w:pPr>
              <w:pStyle w:val="TableContents"/>
              <w:bidi w:val="0"/>
              <w:spacing w:before="0" w:after="283"/>
              <w:jc w:val="left"/>
              <w:rPr/>
            </w:pPr>
            <w:r>
              <w:rPr/>
              <w:t>Net deferred tax asset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w:t>
            </w:r>
            <w:bookmarkStart w:id="609" w:name="xdx_404_eus-gaap--DeferredTaxAssetsValua"/>
            <w:bookmarkEnd w:id="609"/>
          </w:p>
        </w:tc>
      </w:tr>
      <w:tr>
        <w:trPr/>
        <w:tc>
          <w:tcPr>
            <w:tcW w:w="31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(7,324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10" w:name="xdx_40D_eus-gaap--DeferredTaxAssetsLiabi"/>
            <w:bookmarkEnd w:id="610"/>
          </w:p>
        </w:tc>
      </w:tr>
      <w:tr>
        <w:trPr/>
        <w:tc>
          <w:tcPr>
            <w:tcW w:w="3170" w:type="dxa"/>
            <w:tcBorders/>
            <w:shd w:fill="FFFFFF" w:val="clear"/>
            <w:vAlign w:val="center"/>
          </w:tcPr>
          <w:p>
            <w:pPr>
              <w:pStyle w:val="TableContents"/>
              <w:bidi w:val="0"/>
              <w:spacing w:before="0" w:after="283"/>
              <w:jc w:val="left"/>
              <w:rPr/>
            </w:pPr>
            <w:r>
              <w:rPr/>
              <w:t>Net 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611" w:name="xdx_8AF_zqEjCjQ4Sgt8"/>
      <w:bookmarkEnd w:id="6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2" w:name="xdx_897_eus-gaap--ScheduleOfEffectiveInc"/>
      <w:bookmarkEnd w:id="612"/>
      <w:r>
        <w:rPr>
          <w:rFonts w:ascii="Times New Roman;Times;Serif" w:hAnsi="Times New Roman;Times;Serif"/>
          <w:b w:val="false"/>
          <w:i w:val="false"/>
          <w:caps w:val="false"/>
          <w:smallCaps w:val="false"/>
          <w:sz w:val="20"/>
        </w:rPr>
        <w:t>Reconciliation between the effective tax rate on income from continuing operations and the statutory rate for the years ended December 31, 2022 and 2021,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3" w:name="xdx_8B4_za8LuU1MuXp3"/>
      <w:bookmarkEnd w:id="613"/>
      <w:r>
        <w:rPr>
          <w:rFonts w:ascii="Times New Roman;Times;Serif" w:hAnsi="Times New Roman;Times;Serif"/>
          <w:b w:val="false"/>
          <w:i w:val="false"/>
          <w:caps w:val="false"/>
          <w:smallCaps w:val="false"/>
          <w:sz w:val="20"/>
        </w:rPr>
        <w:t>SCHEDULE OF RECONCILIATION BETWEEN THE EFFECTIVE TAX RATE ON INCOME FROM CONTINUING OPERATIONS AND THE STATUTORY RATE </w:t>
      </w:r>
    </w:p>
    <w:tbl>
      <w:tblPr>
        <w:tblW w:w="8400" w:type="dxa"/>
        <w:jc w:val="left"/>
        <w:tblInd w:w="0" w:type="dxa"/>
        <w:tblLayout w:type="fixed"/>
        <w:tblCellMar>
          <w:top w:w="0" w:type="dxa"/>
          <w:left w:w="0" w:type="dxa"/>
          <w:bottom w:w="0" w:type="dxa"/>
          <w:right w:w="0" w:type="dxa"/>
        </w:tblCellMar>
      </w:tblPr>
      <w:tblGrid>
        <w:gridCol w:w="4250"/>
        <w:gridCol w:w="60"/>
        <w:gridCol w:w="140"/>
        <w:gridCol w:w="635"/>
        <w:gridCol w:w="95"/>
        <w:gridCol w:w="60"/>
        <w:gridCol w:w="91"/>
        <w:gridCol w:w="964"/>
        <w:gridCol w:w="60"/>
        <w:gridCol w:w="60"/>
        <w:gridCol w:w="140"/>
        <w:gridCol w:w="560"/>
        <w:gridCol w:w="95"/>
        <w:gridCol w:w="60"/>
        <w:gridCol w:w="102"/>
        <w:gridCol w:w="953"/>
        <w:gridCol w:w="75"/>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bottom w:val="single" w:sz="12" w:space="0" w:color="000000"/>
            </w:tcBorders>
            <w:tcMar>
              <w:bottom w:w="28" w:type="dxa"/>
            </w:tcMar>
            <w:vAlign w:val="center"/>
          </w:tcPr>
          <w:p>
            <w:pPr>
              <w:pStyle w:val="TableContents"/>
              <w:bidi w:val="0"/>
              <w:spacing w:before="0" w:after="283"/>
              <w:jc w:val="center"/>
              <w:rPr/>
            </w:pPr>
            <w:r>
              <w:rPr/>
              <w:t>2021</w:t>
            </w:r>
          </w:p>
        </w:tc>
        <w:tc>
          <w:tcPr>
            <w:tcW w:w="75" w:type="dxa"/>
            <w:tcBorders/>
            <w:vAlign w:val="center"/>
          </w:tcPr>
          <w:p>
            <w:pPr>
              <w:pStyle w:val="TableContents"/>
              <w:bidi w:val="0"/>
              <w:spacing w:before="0" w:after="283"/>
              <w:jc w:val="center"/>
              <w:rPr/>
            </w:pPr>
            <w:r>
              <w:rPr/>
              <w:t> </w:t>
            </w:r>
          </w:p>
        </w:tc>
      </w:tr>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Tax</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Percentage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Tax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Percentage</w:t>
            </w:r>
          </w:p>
        </w:tc>
        <w:tc>
          <w:tcPr>
            <w:tcW w:w="75" w:type="dxa"/>
            <w:tcBorders/>
            <w:vAlign w:val="center"/>
          </w:tcPr>
          <w:p>
            <w:pPr>
              <w:pStyle w:val="TableContents"/>
              <w:bidi w:val="0"/>
              <w:spacing w:before="0" w:after="283"/>
              <w:jc w:val="center"/>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Book 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4" w:name="xdx_989_eus-gaap--IncomeTaxReconciliatio"/>
            <w:bookmarkEnd w:id="614"/>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15" w:name="xdx_98B_eus-gaap--EffectiveIncomeTaxRate"/>
            <w:bookmarkEnd w:id="615"/>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6" w:name="xdx_98F_eus-gaap--IncomeTaxReconciliatio"/>
            <w:bookmarkEnd w:id="616"/>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w:t>
            </w:r>
          </w:p>
        </w:tc>
        <w:tc>
          <w:tcPr>
            <w:tcW w:w="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617" w:name="xdx_98E_eus-gaap--EffectiveIncomeTaxRate"/>
            <w:bookmarkEnd w:id="617"/>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18" w:name="xdx_98D_ecustom--EffectiveIncomeTaxRateR"/>
            <w:bookmarkEnd w:id="618"/>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19" w:name="xdx_980_ecustom--EffectiveIncomeTaxRateR"/>
            <w:bookmarkEnd w:id="619"/>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0" w:name="xdx_983_ecustom--EffectiveIncomeTaxRateR"/>
            <w:bookmarkEnd w:id="620"/>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621" w:name="xdx_986_ecustom--EffectiveIncomeTaxRateR"/>
            <w:bookmarkEnd w:id="621"/>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2" w:name="xdx_980_ecustom--EffectiveIncomeTaxRateR"/>
            <w:bookmarkEnd w:id="622"/>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23" w:name="xdx_988_ecustom--EffectiveIncomeTaxRateR"/>
            <w:bookmarkEnd w:id="623"/>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4" w:name="xdx_98D_ecustom--EffectiveIncomeTaxRateR"/>
            <w:bookmarkEnd w:id="624"/>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625" w:name="xdx_989_ecustom--EffectiveIncomeTaxRateR"/>
            <w:bookmarkEnd w:id="625"/>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(other -other than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6" w:name="xdx_981_ecustom--EffectiveIncomeTaxRateR"/>
            <w:bookmarkEnd w:id="626"/>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27" w:name="xdx_98F_ecustom--EffectiveIncomeTaxRateR"/>
            <w:bookmarkEnd w:id="627"/>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8" w:name="xdx_986_ecustom--EffectiveIncomeTaxRateR"/>
            <w:bookmarkEnd w:id="628"/>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629" w:name="xdx_98B_ecustom--EffectiveIncomeTaxRateR"/>
            <w:bookmarkEnd w:id="629"/>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30" w:name="xdx_98A_eus-gaap--IncomeTaxReconciliatio"/>
            <w:bookmarkEnd w:id="630"/>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31" w:name="xdx_98D_eus-gaap--EffectiveIncomeTaxRate"/>
            <w:bookmarkEnd w:id="631"/>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32" w:name="xdx_989_eus-gaap--IncomeTaxReconciliatio"/>
            <w:bookmarkEnd w:id="632"/>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633" w:name="xdx_98F_eus-gaap--EffectiveIncomeTaxRate"/>
            <w:bookmarkEnd w:id="633"/>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true-up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4" w:name="xdx_986_ecustom--EffectiveIncomeTaxRateR"/>
            <w:bookmarkEnd w:id="634"/>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35" w:name="xdx_98F_ecustom--EffectiveIncomeTaxRateR"/>
            <w:bookmarkEnd w:id="635"/>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6" w:name="xdx_98A_ecustom--EffectiveIncomeTaxRateR"/>
            <w:bookmarkEnd w:id="636"/>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637" w:name="xdx_985_ecustom--EffectiveIncomeTaxRateR"/>
            <w:bookmarkEnd w:id="637"/>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38" w:name="xdx_98D_ecustom--EffectiveIncomeTaxRateR"/>
            <w:bookmarkEnd w:id="638"/>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39" w:name="xdx_98A_ecustom--EffectiveIncomeTaxRateR"/>
            <w:bookmarkEnd w:id="639"/>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0" w:name="xdx_98F_ecustom--EffectiveIncomeTaxRateR"/>
            <w:bookmarkEnd w:id="640"/>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41" w:name="xdx_98A_ecustom--EffectiveIncomeTaxRateR"/>
            <w:bookmarkEnd w:id="641"/>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2" w:name="xdx_980_ecustom--EffectiveIncomeTaxRateR"/>
            <w:bookmarkEnd w:id="642"/>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643" w:name="xdx_983_ecustom--EffectiveIncomeTaxRateR"/>
            <w:bookmarkEnd w:id="643"/>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4" w:name="xdx_982_eus-gaap--IncomeTaxReconciliatio"/>
            <w:bookmarkEnd w:id="644"/>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45" w:name="xdx_98A_eus-gaap--EffectiveIncomeTaxRate"/>
            <w:bookmarkEnd w:id="645"/>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6" w:name="xdx_98E_eus-gaap--IncomeTaxReconciliatio"/>
            <w:bookmarkEnd w:id="646"/>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647" w:name="xdx_985_eus-gaap--EffectiveIncomeTaxRate"/>
            <w:bookmarkEnd w:id="647"/>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48" w:name="xdx_984_eus-gaap--IncomeTaxReconciliatio"/>
            <w:bookmarkEnd w:id="648"/>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49" w:name="xdx_98C_eus-gaap--EffectiveIncomeTaxRate"/>
            <w:bookmarkEnd w:id="649"/>
          </w:p>
        </w:tc>
        <w:tc>
          <w:tcPr>
            <w:tcW w:w="9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0" w:name="xdx_988_eus-gaap--IncomeTaxReconciliatio"/>
            <w:bookmarkEnd w:id="650"/>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1" w:name="xdx_98F_eus-gaap--EffectiveIncomeTaxRate"/>
            <w:bookmarkEnd w:id="651"/>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52" w:name="xdx_985_eus-gaap--IncomeTaxExpenseBenefi"/>
            <w:bookmarkEnd w:id="652"/>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53" w:name="xdx_980_eus-gaap--IncomeTaxExpenseBenefi"/>
            <w:bookmarkEnd w:id="653"/>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4" w:name="xdx_98D_eus-gaap--EffectiveIncomeTaxRate"/>
            <w:bookmarkEnd w:id="654"/>
          </w:p>
        </w:tc>
        <w:tc>
          <w:tcPr>
            <w:tcW w:w="9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5" w:name="xdx_988_eus-gaap--EffectiveIncomeTaxRate"/>
            <w:bookmarkEnd w:id="655"/>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56" w:name="xdx_8A9_zNw9ipyJhpP4"/>
      <w:bookmarkEnd w:id="65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returns of the Company are open for three years form the date of filing. At the report date, the statute of limitations for federal and state tax returns are open for the Company for 2019, 2020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as of December 31, 2022, the Company had federal net operating loss carryforwards of approximately $</w:t>
      </w:r>
      <w:bookmarkStart w:id="657" w:name="xdx_90C_eus-gaap--OperatingLossCarryforw"/>
      <w:bookmarkEnd w:id="657"/>
      <w:r>
        <w:rPr>
          <w:rFonts w:ascii="Times New Roman;Times;Serif" w:hAnsi="Times New Roman;Times;Serif"/>
          <w:b w:val="false"/>
          <w:i w:val="false"/>
          <w:caps w:val="false"/>
          <w:smallCaps w:val="false"/>
          <w:sz w:val="20"/>
        </w:rPr>
        <w:t xml:space="preserve">16,140, available to reduce future taxable income which do not expire, but are limited to </w:t>
      </w:r>
      <w:bookmarkStart w:id="658" w:name="xdx_908_eus-gaap--EffectiveIncomeTaxRate"/>
      <w:bookmarkEnd w:id="658"/>
      <w:r>
        <w:rPr>
          <w:rFonts w:ascii="Times New Roman;Times;Serif" w:hAnsi="Times New Roman;Times;Serif"/>
          <w:b w:val="false"/>
          <w:i w:val="false"/>
          <w:caps w:val="false"/>
          <w:smallCaps w:val="false"/>
          <w:sz w:val="20"/>
        </w:rPr>
        <w:t>80% utilization against taxable income. As of December 31, 2022, the Company had state net operating loss carryforwards of approximately $</w:t>
      </w:r>
      <w:bookmarkStart w:id="659" w:name="xdx_900_eus-gaap--OperatingLossCarryforw"/>
      <w:bookmarkEnd w:id="659"/>
      <w:r>
        <w:rPr>
          <w:rFonts w:ascii="Times New Roman;Times;Serif" w:hAnsi="Times New Roman;Times;Serif"/>
          <w:b w:val="false"/>
          <w:i w:val="false"/>
          <w:caps w:val="false"/>
          <w:smallCaps w:val="false"/>
          <w:sz w:val="20"/>
        </w:rPr>
        <w:t>6,747, available to reduce future taxable income, which start to expire in 2037. The Company also had research and development credits of $</w:t>
      </w:r>
      <w:bookmarkStart w:id="660" w:name="xdx_90F_eus-gaap--DeferredTaxAssetsTaxCr"/>
      <w:bookmarkEnd w:id="660"/>
      <w:r>
        <w:rPr>
          <w:rFonts w:ascii="Times New Roman;Times;Serif" w:hAnsi="Times New Roman;Times;Serif"/>
          <w:b w:val="false"/>
          <w:i w:val="false"/>
          <w:caps w:val="false"/>
          <w:smallCaps w:val="false"/>
          <w:sz w:val="20"/>
        </w:rPr>
        <w:t xml:space="preserve">200 as of December 31, 2022 to offset future federal income taxes, which are set to expire in </w:t>
      </w:r>
      <w:bookmarkStart w:id="661" w:name="xdx_908_ecustom--TaxCreditCarryForwardEx"/>
      <w:bookmarkEnd w:id="661"/>
      <w:r>
        <w:rPr>
          <w:rFonts w:ascii="Times New Roman;Times;Serif" w:hAnsi="Times New Roman;Times;Serif"/>
          <w:b w:val="false"/>
          <w:i w:val="false"/>
          <w:caps w:val="false"/>
          <w:smallCaps w:val="false"/>
          <w:sz w:val="20"/>
        </w:rPr>
        <w:t>2042.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w:t>
      </w:r>
      <w:bookmarkStart w:id="662" w:name="xdx_904_eus-gaap--DeferredTaxAssetsValua"/>
      <w:bookmarkEnd w:id="662"/>
      <w:r>
        <w:rPr>
          <w:rFonts w:ascii="Times New Roman;Times;Serif" w:hAnsi="Times New Roman;Times;Serif"/>
          <w:b w:val="false"/>
          <w:i w:val="false"/>
          <w:caps w:val="false"/>
          <w:smallCaps w:val="false"/>
          <w:sz w:val="20"/>
        </w:rPr>
        <w:t>7,324, primarily due to the company entering into a 3 year cumulative loss position and no expectation of income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3" w:name="xdx_89E_eus-gaap--ScheduleOfUnrecognized"/>
      <w:bookmarkEnd w:id="663"/>
      <w:r>
        <w:rPr>
          <w:rFonts w:ascii="Times New Roman;Times;Serif" w:hAnsi="Times New Roman;Times;Serif"/>
          <w:b w:val="false"/>
          <w:i w:val="false"/>
          <w:caps w:val="false"/>
          <w:smallCaps w:val="false"/>
          <w:sz w:val="20"/>
        </w:rPr>
        <w:t>The roll-forward of the Company’s gross uncertain tax positions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4" w:name="xdx_8B4_zxv4HRi3jHo"/>
      <w:bookmarkEnd w:id="664"/>
      <w:r>
        <w:rPr>
          <w:rFonts w:ascii="Times New Roman;Times;Serif" w:hAnsi="Times New Roman;Times;Serif"/>
          <w:b w:val="false"/>
          <w:i w:val="false"/>
          <w:caps w:val="false"/>
          <w:smallCaps w:val="false"/>
          <w:sz w:val="20"/>
        </w:rPr>
        <w:t>SCHEDULE OF GROSS UNCERTAIN TAX POSITIONS </w:t>
      </w:r>
    </w:p>
    <w:tbl>
      <w:tblPr>
        <w:tblW w:w="6719" w:type="dxa"/>
        <w:jc w:val="left"/>
        <w:tblInd w:w="0" w:type="dxa"/>
        <w:tblLayout w:type="fixed"/>
        <w:tblCellMar>
          <w:top w:w="0" w:type="dxa"/>
          <w:left w:w="0" w:type="dxa"/>
          <w:bottom w:w="0" w:type="dxa"/>
          <w:right w:w="0" w:type="dxa"/>
        </w:tblCellMar>
      </w:tblPr>
      <w:tblGrid>
        <w:gridCol w:w="3725"/>
        <w:gridCol w:w="60"/>
        <w:gridCol w:w="758"/>
        <w:gridCol w:w="2066"/>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4" w:type="dxa"/>
            <w:gridSpan w:val="2"/>
            <w:tcBorders>
              <w:bottom w:val="single" w:sz="12" w:space="0" w:color="000000"/>
            </w:tcBorders>
            <w:tcMar>
              <w:bottom w:w="28" w:type="dxa"/>
            </w:tcMar>
            <w:vAlign w:val="center"/>
          </w:tcPr>
          <w:p>
            <w:pPr>
              <w:pStyle w:val="TableContents"/>
              <w:bidi w:val="0"/>
              <w:spacing w:before="0" w:after="283"/>
              <w:jc w:val="center"/>
              <w:rPr/>
            </w:pPr>
            <w:r>
              <w:rPr/>
              <w:t>Gross Uncertain Tax Position</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Balance January 1, 2021</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w:t>
            </w:r>
            <w:bookmarkStart w:id="665" w:name="xdx_98C_eus-gaap--UnrecognizedTaxBenefit"/>
            <w:bookmarkEnd w:id="665"/>
          </w:p>
        </w:tc>
        <w:tc>
          <w:tcPr>
            <w:tcW w:w="2066"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Additions for current year tax positions</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bookmarkStart w:id="666" w:name="xdx_983_eus-gaap--UnrecognizedTaxBenefit"/>
            <w:bookmarkEnd w:id="666"/>
          </w:p>
        </w:tc>
        <w:tc>
          <w:tcPr>
            <w:tcW w:w="20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Reductions for prior year tax positions</w:t>
            </w:r>
          </w:p>
        </w:tc>
        <w:tc>
          <w:tcPr>
            <w:tcW w:w="60" w:type="dxa"/>
            <w:tcBorders/>
            <w:shd w:fill="CCEEFF" w:val="cle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67" w:name="xdx_985_eus-gaap--UnrecognizedTaxBenefit"/>
            <w:bookmarkEnd w:id="667"/>
          </w:p>
        </w:tc>
        <w:tc>
          <w:tcPr>
            <w:tcW w:w="2066"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Balance- December 31, 2021</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bookmarkStart w:id="668" w:name="xdx_982_eus-gaap--UnrecognizedTaxBenefit"/>
            <w:bookmarkEnd w:id="668"/>
          </w:p>
        </w:tc>
        <w:tc>
          <w:tcPr>
            <w:tcW w:w="20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Additions for current year tax positions</w:t>
            </w:r>
          </w:p>
        </w:tc>
        <w:tc>
          <w:tcPr>
            <w:tcW w:w="60" w:type="dxa"/>
            <w:tcBorders/>
            <w:shd w:fill="CCEEFF" w:val="cle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69" w:name="xdx_988_eus-gaap--UnrecognizedTaxBenefit"/>
            <w:bookmarkEnd w:id="669"/>
          </w:p>
        </w:tc>
        <w:tc>
          <w:tcPr>
            <w:tcW w:w="2066" w:type="dxa"/>
            <w:tcBorders>
              <w:bottom w:val="single" w:sz="12" w:space="0" w:color="000000"/>
            </w:tcBorders>
            <w:shd w:fill="CCEEFF" w:val="clear"/>
            <w:tcMar>
              <w:bottom w:w="28" w:type="dxa"/>
            </w:tcM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Balance- December 31, 2022</w:t>
            </w:r>
          </w:p>
        </w:tc>
        <w:tc>
          <w:tcPr>
            <w:tcW w:w="60" w:type="dxa"/>
            <w:tcBorders/>
            <w:shd w:fill="FFFFFF" w:val="cle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70" w:name="xdx_98F_eus-gaap--UnrecognizedTaxBenefit"/>
            <w:bookmarkEnd w:id="670"/>
          </w:p>
        </w:tc>
        <w:tc>
          <w:tcPr>
            <w:tcW w:w="2066" w:type="dxa"/>
            <w:tcBorders>
              <w:bottom w:val="double" w:sz="6" w:space="0" w:color="000000"/>
            </w:tcBorders>
            <w:shd w:fill="FFFFFF" w:val="clear"/>
            <w:tcMar>
              <w:bottom w:w="28" w:type="dxa"/>
            </w:tcM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1" w:name="xdx_8A5_zpVbYgqEqnwh"/>
      <w:bookmarkEnd w:id="67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72" w:name="xdx_801_eus-gaap--AssetAcquisitionTextBl"/>
      <w:bookmarkEnd w:id="672"/>
      <w:r>
        <w:rPr>
          <w:rFonts w:ascii="Times New Roman;Times;Serif" w:hAnsi="Times New Roman;Times;Serif"/>
          <w:b/>
          <w:i w:val="false"/>
          <w:caps/>
          <w:sz w:val="20"/>
        </w:rPr>
        <w:t xml:space="preserve">Note 10 – </w:t>
      </w:r>
      <w:bookmarkStart w:id="673" w:name="xdx_82A_zpkje2KIxmN2"/>
      <w:bookmarkEnd w:id="673"/>
      <w:r>
        <w:rPr>
          <w:rFonts w:ascii="Times New Roman;Times;Serif" w:hAnsi="Times New Roman;Times;Serif"/>
          <w:b/>
          <w:i w:val="false"/>
          <w:caps/>
          <w:sz w:val="20"/>
        </w:rPr>
        <w:t>ASSET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Bourns Productions,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Company entered into an asset purchase agreement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with Bourns Productions, Inc., a Nevada corporation (“</w:t>
      </w:r>
      <w:r>
        <w:rPr>
          <w:rFonts w:ascii="Times New Roman;Times;Serif" w:hAnsi="Times New Roman;Times;Serif"/>
          <w:b/>
          <w:i w:val="false"/>
          <w:caps w:val="false"/>
          <w:smallCaps w:val="false"/>
          <w:sz w:val="20"/>
        </w:rPr>
        <w:t>Bourns Productions</w:t>
      </w:r>
      <w:r>
        <w:rPr>
          <w:rFonts w:ascii="Times New Roman;Times;Serif" w:hAnsi="Times New Roman;Times;Serif"/>
          <w:b w:val="false"/>
          <w:i w:val="false"/>
          <w:caps w:val="false"/>
          <w:smallCaps w:val="false"/>
          <w:sz w:val="20"/>
        </w:rPr>
        <w:t>”), pursuant to which the Company acquired machinery, equipment and a lease for a podcast studio from Bourns Production Productions as set forth in the APA for a purchase price of $</w:t>
      </w:r>
      <w:bookmarkStart w:id="674" w:name="xdx_90C_eus-gaap--AssetAcquisitionConsid"/>
      <w:bookmarkEnd w:id="674"/>
      <w:r>
        <w:rPr>
          <w:rFonts w:ascii="Times New Roman;Times;Serif" w:hAnsi="Times New Roman;Times;Serif"/>
          <w:b w:val="false"/>
          <w:i w:val="false"/>
          <w:caps w:val="false"/>
          <w:smallCaps w:val="false"/>
          <w:sz w:val="20"/>
        </w:rPr>
        <w:t>197 which approximated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with William Thomason, Richard Jones, and Thomason Jones Company, LLC (“</w:t>
      </w:r>
      <w:r>
        <w:rPr>
          <w:rFonts w:ascii="Times New Roman;Times;Serif" w:hAnsi="Times New Roman;Times;Serif"/>
          <w:b/>
          <w:i w:val="false"/>
          <w:caps w:val="false"/>
          <w:smallCaps w:val="false"/>
          <w:sz w:val="20"/>
        </w:rPr>
        <w:t>Thomason Jones</w:t>
      </w:r>
      <w:r>
        <w:rPr>
          <w:rFonts w:ascii="Times New Roman;Times;Serif" w:hAnsi="Times New Roman;Times;Serif"/>
          <w:b w:val="false"/>
          <w:i w:val="false"/>
          <w:caps w:val="false"/>
          <w:smallCaps w:val="false"/>
          <w:sz w:val="20"/>
        </w:rPr>
        <w:t>”), whereby the Company acquired inventory and intellectual property assets for $</w:t>
      </w:r>
      <w:bookmarkStart w:id="675" w:name="xdx_908_eus-gaap--AssetAcquisitionConsid"/>
      <w:bookmarkEnd w:id="675"/>
      <w:r>
        <w:rPr>
          <w:rFonts w:ascii="Times New Roman;Times;Serif" w:hAnsi="Times New Roman;Times;Serif"/>
          <w:b w:val="false"/>
          <w:i w:val="false"/>
          <w:caps w:val="false"/>
          <w:smallCaps w:val="false"/>
          <w:sz w:val="20"/>
        </w:rPr>
        <w:t>444 cash plus contingent payments of $</w:t>
      </w:r>
      <w:bookmarkStart w:id="676" w:name="xdx_905_eus-gaap--AssetAcquisitionConsid"/>
      <w:bookmarkEnd w:id="676"/>
      <w:r>
        <w:rPr>
          <w:rFonts w:ascii="Times New Roman;Times;Serif" w:hAnsi="Times New Roman;Times;Serif"/>
          <w:b w:val="false"/>
          <w:i w:val="false"/>
          <w:caps w:val="false"/>
          <w:smallCaps w:val="false"/>
          <w:sz w:val="20"/>
        </w:rPr>
        <w:t>1,000 each to William Thomason and Richard Jones (the “</w:t>
      </w:r>
      <w:r>
        <w:rPr>
          <w:rFonts w:ascii="Times New Roman;Times;Serif" w:hAnsi="Times New Roman;Times;Serif"/>
          <w:b/>
          <w:i w:val="false"/>
          <w:caps w:val="false"/>
          <w:smallCaps w:val="false"/>
          <w:sz w:val="20"/>
        </w:rPr>
        <w:t>Earn Out</w:t>
      </w:r>
      <w:r>
        <w:rPr>
          <w:rFonts w:ascii="Times New Roman;Times;Serif" w:hAnsi="Times New Roman;Times;Serif"/>
          <w:b w:val="false"/>
          <w:i w:val="false"/>
          <w:caps w:val="false"/>
          <w:smallCaps w:val="false"/>
          <w:sz w:val="20"/>
        </w:rPr>
        <w:t>”). The Company determined the contingent consideration to be recognized as contingent compensation to Mr. Thomason and Mr. Jones. The entire purchase price of $</w:t>
      </w:r>
      <w:bookmarkStart w:id="677" w:name="xdx_900_eus-gaap--AssetAcquisitionConsid"/>
      <w:bookmarkEnd w:id="677"/>
      <w:r>
        <w:rPr>
          <w:rFonts w:ascii="Times New Roman;Times;Serif" w:hAnsi="Times New Roman;Times;Serif"/>
          <w:b w:val="false"/>
          <w:i w:val="false"/>
          <w:caps w:val="false"/>
          <w:smallCaps w:val="false"/>
          <w:sz w:val="20"/>
        </w:rPr>
        <w:t>444 was allocated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Contingent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twenty-four months of the Agreement the Company realizes $</w:t>
      </w:r>
      <w:bookmarkStart w:id="678" w:name="xdx_909_eus-gaap--Revenues_pn3n3_c202201"/>
      <w:bookmarkEnd w:id="678"/>
      <w:r>
        <w:rPr>
          <w:rFonts w:ascii="Times New Roman;Times;Serif" w:hAnsi="Times New Roman;Times;Serif"/>
          <w:b w:val="false"/>
          <w:i w:val="false"/>
          <w:caps w:val="false"/>
          <w:smallCaps w:val="false"/>
          <w:sz w:val="20"/>
        </w:rPr>
        <w:t>3,000 in gross sales of product either (a) sold under the Wakespeed brand and/or (b) which incorporates any portion of Purchased IP as listed within the agreement, then the Company will pay to Thomason Jones each the amount of $</w:t>
      </w:r>
      <w:bookmarkStart w:id="679" w:name="xdx_907_eus-gaap--OtherLiabilities_iI_pn"/>
      <w:bookmarkEnd w:id="679"/>
      <w:r>
        <w:rPr>
          <w:rFonts w:ascii="Times New Roman;Times;Serif" w:hAnsi="Times New Roman;Times;Serif"/>
          <w:b w:val="false"/>
          <w:i w:val="false"/>
          <w:caps w:val="false"/>
          <w:smallCaps w:val="false"/>
          <w:sz w:val="20"/>
        </w:rPr>
        <w:t>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w:t>
      </w:r>
      <w:bookmarkStart w:id="680" w:name="xdx_900_eus-gaap--SellingAndMarketingExp"/>
      <w:bookmarkEnd w:id="680"/>
      <w:r>
        <w:rPr>
          <w:rFonts w:ascii="Times New Roman;Times;Serif" w:hAnsi="Times New Roman;Times;Serif"/>
          <w:b w:val="false"/>
          <w:i w:val="false"/>
          <w:caps w:val="false"/>
          <w:smallCaps w:val="false"/>
          <w:sz w:val="20"/>
        </w:rPr>
        <w:t>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w:t>
      </w:r>
      <w:bookmarkStart w:id="681" w:name="xdx_906_eus-gaap--AccruedLiabilitiesAndO"/>
      <w:bookmarkEnd w:id="681"/>
      <w:r>
        <w:rPr>
          <w:rFonts w:ascii="Times New Roman;Times;Serif" w:hAnsi="Times New Roman;Times;Serif"/>
          <w:b w:val="false"/>
          <w:i w:val="false"/>
          <w:caps w:val="false"/>
          <w:smallCaps w:val="false"/>
          <w:sz w:val="20"/>
        </w:rPr>
        <w:t>782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82" w:name="xdx_800_eus-gaap--RelatedPartyTransactio"/>
      <w:bookmarkEnd w:id="682"/>
      <w:r>
        <w:rPr>
          <w:rFonts w:ascii="Times New Roman;Times;Serif" w:hAnsi="Times New Roman;Times;Serif"/>
          <w:b/>
          <w:i w:val="false"/>
          <w:caps/>
          <w:sz w:val="20"/>
        </w:rPr>
        <w:t xml:space="preserve">Note 11 - </w:t>
      </w:r>
      <w:bookmarkStart w:id="683" w:name="xdx_82E_zhIc8JJI2WH4"/>
      <w:bookmarkEnd w:id="683"/>
      <w:r>
        <w:rPr>
          <w:rFonts w:ascii="Times New Roman;Times;Serif" w:hAnsi="Times New Roman;Times;Serif"/>
          <w:b/>
          <w:i w:val="false"/>
          <w:caps/>
          <w:sz w:val="20"/>
        </w:rPr>
        <w:t>RELATED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loaned its Chief Financial Officer $</w:t>
      </w:r>
      <w:bookmarkStart w:id="684" w:name="xdx_90D_eus-gaap--RelatedPartyTransactio"/>
      <w:bookmarkEnd w:id="684"/>
      <w:r>
        <w:rPr>
          <w:rFonts w:ascii="Times New Roman;Times;Serif" w:hAnsi="Times New Roman;Times;Serif"/>
          <w:b w:val="false"/>
          <w:i w:val="false"/>
          <w:caps w:val="false"/>
          <w:smallCaps w:val="false"/>
          <w:sz w:val="20"/>
        </w:rPr>
        <w:t>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w:t>
      </w:r>
      <w:r>
        <w:rPr>
          <w:rFonts w:ascii="Times New Roman;Times;Serif" w:hAnsi="Times New Roman;Times;Serif"/>
          <w:b/>
          <w:i w:val="false"/>
          <w:caps w:val="false"/>
          <w:smallCaps w:val="false"/>
          <w:sz w:val="20"/>
        </w:rPr>
        <w:t>COO</w:t>
      </w:r>
      <w:r>
        <w:rPr>
          <w:rFonts w:ascii="Times New Roman;Times;Serif" w:hAnsi="Times New Roman;Times;Serif"/>
          <w:b w:val="false"/>
          <w:i w:val="false"/>
          <w:caps w:val="false"/>
          <w:smallCaps w:val="false"/>
          <w:sz w:val="20"/>
        </w:rPr>
        <w:t>”). As consideration for the COO’s execution of the agreement, the Company agreed to pay the employee a lump sum payment of $</w:t>
      </w:r>
      <w:bookmarkStart w:id="685" w:name="xdx_90F_eus-gaap--RelatedPartyTransactio"/>
      <w:bookmarkEnd w:id="685"/>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686" w:name="xdx_909_eus-gaap--OtherLiabilities_iI_pn"/>
      <w:bookmarkEnd w:id="686"/>
      <w:r>
        <w:rPr>
          <w:rFonts w:ascii="Times New Roman;Times;Serif" w:hAnsi="Times New Roman;Times;Serif"/>
          <w:b w:val="false"/>
          <w:i w:val="false"/>
          <w:caps w:val="false"/>
          <w:smallCaps w:val="false"/>
          <w:sz w:val="20"/>
        </w:rPr>
        <w:t>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87" w:name="xdx_804_ecustom--WarrantLiabilitiesDiscl"/>
      <w:bookmarkEnd w:id="687"/>
      <w:r>
        <w:rPr>
          <w:rFonts w:ascii="Times New Roman;Times;Serif" w:hAnsi="Times New Roman;Times;Serif"/>
          <w:b/>
          <w:i w:val="false"/>
          <w:caps/>
          <w:sz w:val="20"/>
        </w:rPr>
        <w:t xml:space="preserve">Note 12 - </w:t>
      </w:r>
      <w:bookmarkStart w:id="688" w:name="xdx_824_zbxWIrXEjWT5"/>
      <w:bookmarkEnd w:id="688"/>
      <w:r>
        <w:rPr>
          <w:rFonts w:ascii="Times New Roman;Times;Serif" w:hAnsi="Times New Roman;Times;Serif"/>
          <w:b/>
          <w:i w:val="false"/>
          <w:caps/>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discussed in Note 3, the Company assumed the outstanding public and private placement warrants of CNTQ.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7 for further description of the warrants issued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w:t>
      </w:r>
      <w:bookmarkStart w:id="689" w:name="xdx_902_eus-gaap--ClassOfWarrantOrRightE"/>
      <w:bookmarkEnd w:id="689"/>
      <w:r>
        <w:rPr>
          <w:rFonts w:ascii="Times New Roman;Times;Serif" w:hAnsi="Times New Roman;Times;Serif"/>
          <w:b w:val="false"/>
          <w:i w:val="false"/>
          <w:caps w:val="false"/>
          <w:smallCaps w:val="false"/>
          <w:sz w:val="20"/>
        </w:rPr>
        <w:t>11.50 per share. No fractional shares will be issued upon exercise of the Public Warrants. The Company may elect to redeem the Public Warrants subject to certain conditions, in whole and not in part, at a price of $</w:t>
      </w:r>
      <w:bookmarkStart w:id="690" w:name="xdx_906_eus-gaap--ClassOfWarrantOrRightE"/>
      <w:bookmarkEnd w:id="690"/>
      <w:r>
        <w:rPr>
          <w:rFonts w:ascii="Times New Roman;Times;Serif" w:hAnsi="Times New Roman;Times;Serif"/>
          <w:b w:val="false"/>
          <w:i w:val="false"/>
          <w:caps w:val="false"/>
          <w:smallCaps w:val="false"/>
          <w:sz w:val="20"/>
        </w:rPr>
        <w:t>0.01 per Public Warrant if (i) 30 days’ prior written notice of redemption is provided to the holders, and (ii) the last reported sale price of the Company’s common stock equals or exceeds $</w:t>
      </w:r>
      <w:bookmarkStart w:id="691" w:name="xdx_900_eus-gaap--SharePrice_iI_pid_c202"/>
      <w:bookmarkEnd w:id="691"/>
      <w:r>
        <w:rPr>
          <w:rFonts w:ascii="Times New Roman;Times;Serif" w:hAnsi="Times New Roman;Times;Serif"/>
          <w:b w:val="false"/>
          <w:i w:val="false"/>
          <w:caps w:val="false"/>
          <w:smallCaps w:val="false"/>
          <w:sz w:val="20"/>
        </w:rPr>
        <w:t xml:space="preserve">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w:t>
      </w:r>
      <w:bookmarkStart w:id="692" w:name="xdx_90A_eus-gaap--ClassOfWarrantOrRightO"/>
      <w:bookmarkEnd w:id="692"/>
      <w:r>
        <w:rPr>
          <w:rFonts w:ascii="Times New Roman;Times;Serif" w:hAnsi="Times New Roman;Times;Serif"/>
          <w:b w:val="false"/>
          <w:i w:val="false"/>
          <w:caps w:val="false"/>
          <w:smallCaps w:val="false"/>
          <w:sz w:val="20"/>
        </w:rPr>
        <w:t>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w:t>
      </w:r>
      <w:bookmarkStart w:id="693" w:name="xdx_906_eus-gaap--ClassOfWarrantOrRightO"/>
      <w:bookmarkEnd w:id="693"/>
      <w:r>
        <w:rPr>
          <w:rFonts w:ascii="Times New Roman;Times;Serif" w:hAnsi="Times New Roman;Times;Serif"/>
          <w:b w:val="false"/>
          <w:i w:val="false"/>
          <w:caps w:val="false"/>
          <w:smallCaps w:val="false"/>
          <w:sz w:val="20"/>
        </w:rPr>
        <w:t>4,627,858 Private Warrants issued and outstanding.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w:t>
      </w:r>
      <w:bookmarkStart w:id="694" w:name="xdx_90E_eus-gaap--ClassOfWarrantOrRightO"/>
      <w:bookmarkEnd w:id="694"/>
      <w:r>
        <w:rPr>
          <w:rFonts w:ascii="Times New Roman;Times;Serif" w:hAnsi="Times New Roman;Times;Serif"/>
          <w:b w:val="false"/>
          <w:i w:val="false"/>
          <w:caps w:val="false"/>
          <w:smallCaps w:val="false"/>
          <w:sz w:val="20"/>
        </w:rPr>
        <w:t>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both"/>
        <w:rPr>
          <w:caps w:val="false"/>
          <w:smallCaps w:val="false"/>
        </w:rPr>
      </w:pPr>
      <w:bookmarkStart w:id="695" w:name="xdx_89A_eus-gaap--ScheduleOfFairValueOff"/>
      <w:bookmarkEnd w:id="695"/>
      <w:r>
        <w:rPr>
          <w:caps w:val="false"/>
          <w:smallCaps w:val="false"/>
        </w:rPr>
        <w:t> </w:t>
      </w:r>
      <w:bookmarkStart w:id="696" w:name="xdx_8B6_zhLdaP59ejti"/>
      <w:bookmarkEnd w:id="696"/>
      <w:r>
        <w:rPr>
          <w:rFonts w:ascii="Times New Roman;Times;Serif" w:hAnsi="Times New Roman;Times;Serif"/>
          <w:b w:val="false"/>
          <w:i w:val="false"/>
          <w:caps w:val="false"/>
          <w:smallCaps w:val="false"/>
          <w:sz w:val="20"/>
        </w:rPr>
        <w:t>SCHEDULE OF WARRANT CLASSIFICATION AT EACH BALANCE SHEET DATE</w:t>
      </w:r>
    </w:p>
    <w:tbl>
      <w:tblPr>
        <w:tblW w:w="7288" w:type="dxa"/>
        <w:jc w:val="left"/>
        <w:tblInd w:w="0" w:type="dxa"/>
        <w:tblLayout w:type="fixed"/>
        <w:tblCellMar>
          <w:top w:w="0" w:type="dxa"/>
          <w:left w:w="0" w:type="dxa"/>
          <w:bottom w:w="28" w:type="dxa"/>
          <w:right w:w="0" w:type="dxa"/>
        </w:tblCellMar>
      </w:tblPr>
      <w:tblGrid>
        <w:gridCol w:w="2255"/>
        <w:gridCol w:w="60"/>
        <w:gridCol w:w="60"/>
        <w:gridCol w:w="845"/>
        <w:gridCol w:w="60"/>
        <w:gridCol w:w="60"/>
        <w:gridCol w:w="175"/>
        <w:gridCol w:w="684"/>
        <w:gridCol w:w="60"/>
        <w:gridCol w:w="60"/>
        <w:gridCol w:w="1085"/>
        <w:gridCol w:w="60"/>
        <w:gridCol w:w="186"/>
        <w:gridCol w:w="568"/>
        <w:gridCol w:w="60"/>
        <w:gridCol w:w="60"/>
        <w:gridCol w:w="950"/>
      </w:tblGrid>
      <w:tr>
        <w:trPr/>
        <w:tc>
          <w:tcPr>
            <w:tcW w:w="225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Inception </w:t>
              <w:br/>
              <w:t xml:space="preserve">Date </w:t>
              <w:br/>
              <w:t>Fair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w:t>
              <w:br/>
              <w:t xml:space="preserve">Recognition </w:t>
              <w:b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Exercise </w:t>
              <w:br/>
              <w:t>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Expiration </w:t>
              <w:br/>
              <w:t>Date</w:t>
            </w:r>
          </w:p>
        </w:tc>
      </w:tr>
      <w:tr>
        <w:trPr/>
        <w:tc>
          <w:tcPr>
            <w:tcW w:w="22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97" w:name="xdx_985_eus-gaap--ClassOfWarrantOrRightO"/>
            <w:bookmarkEnd w:id="697"/>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4,627,858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98" w:name="xdx_98F_ecustom--FairValueOfInitialPerio"/>
            <w:bookmarkEnd w:id="698"/>
          </w:p>
        </w:tc>
        <w:tc>
          <w:tcPr>
            <w:tcW w:w="6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99" w:name="xdx_900_ecustom--WarrantsAndRightsOutsta"/>
            <w:bookmarkEnd w:id="699"/>
            <w:r>
              <w:rPr>
                <w:rFonts w:ascii="Times New Roman;Times;Serif" w:hAnsi="Times New Roman;Times;Serif"/>
                <w:b w:val="false"/>
                <w:i w:val="false"/>
                <w:caps w:val="false"/>
                <w:smallCaps w:val="false"/>
                <w:sz w:val="20"/>
              </w:rPr>
              <w:t>10/7/2022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0" w:name="xdx_98E_eus-gaap--ClassOfWarrantOrRightE"/>
            <w:bookmarkEnd w:id="700"/>
          </w:p>
        </w:tc>
        <w:tc>
          <w:tcPr>
            <w:tcW w:w="56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01" w:name="xdx_904_eus-gaap--WarrantsAndRightsOutst"/>
            <w:bookmarkEnd w:id="701"/>
            <w:r>
              <w:rPr>
                <w:rFonts w:ascii="Times New Roman;Times;Serif" w:hAnsi="Times New Roman;Times;Serif"/>
                <w:b w:val="false"/>
                <w:i w:val="false"/>
                <w:caps w:val="false"/>
                <w:smallCaps w:val="false"/>
                <w:sz w:val="20"/>
              </w:rPr>
              <w:t>8/11/2026</w:t>
            </w:r>
          </w:p>
        </w:tc>
      </w:tr>
    </w:tbl>
    <w:p>
      <w:pPr>
        <w:pStyle w:val="TextBody"/>
        <w:bidi w:val="0"/>
        <w:spacing w:before="0" w:after="0"/>
        <w:ind w:left="0" w:right="0" w:hanging="0"/>
        <w:jc w:val="both"/>
        <w:rPr>
          <w:caps w:val="false"/>
          <w:smallCaps w:val="false"/>
        </w:rPr>
      </w:pPr>
      <w:bookmarkStart w:id="702" w:name="xdx_8AA_zUO1FKtK3G3b"/>
      <w:bookmarkEnd w:id="7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703" w:name="xdx_90F_eus-gaap--ClassOfWarrantOrRightN"/>
      <w:bookmarkEnd w:id="703"/>
      <w:r>
        <w:rPr>
          <w:rFonts w:ascii="Times New Roman;Times;Serif" w:hAnsi="Times New Roman;Times;Serif"/>
          <w:b w:val="false"/>
          <w:i w:val="false"/>
          <w:caps w:val="false"/>
          <w:smallCaps w:val="false"/>
          <w:sz w:val="20"/>
        </w:rPr>
        <w:t>2,593,056 shares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xml:space="preserve">”) and (ii) the $10 warrants to issue warrants to the Term Loan Lenders exercisable to purchase an aggregate of </w:t>
      </w:r>
      <w:bookmarkStart w:id="704" w:name="xdx_900_eus-gaap--ClassOfWarrantOrRightN"/>
      <w:bookmarkEnd w:id="704"/>
      <w:r>
        <w:rPr>
          <w:rFonts w:ascii="Times New Roman;Times;Serif" w:hAnsi="Times New Roman;Times;Serif"/>
          <w:b w:val="false"/>
          <w:i w:val="false"/>
          <w:caps w:val="false"/>
          <w:smallCaps w:val="false"/>
          <w:sz w:val="20"/>
        </w:rPr>
        <w:t>1,600,000 shares of common stock at $</w:t>
      </w:r>
      <w:bookmarkStart w:id="705" w:name="xdx_901_eus-gaap--SharePrice_iI_c2022123"/>
      <w:bookmarkEnd w:id="705"/>
      <w:r>
        <w:rPr>
          <w:rFonts w:ascii="Times New Roman;Times;Serif" w:hAnsi="Times New Roman;Times;Serif"/>
          <w:b w:val="false"/>
          <w:i w:val="false"/>
          <w:caps w:val="false"/>
          <w:smallCaps w:val="false"/>
          <w:sz w:val="20"/>
        </w:rPr>
        <w:t xml:space="preserve">10 per share (the “$10 Warrants” and, together with the Penny Warrants, the “ Term Loan Warrants”). The $10 Warrants were exercised on a cashless basis on October 10, 2022, with the Company agreeing to issue </w:t>
      </w:r>
      <w:bookmarkStart w:id="706" w:name="xdx_902_eus-gaap--ClassOfWarrantOrRightN"/>
      <w:bookmarkEnd w:id="706"/>
      <w:r>
        <w:rPr>
          <w:rFonts w:ascii="Times New Roman;Times;Serif" w:hAnsi="Times New Roman;Times;Serif"/>
          <w:b w:val="false"/>
          <w:i w:val="false"/>
          <w:caps w:val="false"/>
          <w:smallCaps w:val="false"/>
          <w:sz w:val="20"/>
        </w:rPr>
        <w:t>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7" w:name="xdx_89A_eus-gaap--DisclosureOfShareBased"/>
      <w:bookmarkEnd w:id="707"/>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8" w:name="xdx_8BE_zEBLjA52Mth2"/>
      <w:bookmarkEnd w:id="708"/>
      <w:r>
        <w:rPr>
          <w:rFonts w:ascii="Times New Roman;Times;Serif" w:hAnsi="Times New Roman;Times;Serif"/>
          <w:b w:val="false"/>
          <w:i w:val="false"/>
          <w:caps w:val="false"/>
          <w:smallCaps w:val="false"/>
          <w:sz w:val="20"/>
        </w:rPr>
        <w:t>SCHEDULE FAIR VALUE WARRANTS </w:t>
      </w:r>
    </w:p>
    <w:tbl>
      <w:tblPr>
        <w:tblW w:w="6045" w:type="dxa"/>
        <w:jc w:val="left"/>
        <w:tblInd w:w="0" w:type="dxa"/>
        <w:tblLayout w:type="fixed"/>
        <w:tblCellMar>
          <w:top w:w="0" w:type="dxa"/>
          <w:left w:w="0" w:type="dxa"/>
          <w:bottom w:w="0" w:type="dxa"/>
          <w:right w:w="0" w:type="dxa"/>
        </w:tblCellMar>
      </w:tblPr>
      <w:tblGrid>
        <w:gridCol w:w="2000"/>
        <w:gridCol w:w="60"/>
        <w:gridCol w:w="379"/>
        <w:gridCol w:w="1516"/>
        <w:gridCol w:w="60"/>
        <w:gridCol w:w="60"/>
        <w:gridCol w:w="379"/>
        <w:gridCol w:w="151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Initial Measurement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December 31, 2022</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09" w:name="xdx_98F_eus-gaap--SharePrice_iI_pid_c202"/>
            <w:bookmarkEnd w:id="709"/>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0" w:name="xdx_98A_eus-gaap--SharePrice_iI_pid_c202"/>
            <w:bookmarkEnd w:id="710"/>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11.09</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1" w:name="xdx_98A_eus-gaap--WarrantsAndRightsOutst"/>
            <w:bookmarkEnd w:id="711"/>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2" w:name="xdx_98A_eus-gaap--WarrantsAndRightsOutst"/>
            <w:bookmarkEnd w:id="712"/>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bookmarkStart w:id="713" w:name="xdx_909_eus-gaap--WarrantsAndRightsOutst"/>
            <w:bookmarkEnd w:id="713"/>
            <w:r>
              <w:rPr>
                <w:rFonts w:ascii="Times New Roman;Times;Serif" w:hAnsi="Times New Roman;Times;Serif"/>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bookmarkStart w:id="714" w:name="xdx_90E_eus-gaap--WarrantsAndRightsOutst"/>
            <w:bookmarkEnd w:id="714"/>
            <w:r>
              <w:rPr>
                <w:rFonts w:ascii="Times New Roman;Times;Serif" w:hAnsi="Times New Roman;Times;Serif"/>
              </w:rPr>
              <w:t>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bookmarkStart w:id="715" w:name="xdx_908_eus-gaap--WarrantsAndRightsOutst"/>
            <w:bookmarkEnd w:id="715"/>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bookmarkStart w:id="716" w:name="xdx_90F_eus-gaap--WarrantsAndRightsOutst"/>
            <w:bookmarkEnd w:id="716"/>
            <w:r>
              <w:rPr>
                <w:rFonts w:ascii="Times New Roman;Times;Serif" w:hAnsi="Times New Roman;Times;Serif"/>
              </w:rPr>
              <w:t>9.77</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17" w:name="xdx_98C_eus-gaap--WarrantsAndRightsOutst"/>
            <w:bookmarkEnd w:id="717"/>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18" w:name="xdx_983_eus-gaap--WarrantsAndRightsOutst"/>
            <w:bookmarkEnd w:id="718"/>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19" w:name="xdx_98E_eus-gaap--WarrantsAndRightsOutst"/>
            <w:bookmarkEnd w:id="719"/>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20" w:name="xdx_981_eus-gaap--WarrantsAndRightsOutst"/>
            <w:bookmarkEnd w:id="720"/>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1" w:name="xdx_981_ecustom--FairValueOfWarrant_iI_p"/>
            <w:bookmarkEnd w:id="721"/>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2" w:name="xdx_98F_ecustom--FairValueOfWarrant_iI_p"/>
            <w:bookmarkEnd w:id="722"/>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$10 Warrants:</w:t>
      </w:r>
    </w:p>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000"/>
        <w:gridCol w:w="60"/>
        <w:gridCol w:w="259"/>
        <w:gridCol w:w="103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Initial </w:t>
              <w:br/>
              <w:t>Measurement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3" w:name="xdx_98D_eus-gaap--SharePrice_iI_pid_c202"/>
            <w:bookmarkEnd w:id="723"/>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4" w:name="xdx_98C_eus-gaap--WarrantsAndRightsOutst"/>
            <w:bookmarkEnd w:id="724"/>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bookmarkStart w:id="725" w:name="xdx_90E_eus-gaap--WarrantsAndRightsOutst"/>
            <w:bookmarkEnd w:id="725"/>
            <w:r>
              <w:rPr>
                <w:rFonts w:ascii="Times New Roman;Times;Serif" w:hAnsi="Times New Roman;Times;Serif"/>
              </w:rPr>
              <w:t>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bookmarkStart w:id="726" w:name="xdx_906_eus-gaap--WarrantsAndRightsOutst"/>
            <w:bookmarkEnd w:id="726"/>
            <w:r>
              <w:rPr>
                <w:rFonts w:ascii="Times New Roman;Times;Serif" w:hAnsi="Times New Roman;Times;Serif"/>
              </w:rPr>
              <w:t>10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bookmarkStart w:id="727" w:name="xdx_987_eus-gaap--WarrantsAndRightsOutst"/>
            <w:bookmarkEnd w:id="727"/>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bookmarkStart w:id="728" w:name="xdx_98E_eus-gaap--WarrantsAndRightsOutst"/>
            <w:bookmarkEnd w:id="728"/>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9" w:name="xdx_981_ecustom--FairValueOfWarrant_iI_p"/>
            <w:bookmarkEnd w:id="729"/>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30" w:name="xdx_8A8_zPqvWbXp5nU6"/>
      <w:bookmarkEnd w:id="73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1" w:name="xdx_891_eus-gaap--ScheduleOfStockholders"/>
      <w:bookmarkEnd w:id="731"/>
      <w:r>
        <w:rPr>
          <w:rFonts w:ascii="Times New Roman;Times;Serif" w:hAnsi="Times New Roman;Times;Serif"/>
          <w:b w:val="false"/>
          <w:i w:val="false"/>
          <w:caps w:val="false"/>
          <w:smallCaps w:val="false"/>
          <w:sz w:val="20"/>
        </w:rPr>
        <w:t>The following tables presents a roll-forward of the Company’s warrants from January 1, 2022 to December 31, 2022: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2" w:name="xdx_8B5_zRMGbYdQpYpb"/>
      <w:bookmarkEnd w:id="732"/>
      <w:r>
        <w:rPr>
          <w:rFonts w:ascii="Times New Roman;Times;Serif" w:hAnsi="Times New Roman;Times;Serif"/>
          <w:b w:val="false"/>
          <w:i w:val="false"/>
          <w:caps w:val="false"/>
          <w:smallCaps w:val="false"/>
          <w:sz w:val="20"/>
        </w:rPr>
        <w:t>SCHEDULE OF ROLL FORWARD IN WARRANTS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bidi w:val="0"/>
        <w:spacing w:before="0" w:after="0"/>
        <w:jc w:val="both"/>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4100"/>
        <w:gridCol w:w="60"/>
        <w:gridCol w:w="139"/>
        <w:gridCol w:w="2280"/>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3" w:name="xdx_495_20220101__20221231__us-gaap--Sta"/>
            <w:bookmarkEnd w:id="733"/>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bookmarkStart w:id="734" w:name="xdx_F40_zJvK3WPWRUh8"/>
            <w:bookmarkStart w:id="735" w:name="xdx_402_eus-gaap--ShareBasedCompensation"/>
            <w:bookmarkEnd w:id="734"/>
            <w:bookmarkEnd w:id="735"/>
          </w:p>
        </w:tc>
      </w:tr>
      <w:tr>
        <w:trPr/>
        <w:tc>
          <w:tcPr>
            <w:tcW w:w="4100" w:type="dxa"/>
            <w:tcBorders/>
            <w:shd w:fill="CCEEFF" w:val="clear"/>
            <w:vAlign w:val="center"/>
          </w:tcPr>
          <w:p>
            <w:pPr>
              <w:pStyle w:val="TableContents"/>
              <w:bidi w:val="0"/>
              <w:spacing w:before="0" w:after="283"/>
              <w:jc w:val="left"/>
              <w:rPr/>
            </w:pPr>
            <w:r>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2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36" w:name="xdx_409_ecustom--ShareBasedCompensationA"/>
            <w:bookmarkEnd w:id="736"/>
          </w:p>
        </w:tc>
      </w:tr>
      <w:tr>
        <w:trPr/>
        <w:tc>
          <w:tcPr>
            <w:tcW w:w="4100" w:type="dxa"/>
            <w:tcBorders/>
            <w:shd w:fill="FFFFFF" w:val="clear"/>
            <w:vAlign w:val="center"/>
          </w:tcPr>
          <w:p>
            <w:pPr>
              <w:pStyle w:val="TableContents"/>
              <w:bidi w:val="0"/>
              <w:spacing w:before="0" w:after="283"/>
              <w:jc w:val="left"/>
              <w:rPr/>
            </w:pPr>
            <w:r>
              <w:rPr/>
              <w:t>Assumed in the merger</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280" w:type="dxa"/>
            <w:tcBorders/>
            <w:shd w:fill="FFFFFF" w:val="clear"/>
            <w:vAlign w:val="center"/>
          </w:tcPr>
          <w:p>
            <w:pPr>
              <w:pStyle w:val="TableContents"/>
              <w:bidi w:val="0"/>
              <w:spacing w:before="0" w:after="283"/>
              <w:jc w:val="right"/>
              <w:rPr/>
            </w:pPr>
            <w:r>
              <w:rPr/>
              <w:t>4,627,858</w:t>
            </w:r>
          </w:p>
        </w:tc>
        <w:tc>
          <w:tcPr>
            <w:tcW w:w="75" w:type="dxa"/>
            <w:tcBorders/>
            <w:shd w:fill="FFFFFF" w:val="clear"/>
            <w:vAlign w:val="center"/>
          </w:tcPr>
          <w:p>
            <w:pPr>
              <w:pStyle w:val="TableContents"/>
              <w:bidi w:val="0"/>
              <w:spacing w:before="0" w:after="283"/>
              <w:jc w:val="left"/>
              <w:rPr/>
            </w:pPr>
            <w:r>
              <w:rPr/>
              <w:t> </w:t>
            </w:r>
            <w:bookmarkStart w:id="737" w:name="xdx_409_eus-gaap--ShareBasedCompensation"/>
            <w:bookmarkEnd w:id="737"/>
          </w:p>
        </w:tc>
      </w:tr>
      <w:tr>
        <w:trPr/>
        <w:tc>
          <w:tcPr>
            <w:tcW w:w="4100" w:type="dxa"/>
            <w:tcBorders/>
            <w:shd w:fill="CCEEFF" w:val="clear"/>
            <w:vAlign w:val="center"/>
          </w:tcPr>
          <w:p>
            <w:pPr>
              <w:pStyle w:val="TableContents"/>
              <w:bidi w:val="0"/>
              <w:spacing w:before="0" w:after="283"/>
              <w:jc w:val="left"/>
              <w:rPr/>
            </w:pPr>
            <w:r>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38" w:name="xdx_40E_eus-gaap--ShareBasedCompensation"/>
            <w:bookmarkEnd w:id="738"/>
          </w:p>
        </w:tc>
      </w:tr>
      <w:tr>
        <w:trPr/>
        <w:tc>
          <w:tcPr>
            <w:tcW w:w="4100" w:type="dxa"/>
            <w:tcBorders/>
            <w:shd w:fill="FFFFFF" w:val="clear"/>
            <w:vAlign w:val="center"/>
          </w:tcPr>
          <w:p>
            <w:pPr>
              <w:pStyle w:val="TableContents"/>
              <w:bidi w:val="0"/>
              <w:spacing w:before="0" w:after="283"/>
              <w:jc w:val="left"/>
              <w:rPr/>
            </w:pPr>
            <w:r>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0" w:type="dxa"/>
            <w:tcBorders>
              <w:bottom w:val="double" w:sz="6" w:space="0" w:color="000000"/>
            </w:tcBorders>
            <w:shd w:fill="FFFFFF" w:val="clear"/>
            <w:tcMar>
              <w:bottom w:w="28" w:type="dxa"/>
            </w:tcMar>
            <w:vAlign w:val="center"/>
          </w:tcPr>
          <w:p>
            <w:pPr>
              <w:pStyle w:val="TableContents"/>
              <w:bidi w:val="0"/>
              <w:spacing w:before="0" w:after="283"/>
              <w:jc w:val="right"/>
              <w:rPr/>
            </w:pPr>
            <w:r>
              <w:rPr/>
              <w:t>4,627,858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warrants issued, exercised and outstanding prior to January 1,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p>
      <w:pPr>
        <w:pStyle w:val="TextBody"/>
        <w:bidi w:val="0"/>
        <w:spacing w:before="0" w:after="0"/>
        <w:jc w:val="both"/>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4100"/>
        <w:gridCol w:w="60"/>
        <w:gridCol w:w="139"/>
        <w:gridCol w:w="2280"/>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9" w:name="xdx_493_20220101__20221231__us-gaap--Sta"/>
            <w:bookmarkEnd w:id="739"/>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bookmarkStart w:id="740" w:name="xdx_F45_zX9S5C9A2Q55"/>
            <w:bookmarkStart w:id="741" w:name="xdx_408_eus-gaap--ShareBasedCompensation"/>
            <w:bookmarkEnd w:id="740"/>
            <w:bookmarkEnd w:id="741"/>
          </w:p>
        </w:tc>
      </w:tr>
      <w:tr>
        <w:trPr/>
        <w:tc>
          <w:tcPr>
            <w:tcW w:w="4100" w:type="dxa"/>
            <w:tcBorders/>
            <w:shd w:fill="CCEEFF" w:val="clear"/>
            <w:vAlign w:val="center"/>
          </w:tcPr>
          <w:p>
            <w:pPr>
              <w:pStyle w:val="TableContents"/>
              <w:bidi w:val="0"/>
              <w:spacing w:before="0" w:after="283"/>
              <w:jc w:val="left"/>
              <w:rPr/>
            </w:pPr>
            <w:r>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2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42" w:name="xdx_409_ecustom--ShareBasedCompensationA"/>
            <w:bookmarkEnd w:id="742"/>
          </w:p>
        </w:tc>
      </w:tr>
      <w:tr>
        <w:trPr/>
        <w:tc>
          <w:tcPr>
            <w:tcW w:w="4100" w:type="dxa"/>
            <w:tcBorders/>
            <w:shd w:fill="FFFFFF" w:val="clear"/>
            <w:vAlign w:val="center"/>
          </w:tcPr>
          <w:p>
            <w:pPr>
              <w:pStyle w:val="TableContents"/>
              <w:bidi w:val="0"/>
              <w:spacing w:before="0" w:after="283"/>
              <w:jc w:val="left"/>
              <w:rPr/>
            </w:pPr>
            <w:r>
              <w:rPr/>
              <w:t>Assumed in the merger</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280" w:type="dxa"/>
            <w:tcBorders/>
            <w:shd w:fill="FFFFFF" w:val="clear"/>
            <w:vAlign w:val="center"/>
          </w:tcPr>
          <w:p>
            <w:pPr>
              <w:pStyle w:val="TableContents"/>
              <w:bidi w:val="0"/>
              <w:spacing w:before="0" w:after="283"/>
              <w:jc w:val="right"/>
              <w:rPr/>
            </w:pPr>
            <w:r>
              <w:rPr/>
              <w:t>9,487,500</w:t>
            </w:r>
          </w:p>
        </w:tc>
        <w:tc>
          <w:tcPr>
            <w:tcW w:w="75" w:type="dxa"/>
            <w:tcBorders/>
            <w:shd w:fill="FFFFFF" w:val="clear"/>
            <w:vAlign w:val="center"/>
          </w:tcPr>
          <w:p>
            <w:pPr>
              <w:pStyle w:val="TableContents"/>
              <w:bidi w:val="0"/>
              <w:spacing w:before="0" w:after="283"/>
              <w:jc w:val="left"/>
              <w:rPr/>
            </w:pPr>
            <w:r>
              <w:rPr/>
              <w:t> </w:t>
            </w:r>
            <w:bookmarkStart w:id="743" w:name="xdx_40A_eus-gaap--ShareBasedCompensation"/>
            <w:bookmarkEnd w:id="743"/>
          </w:p>
        </w:tc>
      </w:tr>
      <w:tr>
        <w:trPr/>
        <w:tc>
          <w:tcPr>
            <w:tcW w:w="4100" w:type="dxa"/>
            <w:tcBorders/>
            <w:shd w:fill="CCEEFF" w:val="clear"/>
            <w:vAlign w:val="center"/>
          </w:tcPr>
          <w:p>
            <w:pPr>
              <w:pStyle w:val="TableContents"/>
              <w:bidi w:val="0"/>
              <w:spacing w:before="0" w:after="283"/>
              <w:jc w:val="left"/>
              <w:rPr/>
            </w:pPr>
            <w:r>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44" w:name="xdx_40E_eus-gaap--ShareBasedCompensation"/>
            <w:bookmarkEnd w:id="744"/>
          </w:p>
        </w:tc>
      </w:tr>
      <w:tr>
        <w:trPr/>
        <w:tc>
          <w:tcPr>
            <w:tcW w:w="4100" w:type="dxa"/>
            <w:tcBorders/>
            <w:shd w:fill="FFFFFF" w:val="clear"/>
            <w:vAlign w:val="center"/>
          </w:tcPr>
          <w:p>
            <w:pPr>
              <w:pStyle w:val="TableContents"/>
              <w:bidi w:val="0"/>
              <w:spacing w:before="0" w:after="283"/>
              <w:jc w:val="left"/>
              <w:rPr/>
            </w:pPr>
            <w:r>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0" w:type="dxa"/>
            <w:tcBorders>
              <w:bottom w:val="double" w:sz="6" w:space="0" w:color="000000"/>
            </w:tcBorders>
            <w:shd w:fill="FFFFFF" w:val="clear"/>
            <w:tcMar>
              <w:bottom w:w="28" w:type="dxa"/>
            </w:tcMar>
            <w:vAlign w:val="center"/>
          </w:tcPr>
          <w:p>
            <w:pPr>
              <w:pStyle w:val="TableContents"/>
              <w:bidi w:val="0"/>
              <w:spacing w:before="0" w:after="283"/>
              <w:jc w:val="right"/>
              <w:rPr/>
            </w:pPr>
            <w:r>
              <w:rPr/>
              <w:t>9,487,500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warrants issued, exercised and outstanding prior to January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4100"/>
        <w:gridCol w:w="60"/>
        <w:gridCol w:w="130"/>
        <w:gridCol w:w="2289"/>
        <w:gridCol w:w="11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5" w:name="xdx_49F_20220101__20221231__us-gaap--Sta"/>
            <w:bookmarkEnd w:id="745"/>
          </w:p>
        </w:tc>
        <w:tc>
          <w:tcPr>
            <w:tcW w:w="24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 Warrants</w:t>
            </w:r>
          </w:p>
        </w:tc>
        <w:tc>
          <w:tcPr>
            <w:tcW w:w="110" w:type="dxa"/>
            <w:tcBorders/>
            <w:vAlign w:val="center"/>
          </w:tcPr>
          <w:p>
            <w:pPr>
              <w:pStyle w:val="TableContents"/>
              <w:bidi w:val="0"/>
              <w:spacing w:before="0" w:after="283"/>
              <w:jc w:val="left"/>
              <w:rPr/>
            </w:pPr>
            <w:r>
              <w:rPr/>
              <w:t> </w:t>
            </w:r>
            <w:bookmarkStart w:id="746" w:name="xdx_408_eus-gaap--ShareBasedCompensation"/>
            <w:bookmarkEnd w:id="746"/>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bookmarkStart w:id="747" w:name="xdx_F40_zEORDX5tTU8i"/>
            <w:bookmarkEnd w:id="747"/>
            <w:r>
              <w:rPr>
                <w:rFonts w:ascii="Times New Roman;Times;Serif" w:hAnsi="Times New Roman;Times;Serif"/>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748" w:name="xdx_403_ecustom--ShareBasedCompensationA"/>
            <w:bookmarkEnd w:id="748"/>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in conjunction with merger</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2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4,193,056</w:t>
            </w:r>
          </w:p>
        </w:tc>
        <w:tc>
          <w:tcPr>
            <w:tcW w:w="110" w:type="dxa"/>
            <w:tcBorders/>
            <w:shd w:fill="FFFFFF" w:val="clear"/>
            <w:vAlign w:val="center"/>
          </w:tcPr>
          <w:p>
            <w:pPr>
              <w:pStyle w:val="TableContents"/>
              <w:bidi w:val="0"/>
              <w:spacing w:before="0" w:after="283"/>
              <w:jc w:val="left"/>
              <w:rPr/>
            </w:pPr>
            <w:r>
              <w:rPr/>
              <w:t> </w:t>
            </w:r>
            <w:bookmarkStart w:id="749" w:name="xdx_404_eus-gaap--ShareBasedCompensation"/>
            <w:bookmarkEnd w:id="749"/>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0" w:name="xdx_404_eus-gaap--ShareBasedCompensation"/>
            <w:bookmarkEnd w:id="750"/>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2,593,056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7120" w:type="dxa"/>
        <w:jc w:val="left"/>
        <w:tblInd w:w="0" w:type="dxa"/>
        <w:tblLayout w:type="fixed"/>
        <w:tblCellMar>
          <w:top w:w="0" w:type="dxa"/>
          <w:left w:w="0" w:type="dxa"/>
          <w:bottom w:w="0" w:type="dxa"/>
          <w:right w:w="0" w:type="dxa"/>
        </w:tblCellMar>
      </w:tblPr>
      <w:tblGrid>
        <w:gridCol w:w="245"/>
        <w:gridCol w:w="6875"/>
      </w:tblGrid>
      <w:tr>
        <w:trPr/>
        <w:tc>
          <w:tcPr>
            <w:tcW w:w="245" w:type="dxa"/>
            <w:tcBorders/>
            <w:vAlign w:val="center"/>
          </w:tcPr>
          <w:p>
            <w:pPr>
              <w:pStyle w:val="TableContents"/>
              <w:bidi w:val="0"/>
              <w:spacing w:before="0" w:after="283"/>
              <w:jc w:val="right"/>
              <w:rPr>
                <w:rFonts w:ascii="Times New Roman;Times;Serif" w:hAnsi="Times New Roman;Times;Serif"/>
                <w:i/>
                <w:sz w:val="20"/>
              </w:rPr>
            </w:pPr>
            <w:bookmarkStart w:id="751" w:name="xdx_F00_zzApbBrK67xa"/>
            <w:bookmarkEnd w:id="751"/>
            <w:r>
              <w:rPr>
                <w:rFonts w:ascii="Times New Roman;Times;Serif" w:hAnsi="Times New Roman;Times;Serif"/>
                <w:i/>
                <w:sz w:val="20"/>
              </w:rPr>
              <w:t>**</w:t>
            </w:r>
          </w:p>
        </w:tc>
        <w:tc>
          <w:tcPr>
            <w:tcW w:w="6875" w:type="dxa"/>
            <w:tcBorders/>
            <w:vAlign w:val="center"/>
          </w:tcPr>
          <w:p>
            <w:pPr>
              <w:pStyle w:val="TableContents"/>
              <w:bidi w:val="0"/>
              <w:spacing w:before="0" w:after="283"/>
              <w:jc w:val="both"/>
              <w:rPr>
                <w:rFonts w:ascii="Times New Roman;Times;Serif" w:hAnsi="Times New Roman;Times;Serif"/>
                <w:i/>
                <w:sz w:val="20"/>
              </w:rPr>
            </w:pPr>
            <w:bookmarkStart w:id="752" w:name="xdx_F15_zqU5fJTvtMz"/>
            <w:bookmarkEnd w:id="752"/>
            <w:r>
              <w:rPr>
                <w:rFonts w:ascii="Times New Roman;Times;Serif" w:hAnsi="Times New Roman;Times;Serif"/>
                <w:i/>
                <w:sz w:val="20"/>
              </w:rPr>
              <w:t>There were no warrants issued, exercised and outstanding prior to January 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aggregate fair values of the Company’s warrant liabilities for which fair value is determined by Level 3 Inputs. The only class of warrants that were determined to be Level 3 are the term loan warrants.</w:t>
      </w:r>
    </w:p>
    <w:p>
      <w:pPr>
        <w:pStyle w:val="TextBody"/>
        <w:bidi w:val="0"/>
        <w:spacing w:before="0" w:after="0"/>
        <w:ind w:left="0" w:right="0" w:hanging="0"/>
        <w:jc w:val="left"/>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53" w:name="xdx_490_20220101__20221231__us-gaap--Sta"/>
            <w:bookmarkEnd w:id="753"/>
          </w:p>
        </w:tc>
        <w:tc>
          <w:tcPr>
            <w:tcW w:w="1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Warrant Liability</w:t>
            </w:r>
          </w:p>
        </w:tc>
        <w:tc>
          <w:tcPr>
            <w:tcW w:w="110" w:type="dxa"/>
            <w:tcBorders/>
            <w:vAlign w:val="center"/>
          </w:tcPr>
          <w:p>
            <w:pPr>
              <w:pStyle w:val="TableContents"/>
              <w:bidi w:val="0"/>
              <w:spacing w:before="0" w:after="283"/>
              <w:jc w:val="left"/>
              <w:rPr/>
            </w:pPr>
            <w:r>
              <w:rPr/>
              <w:t> </w:t>
            </w:r>
            <w:bookmarkStart w:id="754" w:name="xdx_406_eus-gaap--SharesSubjectToMandato"/>
            <w:bookmarkEnd w:id="754"/>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January 1, 2022</w:t>
            </w:r>
            <w:bookmarkStart w:id="755" w:name="xdx_F49_zylirh3TdqX7"/>
            <w:bookmarkEnd w:id="755"/>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756" w:name="xdx_406_ecustom--IssuanceOfWarrants_pn3n"/>
            <w:bookmarkEnd w:id="756"/>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52,956</w:t>
            </w:r>
          </w:p>
        </w:tc>
        <w:tc>
          <w:tcPr>
            <w:tcW w:w="110" w:type="dxa"/>
            <w:tcBorders/>
            <w:shd w:fill="FFFFFF" w:val="clear"/>
            <w:vAlign w:val="center"/>
          </w:tcPr>
          <w:p>
            <w:pPr>
              <w:pStyle w:val="TableContents"/>
              <w:bidi w:val="0"/>
              <w:spacing w:before="0" w:after="283"/>
              <w:jc w:val="left"/>
              <w:rPr/>
            </w:pPr>
            <w:r>
              <w:rPr/>
              <w:t> </w:t>
            </w:r>
            <w:bookmarkStart w:id="757" w:name="xdx_40A_ecustom--ExerciseOfWarrants_iN_p"/>
            <w:bookmarkEnd w:id="757"/>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8" w:name="xdx_407_eus-gaap--FairValueAdjustmentOfW"/>
            <w:bookmarkEnd w:id="758"/>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9" w:name="xdx_404_eus-gaap--SharesSubjectToMandato"/>
            <w:bookmarkEnd w:id="759"/>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December 31, 2022</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245"/>
        <w:gridCol w:w="6875"/>
      </w:tblGrid>
      <w:tr>
        <w:trPr/>
        <w:tc>
          <w:tcPr>
            <w:tcW w:w="245" w:type="dxa"/>
            <w:tcBorders/>
            <w:vAlign w:val="center"/>
          </w:tcPr>
          <w:p>
            <w:pPr>
              <w:pStyle w:val="TableContents"/>
              <w:bidi w:val="0"/>
              <w:spacing w:before="0" w:after="283"/>
              <w:jc w:val="right"/>
              <w:rPr>
                <w:rFonts w:ascii="Times New Roman;Times;Serif" w:hAnsi="Times New Roman;Times;Serif"/>
                <w:i/>
                <w:sz w:val="20"/>
              </w:rPr>
            </w:pPr>
            <w:bookmarkStart w:id="760" w:name="xdx_F0C_zUm0pR0qW3Ci"/>
            <w:bookmarkEnd w:id="760"/>
            <w:r>
              <w:rPr>
                <w:rFonts w:ascii="Times New Roman;Times;Serif" w:hAnsi="Times New Roman;Times;Serif"/>
                <w:i/>
                <w:sz w:val="20"/>
              </w:rPr>
              <w:t>**</w:t>
            </w:r>
          </w:p>
        </w:tc>
        <w:tc>
          <w:tcPr>
            <w:tcW w:w="6875" w:type="dxa"/>
            <w:tcBorders/>
            <w:vAlign w:val="center"/>
          </w:tcPr>
          <w:p>
            <w:pPr>
              <w:pStyle w:val="TableContents"/>
              <w:bidi w:val="0"/>
              <w:spacing w:before="0" w:after="283"/>
              <w:jc w:val="both"/>
              <w:rPr>
                <w:rFonts w:ascii="Times New Roman;Times;Serif" w:hAnsi="Times New Roman;Times;Serif"/>
                <w:i/>
                <w:sz w:val="20"/>
              </w:rPr>
            </w:pPr>
            <w:bookmarkStart w:id="761" w:name="xdx_F1B_zbs3SCEo7Ldc"/>
            <w:bookmarkEnd w:id="761"/>
            <w:r>
              <w:rPr>
                <w:rFonts w:ascii="Times New Roman;Times;Serif" w:hAnsi="Times New Roman;Times;Serif"/>
                <w:i/>
                <w:sz w:val="20"/>
              </w:rPr>
              <w:t>There were no warrants issued, exercised and outstanding prior to January 1, 2022.</w:t>
            </w:r>
          </w:p>
        </w:tc>
      </w:tr>
    </w:tbl>
    <w:p>
      <w:pPr>
        <w:pStyle w:val="TextBody"/>
        <w:bidi w:val="0"/>
        <w:spacing w:before="0" w:after="0"/>
        <w:ind w:left="0" w:right="0" w:hanging="0"/>
        <w:jc w:val="left"/>
        <w:rPr>
          <w:caps w:val="false"/>
          <w:smallCaps w:val="false"/>
        </w:rPr>
      </w:pPr>
      <w:bookmarkStart w:id="762" w:name="xdx_8AC_zPLJMW5Ql4Kf"/>
      <w:bookmarkEnd w:id="76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63" w:name="xdx_801_eus-gaap--StockholdersEquityNote"/>
      <w:bookmarkEnd w:id="763"/>
      <w:r>
        <w:rPr>
          <w:rFonts w:ascii="Times New Roman;Times;Serif" w:hAnsi="Times New Roman;Times;Serif"/>
          <w:b/>
          <w:i w:val="false"/>
          <w:caps/>
          <w:sz w:val="20"/>
        </w:rPr>
        <w:t xml:space="preserve">Note 13 - </w:t>
      </w:r>
      <w:bookmarkStart w:id="764" w:name="xdx_823_z3P2qeKQcMSf"/>
      <w:bookmarkEnd w:id="764"/>
      <w:r>
        <w:rPr>
          <w:rFonts w:ascii="Times New Roman;Times;Serif" w:hAnsi="Times New Roman;Times;Serif"/>
          <w:b/>
          <w:i w:val="false"/>
          <w:caps/>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w:t>
      </w:r>
      <w:bookmarkStart w:id="765" w:name="xdx_90E_eus-gaap--CommonStockSharesAutho"/>
      <w:bookmarkEnd w:id="765"/>
      <w:r>
        <w:rPr>
          <w:rFonts w:ascii="Times New Roman;Times;Serif" w:hAnsi="Times New Roman;Times;Serif"/>
          <w:b w:val="false"/>
          <w:i w:val="false"/>
          <w:caps w:val="false"/>
          <w:smallCaps w:val="false"/>
          <w:sz w:val="20"/>
        </w:rPr>
        <w:t>170,000,000 shares of common stock with $</w:t>
      </w:r>
      <w:bookmarkStart w:id="766" w:name="xdx_908_eus-gaap--CommonStockParOrStated"/>
      <w:bookmarkEnd w:id="766"/>
      <w:r>
        <w:rPr>
          <w:rFonts w:ascii="Times New Roman;Times;Serif" w:hAnsi="Times New Roman;Times;Serif"/>
          <w:b w:val="false"/>
          <w:i w:val="false"/>
          <w:caps w:val="false"/>
          <w:smallCaps w:val="false"/>
          <w:sz w:val="20"/>
        </w:rPr>
        <w:t xml:space="preserve">0.0001 par value. Common stockholders are entitled to dividends if and when declared by the Board of Directors subject to the rights of the preferred stockholders. As of December 31, 2022 and 2021, there were </w:t>
      </w:r>
      <w:bookmarkStart w:id="767" w:name="xdx_90A_eus-gaap--CommonStockSharesOutst"/>
      <w:bookmarkStart w:id="768" w:name="xdx_908_eus-gaap--CommonStockSharesIssue"/>
      <w:bookmarkEnd w:id="767"/>
      <w:bookmarkEnd w:id="768"/>
      <w:r>
        <w:rPr>
          <w:rFonts w:ascii="Times New Roman;Times;Serif" w:hAnsi="Times New Roman;Times;Serif"/>
          <w:b w:val="false"/>
          <w:i w:val="false"/>
          <w:caps w:val="false"/>
          <w:smallCaps w:val="false"/>
          <w:sz w:val="20"/>
        </w:rPr>
        <w:t xml:space="preserve">43,272,728 and </w:t>
      </w:r>
      <w:bookmarkStart w:id="769" w:name="xdx_906_eus-gaap--CommonStockSharesOutst"/>
      <w:bookmarkStart w:id="770" w:name="xdx_90B_eus-gaap--CommonStockSharesIssue"/>
      <w:bookmarkEnd w:id="769"/>
      <w:bookmarkEnd w:id="770"/>
      <w:r>
        <w:rPr>
          <w:rFonts w:ascii="Times New Roman;Times;Serif" w:hAnsi="Times New Roman;Times;Serif"/>
          <w:b w:val="false"/>
          <w:i w:val="false"/>
          <w:caps w:val="false"/>
          <w:smallCaps w:val="false"/>
          <w:sz w:val="20"/>
        </w:rPr>
        <w:t>36,496,998 shares issued and outstanding retroactively adjusted and no dividends on common stock had been declared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2022, Dragonfly entered into a Stock Purchase Agreement with THOR Industries, whereby THOR purchased shares of Dragonfly common stock for $</w:t>
      </w:r>
      <w:bookmarkStart w:id="771" w:name="xdx_903_eus-gaap--StockIssuedDuringPerio"/>
      <w:bookmarkEnd w:id="771"/>
      <w:r>
        <w:rPr>
          <w:rFonts w:ascii="Times New Roman;Times;Serif" w:hAnsi="Times New Roman;Times;Serif"/>
          <w:b w:val="false"/>
          <w:i w:val="false"/>
          <w:caps w:val="false"/>
          <w:smallCaps w:val="false"/>
          <w:sz w:val="20"/>
        </w:rPr>
        <w:t>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2" w:name="xdx_899_ecustom--SummaryOfReservedShares"/>
      <w:bookmarkEnd w:id="772"/>
      <w:r>
        <w:rPr>
          <w:rFonts w:ascii="Times New Roman;Times;Serif" w:hAnsi="Times New Roman;Times;Serif"/>
          <w:b w:val="false"/>
          <w:i w:val="false"/>
          <w:caps w:val="false"/>
          <w:smallCaps w:val="false"/>
          <w:sz w:val="20"/>
        </w:rPr>
        <w:t>As of December 31, 2022 and 2021, the Company had reserved shares of common stock for issuance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3" w:name="xdx_8B1_zQuQB3dHk5u5"/>
      <w:bookmarkEnd w:id="773"/>
      <w:r>
        <w:rPr>
          <w:rFonts w:ascii="Times New Roman;Times;Serif" w:hAnsi="Times New Roman;Times;Serif"/>
          <w:b w:val="false"/>
          <w:i w:val="false"/>
          <w:caps w:val="false"/>
          <w:smallCaps w:val="false"/>
          <w:sz w:val="20"/>
        </w:rPr>
        <w:t>SUMMARY OF RESERVED SHARES OF COMMON STOCK FOR ISSUANCE </w:t>
      </w:r>
    </w:p>
    <w:tbl>
      <w:tblPr>
        <w:tblW w:w="5998" w:type="dxa"/>
        <w:jc w:val="left"/>
        <w:tblInd w:w="0" w:type="dxa"/>
        <w:tblLayout w:type="fixed"/>
        <w:tblCellMar>
          <w:top w:w="0" w:type="dxa"/>
          <w:left w:w="0" w:type="dxa"/>
          <w:bottom w:w="0" w:type="dxa"/>
          <w:right w:w="0" w:type="dxa"/>
        </w:tblCellMar>
      </w:tblPr>
      <w:tblGrid>
        <w:gridCol w:w="3035"/>
        <w:gridCol w:w="60"/>
        <w:gridCol w:w="63"/>
        <w:gridCol w:w="1291"/>
        <w:gridCol w:w="60"/>
        <w:gridCol w:w="60"/>
        <w:gridCol w:w="70"/>
        <w:gridCol w:w="1284"/>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4" w:name="xdx_497_20221231_zL5DtuKjpYPk"/>
            <w:bookmarkEnd w:id="774"/>
          </w:p>
        </w:tc>
        <w:tc>
          <w:tcPr>
            <w:tcW w:w="135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5" w:name="xdx_492_20211231_zfBN2IuuEw47"/>
            <w:bookmarkEnd w:id="775"/>
          </w:p>
        </w:tc>
        <w:tc>
          <w:tcPr>
            <w:tcW w:w="135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bookmarkStart w:id="776" w:name="xdx_40E_eus-gaap--ShareBasedCompensation"/>
            <w:bookmarkEnd w:id="776"/>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3,690,955</w:t>
            </w:r>
          </w:p>
        </w:tc>
        <w:tc>
          <w:tcPr>
            <w:tcW w:w="75" w:type="dxa"/>
            <w:tcBorders/>
            <w:shd w:fill="CCEEFF" w:val="clear"/>
            <w:vAlign w:val="center"/>
          </w:tcPr>
          <w:p>
            <w:pPr>
              <w:pStyle w:val="TableContents"/>
              <w:bidi w:val="0"/>
              <w:spacing w:before="0" w:after="283"/>
              <w:jc w:val="left"/>
              <w:rPr/>
            </w:pPr>
            <w:r>
              <w:rPr/>
              <w:t> </w:t>
            </w:r>
            <w:bookmarkStart w:id="777" w:name="xdx_40F_eus-gaap--CommonStockSharesOutst"/>
            <w:bookmarkEnd w:id="777"/>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outstanding</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75" w:type="dxa"/>
            <w:tcBorders/>
            <w:shd w:fill="FFFFFF" w:val="clear"/>
            <w:vAlign w:val="center"/>
          </w:tcPr>
          <w:p>
            <w:pPr>
              <w:pStyle w:val="TableContents"/>
              <w:bidi w:val="0"/>
              <w:spacing w:before="0" w:after="283"/>
              <w:jc w:val="left"/>
              <w:rPr/>
            </w:pPr>
            <w:r>
              <w:rPr/>
              <w:t> </w:t>
            </w:r>
            <w:bookmarkStart w:id="778" w:name="xdx_406_eus-gaap--ClassOfWarrantOrRightO"/>
            <w:bookmarkEnd w:id="778"/>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16,708,414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779" w:name="xdx_403_ecustom--EarnoutShares_iI_pid_zT"/>
            <w:bookmarkEnd w:id="779"/>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shares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780" w:name="xdx_40D_eus-gaap--ShareBasedCompensation"/>
            <w:bookmarkEnd w:id="780"/>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Shares available for future issuance </w:t>
            </w:r>
            <w:bookmarkStart w:id="781" w:name="xdx_F4C_zmJluiP8Bq36"/>
            <w:bookmarkEnd w:id="781"/>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4,924,914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12,207</w:t>
            </w:r>
          </w:p>
        </w:tc>
        <w:tc>
          <w:tcPr>
            <w:tcW w:w="75" w:type="dxa"/>
            <w:tcBorders/>
            <w:shd w:fill="CCEEFF" w:val="clear"/>
            <w:vAlign w:val="center"/>
          </w:tcPr>
          <w:p>
            <w:pPr>
              <w:pStyle w:val="TableContents"/>
              <w:bidi w:val="0"/>
              <w:spacing w:before="0" w:after="283"/>
              <w:jc w:val="left"/>
              <w:rPr/>
            </w:pPr>
            <w:r>
              <w:rPr/>
              <w:t> </w:t>
            </w:r>
            <w:bookmarkStart w:id="782" w:name="xdx_40E_eus-gaap--CommonStockCapitalShar"/>
            <w:bookmarkEnd w:id="782"/>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108,549,014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40,200,160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260"/>
        <w:gridCol w:w="23"/>
        <w:gridCol w:w="4280"/>
      </w:tblGrid>
      <w:tr>
        <w:trPr/>
        <w:tc>
          <w:tcPr>
            <w:tcW w:w="260" w:type="dxa"/>
            <w:tcBorders/>
            <w:vAlign w:val="center"/>
          </w:tcPr>
          <w:p>
            <w:pPr>
              <w:pStyle w:val="TableContents"/>
              <w:bidi w:val="0"/>
              <w:spacing w:before="0" w:after="283"/>
              <w:jc w:val="right"/>
              <w:rPr>
                <w:rFonts w:ascii="Times New Roman;Times;Serif" w:hAnsi="Times New Roman;Times;Serif"/>
                <w:i/>
                <w:sz w:val="20"/>
              </w:rPr>
            </w:pPr>
            <w:bookmarkStart w:id="783" w:name="xdx_F0C_zOOzcJmCRaO2"/>
            <w:bookmarkEnd w:id="783"/>
            <w:r>
              <w:rPr>
                <w:rFonts w:ascii="Times New Roman;Times;Serif" w:hAnsi="Times New Roman;Times;Serif"/>
                <w:i/>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both"/>
              <w:rPr>
                <w:rFonts w:ascii="Times New Roman;Times;Serif" w:hAnsi="Times New Roman;Times;Serif"/>
                <w:i/>
                <w:sz w:val="20"/>
              </w:rPr>
            </w:pPr>
            <w:bookmarkStart w:id="784" w:name="xdx_F1A_zxAm4zsNRjr6"/>
            <w:bookmarkEnd w:id="784"/>
            <w:r>
              <w:rPr>
                <w:rFonts w:ascii="Times New Roman;Times;Serif" w:hAnsi="Times New Roman;Times;Serif"/>
                <w:i/>
                <w:sz w:val="20"/>
              </w:rPr>
              <w:t>Refer to Stock Incentive Plan amendment at Note 14</w:t>
            </w:r>
          </w:p>
        </w:tc>
      </w:tr>
    </w:tbl>
    <w:p>
      <w:pPr>
        <w:pStyle w:val="TextBody"/>
        <w:bidi w:val="0"/>
        <w:spacing w:before="0" w:after="0"/>
        <w:ind w:left="0" w:right="0" w:hanging="0"/>
        <w:jc w:val="both"/>
        <w:rPr>
          <w:caps w:val="false"/>
          <w:smallCaps w:val="false"/>
        </w:rPr>
      </w:pPr>
      <w:bookmarkStart w:id="785" w:name="xdx_8A6_zjkwmcPeHXsf"/>
      <w:bookmarkEnd w:id="785"/>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CCM LLC entered into a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a Registration Rights Agreement (the “</w:t>
      </w:r>
      <w:r>
        <w:rPr>
          <w:rFonts w:ascii="Times New Roman;Times;Serif" w:hAnsi="Times New Roman;Times;Serif"/>
          <w:b/>
          <w:i w:val="false"/>
          <w:caps w:val="false"/>
          <w:smallCaps w:val="false"/>
          <w:sz w:val="20"/>
        </w:rPr>
        <w:t>ChEF RRA</w:t>
      </w:r>
      <w:r>
        <w:rPr>
          <w:rFonts w:ascii="Times New Roman;Times;Serif" w:hAnsi="Times New Roman;Times;Serif"/>
          <w:b w:val="false"/>
          <w:i w:val="false"/>
          <w:caps w:val="false"/>
          <w:smallCaps w:val="false"/>
          <w:sz w:val="20"/>
        </w:rPr>
        <w:t>”) in connection with the merger. Pursuant to the Purchase Agreement, the Company has the right to sell to CCM LLC an amount of shares of common stock, up to a maximum aggregate purchase price of $</w:t>
      </w:r>
      <w:bookmarkStart w:id="786" w:name="xdx_90E_ecustom--PlanOfMergerMaximumAggr"/>
      <w:bookmarkEnd w:id="786"/>
      <w:r>
        <w:rPr>
          <w:rFonts w:ascii="Times New Roman;Times;Serif" w:hAnsi="Times New Roman;Times;Serif"/>
          <w:b w:val="false"/>
          <w:i w:val="false"/>
          <w:caps w:val="false"/>
          <w:smallCaps w:val="false"/>
          <w:sz w:val="20"/>
        </w:rPr>
        <w:t>150,000, from time to time, pursuant to the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w:t>
      </w:r>
      <w:bookmarkStart w:id="787" w:name="xdx_906_ecustom--PlanOfMergerMaximumAggr"/>
      <w:bookmarkEnd w:id="787"/>
      <w:r>
        <w:rPr>
          <w:rFonts w:ascii="Times New Roman;Times;Serif" w:hAnsi="Times New Roman;Times;Serif"/>
          <w:b w:val="false"/>
          <w:i w:val="false"/>
          <w:caps w:val="false"/>
          <w:smallCaps w:val="false"/>
          <w:sz w:val="20"/>
        </w:rPr>
        <w:t>150,000, over the term of the equity facility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Purchase Agreement, CCM LLC will not be obligated to (but may, at its option, choose to) purchase shares of common stock to the extent the number of shares to be purchased would exceed the lowest of the number of shares of common stock (i) </w:t>
      </w:r>
      <w:bookmarkStart w:id="788" w:name="xdx_902_eus-gaap--ShareBasedCompensation"/>
      <w:bookmarkEnd w:id="788"/>
      <w:r>
        <w:rPr>
          <w:rFonts w:ascii="Times New Roman;Times;Serif" w:hAnsi="Times New Roman;Times;Serif"/>
          <w:b w:val="false"/>
          <w:i w:val="false"/>
          <w:caps w:val="false"/>
          <w:smallCaps w:val="false"/>
          <w:sz w:val="20"/>
        </w:rPr>
        <w:t>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ChEF RRA, the Company has agreed to provide CCM LLC with certain registration rights with respect to the shares of common stock issued subject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 Agreement will automatically terminate on the earliest to occur of (i) </w:t>
      </w:r>
      <w:bookmarkStart w:id="789" w:name="xdx_90D_eus-gaap--ShareBasedCompensation"/>
      <w:bookmarkEnd w:id="789"/>
      <w:r>
        <w:rPr>
          <w:rFonts w:ascii="Times New Roman;Times;Serif" w:hAnsi="Times New Roman;Times;Serif"/>
          <w:b w:val="false"/>
          <w:i w:val="false"/>
          <w:caps w:val="false"/>
          <w:smallCaps w:val="false"/>
          <w:sz w:val="20"/>
        </w:rPr>
        <w:t>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790" w:name="xdx_80E_eus-gaap--DisclosureOfCompensati"/>
      <w:bookmarkEnd w:id="790"/>
      <w:r>
        <w:rPr>
          <w:rFonts w:ascii="Times New Roman;Times;Serif" w:hAnsi="Times New Roman;Times;Serif"/>
          <w:b/>
          <w:i w:val="false"/>
          <w:caps/>
          <w:sz w:val="20"/>
        </w:rPr>
        <w:t xml:space="preserve">Note 14 - </w:t>
      </w:r>
      <w:bookmarkStart w:id="791" w:name="xdx_828_zmNNgMAyqIhk"/>
      <w:bookmarkEnd w:id="791"/>
      <w:r>
        <w:rPr>
          <w:rFonts w:ascii="Times New Roman;Times;Serif" w:hAnsi="Times New Roman;Times;Serif"/>
          <w:b/>
          <w:i w:val="false"/>
          <w:caps/>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2019, the Board of Directors approved the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xml:space="preserve">”) with a term of </w:t>
      </w:r>
      <w:bookmarkStart w:id="792" w:name="xdx_900_eus-gaap--SharebasedCompensation"/>
      <w:bookmarkEnd w:id="792"/>
      <w:r>
        <w:rPr>
          <w:rFonts w:ascii="Times New Roman;Times;Serif" w:hAnsi="Times New Roman;Times;Serif"/>
          <w:b w:val="false"/>
          <w:i w:val="false"/>
          <w:caps w:val="false"/>
          <w:smallCaps w:val="false"/>
          <w:sz w:val="20"/>
        </w:rPr>
        <w:t xml:space="preserve">ten years. The Plan was administered by the Board of Directors, which was authorized to grant, at its discretion, awards to employees, directors, and consultants. The maximum number of common shares that were reserved for grants of awards under the Plan was </w:t>
      </w:r>
      <w:bookmarkStart w:id="793" w:name="xdx_90D_eus-gaap--ShareBasedCompensation"/>
      <w:bookmarkEnd w:id="793"/>
      <w:r>
        <w:rPr>
          <w:rFonts w:ascii="Times New Roman;Times;Serif" w:hAnsi="Times New Roman;Times;Serif"/>
          <w:b w:val="false"/>
          <w:i w:val="false"/>
          <w:caps w:val="false"/>
          <w:smallCaps w:val="false"/>
          <w:sz w:val="20"/>
        </w:rPr>
        <w:t>3,000,000 shares. The Plan provided for the grant of stock options (both incentive stock options and nonqualified stock options), and the grants and sale of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Shares issued under this Plan may be drawn from authorized and unissued shares, or shares reacquired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of 2021, the Board of Directors approved the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and, together with the 2019 Plan, the “</w:t>
      </w:r>
      <w:r>
        <w:rPr>
          <w:rFonts w:ascii="Times New Roman;Times;Serif" w:hAnsi="Times New Roman;Times;Serif"/>
          <w:b/>
          <w:i w:val="false"/>
          <w:caps w:val="false"/>
          <w:smallCaps w:val="false"/>
          <w:sz w:val="20"/>
        </w:rPr>
        <w:t>Prior Plans</w:t>
      </w:r>
      <w:r>
        <w:rPr>
          <w:rFonts w:ascii="Times New Roman;Times;Serif" w:hAnsi="Times New Roman;Times;Serif"/>
          <w:b w:val="false"/>
          <w:i w:val="false"/>
          <w:caps w:val="false"/>
          <w:smallCaps w:val="false"/>
          <w:sz w:val="20"/>
        </w:rPr>
        <w:t xml:space="preserve">”) with a term of </w:t>
      </w:r>
      <w:bookmarkStart w:id="794" w:name="xdx_90C_eus-gaap--SharebasedCompensation"/>
      <w:bookmarkEnd w:id="794"/>
      <w:r>
        <w:rPr>
          <w:rFonts w:ascii="Times New Roman;Times;Serif" w:hAnsi="Times New Roman;Times;Serif"/>
          <w:b w:val="false"/>
          <w:i w:val="false"/>
          <w:caps w:val="false"/>
          <w:smallCaps w:val="false"/>
          <w:sz w:val="20"/>
        </w:rPr>
        <w:t xml:space="preserve">ten years. The Plan was administered by the Board of Directors, which was authorized to grant, at its discretion, awards to employees, directors, and consultants. The maximum number of common shares reserved for grants of awards under the Plan was </w:t>
      </w:r>
      <w:bookmarkStart w:id="795" w:name="xdx_900_eus-gaap--ShareBasedCompensation"/>
      <w:bookmarkEnd w:id="795"/>
      <w:r>
        <w:rPr>
          <w:rFonts w:ascii="Times New Roman;Times;Serif" w:hAnsi="Times New Roman;Times;Serif"/>
          <w:b w:val="false"/>
          <w:i w:val="false"/>
          <w:caps w:val="false"/>
          <w:smallCaps w:val="false"/>
          <w:sz w:val="20"/>
        </w:rPr>
        <w:t xml:space="preserve">1,000,000 shares which was amended and increased to </w:t>
      </w:r>
      <w:bookmarkStart w:id="796" w:name="xdx_90F_eus-gaap--ShareBasedCompensation"/>
      <w:bookmarkEnd w:id="796"/>
      <w:r>
        <w:rPr>
          <w:rFonts w:ascii="Times New Roman;Times;Serif" w:hAnsi="Times New Roman;Times;Serif"/>
          <w:b w:val="false"/>
          <w:i w:val="false"/>
          <w:caps w:val="false"/>
          <w:smallCaps w:val="false"/>
          <w:sz w:val="20"/>
        </w:rPr>
        <w:t>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shareholders and board members approved the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xml:space="preserve">”). A total of </w:t>
      </w:r>
      <w:bookmarkStart w:id="797" w:name="xdx_907_eus-gaap--CommonStockCapitalShar"/>
      <w:bookmarkEnd w:id="797"/>
      <w:r>
        <w:rPr>
          <w:rFonts w:ascii="Times New Roman;Times;Serif" w:hAnsi="Times New Roman;Times;Serif"/>
          <w:b w:val="false"/>
          <w:i w:val="false"/>
          <w:caps w:val="false"/>
          <w:smallCaps w:val="false"/>
          <w:sz w:val="20"/>
        </w:rPr>
        <w:t>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t>The Company maintains an Employee Stock Purchase Plan (“</w:t>
      </w:r>
      <w:r>
        <w:rPr>
          <w:b/>
        </w:rPr>
        <w:t>ESPP</w:t>
      </w:r>
      <w:r>
        <w:rPr/>
        <w:t xml:space="preserve">”) which is designed to allow eligible employees and the eligible employees of our participating subsidiaries to purchase shares of our common stock, at semi-annual intervals, with their accumulated payroll deductions. A total of </w:t>
      </w:r>
      <w:bookmarkStart w:id="798" w:name="xdx_905_eus-gaap--StockIssuedDuringPerio"/>
      <w:bookmarkEnd w:id="798"/>
      <w:r>
        <w:rPr/>
        <w:t xml:space="preserve">2,464,400 shares of the Company’s common stock will initially be available for issuance under the ESPP. The share limit will automatically increase on the first trading day in January of each year by an amount equal to lesser of (1) </w:t>
      </w:r>
      <w:bookmarkStart w:id="799" w:name="xdx_90B_ecustom--OutstandingSharesPercen"/>
      <w:bookmarkEnd w:id="799"/>
      <w:r>
        <w:rPr/>
        <w:t xml:space="preserve">1% of the total number of outstanding shares of our common stock on December 31 in the prior year, (2) </w:t>
      </w:r>
      <w:bookmarkStart w:id="800" w:name="xdx_906_eus-gaap--StockIssuedDuringPerio"/>
      <w:bookmarkEnd w:id="800"/>
      <w:r>
        <w:rPr/>
        <w:t>1,500,000 shares, or (3) such number as determined by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1" w:name="xdx_892_eus-gaap--ScheduleOfShareBasedCo"/>
      <w:bookmarkEnd w:id="801"/>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caps w:val="false"/>
          <w:smallCaps w:val="false"/>
        </w:rPr>
      </w:pPr>
      <w:r>
        <w:rPr>
          <w:caps w:val="false"/>
          <w:smallCaps w:val="false"/>
        </w:rPr>
        <w:t> </w:t>
      </w:r>
      <w:bookmarkStart w:id="802" w:name="xdx_8BA_zeIZVFGg7gqd"/>
      <w:bookmarkEnd w:id="802"/>
      <w:r>
        <w:rPr>
          <w:rFonts w:ascii="Times New Roman;Times;Serif" w:hAnsi="Times New Roman;Times;Serif"/>
          <w:b w:val="false"/>
          <w:i w:val="false"/>
          <w:caps w:val="false"/>
          <w:smallCaps w:val="false"/>
          <w:sz w:val="20"/>
        </w:rPr>
        <w:t>SCHEDULE OF OPTION ACTIVITY AND RELATED INFORMATION</w:t>
      </w:r>
    </w:p>
    <w:tbl>
      <w:tblPr>
        <w:tblW w:w="10205" w:type="dxa"/>
        <w:jc w:val="left"/>
        <w:tblInd w:w="0" w:type="dxa"/>
        <w:tblLayout w:type="fixed"/>
        <w:tblCellMar>
          <w:top w:w="0" w:type="dxa"/>
          <w:left w:w="0" w:type="dxa"/>
          <w:bottom w:w="0" w:type="dxa"/>
          <w:right w:w="0" w:type="dxa"/>
        </w:tblCellMar>
      </w:tblPr>
      <w:tblGrid>
        <w:gridCol w:w="1682"/>
        <w:gridCol w:w="60"/>
        <w:gridCol w:w="60"/>
        <w:gridCol w:w="845"/>
        <w:gridCol w:w="80"/>
        <w:gridCol w:w="60"/>
        <w:gridCol w:w="246"/>
        <w:gridCol w:w="1112"/>
        <w:gridCol w:w="60"/>
        <w:gridCol w:w="60"/>
        <w:gridCol w:w="238"/>
        <w:gridCol w:w="1418"/>
        <w:gridCol w:w="60"/>
        <w:gridCol w:w="60"/>
        <w:gridCol w:w="318"/>
        <w:gridCol w:w="2030"/>
        <w:gridCol w:w="60"/>
        <w:gridCol w:w="60"/>
        <w:gridCol w:w="282"/>
        <w:gridCol w:w="1334"/>
        <w:gridCol w:w="80"/>
      </w:tblGrid>
      <w:tr>
        <w:trPr/>
        <w:tc>
          <w:tcPr>
            <w:tcW w:w="16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bookmarkStart w:id="803" w:name="xdx_F56_zEcJ2vlXV02f"/>
            <w:bookmarkEnd w:id="803"/>
            <w:r>
              <w:rPr>
                <w:rFonts w:ascii="Times New Roman;Times;Serif" w:hAnsi="Times New Roman;Times;Serif"/>
                <w:b w:val="false"/>
                <w:i w:val="false"/>
                <w:caps w:val="false"/>
                <w:smallCaps w:val="false"/>
                <w:position w:val="7"/>
                <w:sz w:val="16"/>
                <w:sz w:val="20"/>
              </w:rP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Weighted- </w:t>
              <w:b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Weighted- </w:t>
              <w:br/>
              <w:t>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 Intrinsic value</w:t>
            </w:r>
          </w:p>
        </w:tc>
        <w:tc>
          <w:tcPr>
            <w:tcW w:w="80" w:type="dxa"/>
            <w:tcBorders/>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January 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4" w:name="xdx_98B_eus-gaap--ShareBasedCompensation"/>
            <w:bookmarkEnd w:id="804"/>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3,029,791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5" w:name="xdx_98B_eus-gaap--ShareBasedCompensation"/>
            <w:bookmarkEnd w:id="805"/>
          </w:p>
        </w:tc>
        <w:tc>
          <w:tcPr>
            <w:tcW w:w="1112"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6" w:name="xdx_983_eus-gaap--SharebasedCompensation"/>
            <w:bookmarkEnd w:id="806"/>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07" w:name="xdx_90D_ecustom--SharebasedCompensationA"/>
            <w:bookmarkEnd w:id="807"/>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8" w:name="xdx_98D_ecustom--ShareBasedCompensationA"/>
            <w:bookmarkEnd w:id="808"/>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651</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09" w:name="xdx_98A_eus-gaap--ShareBasedCompensation"/>
            <w:bookmarkEnd w:id="80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2,069,309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810" w:name="xdx_98B_eus-gaap--ShareBasedCompensation"/>
            <w:bookmarkEnd w:id="810"/>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811" w:name="xdx_982_eus-gaap--ShareBasedCompensation"/>
            <w:bookmarkEnd w:id="811"/>
          </w:p>
        </w:tc>
        <w:tc>
          <w:tcPr>
            <w:tcW w:w="1418"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bookmarkStart w:id="812" w:name="xdx_98E_ecustom--ShareBasedCompensationA"/>
            <w:bookmarkEnd w:id="812"/>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3,551</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13" w:name="xdx_98D_eus-gaap--ShareBasedCompensation"/>
            <w:bookmarkEnd w:id="81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(421,094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bookmarkStart w:id="814" w:name="xdx_981_eus-gaap--ShareBasedCompensation"/>
            <w:bookmarkEnd w:id="814"/>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815" w:name="xdx_984_eus-gaap--SharebasedCompensation"/>
            <w:bookmarkEnd w:id="815"/>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bookmarkStart w:id="816" w:name="xdx_983_ecustom--ShareBasedCompensationA"/>
            <w:bookmarkEnd w:id="816"/>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17" w:name="xdx_980_eus-gaap--StockIssuedDuringPerio"/>
            <w:bookmarkEnd w:id="817"/>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(987,051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18" w:name="xdx_988_eus-gaap--ShareBasedCompensation"/>
            <w:bookmarkEnd w:id="818"/>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19" w:name="xdx_980_eus-gaap--SharebasedCompensation"/>
            <w:bookmarkEnd w:id="819"/>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20" w:name="xdx_987_eus-gaap--ShareBasedCompensation"/>
            <w:bookmarkEnd w:id="820"/>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1" w:name="xdx_989_eus-gaap--ShareBasedCompensation"/>
            <w:bookmarkEnd w:id="821"/>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3,690,955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2" w:name="xdx_985_eus-gaap--ShareBasedCompensation"/>
            <w:bookmarkEnd w:id="822"/>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3" w:name="xdx_98B_eus-gaap--SharebasedCompensation"/>
            <w:bookmarkEnd w:id="823"/>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4" w:name="xdx_909_eus-gaap--SharebasedCompensation"/>
            <w:bookmarkEnd w:id="824"/>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5" w:name="xdx_981_ecustom--ShareBasedCompensationA"/>
            <w:bookmarkEnd w:id="825"/>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6,550</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6" w:name="xdx_98C_eus-gaap--ShareBasedCompensation"/>
            <w:bookmarkEnd w:id="826"/>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3,690,955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7" w:name="xdx_986_eus-gaap--ShareBasedCompensation"/>
            <w:bookmarkEnd w:id="827"/>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8" w:name="xdx_982_eus-gaap--SharebasedCompensation"/>
            <w:bookmarkEnd w:id="828"/>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9" w:name="xdx_904_ecustom--SharebasedCompensationA"/>
            <w:bookmarkEnd w:id="829"/>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0" w:name="xdx_98E_ecustom--ShareBasedCompensationA"/>
            <w:bookmarkEnd w:id="830"/>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6,550</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1" w:name="xdx_984_eus-gaap--ShareBasedCompensation"/>
            <w:bookmarkEnd w:id="83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832" w:name="xdx_984_eus-gaap--ShareBasedCompensation"/>
            <w:bookmarkEnd w:id="832"/>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833" w:name="xdx_98C_eus-gaap--ShareBasedCompensation"/>
            <w:bookmarkEnd w:id="833"/>
          </w:p>
        </w:tc>
        <w:tc>
          <w:tcPr>
            <w:tcW w:w="14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bookmarkStart w:id="834" w:name="xdx_983_ecustom--ShareBasedCompensationA"/>
            <w:bookmarkEnd w:id="834"/>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5" w:name="xdx_98E_eus-gaap--ShareBasedCompensation"/>
            <w:bookmarkEnd w:id="835"/>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bookmarkStart w:id="836" w:name="xdx_984_eus-gaap--ShareBasedCompensation"/>
            <w:bookmarkEnd w:id="836"/>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837" w:name="xdx_98C_eus-gaap--SharebasedCompensation"/>
            <w:bookmarkEnd w:id="837"/>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bookmarkStart w:id="838" w:name="xdx_986_ecustom--ShareBasedCompensationA"/>
            <w:bookmarkEnd w:id="838"/>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39" w:name="xdx_98C_eus-gaap--StockIssuedDuringPerio"/>
            <w:bookmarkEnd w:id="839"/>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(581,351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40" w:name="xdx_98D_eus-gaap--ShareBasedCompensation"/>
            <w:bookmarkEnd w:id="840"/>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41" w:name="xdx_98D_eus-gaap--SharebasedCompensation"/>
            <w:bookmarkEnd w:id="841"/>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42" w:name="xdx_985_eus-gaap--ShareBasedCompensation"/>
            <w:bookmarkEnd w:id="842"/>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43" w:name="xdx_98B_eus-gaap--ShareBasedCompensation"/>
            <w:bookmarkEnd w:id="843"/>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3,642,958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4" w:name="xdx_98C_eus-gaap--ShareBasedCompensation"/>
            <w:bookmarkEnd w:id="844"/>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5" w:name="xdx_985_eus-gaap--SharebasedCompensation"/>
            <w:bookmarkEnd w:id="845"/>
          </w:p>
        </w:tc>
        <w:tc>
          <w:tcPr>
            <w:tcW w:w="14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46" w:name="xdx_90B_eus-gaap--SharebasedCompensation"/>
            <w:bookmarkEnd w:id="846"/>
            <w:r>
              <w:rPr>
                <w:rFonts w:ascii="Times New Roman;Times;Serif" w:hAnsi="Times New Roman;Times;Serif"/>
                <w:sz w:val="20"/>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7" w:name="xdx_98D_ecustom--ShareBasedCompensationA"/>
            <w:bookmarkEnd w:id="847"/>
          </w:p>
        </w:tc>
        <w:tc>
          <w:tcPr>
            <w:tcW w:w="13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35,898</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8" w:name="xdx_989_eus-gaap--ShareBasedCompensation"/>
            <w:bookmarkEnd w:id="848"/>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1,646,304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9" w:name="xdx_987_eus-gaap--ShareBasedCompensation"/>
            <w:bookmarkEnd w:id="849"/>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rFonts w:ascii="Times New Roman;Times;Serif" w:hAnsi="Times New Roman;Times;Serif"/>
                <w:sz w:val="20"/>
              </w:rPr>
            </w:pPr>
            <w:bookmarkStart w:id="850" w:name="xdx_902_eus-gaap--SharebasedCompensation"/>
            <w:bookmarkEnd w:id="850"/>
            <w:r>
              <w:rPr>
                <w:rFonts w:ascii="Times New Roman;Times;Serif" w:hAnsi="Times New Roman;Times;Serif"/>
                <w:sz w:val="20"/>
              </w:rPr>
              <w:t>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1" w:name="xdx_986_eus-gaap--ShareBasedCompensation"/>
            <w:bookmarkEnd w:id="851"/>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17,114</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expected to vest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2" w:name="xdx_981_eus-gaap--ShareBasedCompensation"/>
            <w:bookmarkEnd w:id="852"/>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3,642,958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3" w:name="xdx_985_eus-gaap--ShareBasedCompensation"/>
            <w:bookmarkEnd w:id="853"/>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54" w:name="xdx_903_eus-gaap--SharebasedCompensation"/>
            <w:bookmarkEnd w:id="854"/>
            <w:r>
              <w:rPr>
                <w:rFonts w:ascii="Times New Roman;Times;Serif" w:hAnsi="Times New Roman;Times;Serif"/>
                <w:sz w:val="20"/>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5" w:name="xdx_98E_eus-gaap--ShareBasedCompensation"/>
            <w:bookmarkEnd w:id="855"/>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35,898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23"/>
        <w:gridCol w:w="9958"/>
      </w:tblGrid>
      <w:tr>
        <w:trPr/>
        <w:tc>
          <w:tcPr>
            <w:tcW w:w="224" w:type="dxa"/>
            <w:tcBorders/>
            <w:vAlign w:val="center"/>
          </w:tcPr>
          <w:p>
            <w:pPr>
              <w:pStyle w:val="TableContents"/>
              <w:bidi w:val="0"/>
              <w:spacing w:before="0" w:after="283"/>
              <w:jc w:val="right"/>
              <w:rPr>
                <w:rFonts w:ascii="Times New Roman;Times;Serif" w:hAnsi="Times New Roman;Times;Serif"/>
                <w:i/>
                <w:sz w:val="20"/>
              </w:rPr>
            </w:pPr>
            <w:bookmarkStart w:id="856" w:name="xdx_F07_zDuPsETOwsHa"/>
            <w:bookmarkEnd w:id="856"/>
            <w:r>
              <w:rPr>
                <w:rFonts w:ascii="Times New Roman;Times;Serif" w:hAnsi="Times New Roman;Times;Serif"/>
                <w:i/>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58" w:type="dxa"/>
            <w:tcBorders/>
            <w:vAlign w:val="center"/>
          </w:tcPr>
          <w:p>
            <w:pPr>
              <w:pStyle w:val="TableContents"/>
              <w:bidi w:val="0"/>
              <w:spacing w:before="0" w:after="283"/>
              <w:jc w:val="both"/>
              <w:rPr>
                <w:rFonts w:ascii="Times New Roman;Times;Serif" w:hAnsi="Times New Roman;Times;Serif"/>
                <w:i/>
                <w:sz w:val="20"/>
              </w:rPr>
            </w:pPr>
            <w:bookmarkStart w:id="857" w:name="xdx_F1A_zjIFRbiLIe4j"/>
            <w:bookmarkEnd w:id="857"/>
            <w:r>
              <w:rPr>
                <w:rFonts w:ascii="Times New Roman;Times;Serif" w:hAnsi="Times New Roman;Times;Serif"/>
                <w:i/>
                <w:sz w:val="20"/>
              </w:rPr>
              <w:t xml:space="preserve">Number of options and weighted average exercise price has been adjusted to reflect the exchange of Legacy Dragonfly’s stock options for New Dragonfly stock options at an exchange ratio of approximately </w:t>
            </w:r>
            <w:bookmarkStart w:id="858" w:name="xdx_909_eus-gaap--StockholdersEquityNote"/>
            <w:bookmarkStart w:id="859" w:name="xdx_90C_eus-gaap--StockholdersEquityNote"/>
            <w:bookmarkEnd w:id="858"/>
            <w:bookmarkEnd w:id="859"/>
            <w:r>
              <w:rPr>
                <w:rFonts w:ascii="Times New Roman;Times;Serif" w:hAnsi="Times New Roman;Times;Serif"/>
                <w:i/>
                <w:sz w:val="20"/>
              </w:rPr>
              <w:t>1.182 as a result of the merger. See Note 3 for further information.</w:t>
            </w:r>
          </w:p>
        </w:tc>
      </w:tr>
    </w:tbl>
    <w:p>
      <w:pPr>
        <w:pStyle w:val="TextBody"/>
        <w:bidi w:val="0"/>
        <w:spacing w:before="0" w:after="0"/>
        <w:ind w:left="0" w:right="0" w:hanging="0"/>
        <w:jc w:val="both"/>
        <w:rPr>
          <w:caps w:val="false"/>
          <w:smallCaps w:val="false"/>
        </w:rPr>
      </w:pPr>
      <w:bookmarkStart w:id="860" w:name="xdx_8A5_zR6Zqwi6r0S2"/>
      <w:bookmarkEnd w:id="86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861" w:name="xdx_902_eus-gaap--AllocatedShareBasedCom"/>
      <w:bookmarkEnd w:id="861"/>
      <w:r>
        <w:rPr>
          <w:rFonts w:ascii="Times New Roman;Times;Serif" w:hAnsi="Times New Roman;Times;Serif"/>
          <w:b w:val="false"/>
          <w:i w:val="false"/>
          <w:caps w:val="false"/>
          <w:smallCaps w:val="false"/>
          <w:sz w:val="20"/>
        </w:rPr>
        <w:t>2,467 and $</w:t>
      </w:r>
      <w:bookmarkStart w:id="862" w:name="xdx_90F_eus-gaap--AllocatedShareBasedCom"/>
      <w:bookmarkEnd w:id="862"/>
      <w:r>
        <w:rPr>
          <w:rFonts w:ascii="Times New Roman;Times;Serif" w:hAnsi="Times New Roman;Times;Serif"/>
          <w:b w:val="false"/>
          <w:i w:val="false"/>
          <w:caps w:val="false"/>
          <w:smallCaps w:val="false"/>
          <w:sz w:val="20"/>
        </w:rPr>
        <w:t>734 was recognized in the Company’s consolidated statements of operations for the years ended December 31, 2022 and 2021, respectively. Of the $</w:t>
      </w:r>
      <w:bookmarkStart w:id="863" w:name="xdx_90C_eus-gaap--AllocatedShareBasedCom"/>
      <w:bookmarkEnd w:id="863"/>
      <w:r>
        <w:rPr>
          <w:rFonts w:ascii="Times New Roman;Times;Serif" w:hAnsi="Times New Roman;Times;Serif"/>
          <w:b w:val="false"/>
          <w:i w:val="false"/>
          <w:caps w:val="false"/>
          <w:smallCaps w:val="false"/>
          <w:sz w:val="20"/>
        </w:rPr>
        <w:t>2,467 of share-based compensation incurred during the year ended December 31, 2022, $</w:t>
      </w:r>
      <w:bookmarkStart w:id="864" w:name="xdx_90C_eus-gaap--AllocatedShareBasedCom"/>
      <w:bookmarkEnd w:id="864"/>
      <w:r>
        <w:rPr>
          <w:rFonts w:ascii="Times New Roman;Times;Serif" w:hAnsi="Times New Roman;Times;Serif"/>
          <w:b w:val="false"/>
          <w:i w:val="false"/>
          <w:caps w:val="false"/>
          <w:smallCaps w:val="false"/>
          <w:sz w:val="20"/>
        </w:rPr>
        <w:t>155 is allocated to cost of goods sold, $</w:t>
      </w:r>
      <w:bookmarkStart w:id="865" w:name="xdx_900_eus-gaap--AllocatedShareBasedCom"/>
      <w:bookmarkEnd w:id="865"/>
      <w:r>
        <w:rPr>
          <w:rFonts w:ascii="Times New Roman;Times;Serif" w:hAnsi="Times New Roman;Times;Serif"/>
          <w:b w:val="false"/>
          <w:i w:val="false"/>
          <w:caps w:val="false"/>
          <w:smallCaps w:val="false"/>
          <w:sz w:val="20"/>
        </w:rPr>
        <w:t>149 to research and development, $</w:t>
      </w:r>
      <w:bookmarkStart w:id="866" w:name="xdx_905_eus-gaap--AllocatedShareBasedCom"/>
      <w:bookmarkEnd w:id="866"/>
      <w:r>
        <w:rPr>
          <w:rFonts w:ascii="Times New Roman;Times;Serif" w:hAnsi="Times New Roman;Times;Serif"/>
          <w:b w:val="false"/>
          <w:i w:val="false"/>
          <w:caps w:val="false"/>
          <w:smallCaps w:val="false"/>
          <w:sz w:val="20"/>
        </w:rPr>
        <w:t>654 to selling and marketing, and $</w:t>
      </w:r>
      <w:bookmarkStart w:id="867" w:name="xdx_90B_eus-gaap--AllocatedShareBasedCom"/>
      <w:bookmarkEnd w:id="867"/>
      <w:r>
        <w:rPr>
          <w:rFonts w:ascii="Times New Roman;Times;Serif" w:hAnsi="Times New Roman;Times;Serif"/>
          <w:b w:val="false"/>
          <w:i w:val="false"/>
          <w:caps w:val="false"/>
          <w:smallCaps w:val="false"/>
          <w:sz w:val="20"/>
        </w:rPr>
        <w:t>1,509 to general and administrative expenses. Of the $</w:t>
      </w:r>
      <w:bookmarkStart w:id="868" w:name="xdx_90E_eus-gaap--AllocatedShareBasedCom"/>
      <w:bookmarkEnd w:id="868"/>
      <w:r>
        <w:rPr>
          <w:rFonts w:ascii="Times New Roman;Times;Serif" w:hAnsi="Times New Roman;Times;Serif"/>
          <w:b w:val="false"/>
          <w:i w:val="false"/>
          <w:caps w:val="false"/>
          <w:smallCaps w:val="false"/>
          <w:sz w:val="20"/>
        </w:rPr>
        <w:t>734 of share-based compensation incurred during the year ended December 31, 2021, $</w:t>
      </w:r>
      <w:bookmarkStart w:id="869" w:name="xdx_907_eus-gaap--AllocatedShareBasedCom"/>
      <w:bookmarkEnd w:id="869"/>
      <w:r>
        <w:rPr>
          <w:rFonts w:ascii="Times New Roman;Times;Serif" w:hAnsi="Times New Roman;Times;Serif"/>
          <w:b w:val="false"/>
          <w:i w:val="false"/>
          <w:caps w:val="false"/>
          <w:smallCaps w:val="false"/>
          <w:sz w:val="20"/>
        </w:rPr>
        <w:t>252 is allocated to cost of goods sold, $</w:t>
      </w:r>
      <w:bookmarkStart w:id="870" w:name="xdx_90D_eus-gaap--AllocatedShareBasedCom"/>
      <w:bookmarkEnd w:id="870"/>
      <w:r>
        <w:rPr>
          <w:rFonts w:ascii="Times New Roman;Times;Serif" w:hAnsi="Times New Roman;Times;Serif"/>
          <w:b w:val="false"/>
          <w:i w:val="false"/>
          <w:caps w:val="false"/>
          <w:smallCaps w:val="false"/>
          <w:sz w:val="20"/>
        </w:rPr>
        <w:t>95 to research and development, $</w:t>
      </w:r>
      <w:bookmarkStart w:id="871" w:name="xdx_903_eus-gaap--AllocatedShareBasedCom"/>
      <w:bookmarkEnd w:id="871"/>
      <w:r>
        <w:rPr>
          <w:rFonts w:ascii="Times New Roman;Times;Serif" w:hAnsi="Times New Roman;Times;Serif"/>
          <w:b w:val="false"/>
          <w:i w:val="false"/>
          <w:caps w:val="false"/>
          <w:smallCaps w:val="false"/>
          <w:sz w:val="20"/>
        </w:rPr>
        <w:t>156 to selling and marketing, and $</w:t>
      </w:r>
      <w:bookmarkStart w:id="872" w:name="xdx_902_eus-gaap--AllocatedShareBasedCom"/>
      <w:bookmarkEnd w:id="872"/>
      <w:r>
        <w:rPr>
          <w:rFonts w:ascii="Times New Roman;Times;Serif" w:hAnsi="Times New Roman;Times;Serif"/>
          <w:b w:val="false"/>
          <w:i w:val="false"/>
          <w:caps w:val="false"/>
          <w:smallCaps w:val="false"/>
          <w:sz w:val="20"/>
        </w:rPr>
        <w:t>231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2022, there were </w:t>
      </w:r>
      <w:bookmarkStart w:id="873" w:name="xdx_907_eus-gaap--ShareBasedCompensation"/>
      <w:bookmarkEnd w:id="873"/>
      <w:r>
        <w:rPr>
          <w:rFonts w:ascii="Times New Roman;Times;Serif" w:hAnsi="Times New Roman;Times;Serif"/>
          <w:b w:val="false"/>
          <w:i w:val="false"/>
          <w:caps w:val="false"/>
          <w:smallCaps w:val="false"/>
          <w:sz w:val="20"/>
        </w:rPr>
        <w:t>4,924,914 shares of unissued authorized and available for future awards under the plans.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pStyle w:val="TextBody"/>
        <w:bidi w:val="0"/>
        <w:spacing w:before="0" w:after="0"/>
        <w:ind w:left="0" w:right="0" w:hanging="0"/>
        <w:jc w:val="both"/>
        <w:rPr>
          <w:caps w:val="false"/>
          <w:smallCaps w:val="false"/>
        </w:rPr>
      </w:pPr>
      <w:bookmarkStart w:id="874" w:name="xdx_890_eus-gaap--ScheduleOfShareBasedPa"/>
      <w:bookmarkEnd w:id="874"/>
      <w:r>
        <w:rPr>
          <w:caps w:val="false"/>
          <w:smallCaps w:val="false"/>
        </w:rPr>
        <w:t> </w:t>
      </w:r>
      <w:bookmarkStart w:id="875" w:name="xdx_8BF_zwWFuhv0qKu"/>
      <w:bookmarkEnd w:id="875"/>
      <w:r>
        <w:rPr>
          <w:rFonts w:ascii="Times New Roman;Times;Serif" w:hAnsi="Times New Roman;Times;Serif"/>
          <w:b w:val="false"/>
          <w:i w:val="false"/>
          <w:caps w:val="false"/>
          <w:smallCaps w:val="false"/>
          <w:sz w:val="20"/>
        </w:rPr>
        <w:t>SCHEDULE OF VALUATION ASSUMPTIONS OF OPTIONS</w:t>
      </w:r>
    </w:p>
    <w:tbl>
      <w:tblPr>
        <w:tblW w:w="6265" w:type="dxa"/>
        <w:jc w:val="left"/>
        <w:tblInd w:w="0" w:type="dxa"/>
        <w:tblLayout w:type="fixed"/>
        <w:tblCellMar>
          <w:top w:w="0" w:type="dxa"/>
          <w:left w:w="0" w:type="dxa"/>
          <w:bottom w:w="0" w:type="dxa"/>
          <w:right w:w="0" w:type="dxa"/>
        </w:tblCellMar>
      </w:tblPr>
      <w:tblGrid>
        <w:gridCol w:w="4460"/>
        <w:gridCol w:w="60"/>
        <w:gridCol w:w="140"/>
        <w:gridCol w:w="635"/>
        <w:gridCol w:w="60"/>
        <w:gridCol w:w="60"/>
        <w:gridCol w:w="140"/>
        <w:gridCol w:w="635"/>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6" w:name="xdx_980_eus-gaap--ShareBasedCompensation"/>
            <w:bookmarkEnd w:id="876"/>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7" w:name="xdx_988_eus-gaap--ShareBasedCompensation"/>
            <w:bookmarkEnd w:id="877"/>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8" w:name="xdx_98B_eus-gaap--ShareBasedCompensation"/>
            <w:bookmarkEnd w:id="878"/>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9" w:name="xdx_98A_eus-gaap--ShareBasedCompensation"/>
            <w:bookmarkEnd w:id="879"/>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0" w:name="xdx_985_eus-gaap--ShareBasedCompensation"/>
            <w:bookmarkEnd w:id="880"/>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1" w:name="xdx_98B_eus-gaap--ShareBasedCompensation"/>
            <w:bookmarkEnd w:id="881"/>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life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bookmarkStart w:id="882" w:name="xdx_909_eus-gaap--SharebasedCompensation"/>
            <w:bookmarkEnd w:id="882"/>
            <w:r>
              <w:rPr>
                <w:rFonts w:ascii="Times New Roman;Times;Serif" w:hAnsi="Times New Roman;Times;Serif"/>
              </w:rPr>
              <w:t>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bookmarkStart w:id="883" w:name="xdx_906_eus-gaap--SharebasedCompensation"/>
            <w:bookmarkEnd w:id="883"/>
            <w:r>
              <w:rPr>
                <w:rFonts w:ascii="Times New Roman;Times;Serif" w:hAnsi="Times New Roman;Times;Serif"/>
              </w:rPr>
              <w:t>6.02</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4" w:name="xdx_980_eus-gaap--ShareBasedCompensation"/>
            <w:bookmarkEnd w:id="884"/>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5" w:name="xdx_980_eus-gaap--ShareBasedCompensation"/>
            <w:bookmarkEnd w:id="885"/>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86" w:name="xdx_8AE_zZJ0s21UZrRi"/>
      <w:bookmarkEnd w:id="886"/>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the Company granted </w:t>
      </w:r>
      <w:bookmarkStart w:id="887" w:name="xdx_90E_eus-gaap--ShareBasedCompensation"/>
      <w:bookmarkEnd w:id="887"/>
      <w:r>
        <w:rPr>
          <w:rFonts w:ascii="Times New Roman;Times;Serif" w:hAnsi="Times New Roman;Times;Serif"/>
          <w:b w:val="false"/>
          <w:i w:val="false"/>
          <w:caps w:val="false"/>
          <w:smallCaps w:val="false"/>
          <w:sz w:val="20"/>
        </w:rPr>
        <w:t>180,000 restricted stock units under the 2022 plan which vest one year from the grant date. The fair value of the restricted stock units on the date of grant was $</w:t>
      </w:r>
      <w:bookmarkStart w:id="888" w:name="xdx_906_eus-gaap--StockIssuedDuringPerio"/>
      <w:bookmarkEnd w:id="888"/>
      <w:r>
        <w:rPr>
          <w:rFonts w:ascii="Times New Roman;Times;Serif" w:hAnsi="Times New Roman;Times;Serif"/>
          <w:b w:val="false"/>
          <w:i w:val="false"/>
          <w:caps w:val="false"/>
          <w:smallCaps w:val="false"/>
          <w:sz w:val="20"/>
        </w:rPr>
        <w:t>2,520, which is recognized as compensation expense over the requisite service period based on the value of the underlying shares on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89" w:name="xdx_89C_eus-gaap--ScheduleOfUnvestedRest"/>
      <w:bookmarkEnd w:id="889"/>
      <w:r>
        <w:rPr>
          <w:rFonts w:ascii="Times New Roman;Times;Serif" w:hAnsi="Times New Roman;Times;Serif"/>
          <w:b w:val="false"/>
          <w:i w:val="false"/>
          <w:caps w:val="false"/>
          <w:smallCaps w:val="false"/>
          <w:sz w:val="20"/>
        </w:rPr>
        <w:t>There were no grants of restricted stock units prior to October 7, 2022. The following table presents the restricted stock units activity for the year ended December 31, 2022:</w:t>
      </w:r>
    </w:p>
    <w:p>
      <w:pPr>
        <w:pStyle w:val="TextBody"/>
        <w:bidi w:val="0"/>
        <w:jc w:val="both"/>
        <w:rPr>
          <w:caps w:val="false"/>
          <w:smallCaps w:val="false"/>
        </w:rPr>
      </w:pPr>
      <w:r>
        <w:rPr>
          <w:caps w:val="false"/>
          <w:smallCaps w:val="false"/>
        </w:rPr>
        <w:t> </w:t>
      </w:r>
      <w:bookmarkStart w:id="890" w:name="xdx_8B5_zDeJaufAlDF6"/>
      <w:bookmarkEnd w:id="890"/>
      <w:r>
        <w:rPr>
          <w:rFonts w:ascii="Times New Roman;Times;Serif" w:hAnsi="Times New Roman;Times;Serif"/>
          <w:b w:val="false"/>
          <w:i w:val="false"/>
          <w:caps w:val="false"/>
          <w:smallCaps w:val="false"/>
          <w:sz w:val="20"/>
        </w:rPr>
        <w:t>SCHEDULE OF RESTRICTED STOCK UNITS ACTIVITY</w:t>
      </w:r>
    </w:p>
    <w:tbl>
      <w:tblPr>
        <w:tblW w:w="9194" w:type="dxa"/>
        <w:jc w:val="left"/>
        <w:tblInd w:w="0" w:type="dxa"/>
        <w:tblLayout w:type="fixed"/>
        <w:tblCellMar>
          <w:top w:w="0" w:type="dxa"/>
          <w:left w:w="0" w:type="dxa"/>
          <w:bottom w:w="0" w:type="dxa"/>
          <w:right w:w="0" w:type="dxa"/>
        </w:tblCellMar>
      </w:tblPr>
      <w:tblGrid>
        <w:gridCol w:w="3575"/>
        <w:gridCol w:w="60"/>
        <w:gridCol w:w="121"/>
        <w:gridCol w:w="1623"/>
        <w:gridCol w:w="60"/>
        <w:gridCol w:w="60"/>
        <w:gridCol w:w="724"/>
        <w:gridCol w:w="2896"/>
        <w:gridCol w:w="75"/>
      </w:tblGrid>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0" w:type="dxa"/>
            <w:gridSpan w:val="2"/>
            <w:tcBorders>
              <w:bottom w:val="single" w:sz="12" w:space="0" w:color="000000"/>
            </w:tcBorders>
            <w:tcMar>
              <w:bottom w:w="28" w:type="dxa"/>
            </w:tcMar>
            <w:vAlign w:val="center"/>
          </w:tcPr>
          <w:p>
            <w:pPr>
              <w:pStyle w:val="TableContents"/>
              <w:bidi w:val="0"/>
              <w:spacing w:before="0" w:after="283"/>
              <w:jc w:val="center"/>
              <w:rPr/>
            </w:pPr>
            <w:r>
              <w:rPr/>
              <w:t>Weighted-Average Fair Market Value</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Unvested shares, December 31, 2021</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bookmarkStart w:id="891" w:name="xdx_982_eus-gaap--ShareBasedCompensation"/>
            <w:bookmarkEnd w:id="891"/>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left"/>
              <w:rPr/>
            </w:pPr>
            <w:r>
              <w:rPr/>
              <w:t> </w:t>
            </w:r>
            <w:bookmarkStart w:id="892" w:name="xdx_980_eus-gaap--ShareBasedCompensation"/>
            <w:bookmarkEnd w:id="892"/>
          </w:p>
        </w:tc>
        <w:tc>
          <w:tcPr>
            <w:tcW w:w="28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bookmarkStart w:id="893" w:name="xdx_98B_eus-gaap--ShareBasedCompensation"/>
            <w:bookmarkEnd w:id="893"/>
          </w:p>
        </w:tc>
        <w:tc>
          <w:tcPr>
            <w:tcW w:w="1623" w:type="dxa"/>
            <w:tcBorders/>
            <w:shd w:fill="FFFFFF" w:val="clear"/>
            <w:vAlign w:val="center"/>
          </w:tcPr>
          <w:p>
            <w:pPr>
              <w:pStyle w:val="TableContents"/>
              <w:bidi w:val="0"/>
              <w:spacing w:before="0" w:after="283"/>
              <w:jc w:val="right"/>
              <w:rPr/>
            </w:pPr>
            <w:r>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left"/>
              <w:rPr/>
            </w:pPr>
            <w:r>
              <w:rPr/>
              <w:t>$</w:t>
            </w:r>
            <w:bookmarkStart w:id="894" w:name="xdx_981_eus-gaap--ShareBasedCompensation"/>
            <w:bookmarkEnd w:id="894"/>
          </w:p>
        </w:tc>
        <w:tc>
          <w:tcPr>
            <w:tcW w:w="2896"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bookmarkStart w:id="895" w:name="xdx_983_eus-gaap--ShareBasedCompensation"/>
            <w:bookmarkEnd w:id="895"/>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left"/>
              <w:rPr/>
            </w:pPr>
            <w:r>
              <w:rPr/>
              <w:t> </w:t>
            </w:r>
            <w:bookmarkStart w:id="896" w:name="xdx_986_eus-gaap--ShareBasedCompensation"/>
            <w:bookmarkEnd w:id="896"/>
          </w:p>
        </w:tc>
        <w:tc>
          <w:tcPr>
            <w:tcW w:w="28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Forfeited/Cancelled</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97" w:name="xdx_984_eus-gaap--ShareBasedCompensation"/>
            <w:bookmarkEnd w:id="897"/>
          </w:p>
        </w:tc>
        <w:tc>
          <w:tcPr>
            <w:tcW w:w="16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98" w:name="xdx_985_eus-gaap--ShareBasedCompensation"/>
            <w:bookmarkEnd w:id="898"/>
          </w:p>
        </w:tc>
        <w:tc>
          <w:tcPr>
            <w:tcW w:w="28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Unvested shares, December 31, 2022</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9" w:name="xdx_98D_eus-gaap--ShareBasedCompensation"/>
            <w:bookmarkEnd w:id="899"/>
          </w:p>
        </w:tc>
        <w:tc>
          <w:tcPr>
            <w:tcW w:w="1623" w:type="dxa"/>
            <w:tcBorders>
              <w:bottom w:val="double" w:sz="6" w:space="0" w:color="000000"/>
            </w:tcBorders>
            <w:shd w:fill="CCEEFF" w:val="clear"/>
            <w:tcMar>
              <w:bottom w:w="28" w:type="dxa"/>
            </w:tcM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00" w:name="xdx_989_eus-gaap--ShareBasedCompensation"/>
            <w:bookmarkEnd w:id="900"/>
          </w:p>
        </w:tc>
        <w:tc>
          <w:tcPr>
            <w:tcW w:w="2896" w:type="dxa"/>
            <w:tcBorders>
              <w:bottom w:val="double" w:sz="6" w:space="0" w:color="000000"/>
            </w:tcBorders>
            <w:shd w:fill="CCEEFF" w:val="clear"/>
            <w:tcMar>
              <w:bottom w:w="28" w:type="dxa"/>
            </w:tcMar>
            <w:vAlign w:val="center"/>
          </w:tcPr>
          <w:p>
            <w:pPr>
              <w:pStyle w:val="TableContents"/>
              <w:bidi w:val="0"/>
              <w:spacing w:before="0" w:after="283"/>
              <w:jc w:val="right"/>
              <w:rPr/>
            </w:pPr>
            <w:r>
              <w:rPr/>
              <w:t>14.00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Vested as of December 31, 2022</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1" w:name="xdx_98C_eus-gaap--SharebasedCompensation"/>
            <w:bookmarkEnd w:id="901"/>
          </w:p>
        </w:tc>
        <w:tc>
          <w:tcPr>
            <w:tcW w:w="162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02" w:name="xdx_980_ecustom--SharebasedCompensationA"/>
            <w:bookmarkEnd w:id="902"/>
          </w:p>
        </w:tc>
        <w:tc>
          <w:tcPr>
            <w:tcW w:w="289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03" w:name="xdx_8A0_zSqDpAy5ADwl"/>
      <w:bookmarkEnd w:id="903"/>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04" w:name="xdx_805_ecustom--RedeemableNoncontrollin"/>
      <w:bookmarkEnd w:id="904"/>
      <w:r>
        <w:rPr>
          <w:rFonts w:ascii="Times New Roman;Times;Serif" w:hAnsi="Times New Roman;Times;Serif"/>
          <w:b/>
          <w:i w:val="false"/>
          <w:caps/>
          <w:sz w:val="20"/>
        </w:rPr>
        <w:t xml:space="preserve">Note 15 - </w:t>
      </w:r>
      <w:bookmarkStart w:id="905" w:name="xdx_820_zdC07LEYgit8"/>
      <w:bookmarkEnd w:id="905"/>
      <w:r>
        <w:rPr>
          <w:rFonts w:ascii="Times New Roman;Times;Serif" w:hAnsi="Times New Roman;Times;Serif"/>
          <w:b/>
          <w:i w:val="false"/>
          <w:caps/>
          <w:sz w:val="20"/>
        </w:rPr>
        <w:t>REDEEMABLE PREFERRED STOCK RIGHTS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Legacy Redeemable Convertible Preferred Stock previously classified as temporary equity was retroactively adjusted, converted into common stock at an exchange ratio of approximately </w:t>
      </w:r>
      <w:bookmarkStart w:id="906" w:name="xdx_907_ecustom--RecapitalizationExchang"/>
      <w:bookmarkEnd w:id="906"/>
      <w:r>
        <w:rPr>
          <w:rFonts w:ascii="Times New Roman;Times;Serif" w:hAnsi="Times New Roman;Times;Serif"/>
          <w:b w:val="false"/>
          <w:i w:val="false"/>
          <w:caps w:val="false"/>
          <w:smallCaps w:val="false"/>
          <w:sz w:val="20"/>
        </w:rPr>
        <w:t>1.182, and reclassified to permanent equity as a result of the reverse recapitalization. As of December 31, 2022, there was no Legacy Redeemable Convertible Preferred Stock authorized,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rights and preferences of the Legacy Dragonfly Redeemable Convertible Preferred Stock prior to the conversion in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w:t>
      </w:r>
      <w:bookmarkStart w:id="907" w:name="xdx_909_eus-gaap--PreferredStockDividend"/>
      <w:bookmarkEnd w:id="907"/>
      <w:r>
        <w:rPr>
          <w:rFonts w:ascii="Times New Roman;Times;Serif" w:hAnsi="Times New Roman;Times;Serif"/>
          <w:b w:val="false"/>
          <w:i w:val="false"/>
          <w:caps w:val="false"/>
          <w:smallCaps w:val="false"/>
          <w:sz w:val="20"/>
        </w:rPr>
        <w:t>No dividends have been declared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record of the shares of Series A Preferred Stock, exclusively and as a separate class, shall be entitled to elect </w:t>
      </w:r>
      <w:bookmarkStart w:id="908" w:name="xdx_907_ecustom--NumberOfDirectorsElecte"/>
      <w:bookmarkEnd w:id="908"/>
      <w:r>
        <w:rPr>
          <w:rFonts w:ascii="Times New Roman;Times;Serif" w:hAnsi="Times New Roman;Times;Serif"/>
          <w:b w:val="false"/>
          <w:i w:val="false"/>
          <w:caps w:val="false"/>
          <w:smallCaps w:val="false"/>
          <w:sz w:val="20"/>
        </w:rPr>
        <w:t>one director of the Company (the “</w:t>
      </w:r>
      <w:r>
        <w:rPr>
          <w:rFonts w:ascii="Times New Roman;Times;Serif" w:hAnsi="Times New Roman;Times;Serif"/>
          <w:b/>
          <w:i w:val="false"/>
          <w:caps w:val="false"/>
          <w:smallCaps w:val="false"/>
          <w:sz w:val="20"/>
        </w:rPr>
        <w:t>Series A Director</w:t>
      </w:r>
      <w:r>
        <w:rPr>
          <w:rFonts w:ascii="Times New Roman;Times;Serif" w:hAnsi="Times New Roman;Times;Serif"/>
          <w:b w:val="false"/>
          <w:i w:val="false"/>
          <w:caps w:val="false"/>
          <w:smallCaps w:val="false"/>
          <w:sz w:val="20"/>
        </w:rPr>
        <w:t xml:space="preserve">”). The Series A Director shall be given </w:t>
      </w:r>
      <w:bookmarkStart w:id="909" w:name="xdx_90C_ecustom--NumberOfDirectorsElecte"/>
      <w:bookmarkEnd w:id="909"/>
      <w:r>
        <w:rPr>
          <w:rFonts w:ascii="Times New Roman;Times;Serif" w:hAnsi="Times New Roman;Times;Serif"/>
          <w:b w:val="false"/>
          <w:i w:val="false"/>
          <w:caps w:val="false"/>
          <w:smallCaps w:val="false"/>
          <w:sz w:val="20"/>
        </w:rPr>
        <w:t>two votes on any action requiring the vote or approval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record of the shares of common stock, exclusively and as a separate class, shall be entitled to elect </w:t>
      </w:r>
      <w:bookmarkStart w:id="910" w:name="xdx_904_ecustom--NumberOfVotesPerDirecto"/>
      <w:bookmarkEnd w:id="910"/>
      <w:r>
        <w:rPr>
          <w:rFonts w:ascii="Times New Roman;Times;Serif" w:hAnsi="Times New Roman;Times;Serif"/>
          <w:b w:val="false"/>
          <w:i w:val="false"/>
          <w:caps w:val="false"/>
          <w:smallCaps w:val="false"/>
          <w:sz w:val="20"/>
        </w:rPr>
        <w:t>two directors of the Company, the “</w:t>
      </w:r>
      <w:r>
        <w:rPr>
          <w:rFonts w:ascii="Times New Roman;Times;Serif" w:hAnsi="Times New Roman;Times;Serif"/>
          <w:b/>
          <w:i w:val="false"/>
          <w:caps w:val="false"/>
          <w:smallCaps w:val="false"/>
          <w:sz w:val="20"/>
        </w:rPr>
        <w:t>Common Stock Director A</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Common Stock Director B</w:t>
      </w:r>
      <w:r>
        <w:rPr>
          <w:rFonts w:ascii="Times New Roman;Times;Serif" w:hAnsi="Times New Roman;Times;Serif"/>
          <w:b w:val="false"/>
          <w:i w:val="false"/>
          <w:caps w:val="false"/>
          <w:smallCaps w:val="false"/>
          <w:sz w:val="20"/>
        </w:rPr>
        <w:t xml:space="preserve">”). The Common Stock Director A shall be given </w:t>
      </w:r>
      <w:bookmarkStart w:id="911" w:name="xdx_90E_ecustom--NumberOfVotesPerDirecto"/>
      <w:bookmarkEnd w:id="911"/>
      <w:r>
        <w:rPr>
          <w:rFonts w:ascii="Times New Roman;Times;Serif" w:hAnsi="Times New Roman;Times;Serif"/>
          <w:b w:val="false"/>
          <w:i w:val="false"/>
          <w:caps w:val="false"/>
          <w:smallCaps w:val="false"/>
          <w:sz w:val="20"/>
        </w:rPr>
        <w:t xml:space="preserve">three votes on any action requiring the vote or approval of the Board of Directors and the Common Stock Director B shall be given </w:t>
      </w:r>
      <w:bookmarkStart w:id="912" w:name="xdx_90C_ecustom--NumberOfVotesPerDirecto"/>
      <w:bookmarkEnd w:id="912"/>
      <w:r>
        <w:rPr>
          <w:rFonts w:ascii="Times New Roman;Times;Serif" w:hAnsi="Times New Roman;Times;Serif"/>
          <w:b w:val="false"/>
          <w:i w:val="false"/>
          <w:caps w:val="false"/>
          <w:smallCaps w:val="false"/>
          <w:sz w:val="20"/>
        </w:rPr>
        <w:t>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Liquidation, Dissolution or Winding Up; Certain Mergers, Consolidations and Assets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 or deemed liquidation event, as defined, the holders of shares of Series A Preferred Stock then outstanding (the “</w:t>
      </w:r>
      <w:r>
        <w:rPr>
          <w:rFonts w:ascii="Times New Roman;Times;Serif" w:hAnsi="Times New Roman;Times;Serif"/>
          <w:b/>
          <w:i w:val="false"/>
          <w:caps w:val="false"/>
          <w:smallCaps w:val="false"/>
          <w:sz w:val="20"/>
        </w:rPr>
        <w:t>Series A shareholders</w:t>
      </w:r>
      <w:r>
        <w:rPr>
          <w:rFonts w:ascii="Times New Roman;Times;Serif" w:hAnsi="Times New Roman;Times;Serif"/>
          <w:b w:val="false"/>
          <w:i w:val="false"/>
          <w:caps w:val="false"/>
          <w:smallCaps w:val="false"/>
          <w:sz w:val="20"/>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Redemption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w:t>
      </w:r>
      <w:bookmarkStart w:id="913" w:name="xdx_907_ecustom--ConversionPrice_pid_c20"/>
      <w:bookmarkEnd w:id="913"/>
      <w:r>
        <w:rPr>
          <w:rFonts w:ascii="Times New Roman;Times;Serif" w:hAnsi="Times New Roman;Times;Serif"/>
          <w:b w:val="false"/>
          <w:i w:val="false"/>
          <w:caps w:val="false"/>
          <w:smallCaps w:val="false"/>
          <w:sz w:val="20"/>
        </w:rPr>
        <w:t>0.20. Such initial conversion price may be converted into common stock,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Mandatory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either (a) the closing of the sale of shares of common stock at a price of at least $</w:t>
      </w:r>
      <w:bookmarkStart w:id="914" w:name="xdx_905_ecustom--StockPriceTriggerForMan"/>
      <w:bookmarkEnd w:id="914"/>
      <w:r>
        <w:rPr>
          <w:rFonts w:ascii="Times New Roman;Times;Serif" w:hAnsi="Times New Roman;Times;Serif"/>
          <w:b w:val="false"/>
          <w:i w:val="false"/>
          <w:caps w:val="false"/>
          <w:smallCaps w:val="false"/>
          <w:sz w:val="20"/>
        </w:rPr>
        <w:t>1.00 per share, in a firm-commitment underwritten public offering pursuant to an effective registration statement under the Securities Act of 1933, as amended, resulting in at least $</w:t>
      </w:r>
      <w:bookmarkStart w:id="915" w:name="xdx_908_ecustom--MinimumGrossProceedsFor"/>
      <w:bookmarkEnd w:id="915"/>
      <w:r>
        <w:rPr>
          <w:rFonts w:ascii="Times New Roman;Times;Serif" w:hAnsi="Times New Roman;Times;Serif"/>
          <w:b w:val="false"/>
          <w:i w:val="false"/>
          <w:caps w:val="false"/>
          <w:smallCaps w:val="false"/>
          <w:sz w:val="20"/>
        </w:rPr>
        <w:t xml:space="preserve">25,000 of gross proceeds to the Company or (b) the date and time, or the occurrence of an event, specified by vote or written consent of the holders of more than </w:t>
      </w:r>
      <w:bookmarkStart w:id="916" w:name="xdx_90B_ecustom--PercentageOfVotesForMan"/>
      <w:bookmarkEnd w:id="916"/>
      <w:r>
        <w:rPr>
          <w:rFonts w:ascii="Times New Roman;Times;Serif" w:hAnsi="Times New Roman;Times;Serif"/>
          <w:b w:val="false"/>
          <w:i w:val="false"/>
          <w:caps w:val="false"/>
          <w:smallCaps w:val="false"/>
          <w:sz w:val="20"/>
        </w:rPr>
        <w:t>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17" w:name="xdx_806_eus-gaap--EarningsPerShareTextBl"/>
      <w:bookmarkEnd w:id="917"/>
      <w:r>
        <w:rPr>
          <w:rFonts w:ascii="Times New Roman;Times;Serif" w:hAnsi="Times New Roman;Times;Serif"/>
          <w:b/>
          <w:i w:val="false"/>
          <w:caps/>
          <w:sz w:val="20"/>
        </w:rPr>
        <w:t xml:space="preserve">Note 16 - </w:t>
      </w:r>
      <w:bookmarkStart w:id="918" w:name="xdx_82E_zxSERjxmmgUd"/>
      <w:bookmarkEnd w:id="918"/>
      <w:r>
        <w:rPr>
          <w:rFonts w:ascii="Times New Roman;Times;Serif" w:hAnsi="Times New Roman;Times;Serif"/>
          <w:b/>
          <w:i w:val="false"/>
          <w:caps/>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19" w:name="xdx_893_eus-gaap--ScheduleOfEarningsPerS"/>
      <w:bookmarkEnd w:id="919"/>
      <w:r>
        <w:rPr>
          <w:rFonts w:ascii="Times New Roman;Times;Serif" w:hAnsi="Times New Roman;Times;Serif"/>
          <w:b w:val="false"/>
          <w:i w:val="false"/>
          <w:caps w:val="false"/>
          <w:smallCaps w:val="false"/>
          <w:sz w:val="20"/>
        </w:rPr>
        <w:t>The following table sets forth the information needed to compute basic and diluted (loss) earnings per share for the years ended December 31, 2022 and December 31, 2021:</w:t>
      </w:r>
    </w:p>
    <w:p>
      <w:pPr>
        <w:pStyle w:val="TextBody"/>
        <w:bidi w:val="0"/>
        <w:spacing w:before="0" w:after="0"/>
        <w:ind w:left="0" w:right="0" w:hanging="0"/>
        <w:jc w:val="left"/>
        <w:rPr>
          <w:caps w:val="false"/>
          <w:smallCaps w:val="false"/>
        </w:rPr>
      </w:pPr>
      <w:r>
        <w:rPr>
          <w:caps w:val="false"/>
          <w:smallCaps w:val="false"/>
        </w:rPr>
        <w:t> </w:t>
      </w:r>
      <w:bookmarkStart w:id="920" w:name="xdx_8B9_zPglhMv919Kl"/>
      <w:bookmarkStart w:id="921" w:name="xdx_8BF_zBpp8QIUHiie"/>
      <w:bookmarkEnd w:id="920"/>
      <w:bookmarkEnd w:id="921"/>
      <w:r>
        <w:rPr>
          <w:rFonts w:ascii="Times New Roman;Times;Serif" w:hAnsi="Times New Roman;Times;Serif"/>
          <w:b w:val="false"/>
          <w:i w:val="false"/>
          <w:caps w:val="false"/>
          <w:smallCaps w:val="false"/>
          <w:sz w:val="20"/>
        </w:rPr>
        <w:t>SCHEDULE OF INFORMATION NEEDED TO COMPUTE BASIC AND DILUTED EARNINGS PER SHARE</w:t>
      </w:r>
    </w:p>
    <w:tbl>
      <w:tblPr>
        <w:tblW w:w="9153" w:type="dxa"/>
        <w:jc w:val="left"/>
        <w:tblInd w:w="0" w:type="dxa"/>
        <w:tblLayout w:type="fixed"/>
        <w:tblCellMar>
          <w:top w:w="0" w:type="dxa"/>
          <w:left w:w="0" w:type="dxa"/>
          <w:bottom w:w="0" w:type="dxa"/>
          <w:right w:w="0" w:type="dxa"/>
        </w:tblCellMar>
      </w:tblPr>
      <w:tblGrid>
        <w:gridCol w:w="5075"/>
        <w:gridCol w:w="60"/>
        <w:gridCol w:w="213"/>
        <w:gridCol w:w="1681"/>
        <w:gridCol w:w="95"/>
        <w:gridCol w:w="60"/>
        <w:gridCol w:w="213"/>
        <w:gridCol w:w="1681"/>
        <w:gridCol w:w="75"/>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2" w:name="xdx_49D_20220101__20221231_z88hk2fYkF4b"/>
            <w:bookmarkEnd w:id="922"/>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3" w:name="xdx_49F_20210101_20211231"/>
            <w:bookmarkEnd w:id="923"/>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2021</w:t>
            </w:r>
          </w:p>
        </w:tc>
        <w:tc>
          <w:tcPr>
            <w:tcW w:w="75" w:type="dxa"/>
            <w:tcBorders/>
            <w:vAlign w:val="center"/>
          </w:tcPr>
          <w:p>
            <w:pPr>
              <w:pStyle w:val="TableContents"/>
              <w:bidi w:val="0"/>
              <w:spacing w:before="0" w:after="283"/>
              <w:jc w:val="left"/>
              <w:rPr/>
            </w:pPr>
            <w:r>
              <w:rPr/>
              <w:t> </w:t>
            </w:r>
            <w:bookmarkStart w:id="924" w:name="xdx_40C_eus-gaap--EarningsPerShareBasicA"/>
            <w:bookmarkEnd w:id="924"/>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(Loss) Earnings per common share: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25" w:name="xdx_40E_eus-gaap--NetIncomeLossAvailable"/>
            <w:bookmarkEnd w:id="925"/>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available to common shareholders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75" w:type="dxa"/>
            <w:tcBorders/>
            <w:shd w:fill="FFFFFF" w:val="clear"/>
            <w:vAlign w:val="center"/>
          </w:tcPr>
          <w:p>
            <w:pPr>
              <w:pStyle w:val="TableContents"/>
              <w:bidi w:val="0"/>
              <w:spacing w:before="0" w:after="283"/>
              <w:jc w:val="left"/>
              <w:rPr/>
            </w:pPr>
            <w:r>
              <w:rPr/>
              <w:t> </w:t>
            </w:r>
            <w:bookmarkStart w:id="926" w:name="xdx_409_eus-gaap--WeightedAverageNumberO"/>
            <w:bookmarkEnd w:id="926"/>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75" w:type="dxa"/>
            <w:tcBorders/>
            <w:shd w:fill="CCEEFF" w:val="clear"/>
            <w:vAlign w:val="center"/>
          </w:tcPr>
          <w:p>
            <w:pPr>
              <w:pStyle w:val="TableContents"/>
              <w:bidi w:val="0"/>
              <w:spacing w:before="0" w:after="283"/>
              <w:jc w:val="left"/>
              <w:rPr/>
            </w:pPr>
            <w:r>
              <w:rPr/>
              <w:t> </w:t>
            </w:r>
            <w:bookmarkStart w:id="927" w:name="xdx_401_eus-gaap--EarningsPerShareBasic_"/>
            <w:bookmarkEnd w:id="927"/>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basic</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28" w:name="xdx_402_eus-gaap--EarningsPerShareDilute"/>
            <w:bookmarkEnd w:id="928"/>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Diluted (Loss) earnings per common share: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29" w:name="xdx_405_eus-gaap--NetIncomeLossAvailable"/>
            <w:bookmarkEnd w:id="929"/>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available to common shareholders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75" w:type="dxa"/>
            <w:tcBorders/>
            <w:shd w:fill="CCEEFF" w:val="clear"/>
            <w:vAlign w:val="center"/>
          </w:tcPr>
          <w:p>
            <w:pPr>
              <w:pStyle w:val="TableContents"/>
              <w:bidi w:val="0"/>
              <w:spacing w:before="0" w:after="283"/>
              <w:jc w:val="left"/>
              <w:rPr/>
            </w:pPr>
            <w:r>
              <w:rPr/>
              <w:t> </w:t>
            </w:r>
            <w:bookmarkStart w:id="930" w:name="xdx_40D_eus-gaap--WeightedAverageNumberO"/>
            <w:bookmarkEnd w:id="930"/>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75" w:type="dxa"/>
            <w:tcBorders/>
            <w:shd w:fill="FFFFFF" w:val="clear"/>
            <w:vAlign w:val="center"/>
          </w:tcPr>
          <w:p>
            <w:pPr>
              <w:pStyle w:val="TableContents"/>
              <w:bidi w:val="0"/>
              <w:spacing w:before="0" w:after="283"/>
              <w:jc w:val="left"/>
              <w:rPr/>
            </w:pPr>
            <w:r>
              <w:rPr/>
              <w:t> </w:t>
            </w:r>
            <w:bookmarkStart w:id="931" w:name="xdx_40D_eus-gaap--IncrementalCommonShare"/>
            <w:bookmarkEnd w:id="931"/>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Dilutive effect related to stock options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2,163,200</w:t>
            </w:r>
          </w:p>
        </w:tc>
        <w:tc>
          <w:tcPr>
            <w:tcW w:w="75" w:type="dxa"/>
            <w:tcBorders/>
            <w:shd w:fill="CCEEFF" w:val="clear"/>
            <w:vAlign w:val="center"/>
          </w:tcPr>
          <w:p>
            <w:pPr>
              <w:pStyle w:val="TableContents"/>
              <w:bidi w:val="0"/>
              <w:spacing w:before="0" w:after="283"/>
              <w:jc w:val="left"/>
              <w:rPr/>
            </w:pPr>
            <w:r>
              <w:rPr/>
              <w:t> </w:t>
            </w:r>
            <w:bookmarkStart w:id="932" w:name="xdx_400_eus-gaap--WeightedAverageNumberO"/>
            <w:bookmarkEnd w:id="932"/>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diluted shares outstanding</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37,742,337</w:t>
            </w:r>
          </w:p>
        </w:tc>
        <w:tc>
          <w:tcPr>
            <w:tcW w:w="75" w:type="dxa"/>
            <w:tcBorders/>
            <w:shd w:fill="FFFFFF" w:val="clear"/>
            <w:vAlign w:val="center"/>
          </w:tcPr>
          <w:p>
            <w:pPr>
              <w:pStyle w:val="TableContents"/>
              <w:bidi w:val="0"/>
              <w:spacing w:before="0" w:after="283"/>
              <w:jc w:val="left"/>
              <w:rPr/>
            </w:pPr>
            <w:r>
              <w:rPr/>
              <w:t> </w:t>
            </w:r>
            <w:bookmarkStart w:id="933" w:name="xdx_40C_eus-gaap--EarningsPerShareDilute"/>
            <w:bookmarkEnd w:id="933"/>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diluted</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4" w:name="xdx_8A2_z7zvoUCXon55"/>
      <w:bookmarkEnd w:id="93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5" w:name="xdx_89A_eus-gaap--ScheduleOfAntidilutive"/>
      <w:bookmarkEnd w:id="935"/>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income per share net (loss) income per share because their effect was anti-dilutive:</w:t>
      </w:r>
    </w:p>
    <w:p>
      <w:pPr>
        <w:pStyle w:val="TextBody"/>
        <w:bidi w:val="0"/>
        <w:spacing w:before="0" w:after="0"/>
        <w:ind w:left="0" w:right="0" w:hanging="0"/>
        <w:jc w:val="both"/>
        <w:rPr>
          <w:caps w:val="false"/>
          <w:smallCaps w:val="false"/>
        </w:rPr>
      </w:pPr>
      <w:r>
        <w:rPr>
          <w:caps w:val="false"/>
          <w:smallCaps w:val="false"/>
        </w:rPr>
        <w:t> </w:t>
      </w:r>
      <w:bookmarkStart w:id="936" w:name="xdx_8B7_zk4s73Nvk2w9"/>
      <w:bookmarkEnd w:id="936"/>
      <w:r>
        <w:rPr>
          <w:rFonts w:ascii="Times New Roman;Times;Serif" w:hAnsi="Times New Roman;Times;Serif"/>
          <w:b w:val="false"/>
          <w:i w:val="false"/>
          <w:caps w:val="false"/>
          <w:smallCaps w:val="false"/>
          <w:sz w:val="20"/>
        </w:rPr>
        <w:t>SCHEDULE OF POTENTIAL SHARES OF COMMON STOCK EXCLUDED FROM DILUTED NET (LOSS) INCOME PER SHARE</w:t>
      </w:r>
    </w:p>
    <w:p>
      <w:pPr>
        <w:pStyle w:val="TextBody"/>
        <w:bidi w:val="0"/>
        <w:spacing w:before="0" w:after="0"/>
        <w:ind w:left="0" w:right="0" w:hanging="0"/>
        <w:jc w:val="both"/>
        <w:rPr>
          <w:caps w:val="false"/>
          <w:smallCaps w:val="false"/>
        </w:rPr>
      </w:pPr>
      <w:r>
        <w:rPr>
          <w:caps w:val="false"/>
          <w:smallCaps w:val="false"/>
        </w:rPr>
        <w:t> </w:t>
      </w:r>
    </w:p>
    <w:tbl>
      <w:tblPr>
        <w:tblW w:w="8908" w:type="dxa"/>
        <w:jc w:val="left"/>
        <w:tblInd w:w="0" w:type="dxa"/>
        <w:tblLayout w:type="fixed"/>
        <w:tblCellMar>
          <w:top w:w="0" w:type="dxa"/>
          <w:left w:w="0" w:type="dxa"/>
          <w:bottom w:w="0" w:type="dxa"/>
          <w:right w:w="0" w:type="dxa"/>
        </w:tblCellMar>
      </w:tblPr>
      <w:tblGrid>
        <w:gridCol w:w="4865"/>
        <w:gridCol w:w="60"/>
        <w:gridCol w:w="98"/>
        <w:gridCol w:w="1796"/>
        <w:gridCol w:w="60"/>
        <w:gridCol w:w="60"/>
        <w:gridCol w:w="219"/>
        <w:gridCol w:w="1675"/>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2021</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937" w:name="xdx_983_eus-gaap--AntidilutiveSecurities"/>
            <w:bookmarkEnd w:id="937"/>
          </w:p>
        </w:tc>
        <w:tc>
          <w:tcPr>
            <w:tcW w:w="17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16,708,414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bookmarkStart w:id="938" w:name="xdx_988_eus-gaap--AntidilutiveSecurities"/>
            <w:bookmarkEnd w:id="938"/>
          </w:p>
        </w:tc>
        <w:tc>
          <w:tcPr>
            <w:tcW w:w="16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939" w:name="xdx_98D_eus-gaap--AntidilutiveSecurities"/>
            <w:bookmarkEnd w:id="939"/>
          </w:p>
        </w:tc>
        <w:tc>
          <w:tcPr>
            <w:tcW w:w="1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bookmarkStart w:id="940" w:name="xdx_98F_eus-gaap--AntidilutiveSecurities"/>
            <w:bookmarkEnd w:id="940"/>
          </w:p>
        </w:tc>
        <w:tc>
          <w:tcPr>
            <w:tcW w:w="16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941" w:name="xdx_988_eus-gaap--AntidilutiveSecurities"/>
            <w:bookmarkEnd w:id="941"/>
          </w:p>
        </w:tc>
        <w:tc>
          <w:tcPr>
            <w:tcW w:w="17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942" w:name="xdx_980_eus-gaap--AntidilutiveSecurities"/>
            <w:bookmarkEnd w:id="942"/>
          </w:p>
        </w:tc>
        <w:tc>
          <w:tcPr>
            <w:tcW w:w="167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43" w:name="xdx_98A_eus-gaap--AntidilutiveSecurities"/>
            <w:bookmarkEnd w:id="943"/>
          </w:p>
        </w:tc>
        <w:tc>
          <w:tcPr>
            <w:tcW w:w="17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20,531,372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44" w:name="xdx_983_eus-gaap--AntidilutiveSecurities"/>
            <w:bookmarkEnd w:id="944"/>
          </w:p>
        </w:tc>
        <w:tc>
          <w:tcPr>
            <w:tcW w:w="16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45" w:name="xdx_8A0_zXsFkdWypmfd"/>
      <w:bookmarkEnd w:id="94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46" w:name="xdx_802_ecustom--ProformaFinancialStatem"/>
      <w:bookmarkEnd w:id="946"/>
      <w:r>
        <w:rPr>
          <w:rFonts w:ascii="Times New Roman;Times;Serif" w:hAnsi="Times New Roman;Times;Serif"/>
          <w:b/>
          <w:i w:val="false"/>
          <w:caps w:val="false"/>
          <w:smallCaps w:val="false"/>
          <w:sz w:val="20"/>
        </w:rPr>
        <w:t xml:space="preserve">NOTE 17 – </w:t>
      </w:r>
      <w:bookmarkStart w:id="947" w:name="xdx_824_zX6pE4NM0aK9"/>
      <w:bookmarkEnd w:id="947"/>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with a board member in the amount of $</w:t>
      </w:r>
      <w:bookmarkStart w:id="948" w:name="xdx_90D_eus-gaap--ConvertibleNotesPayabl"/>
      <w:bookmarkEnd w:id="948"/>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949" w:name="xdx_909_eus-gaap--DebtInstrumentFaceAmou"/>
      <w:bookmarkEnd w:id="949"/>
      <w:r>
        <w:rPr>
          <w:rFonts w:ascii="Times New Roman;Times;Serif" w:hAnsi="Times New Roman;Times;Serif"/>
          <w:b w:val="false"/>
          <w:i w:val="false"/>
          <w:caps w:val="false"/>
          <w:smallCaps w:val="false"/>
          <w:sz w:val="20"/>
        </w:rPr>
        <w:t>100, or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Company changed its state of incorporation from the State of Delaware to the State of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pursuant to a plan of conversion dated March 30, 2023 (the “</w:t>
      </w:r>
      <w:r>
        <w:rPr>
          <w:rFonts w:ascii="Times New Roman;Times;Serif" w:hAnsi="Times New Roman;Times;Serif"/>
          <w:b/>
          <w:i w:val="false"/>
          <w:caps w:val="false"/>
          <w:smallCaps w:val="false"/>
          <w:sz w:val="20"/>
        </w:rPr>
        <w:t>Plan of Conversion</w:t>
      </w:r>
      <w:r>
        <w:rPr>
          <w:rFonts w:ascii="Times New Roman;Times;Serif" w:hAnsi="Times New Roman;Times;Serif"/>
          <w:b w:val="false"/>
          <w:i w:val="false"/>
          <w:caps w:val="false"/>
          <w:smallCaps w:val="false"/>
          <w:sz w:val="20"/>
        </w:rPr>
        <w:t>”). Pursuant to the Plan of Conversion, the issued and outstanding shares of common stock of the Company were automatically converted into common stock of the reincorporated company at the effective time of the Reincorporation.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Purchase Agreement described in Note 13 the Company issued </w:t>
      </w:r>
      <w:bookmarkStart w:id="950" w:name="xdx_901_eus-gaap--StockIssuedDuringPerio"/>
      <w:bookmarkEnd w:id="950"/>
      <w:r>
        <w:rPr>
          <w:rFonts w:ascii="Times New Roman;Times;Serif" w:hAnsi="Times New Roman;Times;Serif"/>
          <w:b w:val="false"/>
          <w:i w:val="false"/>
          <w:caps w:val="false"/>
          <w:smallCaps w:val="false"/>
          <w:sz w:val="20"/>
        </w:rPr>
        <w:t>98,500 shares pursuant to the Purchase Agreement with CCM LLC for aggregate net proceeds to the Company of $</w:t>
      </w:r>
      <w:bookmarkStart w:id="951" w:name="xdx_904_eus-gaap--ProceedsFromIssuanceOf"/>
      <w:bookmarkEnd w:id="951"/>
      <w:r>
        <w:rPr>
          <w:rFonts w:ascii="Times New Roman;Times;Serif" w:hAnsi="Times New Roman;Times;Serif"/>
          <w:b w:val="false"/>
          <w:i w:val="false"/>
          <w:caps w:val="false"/>
          <w:smallCaps w:val="false"/>
          <w:sz w:val="20"/>
        </w:rPr>
        <w:t>671 through April 17, 2023.</w:t>
      </w:r>
    </w:p>
    <w:p>
      <w:pPr>
        <w:pStyle w:val="TextBody"/>
        <w:bidi w:val="0"/>
        <w:spacing w:before="0" w:after="0"/>
        <w:ind w:left="0" w:right="0" w:hanging="0"/>
        <w:jc w:val="both"/>
        <w:rPr>
          <w:caps w:val="false"/>
          <w:smallCaps w:val="false"/>
        </w:rPr>
      </w:pPr>
      <w:bookmarkStart w:id="952" w:name="xdx_814_zl1Raih2iipl"/>
      <w:bookmarkEnd w:id="95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bookmarkStart w:id="953" w:name="xdx_048_c20230101__20230331_zIibRSBr4tXl"/>
      <w:bookmarkEnd w:id="95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4" w:name="a_003"/>
      <w:bookmarkEnd w:id="954"/>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955" w:name="fs_001"/>
      <w:bookmarkEnd w:id="955"/>
      <w:r>
        <w:rPr>
          <w:rFonts w:ascii="Times New Roman;Times;Serif" w:hAnsi="Times New Roman;Times;Serif"/>
          <w:b/>
          <w:i w:val="false"/>
          <w:caps/>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56" w:name="xdx_302_111_pn3n3_zpsJ9pPgBq18"/>
      <w:bookmarkStart w:id="957" w:name="xdx_302_111_pn3n3_zpsJ9pPgBq18"/>
      <w:bookmarkEnd w:id="957"/>
    </w:p>
    <w:tbl>
      <w:tblPr>
        <w:tblW w:w="10205" w:type="dxa"/>
        <w:jc w:val="left"/>
        <w:tblInd w:w="0" w:type="dxa"/>
        <w:tblLayout w:type="fixed"/>
        <w:tblCellMar>
          <w:top w:w="0" w:type="dxa"/>
          <w:left w:w="0" w:type="dxa"/>
          <w:bottom w:w="0" w:type="dxa"/>
          <w:right w:w="0" w:type="dxa"/>
        </w:tblCellMar>
      </w:tblPr>
      <w:tblGrid>
        <w:gridCol w:w="7428"/>
        <w:gridCol w:w="60"/>
        <w:gridCol w:w="176"/>
        <w:gridCol w:w="951"/>
        <w:gridCol w:w="95"/>
        <w:gridCol w:w="60"/>
        <w:gridCol w:w="206"/>
        <w:gridCol w:w="1117"/>
        <w:gridCol w:w="112"/>
      </w:tblGrid>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8" w:name="xdx_493_20230331_zJ6kVy29rgoh"/>
            <w:bookmarkEnd w:id="958"/>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9" w:name="xdx_49F_20221231_zHEOpW1GO2O2"/>
            <w:bookmarkEnd w:id="959"/>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5" w:type="dxa"/>
            <w:gridSpan w:val="6"/>
            <w:tcBorders/>
            <w:vAlign w:val="center"/>
          </w:tcPr>
          <w:p>
            <w:pPr>
              <w:pStyle w:val="TableContents"/>
              <w:bidi w:val="0"/>
              <w:spacing w:before="0" w:after="283"/>
              <w:jc w:val="center"/>
              <w:rPr/>
            </w:pPr>
            <w:r>
              <w:rPr/>
              <w:t>As of</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960" w:name="xdx_40D_eus-gaap--AssetsCurrentAbstract_"/>
            <w:bookmarkEnd w:id="960"/>
          </w:p>
        </w:tc>
      </w:tr>
      <w:tr>
        <w:trPr/>
        <w:tc>
          <w:tcPr>
            <w:tcW w:w="7428"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61" w:name="xdx_40D_eus-gaap--CashAndCashEquivalents"/>
            <w:bookmarkEnd w:id="961"/>
          </w:p>
        </w:tc>
      </w:tr>
      <w:tr>
        <w:trPr/>
        <w:tc>
          <w:tcPr>
            <w:tcW w:w="7428"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1" w:type="dxa"/>
            <w:tcBorders/>
            <w:shd w:fill="FFFFFF" w:val="cle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17" w:type="dxa"/>
            <w:tcBorders/>
            <w:shd w:fill="FFFFFF" w:val="clear"/>
            <w:vAlign w:val="center"/>
          </w:tcPr>
          <w:p>
            <w:pPr>
              <w:pStyle w:val="TableContents"/>
              <w:bidi w:val="0"/>
              <w:spacing w:before="0" w:after="283"/>
              <w:jc w:val="right"/>
              <w:rPr/>
            </w:pPr>
            <w:r>
              <w:rPr/>
              <w:t>17,781</w:t>
            </w:r>
          </w:p>
        </w:tc>
        <w:tc>
          <w:tcPr>
            <w:tcW w:w="112" w:type="dxa"/>
            <w:tcBorders/>
            <w:shd w:fill="FFFFFF" w:val="clear"/>
            <w:vAlign w:val="center"/>
          </w:tcPr>
          <w:p>
            <w:pPr>
              <w:pStyle w:val="TableContents"/>
              <w:bidi w:val="0"/>
              <w:spacing w:before="0" w:after="283"/>
              <w:jc w:val="left"/>
              <w:rPr/>
            </w:pPr>
            <w:r>
              <w:rPr/>
              <w:t> </w:t>
            </w:r>
            <w:bookmarkStart w:id="962" w:name="xdx_40D_eus-gaap--AccountsReceivableNetC"/>
            <w:bookmarkEnd w:id="962"/>
          </w:p>
        </w:tc>
      </w:tr>
      <w:tr>
        <w:trPr/>
        <w:tc>
          <w:tcPr>
            <w:tcW w:w="7428" w:type="dxa"/>
            <w:tcBorders/>
            <w:shd w:fill="CCEEFF" w:val="clear"/>
            <w:vAlign w:val="center"/>
          </w:tcPr>
          <w:p>
            <w:pPr>
              <w:pStyle w:val="TableContents"/>
              <w:bidi w:val="0"/>
              <w:spacing w:before="0" w:after="283"/>
              <w:jc w:val="left"/>
              <w:rPr/>
            </w:pPr>
            <w:r>
              <w:rPr/>
              <w:t>Accounts receivable, net of allowance for doubtful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1,444</w:t>
            </w:r>
          </w:p>
        </w:tc>
        <w:tc>
          <w:tcPr>
            <w:tcW w:w="112" w:type="dxa"/>
            <w:tcBorders/>
            <w:shd w:fill="CCEEFF" w:val="clear"/>
            <w:vAlign w:val="center"/>
          </w:tcPr>
          <w:p>
            <w:pPr>
              <w:pStyle w:val="TableContents"/>
              <w:bidi w:val="0"/>
              <w:spacing w:before="0" w:after="283"/>
              <w:jc w:val="left"/>
              <w:rPr/>
            </w:pPr>
            <w:r>
              <w:rPr/>
              <w:t> </w:t>
            </w:r>
            <w:bookmarkStart w:id="963" w:name="xdx_408_eus-gaap--InventoryNet_i01I_maAC"/>
            <w:bookmarkEnd w:id="963"/>
          </w:p>
        </w:tc>
      </w:tr>
      <w:tr>
        <w:trPr/>
        <w:tc>
          <w:tcPr>
            <w:tcW w:w="7428"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51,812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49,846</w:t>
            </w:r>
          </w:p>
        </w:tc>
        <w:tc>
          <w:tcPr>
            <w:tcW w:w="112" w:type="dxa"/>
            <w:tcBorders/>
            <w:shd w:fill="FFFFFF" w:val="clear"/>
            <w:vAlign w:val="center"/>
          </w:tcPr>
          <w:p>
            <w:pPr>
              <w:pStyle w:val="TableContents"/>
              <w:bidi w:val="0"/>
              <w:spacing w:before="0" w:after="283"/>
              <w:jc w:val="left"/>
              <w:rPr/>
            </w:pPr>
            <w:r>
              <w:rPr/>
              <w:t> </w:t>
            </w:r>
            <w:bookmarkStart w:id="964" w:name="xdx_40C_ecustom--PrepaidExpenseOtherThan"/>
            <w:bookmarkEnd w:id="964"/>
          </w:p>
        </w:tc>
      </w:tr>
      <w:tr>
        <w:trPr/>
        <w:tc>
          <w:tcPr>
            <w:tcW w:w="7428"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1,624</w:t>
            </w:r>
          </w:p>
        </w:tc>
        <w:tc>
          <w:tcPr>
            <w:tcW w:w="112" w:type="dxa"/>
            <w:tcBorders/>
            <w:shd w:fill="CCEEFF" w:val="clear"/>
            <w:vAlign w:val="center"/>
          </w:tcPr>
          <w:p>
            <w:pPr>
              <w:pStyle w:val="TableContents"/>
              <w:bidi w:val="0"/>
              <w:spacing w:before="0" w:after="283"/>
              <w:jc w:val="left"/>
              <w:rPr/>
            </w:pPr>
            <w:r>
              <w:rPr/>
              <w:t> </w:t>
            </w:r>
            <w:bookmarkStart w:id="965" w:name="xdx_400_eus-gaap--Supplies_i01I_maACzdsP"/>
            <w:bookmarkEnd w:id="965"/>
          </w:p>
        </w:tc>
      </w:tr>
      <w:tr>
        <w:trPr/>
        <w:tc>
          <w:tcPr>
            <w:tcW w:w="7428"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2,002</w:t>
            </w:r>
          </w:p>
        </w:tc>
        <w:tc>
          <w:tcPr>
            <w:tcW w:w="112" w:type="dxa"/>
            <w:tcBorders/>
            <w:shd w:fill="FFFFFF" w:val="clear"/>
            <w:vAlign w:val="center"/>
          </w:tcPr>
          <w:p>
            <w:pPr>
              <w:pStyle w:val="TableContents"/>
              <w:bidi w:val="0"/>
              <w:spacing w:before="0" w:after="283"/>
              <w:jc w:val="left"/>
              <w:rPr/>
            </w:pPr>
            <w:r>
              <w:rPr/>
              <w:t> </w:t>
            </w:r>
            <w:bookmarkStart w:id="966" w:name="xdx_402_eus-gaap--PrepaidTaxes_i01I_maAC"/>
            <w:bookmarkEnd w:id="966"/>
          </w:p>
        </w:tc>
      </w:tr>
      <w:tr>
        <w:trPr/>
        <w:tc>
          <w:tcPr>
            <w:tcW w:w="7428"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525</w:t>
            </w:r>
          </w:p>
        </w:tc>
        <w:tc>
          <w:tcPr>
            <w:tcW w:w="112" w:type="dxa"/>
            <w:tcBorders/>
            <w:shd w:fill="CCEEFF" w:val="clear"/>
            <w:vAlign w:val="center"/>
          </w:tcPr>
          <w:p>
            <w:pPr>
              <w:pStyle w:val="TableContents"/>
              <w:bidi w:val="0"/>
              <w:spacing w:before="0" w:after="283"/>
              <w:jc w:val="left"/>
              <w:rPr/>
            </w:pPr>
            <w:r>
              <w:rPr/>
              <w:t> </w:t>
            </w:r>
            <w:bookmarkStart w:id="967" w:name="xdx_400_eus-gaap--OtherAssetsCurrent_i01"/>
            <w:bookmarkEnd w:id="967"/>
          </w:p>
        </w:tc>
      </w:tr>
      <w:tr>
        <w:trPr/>
        <w:tc>
          <w:tcPr>
            <w:tcW w:w="7428"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267</w:t>
            </w:r>
          </w:p>
        </w:tc>
        <w:tc>
          <w:tcPr>
            <w:tcW w:w="112" w:type="dxa"/>
            <w:tcBorders/>
            <w:shd w:fill="FFFFFF" w:val="clear"/>
            <w:vAlign w:val="center"/>
          </w:tcPr>
          <w:p>
            <w:pPr>
              <w:pStyle w:val="TableContents"/>
              <w:bidi w:val="0"/>
              <w:spacing w:before="0" w:after="283"/>
              <w:jc w:val="left"/>
              <w:rPr/>
            </w:pPr>
            <w:r>
              <w:rPr/>
              <w:t> </w:t>
            </w:r>
            <w:bookmarkStart w:id="968" w:name="xdx_404_eus-gaap--AssetsCurrent_i01TI_mt"/>
            <w:bookmarkEnd w:id="968"/>
          </w:p>
        </w:tc>
      </w:tr>
      <w:tr>
        <w:trPr/>
        <w:tc>
          <w:tcPr>
            <w:tcW w:w="742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75,016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73,489</w:t>
            </w:r>
          </w:p>
        </w:tc>
        <w:tc>
          <w:tcPr>
            <w:tcW w:w="112" w:type="dxa"/>
            <w:tcBorders/>
            <w:shd w:fill="CCEEFF" w:val="clear"/>
            <w:vAlign w:val="center"/>
          </w:tcPr>
          <w:p>
            <w:pPr>
              <w:pStyle w:val="TableContents"/>
              <w:bidi w:val="0"/>
              <w:spacing w:before="0" w:after="283"/>
              <w:jc w:val="left"/>
              <w:rPr/>
            </w:pPr>
            <w:r>
              <w:rPr/>
              <w:t> </w:t>
            </w:r>
            <w:bookmarkStart w:id="969" w:name="xdx_402_eus-gaap--PropertyPlantAndEquipm"/>
            <w:bookmarkEnd w:id="969"/>
          </w:p>
        </w:tc>
      </w:tr>
      <w:tr>
        <w:trPr/>
        <w:tc>
          <w:tcPr>
            <w:tcW w:w="7428"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70" w:name="xdx_40E_eus-gaap--MachineryAndEquipmentG"/>
            <w:bookmarkEnd w:id="970"/>
          </w:p>
        </w:tc>
      </w:tr>
      <w:tr>
        <w:trPr/>
        <w:tc>
          <w:tcPr>
            <w:tcW w:w="7428"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10,214</w:t>
            </w:r>
          </w:p>
        </w:tc>
        <w:tc>
          <w:tcPr>
            <w:tcW w:w="112" w:type="dxa"/>
            <w:tcBorders/>
            <w:shd w:fill="CCEEFF" w:val="clear"/>
            <w:vAlign w:val="center"/>
          </w:tcPr>
          <w:p>
            <w:pPr>
              <w:pStyle w:val="TableContents"/>
              <w:bidi w:val="0"/>
              <w:spacing w:before="0" w:after="283"/>
              <w:jc w:val="left"/>
              <w:rPr/>
            </w:pPr>
            <w:r>
              <w:rPr/>
              <w:t> </w:t>
            </w:r>
            <w:bookmarkStart w:id="971" w:name="xdx_40A_eus-gaap--FurnitureAndFixturesGr"/>
            <w:bookmarkEnd w:id="971"/>
          </w:p>
        </w:tc>
      </w:tr>
      <w:tr>
        <w:trPr/>
        <w:tc>
          <w:tcPr>
            <w:tcW w:w="7428" w:type="dxa"/>
            <w:tcBorders/>
            <w:shd w:fill="FFFFFF" w:val="clear"/>
            <w:vAlign w:val="center"/>
          </w:tcPr>
          <w:p>
            <w:pPr>
              <w:pStyle w:val="TableContents"/>
              <w:bidi w:val="0"/>
              <w:spacing w:before="0" w:after="283"/>
              <w:jc w:val="left"/>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275</w:t>
            </w:r>
          </w:p>
        </w:tc>
        <w:tc>
          <w:tcPr>
            <w:tcW w:w="112" w:type="dxa"/>
            <w:tcBorders/>
            <w:shd w:fill="FFFFFF" w:val="clear"/>
            <w:vAlign w:val="center"/>
          </w:tcPr>
          <w:p>
            <w:pPr>
              <w:pStyle w:val="TableContents"/>
              <w:bidi w:val="0"/>
              <w:spacing w:before="0" w:after="283"/>
              <w:jc w:val="left"/>
              <w:rPr/>
            </w:pPr>
            <w:r>
              <w:rPr/>
              <w:t> </w:t>
            </w:r>
            <w:bookmarkStart w:id="972" w:name="xdx_406_eus-gaap--LeaseholdImprovementsG"/>
            <w:bookmarkEnd w:id="972"/>
          </w:p>
        </w:tc>
      </w:tr>
      <w:tr>
        <w:trPr/>
        <w:tc>
          <w:tcPr>
            <w:tcW w:w="7428"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1,709</w:t>
            </w:r>
          </w:p>
        </w:tc>
        <w:tc>
          <w:tcPr>
            <w:tcW w:w="112" w:type="dxa"/>
            <w:tcBorders/>
            <w:shd w:fill="CCEEFF" w:val="clear"/>
            <w:vAlign w:val="center"/>
          </w:tcPr>
          <w:p>
            <w:pPr>
              <w:pStyle w:val="TableContents"/>
              <w:bidi w:val="0"/>
              <w:spacing w:before="0" w:after="283"/>
              <w:jc w:val="left"/>
              <w:rPr/>
            </w:pPr>
            <w:r>
              <w:rPr/>
              <w:t> </w:t>
            </w:r>
            <w:bookmarkStart w:id="973" w:name="xdx_404_ecustom--VehicleGross_i01I_maPPA"/>
            <w:bookmarkEnd w:id="973"/>
          </w:p>
        </w:tc>
      </w:tr>
      <w:tr>
        <w:trPr/>
        <w:tc>
          <w:tcPr>
            <w:tcW w:w="7428" w:type="dxa"/>
            <w:tcBorders/>
            <w:shd w:fill="FFFFFF" w:val="clear"/>
            <w:vAlign w:val="center"/>
          </w:tcPr>
          <w:p>
            <w:pPr>
              <w:pStyle w:val="TableContents"/>
              <w:bidi w:val="0"/>
              <w:spacing w:before="0" w:after="283"/>
              <w:jc w:val="left"/>
              <w:rPr/>
            </w:pPr>
            <w:r>
              <w:rPr/>
              <w:t>Vehicle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195</w:t>
            </w:r>
          </w:p>
        </w:tc>
        <w:tc>
          <w:tcPr>
            <w:tcW w:w="112" w:type="dxa"/>
            <w:tcBorders/>
            <w:shd w:fill="FFFFFF" w:val="clear"/>
            <w:vAlign w:val="center"/>
          </w:tcPr>
          <w:p>
            <w:pPr>
              <w:pStyle w:val="TableContents"/>
              <w:bidi w:val="0"/>
              <w:spacing w:before="0" w:after="283"/>
              <w:jc w:val="left"/>
              <w:rPr/>
            </w:pPr>
            <w:r>
              <w:rPr/>
              <w:t> </w:t>
            </w:r>
            <w:bookmarkStart w:id="974" w:name="xdx_409_eus-gaap--PropertyPlantAndEquipm"/>
            <w:bookmarkEnd w:id="974"/>
          </w:p>
        </w:tc>
      </w:tr>
      <w:tr>
        <w:trPr/>
        <w:tc>
          <w:tcPr>
            <w:tcW w:w="7428"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13,172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12,393</w:t>
            </w:r>
          </w:p>
        </w:tc>
        <w:tc>
          <w:tcPr>
            <w:tcW w:w="112" w:type="dxa"/>
            <w:tcBorders/>
            <w:shd w:fill="CCEEFF" w:val="clear"/>
            <w:vAlign w:val="center"/>
          </w:tcPr>
          <w:p>
            <w:pPr>
              <w:pStyle w:val="TableContents"/>
              <w:bidi w:val="0"/>
              <w:spacing w:before="0" w:after="283"/>
              <w:jc w:val="left"/>
              <w:rPr/>
            </w:pPr>
            <w:r>
              <w:rPr/>
              <w:t> </w:t>
            </w:r>
            <w:bookmarkStart w:id="975" w:name="xdx_40B_eus-gaap--AccumulatedDepreciatio"/>
            <w:bookmarkEnd w:id="975"/>
          </w:p>
        </w:tc>
      </w:tr>
      <w:tr>
        <w:trPr/>
        <w:tc>
          <w:tcPr>
            <w:tcW w:w="7428"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(1,633</w:t>
            </w:r>
          </w:p>
        </w:tc>
        <w:tc>
          <w:tcPr>
            <w:tcW w:w="112" w:type="dxa"/>
            <w:tcBorders/>
            <w:shd w:fill="FFFFFF" w:val="clear"/>
            <w:vAlign w:val="center"/>
          </w:tcPr>
          <w:p>
            <w:pPr>
              <w:pStyle w:val="TableContents"/>
              <w:bidi w:val="0"/>
              <w:spacing w:before="0" w:after="283"/>
              <w:jc w:val="left"/>
              <w:rPr/>
            </w:pPr>
            <w:r>
              <w:rPr/>
              <w:t>)</w:t>
            </w:r>
            <w:bookmarkStart w:id="976" w:name="xdx_409_eus-gaap--PropertyPlantAndEquipm"/>
            <w:bookmarkEnd w:id="976"/>
          </w:p>
        </w:tc>
      </w:tr>
      <w:tr>
        <w:trPr/>
        <w:tc>
          <w:tcPr>
            <w:tcW w:w="742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10,760</w:t>
            </w:r>
          </w:p>
        </w:tc>
        <w:tc>
          <w:tcPr>
            <w:tcW w:w="112" w:type="dxa"/>
            <w:tcBorders/>
            <w:shd w:fill="CCEEFF" w:val="clear"/>
            <w:vAlign w:val="center"/>
          </w:tcPr>
          <w:p>
            <w:pPr>
              <w:pStyle w:val="TableContents"/>
              <w:bidi w:val="0"/>
              <w:spacing w:before="0" w:after="283"/>
              <w:jc w:val="left"/>
              <w:rPr/>
            </w:pPr>
            <w:r>
              <w:rPr/>
              <w:t> </w:t>
            </w:r>
            <w:bookmarkStart w:id="977" w:name="xdx_40F_eus-gaap--OperatingLeaseRightOfU"/>
            <w:bookmarkEnd w:id="977"/>
          </w:p>
        </w:tc>
      </w:tr>
      <w:tr>
        <w:trPr/>
        <w:tc>
          <w:tcPr>
            <w:tcW w:w="7428"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4,205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4,513</w:t>
            </w:r>
          </w:p>
        </w:tc>
        <w:tc>
          <w:tcPr>
            <w:tcW w:w="112" w:type="dxa"/>
            <w:tcBorders/>
            <w:shd w:fill="FFFFFF" w:val="clear"/>
            <w:vAlign w:val="center"/>
          </w:tcPr>
          <w:p>
            <w:pPr>
              <w:pStyle w:val="TableContents"/>
              <w:bidi w:val="0"/>
              <w:spacing w:before="0" w:after="283"/>
              <w:jc w:val="left"/>
              <w:rPr/>
            </w:pPr>
            <w:r>
              <w:rPr/>
              <w:t> </w:t>
            </w:r>
            <w:bookmarkStart w:id="978" w:name="xdx_401_eus-gaap--Assets_iTI_mtAzQCo_zv7"/>
            <w:bookmarkEnd w:id="978"/>
          </w:p>
        </w:tc>
      </w:tr>
      <w:tr>
        <w:trPr/>
        <w:tc>
          <w:tcPr>
            <w:tcW w:w="742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88,762</w:t>
            </w:r>
          </w:p>
        </w:tc>
        <w:tc>
          <w:tcPr>
            <w:tcW w:w="112" w:type="dxa"/>
            <w:tcBorders/>
            <w:shd w:fill="CCEEFF" w:val="clear"/>
            <w:vAlign w:val="center"/>
          </w:tcPr>
          <w:p>
            <w:pPr>
              <w:pStyle w:val="TableContents"/>
              <w:bidi w:val="0"/>
              <w:spacing w:before="0" w:after="283"/>
              <w:jc w:val="left"/>
              <w:rPr/>
            </w:pPr>
            <w:r>
              <w:rPr/>
              <w:t> </w:t>
            </w:r>
            <w:bookmarkStart w:id="979" w:name="xdx_40C_eus-gaap--LiabilitiesCurrentAbst"/>
            <w:bookmarkEnd w:id="979"/>
          </w:p>
        </w:tc>
      </w:tr>
      <w:tr>
        <w:trPr/>
        <w:tc>
          <w:tcPr>
            <w:tcW w:w="7428"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80" w:name="xdx_40A_eus-gaap--AccountsPayableCurrent"/>
            <w:bookmarkEnd w:id="980"/>
          </w:p>
        </w:tc>
      </w:tr>
      <w:tr>
        <w:trPr/>
        <w:tc>
          <w:tcPr>
            <w:tcW w:w="742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18,824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13,475</w:t>
            </w:r>
          </w:p>
        </w:tc>
        <w:tc>
          <w:tcPr>
            <w:tcW w:w="112" w:type="dxa"/>
            <w:tcBorders/>
            <w:shd w:fill="FFFFFF" w:val="clear"/>
            <w:vAlign w:val="center"/>
          </w:tcPr>
          <w:p>
            <w:pPr>
              <w:pStyle w:val="TableContents"/>
              <w:bidi w:val="0"/>
              <w:spacing w:before="0" w:after="283"/>
              <w:jc w:val="left"/>
              <w:rPr/>
            </w:pPr>
            <w:r>
              <w:rPr/>
              <w:t> </w:t>
            </w:r>
            <w:bookmarkStart w:id="981" w:name="xdx_40E_eus-gaap--EmployeeRelatedLiabili"/>
            <w:bookmarkEnd w:id="981"/>
          </w:p>
        </w:tc>
      </w:tr>
      <w:tr>
        <w:trPr/>
        <w:tc>
          <w:tcPr>
            <w:tcW w:w="7428"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6,295</w:t>
            </w:r>
          </w:p>
        </w:tc>
        <w:tc>
          <w:tcPr>
            <w:tcW w:w="112" w:type="dxa"/>
            <w:tcBorders/>
            <w:shd w:fill="CCEEFF" w:val="clear"/>
            <w:vAlign w:val="center"/>
          </w:tcPr>
          <w:p>
            <w:pPr>
              <w:pStyle w:val="TableContents"/>
              <w:bidi w:val="0"/>
              <w:spacing w:before="0" w:after="283"/>
              <w:jc w:val="left"/>
              <w:rPr/>
            </w:pPr>
            <w:r>
              <w:rPr/>
              <w:t> </w:t>
            </w:r>
            <w:bookmarkStart w:id="982" w:name="xdx_401_eus-gaap--ContractWithCustomerLi"/>
            <w:bookmarkEnd w:id="982"/>
          </w:p>
        </w:tc>
      </w:tr>
      <w:tr>
        <w:trPr/>
        <w:tc>
          <w:tcPr>
            <w:tcW w:w="7428"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238</w:t>
            </w:r>
          </w:p>
        </w:tc>
        <w:tc>
          <w:tcPr>
            <w:tcW w:w="112" w:type="dxa"/>
            <w:tcBorders/>
            <w:shd w:fill="FFFFFF" w:val="clear"/>
            <w:vAlign w:val="center"/>
          </w:tcPr>
          <w:p>
            <w:pPr>
              <w:pStyle w:val="TableContents"/>
              <w:bidi w:val="0"/>
              <w:spacing w:before="0" w:after="283"/>
              <w:jc w:val="left"/>
              <w:rPr/>
            </w:pPr>
            <w:r>
              <w:rPr/>
              <w:t> </w:t>
            </w:r>
            <w:bookmarkStart w:id="983" w:name="xdx_405_ecustom--UncertainTaxPositionLia"/>
            <w:bookmarkEnd w:id="983"/>
          </w:p>
        </w:tc>
      </w:tr>
      <w:tr>
        <w:trPr/>
        <w:tc>
          <w:tcPr>
            <w:tcW w:w="7428"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128</w:t>
            </w:r>
          </w:p>
        </w:tc>
        <w:tc>
          <w:tcPr>
            <w:tcW w:w="112" w:type="dxa"/>
            <w:tcBorders/>
            <w:shd w:fill="CCEEFF" w:val="clear"/>
            <w:vAlign w:val="center"/>
          </w:tcPr>
          <w:p>
            <w:pPr>
              <w:pStyle w:val="TableContents"/>
              <w:bidi w:val="0"/>
              <w:spacing w:before="0" w:after="283"/>
              <w:jc w:val="left"/>
              <w:rPr/>
            </w:pPr>
            <w:r>
              <w:rPr/>
              <w:t> </w:t>
            </w:r>
            <w:bookmarkStart w:id="984" w:name="xdx_408_eus-gaap--NotesPayableCurrent_i0"/>
            <w:bookmarkEnd w:id="984"/>
          </w:p>
        </w:tc>
      </w:tr>
      <w:tr>
        <w:trPr/>
        <w:tc>
          <w:tcPr>
            <w:tcW w:w="7428" w:type="dxa"/>
            <w:tcBorders/>
            <w:shd w:fill="FFFFFF" w:val="clear"/>
            <w:vAlign w:val="center"/>
          </w:tcPr>
          <w:p>
            <w:pPr>
              <w:pStyle w:val="TableContents"/>
              <w:bidi w:val="0"/>
              <w:spacing w:before="0" w:after="283"/>
              <w:jc w:val="left"/>
              <w:rPr/>
            </w:pPr>
            <w:r>
              <w:rPr/>
              <w:t>Notes payable, net of deferred financing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20,699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19,242</w:t>
            </w:r>
          </w:p>
        </w:tc>
        <w:tc>
          <w:tcPr>
            <w:tcW w:w="112" w:type="dxa"/>
            <w:tcBorders/>
            <w:shd w:fill="FFFFFF" w:val="clear"/>
            <w:vAlign w:val="center"/>
          </w:tcPr>
          <w:p>
            <w:pPr>
              <w:pStyle w:val="TableContents"/>
              <w:bidi w:val="0"/>
              <w:spacing w:before="0" w:after="283"/>
              <w:jc w:val="left"/>
              <w:rPr/>
            </w:pPr>
            <w:r>
              <w:rPr/>
              <w:t> </w:t>
            </w:r>
            <w:bookmarkStart w:id="985" w:name="xdx_40F_eus-gaap--NotesPayableCurrent_i0"/>
            <w:bookmarkEnd w:id="985"/>
          </w:p>
        </w:tc>
      </w:tr>
      <w:tr>
        <w:trPr/>
        <w:tc>
          <w:tcPr>
            <w:tcW w:w="7428" w:type="dxa"/>
            <w:tcBorders/>
            <w:shd w:fill="CCEEFF" w:val="clear"/>
            <w:vAlign w:val="center"/>
          </w:tcPr>
          <w:p>
            <w:pPr>
              <w:pStyle w:val="TableContents"/>
              <w:bidi w:val="0"/>
              <w:spacing w:before="0" w:after="283"/>
              <w:jc w:val="left"/>
              <w:rPr/>
            </w:pPr>
            <w:r>
              <w:rPr/>
              <w:t>Notes payable, related party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986" w:name="xdx_403_eus-gaap--OperatingLeaseLiabilit"/>
            <w:bookmarkEnd w:id="986"/>
          </w:p>
        </w:tc>
      </w:tr>
      <w:tr>
        <w:trPr/>
        <w:tc>
          <w:tcPr>
            <w:tcW w:w="7428"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1,188</w:t>
            </w:r>
          </w:p>
        </w:tc>
        <w:tc>
          <w:tcPr>
            <w:tcW w:w="112" w:type="dxa"/>
            <w:tcBorders/>
            <w:shd w:fill="FFFFFF" w:val="clear"/>
            <w:vAlign w:val="center"/>
          </w:tcPr>
          <w:p>
            <w:pPr>
              <w:pStyle w:val="TableContents"/>
              <w:bidi w:val="0"/>
              <w:spacing w:before="0" w:after="283"/>
              <w:jc w:val="left"/>
              <w:rPr/>
            </w:pPr>
            <w:r>
              <w:rPr/>
              <w:t> </w:t>
            </w:r>
            <w:bookmarkStart w:id="987" w:name="xdx_406_eus-gaap--LiabilitiesCurrent_i01"/>
            <w:bookmarkEnd w:id="987"/>
          </w:p>
        </w:tc>
      </w:tr>
      <w:tr>
        <w:trPr/>
        <w:tc>
          <w:tcPr>
            <w:tcW w:w="742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50,483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40,566</w:t>
            </w:r>
          </w:p>
        </w:tc>
        <w:tc>
          <w:tcPr>
            <w:tcW w:w="112" w:type="dxa"/>
            <w:tcBorders/>
            <w:shd w:fill="CCEEFF" w:val="clear"/>
            <w:vAlign w:val="center"/>
          </w:tcPr>
          <w:p>
            <w:pPr>
              <w:pStyle w:val="TableContents"/>
              <w:bidi w:val="0"/>
              <w:spacing w:before="0" w:after="283"/>
              <w:jc w:val="left"/>
              <w:rPr/>
            </w:pPr>
            <w:r>
              <w:rPr/>
              <w:t> </w:t>
            </w:r>
            <w:bookmarkStart w:id="988" w:name="xdx_40A_eus-gaap--LiabilitiesNoncurrentA"/>
            <w:bookmarkEnd w:id="988"/>
          </w:p>
        </w:tc>
      </w:tr>
      <w:tr>
        <w:trPr/>
        <w:tc>
          <w:tcPr>
            <w:tcW w:w="7428"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89" w:name="xdx_40E_ecustom--WarrantLiabilityNoncurr"/>
            <w:bookmarkEnd w:id="989"/>
          </w:p>
        </w:tc>
      </w:tr>
      <w:tr>
        <w:trPr/>
        <w:tc>
          <w:tcPr>
            <w:tcW w:w="7428"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4,141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32,831</w:t>
            </w:r>
          </w:p>
        </w:tc>
        <w:tc>
          <w:tcPr>
            <w:tcW w:w="112" w:type="dxa"/>
            <w:tcBorders/>
            <w:shd w:fill="CCEEFF" w:val="clear"/>
            <w:vAlign w:val="center"/>
          </w:tcPr>
          <w:p>
            <w:pPr>
              <w:pStyle w:val="TableContents"/>
              <w:bidi w:val="0"/>
              <w:spacing w:before="0" w:after="283"/>
              <w:jc w:val="left"/>
              <w:rPr/>
            </w:pPr>
            <w:r>
              <w:rPr/>
              <w:t> </w:t>
            </w:r>
            <w:bookmarkStart w:id="990" w:name="xdx_40C_eus-gaap--OtherAccruedLiabilitie"/>
            <w:bookmarkEnd w:id="990"/>
          </w:p>
        </w:tc>
      </w:tr>
      <w:tr>
        <w:trPr/>
        <w:tc>
          <w:tcPr>
            <w:tcW w:w="7428" w:type="dxa"/>
            <w:tcBorders/>
            <w:shd w:fill="FFFFFF" w:val="clear"/>
            <w:vAlign w:val="center"/>
          </w:tcPr>
          <w:p>
            <w:pPr>
              <w:pStyle w:val="TableContents"/>
              <w:bidi w:val="0"/>
              <w:spacing w:before="0" w:after="283"/>
              <w:jc w:val="left"/>
              <w:rPr/>
            </w:pPr>
            <w:r>
              <w:rPr/>
              <w:t>Accrued expenses-long term</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492</w:t>
            </w:r>
          </w:p>
        </w:tc>
        <w:tc>
          <w:tcPr>
            <w:tcW w:w="112" w:type="dxa"/>
            <w:tcBorders/>
            <w:shd w:fill="FFFFFF" w:val="clear"/>
            <w:vAlign w:val="center"/>
          </w:tcPr>
          <w:p>
            <w:pPr>
              <w:pStyle w:val="TableContents"/>
              <w:bidi w:val="0"/>
              <w:spacing w:before="0" w:after="283"/>
              <w:jc w:val="left"/>
              <w:rPr/>
            </w:pPr>
            <w:r>
              <w:rPr/>
              <w:t> </w:t>
            </w:r>
            <w:bookmarkStart w:id="991" w:name="xdx_408_eus-gaap--OperatingLeaseLiabilit"/>
            <w:bookmarkEnd w:id="991"/>
          </w:p>
        </w:tc>
      </w:tr>
      <w:tr>
        <w:trPr/>
        <w:tc>
          <w:tcPr>
            <w:tcW w:w="7428"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112" w:type="dxa"/>
            <w:tcBorders/>
            <w:shd w:fill="CCEEFF" w:val="clear"/>
            <w:vAlign w:val="center"/>
          </w:tcPr>
          <w:p>
            <w:pPr>
              <w:pStyle w:val="TableContents"/>
              <w:bidi w:val="0"/>
              <w:spacing w:before="0" w:after="283"/>
              <w:jc w:val="left"/>
              <w:rPr/>
            </w:pPr>
            <w:r>
              <w:rPr/>
              <w:t> </w:t>
            </w:r>
            <w:bookmarkStart w:id="992" w:name="xdx_40B_eus-gaap--LiabilitiesNoncurrent_"/>
            <w:bookmarkEnd w:id="992"/>
          </w:p>
        </w:tc>
      </w:tr>
      <w:tr>
        <w:trPr/>
        <w:tc>
          <w:tcPr>
            <w:tcW w:w="7428"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36,864</w:t>
            </w:r>
          </w:p>
        </w:tc>
        <w:tc>
          <w:tcPr>
            <w:tcW w:w="112" w:type="dxa"/>
            <w:tcBorders/>
            <w:shd w:fill="FFFFFF" w:val="clear"/>
            <w:vAlign w:val="center"/>
          </w:tcPr>
          <w:p>
            <w:pPr>
              <w:pStyle w:val="TableContents"/>
              <w:bidi w:val="0"/>
              <w:spacing w:before="0" w:after="283"/>
              <w:jc w:val="left"/>
              <w:rPr/>
            </w:pPr>
            <w:r>
              <w:rPr/>
              <w:t> </w:t>
            </w:r>
            <w:bookmarkStart w:id="993" w:name="xdx_40E_eus-gaap--Liabilities_i01TI_mtLz"/>
            <w:bookmarkEnd w:id="993"/>
          </w:p>
        </w:tc>
      </w:tr>
      <w:tr>
        <w:trPr/>
        <w:tc>
          <w:tcPr>
            <w:tcW w:w="742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58,194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77,430</w:t>
            </w:r>
          </w:p>
        </w:tc>
        <w:tc>
          <w:tcPr>
            <w:tcW w:w="112" w:type="dxa"/>
            <w:tcBorders/>
            <w:shd w:fill="CCEEFF" w:val="clear"/>
            <w:vAlign w:val="center"/>
          </w:tcPr>
          <w:p>
            <w:pPr>
              <w:pStyle w:val="TableContents"/>
              <w:bidi w:val="0"/>
              <w:spacing w:before="0" w:after="283"/>
              <w:jc w:val="left"/>
              <w:rPr/>
            </w:pPr>
            <w:r>
              <w:rPr/>
              <w:t> </w:t>
            </w:r>
            <w:bookmarkStart w:id="994" w:name="xdx_406_eus-gaap--CommitmentsAndContinge"/>
            <w:bookmarkEnd w:id="994"/>
          </w:p>
        </w:tc>
      </w:tr>
      <w:tr>
        <w:trPr/>
        <w:tc>
          <w:tcPr>
            <w:tcW w:w="7428" w:type="dxa"/>
            <w:tcBorders/>
            <w:shd w:fill="FFFFFF" w:val="clear"/>
            <w:vAlign w:val="center"/>
          </w:tcPr>
          <w:p>
            <w:pPr>
              <w:pStyle w:val="TableContents"/>
              <w:bidi w:val="0"/>
              <w:spacing w:before="0" w:after="283"/>
              <w:jc w:val="left"/>
              <w:rPr>
                <w:b/>
              </w:rPr>
            </w:pPr>
            <w:r>
              <w:rPr>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995" w:name="xdx_40E_eus-gaap--StockholdersEquityAbst"/>
            <w:bookmarkEnd w:id="995"/>
          </w:p>
        </w:tc>
      </w:tr>
      <w:tr>
        <w:trPr/>
        <w:tc>
          <w:tcPr>
            <w:tcW w:w="7428"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96" w:name="xdx_402_eus-gaap--CommonStockValue_i01I_"/>
            <w:bookmarkEnd w:id="996"/>
          </w:p>
        </w:tc>
      </w:tr>
      <w:tr>
        <w:trPr/>
        <w:tc>
          <w:tcPr>
            <w:tcW w:w="7428" w:type="dxa"/>
            <w:tcBorders/>
            <w:shd w:fill="FFFFFF" w:val="clear"/>
            <w:vAlign w:val="center"/>
          </w:tcPr>
          <w:p>
            <w:pPr>
              <w:pStyle w:val="TableContents"/>
              <w:bidi w:val="0"/>
              <w:spacing w:before="0" w:after="283"/>
              <w:jc w:val="left"/>
              <w:rPr/>
            </w:pPr>
            <w:r>
              <w:rPr/>
              <w:t xml:space="preserve">Common stock, </w:t>
            </w:r>
            <w:bookmarkStart w:id="997" w:name="xdx_90C_eus-gaap--CommonStockSharesAutho"/>
            <w:bookmarkStart w:id="998" w:name="xdx_90C_eus-gaap--CommonStockSharesAutho"/>
            <w:bookmarkEnd w:id="997"/>
            <w:bookmarkEnd w:id="998"/>
            <w:r>
              <w:rPr/>
              <w:t>170,000,000 shares at $</w:t>
            </w:r>
            <w:bookmarkStart w:id="999" w:name="xdx_906_eus-gaap--CommonStockParOrStated"/>
            <w:bookmarkStart w:id="1000" w:name="xdx_909_eus-gaap--CommonStockParOrStated"/>
            <w:bookmarkEnd w:id="999"/>
            <w:bookmarkEnd w:id="1000"/>
            <w:r>
              <w:rPr/>
              <w:t xml:space="preserve">0.0001 par value, authorized, </w:t>
            </w:r>
            <w:bookmarkStart w:id="1001" w:name="xdx_907_eus-gaap--CommonStockSharesIssue"/>
            <w:bookmarkStart w:id="1002" w:name="xdx_90E_eus-gaap--CommonStockSharesOutst"/>
            <w:bookmarkEnd w:id="1001"/>
            <w:bookmarkEnd w:id="1002"/>
            <w:r>
              <w:rPr/>
              <w:t xml:space="preserve">45,795,502 and </w:t>
            </w:r>
            <w:bookmarkStart w:id="1003" w:name="xdx_909_eus-gaap--CommonStockSharesIssue"/>
            <w:bookmarkStart w:id="1004" w:name="xdx_904_eus-gaap--CommonStockSharesOutst"/>
            <w:bookmarkEnd w:id="1003"/>
            <w:bookmarkEnd w:id="1004"/>
            <w:r>
              <w:rPr/>
              <w:t>43,272,728 shares issued and outstanding as of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bookmarkStart w:id="1005" w:name="xdx_402_eus-gaap--PreferredStockValue_i0"/>
            <w:bookmarkEnd w:id="1005"/>
          </w:p>
        </w:tc>
      </w:tr>
      <w:tr>
        <w:trPr/>
        <w:tc>
          <w:tcPr>
            <w:tcW w:w="7428" w:type="dxa"/>
            <w:tcBorders/>
            <w:shd w:fill="CCEEFF" w:val="clear"/>
            <w:vAlign w:val="center"/>
          </w:tcPr>
          <w:p>
            <w:pPr>
              <w:pStyle w:val="TableContents"/>
              <w:bidi w:val="0"/>
              <w:spacing w:before="0" w:after="283"/>
              <w:jc w:val="left"/>
              <w:rPr/>
            </w:pPr>
            <w:r>
              <w:rPr/>
              <w:t xml:space="preserve">Preferred stock, </w:t>
            </w:r>
            <w:bookmarkStart w:id="1006" w:name="xdx_904_eus-gaap--PreferredStockSharesAu"/>
            <w:bookmarkStart w:id="1007" w:name="xdx_905_eus-gaap--PreferredStockSharesAu"/>
            <w:bookmarkEnd w:id="1006"/>
            <w:bookmarkEnd w:id="1007"/>
            <w:r>
              <w:rPr/>
              <w:t>5,000,000 shares at $</w:t>
            </w:r>
            <w:bookmarkStart w:id="1008" w:name="xdx_90A_eus-gaap--PreferredStockParOrSta"/>
            <w:bookmarkStart w:id="1009" w:name="xdx_902_eus-gaap--PreferredStockParOrSta"/>
            <w:bookmarkEnd w:id="1008"/>
            <w:bookmarkEnd w:id="1009"/>
            <w:r>
              <w:rPr/>
              <w:t xml:space="preserve">0.0001 par value, authorized, </w:t>
            </w:r>
            <w:bookmarkStart w:id="1010" w:name="xdx_909_eus-gaap--PreferredStockSharesIs"/>
            <w:bookmarkStart w:id="1011" w:name="xdx_904_eus-gaap--PreferredStockSharesIs"/>
            <w:bookmarkStart w:id="1012" w:name="xdx_90F_eus-gaap--PreferredStockSharesOu"/>
            <w:bookmarkStart w:id="1013" w:name="xdx_901_eus-gaap--PreferredStockSharesOu"/>
            <w:bookmarkEnd w:id="1010"/>
            <w:bookmarkEnd w:id="1011"/>
            <w:bookmarkEnd w:id="1012"/>
            <w:bookmarkEnd w:id="1013"/>
            <w:r>
              <w:rPr/>
              <w:t>no shares issued and outstanding as of March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014" w:name="xdx_409_eus-gaap--AdditionalPaidInCapita"/>
            <w:bookmarkEnd w:id="1014"/>
          </w:p>
        </w:tc>
      </w:tr>
      <w:tr>
        <w:trPr/>
        <w:tc>
          <w:tcPr>
            <w:tcW w:w="7428"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54,551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38,461</w:t>
            </w:r>
          </w:p>
        </w:tc>
        <w:tc>
          <w:tcPr>
            <w:tcW w:w="112" w:type="dxa"/>
            <w:tcBorders/>
            <w:shd w:fill="FFFFFF" w:val="clear"/>
            <w:vAlign w:val="center"/>
          </w:tcPr>
          <w:p>
            <w:pPr>
              <w:pStyle w:val="TableContents"/>
              <w:bidi w:val="0"/>
              <w:spacing w:before="0" w:after="283"/>
              <w:jc w:val="left"/>
              <w:rPr/>
            </w:pPr>
            <w:r>
              <w:rPr/>
              <w:t> </w:t>
            </w:r>
            <w:bookmarkStart w:id="1015" w:name="xdx_40E_eus-gaap--RetainedEarningsAccumu"/>
            <w:bookmarkEnd w:id="1015"/>
          </w:p>
        </w:tc>
      </w:tr>
      <w:tr>
        <w:trPr/>
        <w:tc>
          <w:tcPr>
            <w:tcW w:w="7428" w:type="dxa"/>
            <w:tcBorders/>
            <w:shd w:fill="CCEEFF" w:val="clear"/>
            <w:vAlign w:val="center"/>
          </w:tcPr>
          <w:p>
            <w:pPr>
              <w:pStyle w:val="TableContents"/>
              <w:bidi w:val="0"/>
              <w:spacing w:before="0" w:after="283"/>
              <w:jc w:val="left"/>
              <w:rPr/>
            </w:pPr>
            <w:r>
              <w:rPr/>
              <w:t>Retained deficit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(22,241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(27,133</w:t>
            </w:r>
          </w:p>
        </w:tc>
        <w:tc>
          <w:tcPr>
            <w:tcW w:w="112" w:type="dxa"/>
            <w:tcBorders/>
            <w:shd w:fill="CCEEFF" w:val="clear"/>
            <w:vAlign w:val="center"/>
          </w:tcPr>
          <w:p>
            <w:pPr>
              <w:pStyle w:val="TableContents"/>
              <w:bidi w:val="0"/>
              <w:spacing w:before="0" w:after="283"/>
              <w:jc w:val="left"/>
              <w:rPr/>
            </w:pPr>
            <w:r>
              <w:rPr/>
              <w:t>)</w:t>
            </w:r>
            <w:bookmarkStart w:id="1016" w:name="xdx_405_eus-gaap--StockholdersEquity_i01"/>
            <w:bookmarkEnd w:id="1016"/>
          </w:p>
        </w:tc>
      </w:tr>
      <w:tr>
        <w:trPr/>
        <w:tc>
          <w:tcPr>
            <w:tcW w:w="7428"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32,315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11,332</w:t>
            </w:r>
          </w:p>
        </w:tc>
        <w:tc>
          <w:tcPr>
            <w:tcW w:w="112" w:type="dxa"/>
            <w:tcBorders/>
            <w:shd w:fill="FFFFFF" w:val="clear"/>
            <w:vAlign w:val="center"/>
          </w:tcPr>
          <w:p>
            <w:pPr>
              <w:pStyle w:val="TableContents"/>
              <w:bidi w:val="0"/>
              <w:spacing w:before="0" w:after="283"/>
              <w:jc w:val="left"/>
              <w:rPr/>
            </w:pPr>
            <w:r>
              <w:rPr/>
              <w:t> </w:t>
            </w:r>
            <w:bookmarkStart w:id="1017" w:name="xdx_401_eus-gaap--LiabilitiesAndStockhol"/>
            <w:bookmarkEnd w:id="1017"/>
          </w:p>
        </w:tc>
      </w:tr>
      <w:tr>
        <w:trPr/>
        <w:tc>
          <w:tcPr>
            <w:tcW w:w="742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88,762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18" w:name="a_004"/>
      <w:bookmarkEnd w:id="1018"/>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1019" w:name="fs_002"/>
      <w:bookmarkEnd w:id="1019"/>
      <w:r>
        <w:rPr>
          <w:rFonts w:ascii="Times New Roman;Times;Serif" w:hAnsi="Times New Roman;Times;Serif"/>
          <w:b/>
          <w:i w:val="false"/>
          <w:caps/>
          <w:sz w:val="20"/>
        </w:rPr>
        <w:t>Unaudited Condensed Interim Consolidated Statements of Operations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Three Months Ended March 31, 2023 and 2022</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20" w:name="xdx_30B_113_pn3n3_zqL4dacJ1ba8"/>
      <w:bookmarkStart w:id="1021" w:name="xdx_30B_113_pn3n3_zqL4dacJ1ba8"/>
      <w:bookmarkEnd w:id="1021"/>
    </w:p>
    <w:tbl>
      <w:tblPr>
        <w:tblW w:w="7265" w:type="dxa"/>
        <w:jc w:val="left"/>
        <w:tblInd w:w="0" w:type="dxa"/>
        <w:tblLayout w:type="fixed"/>
        <w:tblCellMar>
          <w:top w:w="0" w:type="dxa"/>
          <w:left w:w="0" w:type="dxa"/>
          <w:bottom w:w="0" w:type="dxa"/>
          <w:right w:w="0" w:type="dxa"/>
        </w:tblCellMar>
      </w:tblPr>
      <w:tblGrid>
        <w:gridCol w:w="4460"/>
        <w:gridCol w:w="60"/>
        <w:gridCol w:w="140"/>
        <w:gridCol w:w="1100"/>
        <w:gridCol w:w="95"/>
        <w:gridCol w:w="60"/>
        <w:gridCol w:w="140"/>
        <w:gridCol w:w="1100"/>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22" w:name="xdx_495_20230101__20230331_zc65WmPuILjg"/>
            <w:bookmarkEnd w:id="1022"/>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23" w:name="xdx_497_20220101__20220331_zKGdzYsGBQpf"/>
            <w:bookmarkEnd w:id="1023"/>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center"/>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24" w:name="xdx_40E_eus-gaap--RevenueFromContractWit"/>
            <w:bookmarkEnd w:id="1024"/>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5" w:name="xdx_40A_eus-gaap--CostOfGoodsAndServices"/>
            <w:bookmarkEnd w:id="1025"/>
          </w:p>
        </w:tc>
      </w:tr>
      <w:tr>
        <w:trPr/>
        <w:tc>
          <w:tcPr>
            <w:tcW w:w="446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12,808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6" w:name="xdx_40F_eus-gaap--GrossProfit_iT_mtGPzM3"/>
            <w:bookmarkEnd w:id="1026"/>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5,495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7" w:name="xdx_40C_eus-gaap--OperatingExpensesAbstr"/>
            <w:bookmarkEnd w:id="1027"/>
          </w:p>
        </w:tc>
      </w:tr>
      <w:tr>
        <w:trPr/>
        <w:tc>
          <w:tcPr>
            <w:tcW w:w="44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8" w:name="xdx_401_eus-gaap--ResearchAndDevelopment"/>
            <w:bookmarkEnd w:id="1028"/>
          </w:p>
        </w:tc>
      </w:tr>
      <w:tr>
        <w:trPr/>
        <w:tc>
          <w:tcPr>
            <w:tcW w:w="446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w:t>
            </w:r>
          </w:p>
        </w:tc>
        <w:tc>
          <w:tcPr>
            <w:tcW w:w="110" w:type="dxa"/>
            <w:tcBorders/>
            <w:shd w:fill="FFFFFF" w:val="clear"/>
            <w:vAlign w:val="center"/>
          </w:tcPr>
          <w:p>
            <w:pPr>
              <w:pStyle w:val="TableContents"/>
              <w:bidi w:val="0"/>
              <w:spacing w:before="0" w:after="283"/>
              <w:jc w:val="left"/>
              <w:rPr/>
            </w:pPr>
            <w:r>
              <w:rPr/>
              <w:t> </w:t>
            </w:r>
            <w:bookmarkStart w:id="1029" w:name="xdx_407_eus-gaap--GeneralAndAdministrati"/>
            <w:bookmarkEnd w:id="1029"/>
          </w:p>
        </w:tc>
      </w:tr>
      <w:tr>
        <w:trPr/>
        <w:tc>
          <w:tcPr>
            <w:tcW w:w="446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3,626</w:t>
            </w:r>
          </w:p>
        </w:tc>
        <w:tc>
          <w:tcPr>
            <w:tcW w:w="110" w:type="dxa"/>
            <w:tcBorders/>
            <w:shd w:fill="CCEEFF" w:val="clear"/>
            <w:vAlign w:val="center"/>
          </w:tcPr>
          <w:p>
            <w:pPr>
              <w:pStyle w:val="TableContents"/>
              <w:bidi w:val="0"/>
              <w:spacing w:before="0" w:after="283"/>
              <w:jc w:val="left"/>
              <w:rPr/>
            </w:pPr>
            <w:r>
              <w:rPr/>
              <w:t> </w:t>
            </w:r>
            <w:bookmarkStart w:id="1030" w:name="xdx_405_eus-gaap--SellingAndMarketingExp"/>
            <w:bookmarkEnd w:id="1030"/>
          </w:p>
        </w:tc>
      </w:tr>
      <w:tr>
        <w:trPr/>
        <w:tc>
          <w:tcPr>
            <w:tcW w:w="446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3,092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1" w:name="xdx_40B_eus-gaap--OperatingExpenses_i01T"/>
            <w:bookmarkEnd w:id="1031"/>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2" w:name="xdx_403_eus-gaap--OperatingIncomeLoss_iT"/>
            <w:bookmarkEnd w:id="1032"/>
          </w:p>
        </w:tc>
      </w:tr>
      <w:tr>
        <w:trPr/>
        <w:tc>
          <w:tcPr>
            <w:tcW w:w="446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(1,562</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3" w:name="xdx_409_eus-gaap--NonoperatingIncomeExpe"/>
            <w:bookmarkEnd w:id="1033"/>
          </w:p>
        </w:tc>
      </w:tr>
      <w:tr>
        <w:trPr/>
        <w:tc>
          <w:tcPr>
            <w:tcW w:w="446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4" w:name="xdx_404_eus-gaap--InterestExpense_i01N_d"/>
            <w:bookmarkEnd w:id="1034"/>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bookmarkStart w:id="1035" w:name="xdx_408_eus-gaap--FairValueAdjustmentOfW"/>
            <w:bookmarkEnd w:id="1035"/>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36" w:name="xdx_40E_eus-gaap--NonoperatingIncomeExpe"/>
            <w:bookmarkEnd w:id="1036"/>
          </w:p>
        </w:tc>
      </w:tr>
      <w:tr>
        <w:trPr/>
        <w:tc>
          <w:tcPr>
            <w:tcW w:w="4460"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7" w:name="xdx_404_eus-gaap--IncomeLossFromContinui"/>
            <w:bookmarkEnd w:id="1037"/>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(2,825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8" w:name="xdx_40A_eus-gaap--IncomeTaxExpenseBenefi"/>
            <w:bookmarkEnd w:id="1038"/>
          </w:p>
        </w:tc>
      </w:tr>
      <w:tr>
        <w:trPr/>
        <w:tc>
          <w:tcPr>
            <w:tcW w:w="4460" w:type="dxa"/>
            <w:tcBorders/>
            <w:shd w:fill="CCEEFF" w:val="clear"/>
            <w:vAlign w:val="center"/>
          </w:tcPr>
          <w:p>
            <w:pPr>
              <w:pStyle w:val="TableContents"/>
              <w:bidi w:val="0"/>
              <w:spacing w:before="0" w:after="283"/>
              <w:jc w:val="left"/>
              <w:rPr>
                <w:b/>
              </w:rPr>
            </w:pPr>
            <w:r>
              <w:rPr>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(527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9" w:name="xdx_404_eus-gaap--NetIncomeLoss_iT_mtNIL"/>
            <w:bookmarkEnd w:id="1039"/>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0" w:name="xdx_405_eus-gaap--EarningsPerShareBasic_"/>
            <w:bookmarkEnd w:id="1040"/>
          </w:p>
        </w:tc>
      </w:tr>
      <w:tr>
        <w:trPr/>
        <w:tc>
          <w:tcPr>
            <w:tcW w:w="4460" w:type="dxa"/>
            <w:tcBorders/>
            <w:shd w:fill="CCEEFF" w:val="clear"/>
            <w:vAlign w:val="center"/>
          </w:tcPr>
          <w:p>
            <w:pPr>
              <w:pStyle w:val="TableContents"/>
              <w:bidi w:val="0"/>
              <w:spacing w:before="0" w:after="283"/>
              <w:jc w:val="left"/>
              <w:rPr/>
            </w:pPr>
            <w:r>
              <w:rPr/>
              <w:t>Income (Loss) Per Share-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bookmarkStart w:id="1041" w:name="xdx_40D_eus-gaap--EarningsPerShareDilute"/>
            <w:bookmarkEnd w:id="1041"/>
          </w:p>
        </w:tc>
      </w:tr>
      <w:tr>
        <w:trPr/>
        <w:tc>
          <w:tcPr>
            <w:tcW w:w="4460" w:type="dxa"/>
            <w:tcBorders/>
            <w:shd w:fill="FFFFFF" w:val="clear"/>
            <w:vAlign w:val="center"/>
          </w:tcPr>
          <w:p>
            <w:pPr>
              <w:pStyle w:val="TableContents"/>
              <w:bidi w:val="0"/>
              <w:spacing w:before="0" w:after="283"/>
              <w:jc w:val="left"/>
              <w:rPr/>
            </w:pPr>
            <w:r>
              <w:rPr/>
              <w:t>Income (Loss) Per Share-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bookmarkStart w:id="1042" w:name="xdx_40F_eus-gaap--WeightedAverageNumberO"/>
            <w:bookmarkEnd w:id="1042"/>
          </w:p>
        </w:tc>
      </w:tr>
      <w:tr>
        <w:trPr/>
        <w:tc>
          <w:tcPr>
            <w:tcW w:w="4460" w:type="dxa"/>
            <w:tcBorders/>
            <w:shd w:fill="CCEEFF" w:val="clear"/>
            <w:vAlign w:val="center"/>
          </w:tcPr>
          <w:p>
            <w:pPr>
              <w:pStyle w:val="TableContents"/>
              <w:bidi w:val="0"/>
              <w:spacing w:before="0" w:after="283"/>
              <w:jc w:val="left"/>
              <w:rPr/>
            </w:pPr>
            <w:r>
              <w:rPr/>
              <w:t>Weighted Average Number of Shares-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45,104,515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bookmarkStart w:id="1043" w:name="xdx_408_eus-gaap--WeightedAverageNumberO"/>
            <w:bookmarkEnd w:id="1043"/>
          </w:p>
        </w:tc>
      </w:tr>
      <w:tr>
        <w:trPr/>
        <w:tc>
          <w:tcPr>
            <w:tcW w:w="4460" w:type="dxa"/>
            <w:tcBorders/>
            <w:shd w:fill="FFFFFF" w:val="clear"/>
            <w:vAlign w:val="center"/>
          </w:tcPr>
          <w:p>
            <w:pPr>
              <w:pStyle w:val="TableContents"/>
              <w:bidi w:val="0"/>
              <w:spacing w:before="0" w:after="283"/>
              <w:jc w:val="left"/>
              <w:rPr/>
            </w:pPr>
            <w:r>
              <w:rPr/>
              <w:t>Weighted Average Number of Shares-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48,455,996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44" w:name="a_005"/>
      <w:bookmarkEnd w:id="1044"/>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1045" w:name="fs_003"/>
      <w:bookmarkEnd w:id="1045"/>
      <w:r>
        <w:rPr>
          <w:rFonts w:ascii="Times New Roman;Times;Serif" w:hAnsi="Times New Roman;Times;Serif"/>
          <w:b/>
          <w:i w:val="false"/>
          <w:caps/>
          <w:sz w:val="20"/>
        </w:rPr>
        <w:t>Unaudited Condensed Consolidated Statements of Shareholders’ Equity</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46" w:name="xdx_30B_114_pn3n3_z7eWaUK9rU52"/>
      <w:bookmarkStart w:id="1047" w:name="xdx_30B_114_pn3n3_z7eWaUK9rU52"/>
      <w:bookmarkEnd w:id="1047"/>
    </w:p>
    <w:tbl>
      <w:tblPr>
        <w:tblW w:w="10205" w:type="dxa"/>
        <w:jc w:val="left"/>
        <w:tblInd w:w="0" w:type="dxa"/>
        <w:tblLayout w:type="fixed"/>
        <w:tblCellMar>
          <w:top w:w="0" w:type="dxa"/>
          <w:left w:w="0" w:type="dxa"/>
          <w:bottom w:w="0" w:type="dxa"/>
          <w:right w:w="0" w:type="dxa"/>
        </w:tblCellMar>
      </w:tblPr>
      <w:tblGrid>
        <w:gridCol w:w="2304"/>
        <w:gridCol w:w="60"/>
        <w:gridCol w:w="60"/>
        <w:gridCol w:w="1175"/>
        <w:gridCol w:w="95"/>
        <w:gridCol w:w="60"/>
        <w:gridCol w:w="144"/>
        <w:gridCol w:w="656"/>
        <w:gridCol w:w="95"/>
        <w:gridCol w:w="60"/>
        <w:gridCol w:w="60"/>
        <w:gridCol w:w="1100"/>
        <w:gridCol w:w="60"/>
        <w:gridCol w:w="60"/>
        <w:gridCol w:w="160"/>
        <w:gridCol w:w="640"/>
        <w:gridCol w:w="60"/>
        <w:gridCol w:w="60"/>
        <w:gridCol w:w="175"/>
        <w:gridCol w:w="850"/>
        <w:gridCol w:w="60"/>
        <w:gridCol w:w="60"/>
        <w:gridCol w:w="166"/>
        <w:gridCol w:w="898"/>
        <w:gridCol w:w="95"/>
        <w:gridCol w:w="60"/>
        <w:gridCol w:w="140"/>
        <w:gridCol w:w="680"/>
        <w:gridCol w:w="112"/>
      </w:tblGrid>
      <w:tr>
        <w:trPr/>
        <w:tc>
          <w:tcPr>
            <w:tcW w:w="2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8" w:name="xdx_4B6_us-gaap--StatementEquityComponen"/>
            <w:bookmarkEnd w:id="1048"/>
          </w:p>
        </w:tc>
        <w:tc>
          <w:tcPr>
            <w:tcW w:w="8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9" w:name="xdx_4B3_us-gaap--StatementEquityComponen"/>
            <w:bookmarkEnd w:id="1049"/>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0" w:name="xdx_4BD_us-gaap--StatementEquityComponen"/>
            <w:bookmarkEnd w:id="1050"/>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1" w:name="xdx_4B1_us-gaap--StatementEquityComponen"/>
            <w:bookmarkEnd w:id="1051"/>
          </w:p>
        </w:tc>
        <w:tc>
          <w:tcPr>
            <w:tcW w:w="10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2" w:name="xdx_4BE_zPMOZAIHoBLb"/>
            <w:bookmarkEnd w:id="1052"/>
          </w:p>
        </w:tc>
        <w:tc>
          <w:tcPr>
            <w:tcW w:w="82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Redeemable </w:t>
              <w:br/>
              <w:t>Preferred Stock</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jc w:val="center"/>
              <w:rPr/>
            </w:pPr>
            <w:r>
              <w:rPr/>
              <w:t>Additional</w:t>
            </w:r>
          </w:p>
          <w:p>
            <w:pPr>
              <w:pStyle w:val="TableContents"/>
              <w:bidi w:val="0"/>
              <w:spacing w:before="0" w:after="283"/>
              <w:jc w:val="center"/>
              <w:rPr/>
            </w:pPr>
            <w:r>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gridSpan w:val="2"/>
            <w:tcBorders/>
            <w:vAlign w:val="center"/>
          </w:tcPr>
          <w:p>
            <w:pPr>
              <w:pStyle w:val="TableContents"/>
              <w:bidi w:val="0"/>
              <w:spacing w:before="0" w:after="283"/>
              <w:jc w:val="center"/>
              <w:rPr/>
            </w:pPr>
            <w:r>
              <w:rPr/>
              <w:t>Retained 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2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center"/>
              <w:rPr/>
            </w:pPr>
            <w:r>
              <w:rPr/>
              <w:t> </w:t>
            </w:r>
          </w:p>
        </w:tc>
      </w:tr>
      <w:tr>
        <w:trPr/>
        <w:tc>
          <w:tcPr>
            <w:tcW w:w="2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1053" w:name="xdx_431_c20220101__20220331_ecustom--Sto"/>
            <w:bookmarkEnd w:id="1053"/>
          </w:p>
        </w:tc>
      </w:tr>
      <w:tr>
        <w:trPr/>
        <w:tc>
          <w:tcPr>
            <w:tcW w:w="2304" w:type="dxa"/>
            <w:tcBorders/>
            <w:shd w:fill="CCEEFF" w:val="clear"/>
            <w:vAlign w:val="center"/>
          </w:tcPr>
          <w:p>
            <w:pPr>
              <w:pStyle w:val="TableContents"/>
              <w:bidi w:val="0"/>
              <w:spacing w:before="0" w:after="283"/>
              <w:jc w:val="left"/>
              <w:rPr>
                <w:b/>
              </w:rPr>
            </w:pPr>
            <w:r>
              <w:rPr>
                <w:b/>
              </w:rPr>
              <w:t>Balance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54" w:name="xdx_98B_ecustom--StockholdersEquityBefor"/>
            <w:bookmarkEnd w:id="1054"/>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55" w:name="xdx_98B_ecustom--StockholdersEquityBefor"/>
            <w:bookmarkEnd w:id="1055"/>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20,875,475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14,061</w:t>
            </w:r>
          </w:p>
        </w:tc>
        <w:tc>
          <w:tcPr>
            <w:tcW w:w="112" w:type="dxa"/>
            <w:tcBorders/>
            <w:shd w:fill="CCEEFF" w:val="clear"/>
            <w:vAlign w:val="center"/>
          </w:tcPr>
          <w:p>
            <w:pPr>
              <w:pStyle w:val="TableContents"/>
              <w:bidi w:val="0"/>
              <w:spacing w:before="0" w:after="283"/>
              <w:jc w:val="left"/>
              <w:rPr/>
            </w:pPr>
            <w:r>
              <w:rPr/>
              <w:t> </w:t>
            </w:r>
            <w:bookmarkStart w:id="1056" w:name="xdx_43A_c20220101__20220331_ecustom--Sto"/>
            <w:bookmarkEnd w:id="1056"/>
          </w:p>
        </w:tc>
      </w:tr>
      <w:tr>
        <w:trPr/>
        <w:tc>
          <w:tcPr>
            <w:tcW w:w="2304" w:type="dxa"/>
            <w:tcBorders/>
            <w:shd w:fill="CCEEFF" w:val="clear"/>
            <w:vAlign w:val="center"/>
          </w:tcPr>
          <w:p>
            <w:pPr>
              <w:pStyle w:val="TableContents"/>
              <w:bidi w:val="0"/>
              <w:spacing w:before="0" w:after="283"/>
              <w:jc w:val="left"/>
              <w:rPr>
                <w:b/>
              </w:rPr>
            </w:pPr>
            <w:r>
              <w:rPr>
                <w:b/>
              </w:rPr>
              <w:t>Before adjusted balance,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57" w:name="xdx_98F_ecustom--StockholdersEquityBefor"/>
            <w:bookmarkEnd w:id="1057"/>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58" w:name="xdx_98A_ecustom--StockholdersEquityBefor"/>
            <w:bookmarkEnd w:id="1058"/>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20,875,475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14,061</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59" w:name="xdx_407_ecustom--StockIssuedDuringPeriod"/>
            <w:bookmarkEnd w:id="1059"/>
          </w:p>
        </w:tc>
      </w:tr>
      <w:tr>
        <w:trPr/>
        <w:tc>
          <w:tcPr>
            <w:tcW w:w="2304" w:type="dxa"/>
            <w:tcBorders/>
            <w:shd w:fill="CCEEFF" w:val="clear"/>
            <w:vAlign w:val="center"/>
          </w:tcPr>
          <w:p>
            <w:pPr>
              <w:pStyle w:val="TableContents"/>
              <w:bidi w:val="0"/>
              <w:spacing w:before="0" w:after="283"/>
              <w:jc w:val="left"/>
              <w:rPr/>
            </w:pPr>
            <w:r>
              <w:rPr/>
              <w:t>Retroactive application of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60" w:name="xdx_980_ecustom--StockIssuedDuringPeriod"/>
            <w:bookmarkEnd w:id="1060"/>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61" w:name="xdx_98D_ecustom--StockIssuedDuringPeriod"/>
            <w:bookmarkEnd w:id="1061"/>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15,621,523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112" w:type="dxa"/>
            <w:tcBorders/>
            <w:shd w:fill="CCEEFF" w:val="clear"/>
            <w:vAlign w:val="center"/>
          </w:tcPr>
          <w:p>
            <w:pPr>
              <w:pStyle w:val="TableContents"/>
              <w:bidi w:val="0"/>
              <w:spacing w:before="0" w:after="283"/>
              <w:jc w:val="left"/>
              <w:rPr/>
            </w:pPr>
            <w:r>
              <w:rPr/>
              <w:t> </w:t>
            </w:r>
            <w:bookmarkStart w:id="1062" w:name="xdx_430_c20220101__20220331_eus-gaap--St"/>
            <w:bookmarkEnd w:id="1062"/>
          </w:p>
        </w:tc>
      </w:tr>
      <w:tr>
        <w:trPr/>
        <w:tc>
          <w:tcPr>
            <w:tcW w:w="2304" w:type="dxa"/>
            <w:tcBorders/>
            <w:shd w:fill="FFFFFF" w:val="clear"/>
            <w:vAlign w:val="center"/>
          </w:tcPr>
          <w:p>
            <w:pPr>
              <w:pStyle w:val="TableContents"/>
              <w:bidi w:val="0"/>
              <w:spacing w:before="0" w:after="283"/>
              <w:jc w:val="left"/>
              <w:rPr/>
            </w:pPr>
            <w:r>
              <w:rPr/>
              <w:t>Adjusted balance,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3" w:name="xdx_98F_eus-gaap--SharesOutstanding_iS_p"/>
            <w:bookmarkEnd w:id="1063"/>
          </w:p>
        </w:tc>
        <w:tc>
          <w:tcPr>
            <w:tcW w:w="1100" w:type="dxa"/>
            <w:tcBorders/>
            <w:shd w:fill="FFFFFF" w:val="clear"/>
            <w:vAlign w:val="center"/>
          </w:tcPr>
          <w:p>
            <w:pPr>
              <w:pStyle w:val="TableContents"/>
              <w:bidi w:val="0"/>
              <w:spacing w:before="0" w:after="283"/>
              <w:jc w:val="right"/>
              <w:rPr/>
            </w:pPr>
            <w:r>
              <w:rPr/>
              <w:t>36,496,998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12,438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16,061</w:t>
            </w:r>
          </w:p>
        </w:tc>
        <w:tc>
          <w:tcPr>
            <w:tcW w:w="112" w:type="dxa"/>
            <w:tcBorders/>
            <w:shd w:fill="FFFFFF" w:val="clear"/>
            <w:vAlign w:val="center"/>
          </w:tcPr>
          <w:p>
            <w:pPr>
              <w:pStyle w:val="TableContents"/>
              <w:bidi w:val="0"/>
              <w:spacing w:before="0" w:after="283"/>
              <w:jc w:val="left"/>
              <w:rPr/>
            </w:pPr>
            <w:r>
              <w:rPr/>
              <w:t> </w:t>
            </w:r>
            <w:bookmarkStart w:id="1064" w:name="xdx_406_eus-gaap--NetIncomeLoss_pn3n3_zt"/>
            <w:bookmarkEnd w:id="1064"/>
          </w:p>
        </w:tc>
      </w:tr>
      <w:tr>
        <w:trPr/>
        <w:tc>
          <w:tcPr>
            <w:tcW w:w="230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(2,298</w:t>
            </w:r>
          </w:p>
        </w:tc>
        <w:tc>
          <w:tcPr>
            <w:tcW w:w="112" w:type="dxa"/>
            <w:tcBorders/>
            <w:shd w:fill="CCEEFF" w:val="clear"/>
            <w:vAlign w:val="center"/>
          </w:tcPr>
          <w:p>
            <w:pPr>
              <w:pStyle w:val="TableContents"/>
              <w:bidi w:val="0"/>
              <w:spacing w:before="0" w:after="283"/>
              <w:jc w:val="left"/>
              <w:rPr/>
            </w:pPr>
            <w:r>
              <w:rPr/>
              <w:t>)</w:t>
            </w:r>
            <w:bookmarkStart w:id="1065" w:name="xdx_400_eus-gaap--AdjustmentsToAdditiona"/>
            <w:bookmarkEnd w:id="1065"/>
          </w:p>
        </w:tc>
      </w:tr>
      <w:tr>
        <w:trPr/>
        <w:tc>
          <w:tcPr>
            <w:tcW w:w="230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288</w:t>
            </w:r>
          </w:p>
        </w:tc>
        <w:tc>
          <w:tcPr>
            <w:tcW w:w="112" w:type="dxa"/>
            <w:tcBorders/>
            <w:shd w:fill="FFFFFF" w:val="clear"/>
            <w:vAlign w:val="center"/>
          </w:tcPr>
          <w:p>
            <w:pPr>
              <w:pStyle w:val="TableContents"/>
              <w:bidi w:val="0"/>
              <w:spacing w:before="0" w:after="283"/>
              <w:jc w:val="left"/>
              <w:rPr/>
            </w:pPr>
            <w:r>
              <w:rPr/>
              <w:t> </w:t>
            </w:r>
            <w:bookmarkStart w:id="1066" w:name="xdx_403_eus-gaap--StockIssuedDuringPerio"/>
            <w:bookmarkEnd w:id="1066"/>
          </w:p>
        </w:tc>
      </w:tr>
      <w:tr>
        <w:trPr/>
        <w:tc>
          <w:tcPr>
            <w:tcW w:w="2304"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67" w:name="xdx_98B_eus-gaap--StockIssuedDuringPerio"/>
            <w:bookmarkEnd w:id="1067"/>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100,374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68" w:name="xdx_43B_c20220101__20220331_eus-gaap--St"/>
            <w:bookmarkEnd w:id="1068"/>
          </w:p>
        </w:tc>
      </w:tr>
      <w:tr>
        <w:trPr/>
        <w:tc>
          <w:tcPr>
            <w:tcW w:w="2304" w:type="dxa"/>
            <w:tcBorders/>
            <w:shd w:fill="CCEEFF" w:val="clear"/>
            <w:vAlign w:val="center"/>
          </w:tcPr>
          <w:p>
            <w:pPr>
              <w:pStyle w:val="TableContents"/>
              <w:bidi w:val="0"/>
              <w:spacing w:before="0" w:after="283"/>
              <w:jc w:val="left"/>
              <w:rPr>
                <w:b/>
              </w:rPr>
            </w:pPr>
            <w:r>
              <w:rPr>
                <w:b/>
              </w:rPr>
              <w:t>Balance -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69" w:name="xdx_982_eus-gaap--SharesOutstanding_iE_p"/>
            <w:bookmarkEnd w:id="1069"/>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70" w:name="xdx_984_eus-gaap--SharesOutstanding_iE_p"/>
            <w:bookmarkEnd w:id="107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36,597,372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14,164</w:t>
            </w:r>
          </w:p>
        </w:tc>
        <w:tc>
          <w:tcPr>
            <w:tcW w:w="112" w:type="dxa"/>
            <w:tcBorders/>
            <w:shd w:fill="CCEEFF" w:val="clear"/>
            <w:vAlign w:val="center"/>
          </w:tcPr>
          <w:p>
            <w:pPr>
              <w:pStyle w:val="TableContents"/>
              <w:bidi w:val="0"/>
              <w:spacing w:before="0" w:after="283"/>
              <w:jc w:val="left"/>
              <w:rPr/>
            </w:pPr>
            <w:r>
              <w:rPr/>
              <w:t> </w:t>
            </w:r>
            <w:bookmarkStart w:id="1071" w:name="xdx_43C_c20220101__20220331_eus-gaap--St"/>
            <w:bookmarkEnd w:id="1071"/>
          </w:p>
        </w:tc>
      </w:tr>
      <w:tr>
        <w:trPr/>
        <w:tc>
          <w:tcPr>
            <w:tcW w:w="2304"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72" w:name="xdx_984_eus-gaap--SharesOutstanding_iE_p"/>
            <w:bookmarkEnd w:id="1072"/>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73" w:name="xdx_983_eus-gaap--SharesOutstanding_iE_p"/>
            <w:bookmarkEnd w:id="107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36,597,372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14,164</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74" w:name="xdx_437_c20230101__20230331_eus-gaap--St"/>
            <w:bookmarkEnd w:id="1074"/>
          </w:p>
        </w:tc>
      </w:tr>
      <w:tr>
        <w:trPr/>
        <w:tc>
          <w:tcPr>
            <w:tcW w:w="2304" w:type="dxa"/>
            <w:tcBorders/>
            <w:shd w:fill="CCEEFF" w:val="clear"/>
            <w:vAlign w:val="center"/>
          </w:tcPr>
          <w:p>
            <w:pPr>
              <w:pStyle w:val="TableContents"/>
              <w:bidi w:val="0"/>
              <w:spacing w:before="0" w:after="283"/>
              <w:jc w:val="left"/>
              <w:rPr>
                <w:b/>
              </w:rPr>
            </w:pPr>
            <w:r>
              <w:rPr>
                <w:b/>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5" w:name="xdx_98A_eus-gaap--SharesOutstanding_iS_p"/>
            <w:bookmarkEnd w:id="1075"/>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6" w:name="xdx_98D_eus-gaap--SharesOutstanding_iS_p"/>
            <w:bookmarkEnd w:id="1076"/>
          </w:p>
        </w:tc>
        <w:tc>
          <w:tcPr>
            <w:tcW w:w="1100" w:type="dxa"/>
            <w:tcBorders/>
            <w:shd w:fill="CCEEFF" w:val="clear"/>
            <w:vAlign w:val="center"/>
          </w:tcPr>
          <w:p>
            <w:pPr>
              <w:pStyle w:val="TableContents"/>
              <w:bidi w:val="0"/>
              <w:spacing w:before="0" w:after="283"/>
              <w:jc w:val="right"/>
              <w:rPr/>
            </w:pPr>
            <w:r>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11,332</w:t>
            </w:r>
          </w:p>
        </w:tc>
        <w:tc>
          <w:tcPr>
            <w:tcW w:w="112" w:type="dxa"/>
            <w:tcBorders/>
            <w:shd w:fill="CCEEFF" w:val="clear"/>
            <w:vAlign w:val="center"/>
          </w:tcPr>
          <w:p>
            <w:pPr>
              <w:pStyle w:val="TableContents"/>
              <w:bidi w:val="0"/>
              <w:spacing w:before="0" w:after="283"/>
              <w:jc w:val="left"/>
              <w:rPr/>
            </w:pPr>
            <w:r>
              <w:rPr/>
              <w:t> </w:t>
            </w:r>
            <w:bookmarkStart w:id="1077" w:name="xdx_434_c20230101__20230331_eus-gaap--St"/>
            <w:bookmarkEnd w:id="1077"/>
          </w:p>
        </w:tc>
      </w:tr>
      <w:tr>
        <w:trPr/>
        <w:tc>
          <w:tcPr>
            <w:tcW w:w="230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8" w:name="xdx_98B_eus-gaap--SharesOutstanding_iS_p"/>
            <w:bookmarkEnd w:id="1078"/>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9" w:name="xdx_98C_eus-gaap--SharesOutstanding_iS_p"/>
            <w:bookmarkEnd w:id="1079"/>
          </w:p>
        </w:tc>
        <w:tc>
          <w:tcPr>
            <w:tcW w:w="1100" w:type="dxa"/>
            <w:tcBorders/>
            <w:shd w:fill="CCEEFF" w:val="clear"/>
            <w:vAlign w:val="center"/>
          </w:tcPr>
          <w:p>
            <w:pPr>
              <w:pStyle w:val="TableContents"/>
              <w:bidi w:val="0"/>
              <w:spacing w:before="0" w:after="283"/>
              <w:jc w:val="right"/>
              <w:rPr/>
            </w:pPr>
            <w:r>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11,332</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80" w:name="xdx_406_eus-gaap--NetIncomeLoss_pn3n3_zt"/>
            <w:bookmarkEnd w:id="1080"/>
          </w:p>
        </w:tc>
      </w:tr>
      <w:tr>
        <w:trPr/>
        <w:tc>
          <w:tcPr>
            <w:tcW w:w="2304"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112" w:type="dxa"/>
            <w:tcBorders/>
            <w:shd w:fill="CCEEFF" w:val="clear"/>
            <w:vAlign w:val="center"/>
          </w:tcPr>
          <w:p>
            <w:pPr>
              <w:pStyle w:val="TableContents"/>
              <w:bidi w:val="0"/>
              <w:spacing w:before="0" w:after="283"/>
              <w:jc w:val="left"/>
              <w:rPr/>
            </w:pPr>
            <w:r>
              <w:rPr/>
              <w:t> </w:t>
            </w:r>
            <w:bookmarkStart w:id="1081" w:name="xdx_409_eus-gaap--NetIncomeLoss_pn3n3_z9"/>
            <w:bookmarkEnd w:id="1081"/>
          </w:p>
        </w:tc>
      </w:tr>
      <w:tr>
        <w:trPr/>
        <w:tc>
          <w:tcPr>
            <w:tcW w:w="230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112" w:type="dxa"/>
            <w:tcBorders/>
            <w:shd w:fill="CCEEFF" w:val="clear"/>
            <w:vAlign w:val="center"/>
          </w:tcPr>
          <w:p>
            <w:pPr>
              <w:pStyle w:val="TableContents"/>
              <w:bidi w:val="0"/>
              <w:spacing w:before="0" w:after="283"/>
              <w:jc w:val="left"/>
              <w:rPr/>
            </w:pPr>
            <w:r>
              <w:rPr/>
              <w:t> </w:t>
            </w:r>
            <w:bookmarkStart w:id="1082" w:name="xdx_403_eus-gaap--StockIssuedDuringPerio"/>
            <w:bookmarkEnd w:id="1082"/>
          </w:p>
        </w:tc>
      </w:tr>
      <w:tr>
        <w:trPr/>
        <w:tc>
          <w:tcPr>
            <w:tcW w:w="2304"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3" w:name="xdx_989_eus-gaap--StockIssuedDuringPerio"/>
            <w:bookmarkEnd w:id="1083"/>
          </w:p>
        </w:tc>
        <w:tc>
          <w:tcPr>
            <w:tcW w:w="1100" w:type="dxa"/>
            <w:tcBorders/>
            <w:shd w:fill="FFFFFF" w:val="clear"/>
            <w:vAlign w:val="center"/>
          </w:tcPr>
          <w:p>
            <w:pPr>
              <w:pStyle w:val="TableContents"/>
              <w:bidi w:val="0"/>
              <w:spacing w:before="0" w:after="283"/>
              <w:jc w:val="right"/>
              <w:rPr/>
            </w:pPr>
            <w:r>
              <w:rPr/>
              <w:t>73,500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112" w:type="dxa"/>
            <w:tcBorders/>
            <w:shd w:fill="FFFFFF" w:val="clear"/>
            <w:vAlign w:val="center"/>
          </w:tcPr>
          <w:p>
            <w:pPr>
              <w:pStyle w:val="TableContents"/>
              <w:bidi w:val="0"/>
              <w:spacing w:before="0" w:after="283"/>
              <w:jc w:val="left"/>
              <w:rPr/>
            </w:pPr>
            <w:r>
              <w:rPr/>
              <w:t> </w:t>
            </w:r>
            <w:bookmarkStart w:id="1084" w:name="xdx_403_eus-gaap--StockIssuedDuringPerio"/>
            <w:bookmarkEnd w:id="1084"/>
          </w:p>
        </w:tc>
      </w:tr>
      <w:tr>
        <w:trPr/>
        <w:tc>
          <w:tcPr>
            <w:tcW w:w="2304"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5" w:name="xdx_982_eus-gaap--StockIssuedDuringPerio"/>
            <w:bookmarkEnd w:id="1085"/>
          </w:p>
        </w:tc>
        <w:tc>
          <w:tcPr>
            <w:tcW w:w="1100" w:type="dxa"/>
            <w:tcBorders/>
            <w:shd w:fill="CCEEFF" w:val="clear"/>
            <w:vAlign w:val="center"/>
          </w:tcPr>
          <w:p>
            <w:pPr>
              <w:pStyle w:val="TableContents"/>
              <w:bidi w:val="0"/>
              <w:spacing w:before="0" w:after="283"/>
              <w:jc w:val="right"/>
              <w:rPr/>
            </w:pPr>
            <w:r>
              <w:rPr/>
              <w:t>36,009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w:t>
            </w:r>
          </w:p>
        </w:tc>
        <w:tc>
          <w:tcPr>
            <w:tcW w:w="112" w:type="dxa"/>
            <w:tcBorders/>
            <w:shd w:fill="CCEEFF" w:val="clear"/>
            <w:vAlign w:val="center"/>
          </w:tcPr>
          <w:p>
            <w:pPr>
              <w:pStyle w:val="TableContents"/>
              <w:bidi w:val="0"/>
              <w:spacing w:before="0" w:after="283"/>
              <w:jc w:val="left"/>
              <w:rPr/>
            </w:pPr>
            <w:r>
              <w:rPr/>
              <w:t> </w:t>
            </w:r>
            <w:bookmarkStart w:id="1086" w:name="xdx_407_ecustom--StockIssuedDuringPeriod"/>
            <w:bookmarkEnd w:id="1086"/>
          </w:p>
        </w:tc>
      </w:tr>
      <w:tr>
        <w:trPr/>
        <w:tc>
          <w:tcPr>
            <w:tcW w:w="2304" w:type="dxa"/>
            <w:tcBorders/>
            <w:shd w:fill="FFFFFF" w:val="clear"/>
            <w:vAlign w:val="center"/>
          </w:tcPr>
          <w:p>
            <w:pPr>
              <w:pStyle w:val="TableContents"/>
              <w:bidi w:val="0"/>
              <w:spacing w:before="0" w:after="283"/>
              <w:jc w:val="left"/>
              <w:rPr/>
            </w:pPr>
            <w:r>
              <w:rPr/>
              <w:t>Exercise of public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7" w:name="xdx_986_ecustom--StockIssuedDuringPeriod"/>
            <w:bookmarkEnd w:id="1087"/>
          </w:p>
        </w:tc>
        <w:tc>
          <w:tcPr>
            <w:tcW w:w="1100" w:type="dxa"/>
            <w:tcBorders/>
            <w:shd w:fill="FFFFFF" w:val="clear"/>
            <w:vAlign w:val="center"/>
          </w:tcPr>
          <w:p>
            <w:pPr>
              <w:pStyle w:val="TableContents"/>
              <w:bidi w:val="0"/>
              <w:spacing w:before="0" w:after="283"/>
              <w:jc w:val="right"/>
              <w:rPr/>
            </w:pPr>
            <w:r>
              <w:rPr/>
              <w:t>64,971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112" w:type="dxa"/>
            <w:tcBorders/>
            <w:shd w:fill="FFFFFF" w:val="clear"/>
            <w:vAlign w:val="center"/>
          </w:tcPr>
          <w:p>
            <w:pPr>
              <w:pStyle w:val="TableContents"/>
              <w:bidi w:val="0"/>
              <w:spacing w:before="0" w:after="283"/>
              <w:jc w:val="left"/>
              <w:rPr/>
            </w:pPr>
            <w:r>
              <w:rPr/>
              <w:t> </w:t>
            </w:r>
            <w:bookmarkStart w:id="1088" w:name="xdx_40B_eus-gaap--StockIssuedDuringPerio"/>
            <w:bookmarkEnd w:id="1088"/>
          </w:p>
        </w:tc>
      </w:tr>
      <w:tr>
        <w:trPr/>
        <w:tc>
          <w:tcPr>
            <w:tcW w:w="2304"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9" w:name="xdx_980_eus-gaap--StockIssuedDuringPerio"/>
            <w:bookmarkEnd w:id="1089"/>
          </w:p>
        </w:tc>
        <w:tc>
          <w:tcPr>
            <w:tcW w:w="1100" w:type="dxa"/>
            <w:tcBorders/>
            <w:shd w:fill="CCEEFF" w:val="clear"/>
            <w:vAlign w:val="center"/>
          </w:tcPr>
          <w:p>
            <w:pPr>
              <w:pStyle w:val="TableContents"/>
              <w:bidi w:val="0"/>
              <w:spacing w:before="0" w:after="283"/>
              <w:jc w:val="right"/>
              <w:rPr/>
            </w:pPr>
            <w:r>
              <w:rPr/>
              <w:t>2,348,294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10,167</w:t>
            </w:r>
          </w:p>
        </w:tc>
        <w:tc>
          <w:tcPr>
            <w:tcW w:w="112" w:type="dxa"/>
            <w:tcBorders/>
            <w:shd w:fill="CCEEFF" w:val="clear"/>
            <w:vAlign w:val="center"/>
          </w:tcPr>
          <w:p>
            <w:pPr>
              <w:pStyle w:val="TableContents"/>
              <w:bidi w:val="0"/>
              <w:spacing w:before="0" w:after="283"/>
              <w:jc w:val="left"/>
              <w:rPr/>
            </w:pPr>
            <w:r>
              <w:rPr/>
              <w:t> </w:t>
            </w:r>
            <w:bookmarkStart w:id="1090" w:name="xdx_407_eus-gaap--AdjustmentsToAdditiona"/>
            <w:bookmarkEnd w:id="1090"/>
          </w:p>
        </w:tc>
      </w:tr>
      <w:tr>
        <w:trPr/>
        <w:tc>
          <w:tcPr>
            <w:tcW w:w="230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91" w:name="xdx_431_c20230101__20230331_eus-gaap--St"/>
            <w:bookmarkEnd w:id="1091"/>
          </w:p>
        </w:tc>
      </w:tr>
      <w:tr>
        <w:trPr/>
        <w:tc>
          <w:tcPr>
            <w:tcW w:w="2304" w:type="dxa"/>
            <w:tcBorders/>
            <w:shd w:fill="FFFFFF" w:val="clear"/>
            <w:vAlign w:val="center"/>
          </w:tcPr>
          <w:p>
            <w:pPr>
              <w:pStyle w:val="TableContents"/>
              <w:bidi w:val="0"/>
              <w:spacing w:before="0" w:after="283"/>
              <w:jc w:val="left"/>
              <w:rPr>
                <w:b/>
              </w:rPr>
            </w:pPr>
            <w:r>
              <w:rPr>
                <w:b/>
              </w:rPr>
              <w:t>Balance -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2" w:name="xdx_982_eus-gaap--SharesOutstanding_iE_p"/>
            <w:bookmarkEnd w:id="1092"/>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3" w:name="xdx_983_eus-gaap--SharesOutstanding_iE_p"/>
            <w:bookmarkEnd w:id="109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(22,241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32,315</w:t>
            </w:r>
          </w:p>
        </w:tc>
        <w:tc>
          <w:tcPr>
            <w:tcW w:w="112" w:type="dxa"/>
            <w:tcBorders/>
            <w:shd w:fill="FFFFFF" w:val="clear"/>
            <w:vAlign w:val="center"/>
          </w:tcPr>
          <w:p>
            <w:pPr>
              <w:pStyle w:val="TableContents"/>
              <w:bidi w:val="0"/>
              <w:spacing w:before="0" w:after="283"/>
              <w:jc w:val="left"/>
              <w:rPr/>
            </w:pPr>
            <w:r>
              <w:rPr/>
              <w:t> </w:t>
            </w:r>
            <w:bookmarkStart w:id="1094" w:name="xdx_434_c20230101__20230331_eus-gaap--St"/>
            <w:bookmarkEnd w:id="1094"/>
          </w:p>
        </w:tc>
      </w:tr>
      <w:tr>
        <w:trPr/>
        <w:tc>
          <w:tcPr>
            <w:tcW w:w="2304"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5" w:name="xdx_983_eus-gaap--SharesOutstanding_iE_p"/>
            <w:bookmarkEnd w:id="1095"/>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6" w:name="xdx_982_eus-gaap--SharesOutstanding_iE_p"/>
            <w:bookmarkEnd w:id="109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(22,241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32,315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97" w:name="a_006"/>
      <w:bookmarkEnd w:id="1097"/>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1098" w:name="fs_004"/>
      <w:bookmarkEnd w:id="1098"/>
      <w:r>
        <w:rPr>
          <w:rFonts w:ascii="Times New Roman;Times;Serif" w:hAnsi="Times New Roman;Times;Serif"/>
          <w:b/>
          <w:i w:val="false"/>
          <w:caps/>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99" w:name="xdx_304_112_pn3n3_zE7WA2kPyLoh"/>
      <w:bookmarkStart w:id="1100" w:name="xdx_304_112_pn3n3_zE7WA2kPyLoh"/>
      <w:bookmarkEnd w:id="1100"/>
    </w:p>
    <w:tbl>
      <w:tblPr>
        <w:tblW w:w="7595" w:type="dxa"/>
        <w:jc w:val="left"/>
        <w:tblInd w:w="0" w:type="dxa"/>
        <w:tblLayout w:type="fixed"/>
        <w:tblCellMar>
          <w:top w:w="0" w:type="dxa"/>
          <w:left w:w="0" w:type="dxa"/>
          <w:bottom w:w="0" w:type="dxa"/>
          <w:right w:w="0" w:type="dxa"/>
        </w:tblCellMar>
      </w:tblPr>
      <w:tblGrid>
        <w:gridCol w:w="5480"/>
        <w:gridCol w:w="60"/>
        <w:gridCol w:w="140"/>
        <w:gridCol w:w="755"/>
        <w:gridCol w:w="95"/>
        <w:gridCol w:w="60"/>
        <w:gridCol w:w="140"/>
        <w:gridCol w:w="755"/>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01" w:name="xdx_49D_20230101__20230331_z8FrJFQp2Or8"/>
            <w:bookmarkEnd w:id="1101"/>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02" w:name="xdx_49A_20220101__20220331_zRbhhWhQw6H"/>
            <w:bookmarkEnd w:id="1102"/>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center"/>
              <w:rPr/>
            </w:pPr>
            <w:r>
              <w:rPr/>
              <w:t> </w:t>
            </w:r>
            <w:bookmarkStart w:id="1103" w:name="xdx_400_eus-gaap--NetCashProvidedByUsedI"/>
            <w:bookmarkEnd w:id="1103"/>
          </w:p>
        </w:tc>
      </w:tr>
      <w:tr>
        <w:trPr/>
        <w:tc>
          <w:tcPr>
            <w:tcW w:w="548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4" w:name="xdx_40E_eus-gaap--NetIncomeLoss_i01_maNC"/>
            <w:bookmarkEnd w:id="1104"/>
          </w:p>
        </w:tc>
      </w:tr>
      <w:tr>
        <w:trPr/>
        <w:tc>
          <w:tcPr>
            <w:tcW w:w="548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bookmarkStart w:id="1105" w:name="xdx_40A_eus-gaap--AdjustmentsToReconcile"/>
            <w:bookmarkEnd w:id="1105"/>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6" w:name="xdx_400_eus-gaap--AdjustmentsToReconcile"/>
            <w:bookmarkEnd w:id="1106"/>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7" w:name="xdx_40D_eus-gaap--NetCashProvidedByUsedI"/>
            <w:bookmarkEnd w:id="1107"/>
          </w:p>
        </w:tc>
      </w:tr>
      <w:tr>
        <w:trPr/>
        <w:tc>
          <w:tcPr>
            <w:tcW w:w="548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08" w:name="xdx_404_eus-gaap--ShareBasedCompensation"/>
            <w:bookmarkEnd w:id="1108"/>
          </w:p>
        </w:tc>
      </w:tr>
      <w:tr>
        <w:trPr/>
        <w:tc>
          <w:tcPr>
            <w:tcW w:w="548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bookmarkStart w:id="1109" w:name="xdx_400_eus-gaap--AmortizationOfDebtDisc"/>
            <w:bookmarkEnd w:id="1109"/>
          </w:p>
        </w:tc>
      </w:tr>
      <w:tr>
        <w:trPr/>
        <w:tc>
          <w:tcPr>
            <w:tcW w:w="548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613</w:t>
            </w:r>
          </w:p>
        </w:tc>
        <w:tc>
          <w:tcPr>
            <w:tcW w:w="110" w:type="dxa"/>
            <w:tcBorders/>
            <w:shd w:fill="FFFFFF" w:val="clear"/>
            <w:vAlign w:val="center"/>
          </w:tcPr>
          <w:p>
            <w:pPr>
              <w:pStyle w:val="TableContents"/>
              <w:bidi w:val="0"/>
              <w:spacing w:before="0" w:after="283"/>
              <w:jc w:val="left"/>
              <w:rPr/>
            </w:pPr>
            <w:r>
              <w:rPr/>
              <w:t> </w:t>
            </w:r>
            <w:bookmarkStart w:id="1110" w:name="xdx_401_eus-gaap--FairValueAdjustmentOfW"/>
            <w:bookmarkEnd w:id="1110"/>
          </w:p>
        </w:tc>
      </w:tr>
      <w:tr>
        <w:trPr/>
        <w:tc>
          <w:tcPr>
            <w:tcW w:w="548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11" w:name="xdx_404_eus-gaap--DeferredIncomeTaxExpen"/>
            <w:bookmarkEnd w:id="1111"/>
          </w:p>
        </w:tc>
      </w:tr>
      <w:tr>
        <w:trPr/>
        <w:tc>
          <w:tcPr>
            <w:tcW w:w="548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(527</w:t>
            </w:r>
          </w:p>
        </w:tc>
        <w:tc>
          <w:tcPr>
            <w:tcW w:w="110" w:type="dxa"/>
            <w:tcBorders/>
            <w:shd w:fill="FFFFFF" w:val="clear"/>
            <w:vAlign w:val="center"/>
          </w:tcPr>
          <w:p>
            <w:pPr>
              <w:pStyle w:val="TableContents"/>
              <w:bidi w:val="0"/>
              <w:spacing w:before="0" w:after="283"/>
              <w:jc w:val="left"/>
              <w:rPr/>
            </w:pPr>
            <w:r>
              <w:rPr/>
              <w:t>)</w:t>
            </w:r>
            <w:bookmarkStart w:id="1112" w:name="xdx_407_eus-gaap--PaidInKindInterest_i02"/>
            <w:bookmarkEnd w:id="1112"/>
          </w:p>
        </w:tc>
      </w:tr>
      <w:tr>
        <w:trPr/>
        <w:tc>
          <w:tcPr>
            <w:tcW w:w="5480" w:type="dxa"/>
            <w:tcBorders/>
            <w:shd w:fill="CCEEFF" w:val="clear"/>
            <w:vAlign w:val="center"/>
          </w:tcPr>
          <w:p>
            <w:pPr>
              <w:pStyle w:val="TableContents"/>
              <w:bidi w:val="0"/>
              <w:spacing w:before="0" w:after="283"/>
              <w:jc w:val="left"/>
              <w:rPr/>
            </w:pPr>
            <w:r>
              <w:rPr/>
              <w:t>Non-cash interest expense (paid-in 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13" w:name="xdx_408_eus-gaap--ProvisionForDoubtfulAc"/>
            <w:bookmarkEnd w:id="1113"/>
          </w:p>
        </w:tc>
      </w:tr>
      <w:tr>
        <w:trPr/>
        <w:tc>
          <w:tcPr>
            <w:tcW w:w="5480" w:type="dxa"/>
            <w:tcBorders/>
            <w:shd w:fill="FFFFFF" w:val="clear"/>
            <w:vAlign w:val="center"/>
          </w:tcPr>
          <w:p>
            <w:pPr>
              <w:pStyle w:val="TableContents"/>
              <w:bidi w:val="0"/>
              <w:spacing w:before="0" w:after="283"/>
              <w:jc w:val="left"/>
              <w:rPr/>
            </w:pPr>
            <w:r>
              <w:rPr/>
              <w:t>Provision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14" w:name="xdx_40A_eus-gaap--DepreciationDepletionA"/>
            <w:bookmarkEnd w:id="1114"/>
          </w:p>
        </w:tc>
      </w:tr>
      <w:tr>
        <w:trPr/>
        <w:tc>
          <w:tcPr>
            <w:tcW w:w="54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bookmarkStart w:id="1115" w:name="xdx_409_eus-gaap--GainLossOnSaleOfProper"/>
            <w:bookmarkEnd w:id="1115"/>
          </w:p>
        </w:tc>
      </w:tr>
      <w:tr>
        <w:trPr/>
        <w:tc>
          <w:tcPr>
            <w:tcW w:w="548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6" w:name="xdx_407_eus-gaap--IncreaseDecreaseInOper"/>
            <w:bookmarkEnd w:id="1116"/>
          </w:p>
        </w:tc>
      </w:tr>
      <w:tr>
        <w:trPr/>
        <w:tc>
          <w:tcPr>
            <w:tcW w:w="548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17" w:name="xdx_40C_eus-gaap--IncreaseDecreaseInAcco"/>
            <w:bookmarkEnd w:id="1117"/>
          </w:p>
        </w:tc>
      </w:tr>
      <w:tr>
        <w:trPr/>
        <w:tc>
          <w:tcPr>
            <w:tcW w:w="54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(1,217</w:t>
            </w:r>
          </w:p>
        </w:tc>
        <w:tc>
          <w:tcPr>
            <w:tcW w:w="110" w:type="dxa"/>
            <w:tcBorders/>
            <w:shd w:fill="CCEEFF" w:val="clear"/>
            <w:vAlign w:val="center"/>
          </w:tcPr>
          <w:p>
            <w:pPr>
              <w:pStyle w:val="TableContents"/>
              <w:bidi w:val="0"/>
              <w:spacing w:before="0" w:after="283"/>
              <w:jc w:val="left"/>
              <w:rPr/>
            </w:pPr>
            <w:r>
              <w:rPr/>
              <w:t>)</w:t>
            </w:r>
            <w:bookmarkStart w:id="1118" w:name="xdx_401_eus-gaap--IncreaseDecreaseInInve"/>
            <w:bookmarkEnd w:id="1118"/>
          </w:p>
        </w:tc>
      </w:tr>
      <w:tr>
        <w:trPr/>
        <w:tc>
          <w:tcPr>
            <w:tcW w:w="54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(5,946</w:t>
            </w:r>
          </w:p>
        </w:tc>
        <w:tc>
          <w:tcPr>
            <w:tcW w:w="110" w:type="dxa"/>
            <w:tcBorders/>
            <w:shd w:fill="FFFFFF" w:val="clear"/>
            <w:vAlign w:val="center"/>
          </w:tcPr>
          <w:p>
            <w:pPr>
              <w:pStyle w:val="TableContents"/>
              <w:bidi w:val="0"/>
              <w:spacing w:before="0" w:after="283"/>
              <w:jc w:val="left"/>
              <w:rPr/>
            </w:pPr>
            <w:r>
              <w:rPr/>
              <w:t>)</w:t>
            </w:r>
            <w:bookmarkStart w:id="1119" w:name="xdx_401_eus-gaap--IncreaseDecreaseInPrep"/>
            <w:bookmarkEnd w:id="1119"/>
          </w:p>
        </w:tc>
      </w:tr>
      <w:tr>
        <w:trPr/>
        <w:tc>
          <w:tcPr>
            <w:tcW w:w="548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w:t>
            </w:r>
          </w:p>
        </w:tc>
        <w:tc>
          <w:tcPr>
            <w:tcW w:w="110" w:type="dxa"/>
            <w:tcBorders/>
            <w:shd w:fill="CCEEFF" w:val="clear"/>
            <w:vAlign w:val="center"/>
          </w:tcPr>
          <w:p>
            <w:pPr>
              <w:pStyle w:val="TableContents"/>
              <w:bidi w:val="0"/>
              <w:spacing w:before="0" w:after="283"/>
              <w:jc w:val="left"/>
              <w:rPr/>
            </w:pPr>
            <w:r>
              <w:rPr/>
              <w:t>)</w:t>
            </w:r>
            <w:bookmarkStart w:id="1120" w:name="xdx_40F_ecustom--IncreaseDecreaseInPrepa"/>
            <w:bookmarkEnd w:id="1120"/>
          </w:p>
        </w:tc>
      </w:tr>
      <w:tr>
        <w:trPr/>
        <w:tc>
          <w:tcPr>
            <w:tcW w:w="548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2,425</w:t>
            </w:r>
          </w:p>
        </w:tc>
        <w:tc>
          <w:tcPr>
            <w:tcW w:w="110" w:type="dxa"/>
            <w:tcBorders/>
            <w:shd w:fill="FFFFFF" w:val="clear"/>
            <w:vAlign w:val="center"/>
          </w:tcPr>
          <w:p>
            <w:pPr>
              <w:pStyle w:val="TableContents"/>
              <w:bidi w:val="0"/>
              <w:spacing w:before="0" w:after="283"/>
              <w:jc w:val="left"/>
              <w:rPr/>
            </w:pPr>
            <w:r>
              <w:rPr/>
              <w:t> </w:t>
            </w:r>
            <w:bookmarkStart w:id="1121" w:name="xdx_40F_eus-gaap--IncreaseDecreaseInOthe"/>
            <w:bookmarkEnd w:id="1121"/>
          </w:p>
        </w:tc>
      </w:tr>
      <w:tr>
        <w:trPr/>
        <w:tc>
          <w:tcPr>
            <w:tcW w:w="548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w:t>
            </w:r>
            <w:bookmarkStart w:id="1122" w:name="xdx_40B_eus-gaap--IncreaseDecreaseInOthe"/>
            <w:bookmarkEnd w:id="1122"/>
          </w:p>
        </w:tc>
      </w:tr>
      <w:tr>
        <w:trPr/>
        <w:tc>
          <w:tcPr>
            <w:tcW w:w="548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bookmarkStart w:id="1123" w:name="xdx_403_eus-gaap--IncreaseDecreaseInAccr"/>
            <w:bookmarkEnd w:id="1123"/>
          </w:p>
        </w:tc>
      </w:tr>
      <w:tr>
        <w:trPr/>
        <w:tc>
          <w:tcPr>
            <w:tcW w:w="5480"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bookmarkStart w:id="1124" w:name="xdx_40A_eus-gaap--IncreaseDecreaseInAcco"/>
            <w:bookmarkEnd w:id="1124"/>
          </w:p>
        </w:tc>
      </w:tr>
      <w:tr>
        <w:trPr/>
        <w:tc>
          <w:tcPr>
            <w:tcW w:w="548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(4,119</w:t>
            </w:r>
          </w:p>
        </w:tc>
        <w:tc>
          <w:tcPr>
            <w:tcW w:w="110" w:type="dxa"/>
            <w:tcBorders/>
            <w:shd w:fill="FFFFFF" w:val="clear"/>
            <w:vAlign w:val="center"/>
          </w:tcPr>
          <w:p>
            <w:pPr>
              <w:pStyle w:val="TableContents"/>
              <w:bidi w:val="0"/>
              <w:spacing w:before="0" w:after="283"/>
              <w:jc w:val="left"/>
              <w:rPr/>
            </w:pPr>
            <w:r>
              <w:rPr/>
              <w:t>)</w:t>
            </w:r>
            <w:bookmarkStart w:id="1125" w:name="xdx_40C_eus-gaap--IncreaseDecreaseInCont"/>
            <w:bookmarkEnd w:id="1125"/>
          </w:p>
        </w:tc>
      </w:tr>
      <w:tr>
        <w:trPr/>
        <w:tc>
          <w:tcPr>
            <w:tcW w:w="548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 </w:t>
            </w:r>
            <w:bookmarkStart w:id="1126" w:name="xdx_400_eus-gaap--AdjustmentsToReconcile"/>
            <w:bookmarkEnd w:id="1126"/>
          </w:p>
        </w:tc>
      </w:tr>
      <w:tr>
        <w:trPr/>
        <w:tc>
          <w:tcPr>
            <w:tcW w:w="548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(8,812</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7" w:name="xdx_40B_eus-gaap--NetCashProvidedByUsedI"/>
            <w:bookmarkEnd w:id="1127"/>
          </w:p>
        </w:tc>
      </w:tr>
      <w:tr>
        <w:trPr/>
        <w:tc>
          <w:tcPr>
            <w:tcW w:w="548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(11,110</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8" w:name="xdx_407_eus-gaap--NetCashProvidedByUsedI"/>
            <w:bookmarkEnd w:id="1128"/>
          </w:p>
        </w:tc>
      </w:tr>
      <w:tr>
        <w:trPr/>
        <w:tc>
          <w:tcPr>
            <w:tcW w:w="5480"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29" w:name="xdx_403_eus-gaap--PaymentsToAcquirePrope"/>
            <w:bookmarkEnd w:id="1129"/>
          </w:p>
        </w:tc>
      </w:tr>
      <w:tr>
        <w:trPr/>
        <w:tc>
          <w:tcPr>
            <w:tcW w:w="548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(4,524</w:t>
            </w:r>
          </w:p>
        </w:tc>
        <w:tc>
          <w:tcPr>
            <w:tcW w:w="110" w:type="dxa"/>
            <w:tcBorders/>
            <w:shd w:fill="CCEEFF" w:val="clear"/>
            <w:vAlign w:val="center"/>
          </w:tcPr>
          <w:p>
            <w:pPr>
              <w:pStyle w:val="TableContents"/>
              <w:bidi w:val="0"/>
              <w:spacing w:before="0" w:after="283"/>
              <w:jc w:val="left"/>
              <w:rPr/>
            </w:pPr>
            <w:r>
              <w:rPr/>
              <w:t>)</w:t>
            </w:r>
            <w:bookmarkStart w:id="1130" w:name="xdx_408_eus-gaap--NetCashProvidedByUsedI"/>
            <w:bookmarkEnd w:id="1130"/>
          </w:p>
        </w:tc>
      </w:tr>
      <w:tr>
        <w:trPr/>
        <w:tc>
          <w:tcPr>
            <w:tcW w:w="548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(4,524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100" w:type="dxa"/>
        <w:jc w:val="left"/>
        <w:tblInd w:w="0" w:type="dxa"/>
        <w:tblLayout w:type="fixed"/>
        <w:tblCellMar>
          <w:top w:w="0" w:type="dxa"/>
          <w:left w:w="0" w:type="dxa"/>
          <w:bottom w:w="0" w:type="dxa"/>
          <w:right w:w="0" w:type="dxa"/>
        </w:tblCellMar>
      </w:tblPr>
      <w:tblGrid>
        <w:gridCol w:w="5060"/>
        <w:gridCol w:w="60"/>
        <w:gridCol w:w="140"/>
        <w:gridCol w:w="680"/>
        <w:gridCol w:w="95"/>
        <w:gridCol w:w="60"/>
        <w:gridCol w:w="140"/>
        <w:gridCol w:w="755"/>
        <w:gridCol w:w="110"/>
      </w:tblGrid>
      <w:tr>
        <w:trPr/>
        <w:tc>
          <w:tcPr>
            <w:tcW w:w="5060" w:type="dxa"/>
            <w:tcBorders/>
            <w:vAlign w:val="center"/>
          </w:tcPr>
          <w:p>
            <w:pPr>
              <w:pStyle w:val="TableContents"/>
              <w:bidi w:val="0"/>
              <w:spacing w:before="0" w:after="283"/>
              <w:jc w:val="left"/>
              <w:rPr/>
            </w:pPr>
            <w:r>
              <w:rPr/>
              <w:t>(continued from previous page)</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bookmarkStart w:id="1131" w:name="xdx_40D_eus-gaap--NetCashProvidedByUsedI"/>
            <w:bookmarkEnd w:id="1131"/>
          </w:p>
        </w:tc>
      </w:tr>
      <w:tr>
        <w:trPr/>
        <w:tc>
          <w:tcPr>
            <w:tcW w:w="506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2" w:name="xdx_40C_eus-gaap--ProceedsFromIssuanceIn"/>
            <w:bookmarkEnd w:id="1132"/>
          </w:p>
        </w:tc>
      </w:tr>
      <w:tr>
        <w:trPr/>
        <w:tc>
          <w:tcPr>
            <w:tcW w:w="5060" w:type="dxa"/>
            <w:tcBorders/>
            <w:shd w:fill="FFFFFF" w:val="clear"/>
            <w:vAlign w:val="center"/>
          </w:tcPr>
          <w:p>
            <w:pPr>
              <w:pStyle w:val="TableContents"/>
              <w:bidi w:val="0"/>
              <w:spacing w:before="0" w:after="283"/>
              <w:jc w:val="left"/>
              <w:rPr/>
            </w:pPr>
            <w:r>
              <w:rPr/>
              <w:t>Proceeds from public offering,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33" w:name="xdx_407_eus-gaap--ProceedsFromNotesPayab"/>
            <w:bookmarkEnd w:id="1133"/>
          </w:p>
        </w:tc>
      </w:tr>
      <w:tr>
        <w:trPr/>
        <w:tc>
          <w:tcPr>
            <w:tcW w:w="5060"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34" w:name="xdx_408_eus-gaap--ProceedsFromWarrantExe"/>
            <w:bookmarkEnd w:id="1134"/>
          </w:p>
        </w:tc>
      </w:tr>
      <w:tr>
        <w:trPr/>
        <w:tc>
          <w:tcPr>
            <w:tcW w:w="5060" w:type="dxa"/>
            <w:tcBorders/>
            <w:shd w:fill="FFFFFF" w:val="clear"/>
            <w:vAlign w:val="center"/>
          </w:tcPr>
          <w:p>
            <w:pPr>
              <w:pStyle w:val="TableContents"/>
              <w:bidi w:val="0"/>
              <w:spacing w:before="0" w:after="283"/>
              <w:jc w:val="left"/>
              <w:rPr/>
            </w:pPr>
            <w:r>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35" w:name="xdx_40E_eus-gaap--ProceedsFromStockOptio"/>
            <w:bookmarkEnd w:id="1135"/>
          </w:p>
        </w:tc>
      </w:tr>
      <w:tr>
        <w:trPr/>
        <w:tc>
          <w:tcPr>
            <w:tcW w:w="506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bookmarkStart w:id="1136" w:name="xdx_407_eus-gaap--NetCashProvidedByUsedI"/>
            <w:bookmarkEnd w:id="1136"/>
          </w:p>
        </w:tc>
      </w:tr>
      <w:tr>
        <w:trPr/>
        <w:tc>
          <w:tcPr>
            <w:tcW w:w="506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7" w:name="xdx_40F_eus-gaap--CashCashEquivalentsRes"/>
            <w:bookmarkEnd w:id="1137"/>
          </w:p>
        </w:tc>
      </w:tr>
      <w:tr>
        <w:trPr/>
        <w:tc>
          <w:tcPr>
            <w:tcW w:w="5060" w:type="dxa"/>
            <w:tcBorders/>
            <w:shd w:fill="FFFFFF" w:val="clear"/>
            <w:vAlign w:val="center"/>
          </w:tcPr>
          <w:p>
            <w:pPr>
              <w:pStyle w:val="TableContents"/>
              <w:bidi w:val="0"/>
              <w:spacing w:before="0" w:after="283"/>
              <w:jc w:val="left"/>
              <w:rPr/>
            </w:pPr>
            <w:r>
              <w:rPr/>
              <w:t>Net Decrease in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(15,523</w:t>
            </w:r>
          </w:p>
        </w:tc>
        <w:tc>
          <w:tcPr>
            <w:tcW w:w="110" w:type="dxa"/>
            <w:tcBorders/>
            <w:shd w:fill="FFFFFF" w:val="clear"/>
            <w:vAlign w:val="center"/>
          </w:tcPr>
          <w:p>
            <w:pPr>
              <w:pStyle w:val="TableContents"/>
              <w:bidi w:val="0"/>
              <w:spacing w:before="0" w:after="283"/>
              <w:jc w:val="left"/>
              <w:rPr/>
            </w:pPr>
            <w:r>
              <w:rPr/>
              <w:t>)</w:t>
            </w:r>
            <w:bookmarkStart w:id="1138" w:name="xdx_407_eus-gaap--CashCashEquivalentsRes"/>
            <w:bookmarkEnd w:id="1138"/>
          </w:p>
        </w:tc>
      </w:tr>
      <w:tr>
        <w:trPr/>
        <w:tc>
          <w:tcPr>
            <w:tcW w:w="5060" w:type="dxa"/>
            <w:tcBorders/>
            <w:shd w:fill="CCEEFF" w:val="clear"/>
            <w:vAlign w:val="center"/>
          </w:tcPr>
          <w:p>
            <w:pPr>
              <w:pStyle w:val="TableContents"/>
              <w:bidi w:val="0"/>
              <w:spacing w:before="0" w:after="283"/>
              <w:jc w:val="left"/>
              <w:rPr/>
            </w:pPr>
            <w:r>
              <w:rPr/>
              <w:t>Beginning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28,630</w:t>
            </w:r>
          </w:p>
        </w:tc>
        <w:tc>
          <w:tcPr>
            <w:tcW w:w="110" w:type="dxa"/>
            <w:tcBorders/>
            <w:shd w:fill="CCEEFF" w:val="clear"/>
            <w:vAlign w:val="center"/>
          </w:tcPr>
          <w:p>
            <w:pPr>
              <w:pStyle w:val="TableContents"/>
              <w:bidi w:val="0"/>
              <w:spacing w:before="0" w:after="283"/>
              <w:jc w:val="left"/>
              <w:rPr/>
            </w:pPr>
            <w:r>
              <w:rPr/>
              <w:t> </w:t>
            </w:r>
            <w:bookmarkStart w:id="1139" w:name="xdx_40A_eus-gaap--CashCashEquivalentsRes"/>
            <w:bookmarkEnd w:id="1139"/>
          </w:p>
        </w:tc>
      </w:tr>
      <w:tr>
        <w:trPr/>
        <w:tc>
          <w:tcPr>
            <w:tcW w:w="5060" w:type="dxa"/>
            <w:tcBorders/>
            <w:shd w:fill="FFFFFF" w:val="clear"/>
            <w:vAlign w:val="center"/>
          </w:tcPr>
          <w:p>
            <w:pPr>
              <w:pStyle w:val="TableContents"/>
              <w:bidi w:val="0"/>
              <w:spacing w:before="0" w:after="283"/>
              <w:jc w:val="left"/>
              <w:rPr/>
            </w:pPr>
            <w:r>
              <w:rPr/>
              <w:t>Ending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13,107</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0" w:name="xdx_40F_eus-gaap--SupplementalCashFlowIn"/>
            <w:bookmarkEnd w:id="1140"/>
          </w:p>
        </w:tc>
      </w:tr>
      <w:tr>
        <w:trPr/>
        <w:tc>
          <w:tcPr>
            <w:tcW w:w="5060" w:type="dxa"/>
            <w:tcBorders/>
            <w:shd w:fill="FFFFFF" w:val="clear"/>
            <w:vAlign w:val="center"/>
          </w:tcPr>
          <w:p>
            <w:pPr>
              <w:pStyle w:val="TableContents"/>
              <w:bidi w:val="0"/>
              <w:spacing w:before="0" w:after="283"/>
              <w:jc w:val="left"/>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1" w:name="xdx_406_eus-gaap--InterestPaidNet_i01_pp"/>
            <w:bookmarkEnd w:id="1141"/>
          </w:p>
        </w:tc>
      </w:tr>
      <w:tr>
        <w:trPr/>
        <w:tc>
          <w:tcPr>
            <w:tcW w:w="506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658</w:t>
            </w:r>
          </w:p>
        </w:tc>
        <w:tc>
          <w:tcPr>
            <w:tcW w:w="110" w:type="dxa"/>
            <w:tcBorders/>
            <w:shd w:fill="CCEEFF" w:val="clear"/>
            <w:vAlign w:val="center"/>
          </w:tcPr>
          <w:p>
            <w:pPr>
              <w:pStyle w:val="TableContents"/>
              <w:bidi w:val="0"/>
              <w:spacing w:before="0" w:after="283"/>
              <w:jc w:val="left"/>
              <w:rPr/>
            </w:pPr>
            <w:r>
              <w:rPr/>
              <w:t> </w:t>
            </w:r>
            <w:bookmarkStart w:id="1142" w:name="xdx_405_eus-gaap--CashFlowNoncashInvesti"/>
            <w:bookmarkEnd w:id="1142"/>
          </w:p>
        </w:tc>
      </w:tr>
      <w:tr>
        <w:trPr/>
        <w:tc>
          <w:tcPr>
            <w:tcW w:w="5060" w:type="dxa"/>
            <w:tcBorders/>
            <w:shd w:fill="FFFFFF" w:val="clear"/>
            <w:vAlign w:val="center"/>
          </w:tcPr>
          <w:p>
            <w:pPr>
              <w:pStyle w:val="TableContents"/>
              <w:bidi w:val="0"/>
              <w:spacing w:before="0" w:after="283"/>
              <w:jc w:val="left"/>
              <w:rPr/>
            </w:pPr>
            <w:r>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3" w:name="xdx_40D_ecustom--NonCashReceivableOfOpti"/>
            <w:bookmarkEnd w:id="1143"/>
          </w:p>
        </w:tc>
      </w:tr>
      <w:tr>
        <w:trPr/>
        <w:tc>
          <w:tcPr>
            <w:tcW w:w="5060" w:type="dxa"/>
            <w:tcBorders/>
            <w:shd w:fill="CCEEFF" w:val="clear"/>
            <w:vAlign w:val="center"/>
          </w:tcPr>
          <w:p>
            <w:pPr>
              <w:pStyle w:val="TableContents"/>
              <w:bidi w:val="0"/>
              <w:spacing w:before="0" w:after="283"/>
              <w:jc w:val="left"/>
              <w:rPr/>
            </w:pPr>
            <w:r>
              <w:rPr/>
              <w:t>Receivable of options exercised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1144" w:name="xdx_40F_eus-gaap--CapitalExpendituresInc"/>
            <w:bookmarkEnd w:id="1144"/>
          </w:p>
        </w:tc>
      </w:tr>
      <w:tr>
        <w:trPr/>
        <w:tc>
          <w:tcPr>
            <w:tcW w:w="506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5" w:name="xdx_406_ecustom--CashlessExerciseOfLiabi"/>
            <w:bookmarkEnd w:id="1145"/>
          </w:p>
        </w:tc>
      </w:tr>
      <w:tr>
        <w:trPr/>
        <w:tc>
          <w:tcPr>
            <w:tcW w:w="5060"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46" w:name="a_007"/>
      <w:bookmarkEnd w:id="1146"/>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1147" w:name="fs_005"/>
      <w:bookmarkEnd w:id="1147"/>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148" w:name="xdx_803_eus-gaap--NatureOfOperations_z1j"/>
      <w:bookmarkEnd w:id="1148"/>
      <w:r>
        <w:rPr>
          <w:rFonts w:ascii="Times New Roman;Times;Serif" w:hAnsi="Times New Roman;Times;Serif"/>
          <w:b/>
          <w:i w:val="false"/>
          <w:caps/>
          <w:sz w:val="20"/>
        </w:rPr>
        <w:t xml:space="preserve">NOTE 1 - </w:t>
      </w:r>
      <w:bookmarkStart w:id="1149" w:name="xdx_826_zRnix3BUSf16"/>
      <w:bookmarkEnd w:id="1149"/>
      <w:r>
        <w:rPr>
          <w:rFonts w:ascii="Times New Roman;Times;Serif" w:hAnsi="Times New Roman;Times;Serif"/>
          <w:b/>
          <w:i w:val="false"/>
          <w:caps/>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150" w:name="xdx_802_eus-gaap--SignificantAccountingP"/>
      <w:bookmarkEnd w:id="1150"/>
      <w:r>
        <w:rPr>
          <w:rFonts w:ascii="Times New Roman;Times;Serif" w:hAnsi="Times New Roman;Times;Serif"/>
          <w:b/>
          <w:i w:val="false"/>
          <w:caps/>
          <w:sz w:val="20"/>
        </w:rPr>
        <w:t xml:space="preserve">NOTE 2 – </w:t>
      </w:r>
      <w:bookmarkStart w:id="1151" w:name="xdx_823_zPahfl840Sph"/>
      <w:bookmarkEnd w:id="1151"/>
      <w:r>
        <w:rPr>
          <w:rFonts w:ascii="Times New Roman;Times;Serif" w:hAnsi="Times New Roman;Times;Serif"/>
          <w:b/>
          <w:i w:val="false"/>
          <w:caps/>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52" w:name="xdx_863_zopxuaVW4jf6"/>
      <w:bookmarkStart w:id="1153" w:name="xdx_84D_eus-gaap--ConsolidationPolicyTex"/>
      <w:bookmarkEnd w:id="1152"/>
      <w:bookmarkEnd w:id="1153"/>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154" w:name="xdx_86A_zZm6K3mYkdWj"/>
      <w:bookmarkStart w:id="1155" w:name="xdx_849_eus-gaap--BasisOfAccountingPolic"/>
      <w:bookmarkEnd w:id="1154"/>
      <w:bookmarkEnd w:id="1155"/>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156" w:name="xdx_86D_zTd5jCyRKn0b"/>
      <w:bookmarkStart w:id="1157" w:name="xdx_84B_ecustom--GoingConcernPolicyTextB"/>
      <w:bookmarkEnd w:id="1156"/>
      <w:bookmarkEnd w:id="1157"/>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the Company incurred loss from operations and had negative cash flow from operations. As of March 31, 2023, the Company had $</w:t>
      </w:r>
      <w:bookmarkStart w:id="1158" w:name="xdx_901_eus-gaap--CashAndCashEquivalents"/>
      <w:bookmarkEnd w:id="1158"/>
      <w:r>
        <w:rPr>
          <w:rFonts w:ascii="Times New Roman;Times;Serif" w:hAnsi="Times New Roman;Times;Serif"/>
          <w:b w:val="false"/>
          <w:i w:val="false"/>
          <w:caps w:val="false"/>
          <w:smallCaps w:val="false"/>
          <w:sz w:val="20"/>
        </w:rPr>
        <w:t>15,791 in cash and cash equivalents and working capital of $</w:t>
      </w:r>
      <w:bookmarkStart w:id="1159" w:name="xdx_901_ecustom--WorkingCapital_pn3n3_c2"/>
      <w:bookmarkEnd w:id="1159"/>
      <w:r>
        <w:rPr>
          <w:rFonts w:ascii="Times New Roman;Times;Serif" w:hAnsi="Times New Roman;Times;Serif"/>
          <w:b w:val="false"/>
          <w:i w:val="false"/>
          <w:caps w:val="false"/>
          <w:smallCaps w:val="false"/>
          <w:sz w:val="20"/>
        </w:rPr>
        <w:t>24,533.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1160" w:name="xdx_907_eus-gaap--DebtInstrumentFaceAmou"/>
      <w:bookmarkEnd w:id="1160"/>
      <w:r>
        <w:rPr>
          <w:rFonts w:ascii="Times New Roman;Times;Serif" w:hAnsi="Times New Roman;Times;Serif"/>
          <w:b w:val="false"/>
          <w:i w:val="false"/>
          <w:caps w:val="false"/>
          <w:smallCaps w:val="false"/>
          <w:sz w:val="20"/>
        </w:rPr>
        <w:t>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1161" w:name="xdx_866_zsLdSPK4QCVi"/>
      <w:bookmarkStart w:id="1162" w:name="xdx_84B_ecustom--RecentlyAdoptedAccounti"/>
      <w:bookmarkEnd w:id="1161"/>
      <w:bookmarkEnd w:id="1162"/>
      <w:r>
        <w:rPr>
          <w:rFonts w:ascii="Times New Roman;Times;Serif" w:hAnsi="Times New Roman;Times;Serif"/>
          <w:b w:val="false"/>
          <w:i/>
          <w:caps w:val="false"/>
          <w:smallCaps w:val="false"/>
          <w:sz w:val="20"/>
          <w:u w:val="single"/>
        </w:rPr>
        <w:t>Recently adopted accounting standards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163" w:name="xdx_86E_zMFazYF9n05f"/>
      <w:bookmarkStart w:id="1164" w:name="xdx_84E_eus-gaap--NewAccountingPronounce"/>
      <w:bookmarkEnd w:id="1163"/>
      <w:bookmarkEnd w:id="1164"/>
      <w:r>
        <w:rPr>
          <w:rFonts w:ascii="Times New Roman;Times;Serif" w:hAnsi="Times New Roman;Times;Serif"/>
          <w:b w:val="false"/>
          <w:i/>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FASB issued ASU 2020-06, </w:t>
      </w:r>
      <w:r>
        <w:rPr>
          <w:rFonts w:ascii="Times New Roman;Times;Serif" w:hAnsi="Times New Roman;Times;Serif"/>
          <w:b w:val="false"/>
          <w:i/>
          <w:caps w:val="false"/>
          <w:smallCaps w:val="false"/>
          <w:sz w:val="20"/>
        </w:rPr>
        <w:t xml:space="preserve">Debt—Debt with Conversion and Other Options (Subtopic 470-20) and Derivatives and Hedging—Contracts in Entity’s Own Equity (Subtopic 815-40) </w:t>
      </w:r>
      <w:r>
        <w:rPr>
          <w:rFonts w:ascii="Times New Roman;Times;Serif" w:hAnsi="Times New Roman;Times;Serif"/>
          <w:b w:val="false"/>
          <w:i w:val="false"/>
          <w:caps w:val="false"/>
          <w:smallCaps w:val="false"/>
          <w:sz w:val="20"/>
        </w:rPr>
        <w:t>(“ASU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The Company is currently assessing the impact, if any, that ASU 2020-06 would have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65" w:name="xdx_869_zWVZfmuUGXwe"/>
      <w:bookmarkStart w:id="1166" w:name="xdx_84B_eus-gaap--TradeAndOtherAccountsR"/>
      <w:bookmarkEnd w:id="1165"/>
      <w:bookmarkEnd w:id="1166"/>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trade receivables are recorded when billed and represent claims against third parties that will be settled in cash. Generally, payment is due from customers within </w:t>
      </w:r>
      <w:bookmarkStart w:id="1167" w:name="xdx_900_ecustom--PeriodWithinWhichPaymen"/>
      <w:bookmarkEnd w:id="1167"/>
      <w:r>
        <w:rPr>
          <w:rFonts w:ascii="Times New Roman;Times;Serif" w:hAnsi="Times New Roman;Times;Serif"/>
          <w:b w:val="false"/>
          <w:i w:val="false"/>
          <w:caps w:val="false"/>
          <w:smallCaps w:val="false"/>
          <w:sz w:val="20"/>
        </w:rPr>
        <w:t>30 – 60 days of the invoice date and the contracts do not have significant financing components. Trade accounts receivables are recorded gross and are net of any applicable allowance. The Company has an allowance for doubtful accounts as of March 31, 2023 and December 31, 2022 of $</w:t>
      </w:r>
      <w:bookmarkStart w:id="1168" w:name="xdx_908_eus-gaap--AllowanceForDoubtfulAc"/>
      <w:bookmarkEnd w:id="1168"/>
      <w:r>
        <w:rPr>
          <w:rFonts w:ascii="Times New Roman;Times;Serif" w:hAnsi="Times New Roman;Times;Serif"/>
          <w:b w:val="false"/>
          <w:i w:val="false"/>
          <w:caps w:val="false"/>
          <w:smallCaps w:val="false"/>
          <w:sz w:val="20"/>
        </w:rPr>
        <w:t>116 and $</w:t>
      </w:r>
      <w:bookmarkStart w:id="1169" w:name="xdx_90E_eus-gaap--AllowanceForDoubtfulAc"/>
      <w:bookmarkEnd w:id="1169"/>
      <w:r>
        <w:rPr>
          <w:rFonts w:ascii="Times New Roman;Times;Serif" w:hAnsi="Times New Roman;Times;Serif"/>
          <w:b w:val="false"/>
          <w:i w:val="false"/>
          <w:caps w:val="false"/>
          <w:smallCaps w:val="false"/>
          <w:sz w:val="20"/>
        </w:rPr>
        <w:t>90,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170" w:name="xdx_863_zjXiYpDFVlt6"/>
      <w:bookmarkStart w:id="1171" w:name="xdx_849_eus-gaap--InventoryPolicyTextBlo"/>
      <w:bookmarkEnd w:id="1170"/>
      <w:bookmarkEnd w:id="1171"/>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March 31, 2023 and December 31, 2022, no such reserves were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72" w:name="xdx_867_zLvdCzbbCLed"/>
      <w:bookmarkStart w:id="1173" w:name="xdx_846_eus-gaap--PropertyPlantAndEquipm"/>
      <w:bookmarkEnd w:id="1172"/>
      <w:bookmarkEnd w:id="1173"/>
      <w:r>
        <w:rPr>
          <w:rFonts w:ascii="Times New Roman;Times;Serif" w:hAnsi="Times New Roman;Times;Serif"/>
          <w:b w:val="false"/>
          <w:i/>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three months ended March 31, 2023 and 2022 was $</w:t>
      </w:r>
      <w:bookmarkStart w:id="1174" w:name="xdx_902_eus-gaap--Depreciation_pn3n3_c20"/>
      <w:bookmarkEnd w:id="1174"/>
      <w:r>
        <w:rPr>
          <w:rFonts w:ascii="Times New Roman;Times;Serif" w:hAnsi="Times New Roman;Times;Serif"/>
          <w:b w:val="false"/>
          <w:i w:val="false"/>
          <w:caps w:val="false"/>
          <w:smallCaps w:val="false"/>
          <w:sz w:val="20"/>
        </w:rPr>
        <w:t>297 and $</w:t>
      </w:r>
      <w:bookmarkStart w:id="1175" w:name="xdx_904_eus-gaap--Depreciation_pn3n3_c20"/>
      <w:bookmarkEnd w:id="1175"/>
      <w:r>
        <w:rPr>
          <w:rFonts w:ascii="Times New Roman;Times;Serif" w:hAnsi="Times New Roman;Times;Serif"/>
          <w:b w:val="false"/>
          <w:i w:val="false"/>
          <w:caps w:val="false"/>
          <w:smallCaps w:val="false"/>
          <w:sz w:val="20"/>
        </w:rPr>
        <w:t>192, respectively. The various classes of property and equipment and estimated useful lives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76" w:name="xdx_8B5_z2r99yqyuNSb"/>
      <w:bookmarkStart w:id="1177" w:name="xdx_89A_eus-gaap--PropertyPlantAndEquipm"/>
      <w:bookmarkEnd w:id="1176"/>
      <w:bookmarkEnd w:id="1177"/>
      <w:r>
        <w:rPr>
          <w:rFonts w:ascii="Times New Roman;Times;Serif" w:hAnsi="Times New Roman;Times;Serif"/>
          <w:b w:val="false"/>
          <w:i w:val="false"/>
          <w:caps w:val="false"/>
          <w:smallCaps w:val="false"/>
          <w:sz w:val="20"/>
        </w:rPr>
        <w:t>SCHEDULE OF VARIOUS CLASSES OF PROPERTY AND EQUIPMENT AND ESTIMATED USEFUL LIVES </w:t>
      </w:r>
    </w:p>
    <w:tbl>
      <w:tblPr>
        <w:tblW w:w="4660" w:type="dxa"/>
        <w:jc w:val="left"/>
        <w:tblInd w:w="0" w:type="dxa"/>
        <w:tblLayout w:type="fixed"/>
        <w:tblCellMar>
          <w:top w:w="0" w:type="dxa"/>
          <w:left w:w="0" w:type="dxa"/>
          <w:bottom w:w="0" w:type="dxa"/>
          <w:right w:w="0" w:type="dxa"/>
        </w:tblCellMar>
      </w:tblPr>
      <w:tblGrid>
        <w:gridCol w:w="2540"/>
        <w:gridCol w:w="2120"/>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8" w:name="xdx_905_eus-gaap--PropertyPlantAndEquipm"/>
            <w:bookmarkEnd w:id="1178"/>
            <w:r>
              <w:rPr>
                <w:rFonts w:ascii="Times New Roman;Times;Serif" w:hAnsi="Times New Roman;Times;Serif"/>
                <w:b w:val="false"/>
                <w:i w:val="false"/>
                <w:caps w:val="false"/>
                <w:smallCaps w:val="false"/>
                <w:sz w:val="20"/>
              </w:rPr>
              <w:t xml:space="preserve">3 to </w:t>
            </w:r>
            <w:bookmarkStart w:id="1179" w:name="xdx_90D_eus-gaap--PropertyPlantAndEquipm"/>
            <w:bookmarkEnd w:id="1179"/>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0" w:name="xdx_90F_eus-gaap--PropertyPlantAndEquipm"/>
            <w:bookmarkEnd w:id="1180"/>
            <w:r>
              <w:rPr>
                <w:rFonts w:ascii="Times New Roman;Times;Serif" w:hAnsi="Times New Roman;Times;Serif"/>
                <w:b w:val="false"/>
                <w:i w:val="false"/>
                <w:caps w:val="false"/>
                <w:smallCaps w:val="false"/>
                <w:sz w:val="20"/>
              </w:rPr>
              <w:t>5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1" w:name="xdx_90B_eus-gaap--PropertyPlantAndEquipm"/>
            <w:bookmarkEnd w:id="1181"/>
            <w:r>
              <w:rPr>
                <w:rFonts w:ascii="Times New Roman;Times;Serif" w:hAnsi="Times New Roman;Times;Serif"/>
                <w:b w:val="false"/>
                <w:i w:val="false"/>
                <w:caps w:val="false"/>
                <w:smallCaps w:val="false"/>
                <w:sz w:val="20"/>
              </w:rPr>
              <w:t xml:space="preserve">3 to </w:t>
            </w:r>
            <w:bookmarkStart w:id="1182" w:name="xdx_903_eus-gaap--PropertyPlantAndEquipm"/>
            <w:bookmarkEnd w:id="1182"/>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3" w:name="xdx_90C_eus-gaap--PropertyPlantAndEquipm"/>
            <w:bookmarkEnd w:id="1183"/>
            <w:r>
              <w:rPr>
                <w:rFonts w:ascii="Times New Roman;Times;Serif" w:hAnsi="Times New Roman;Times;Serif"/>
                <w:b w:val="false"/>
                <w:i w:val="false"/>
                <w:caps w:val="false"/>
                <w:smallCaps w:val="false"/>
                <w:sz w:val="20"/>
              </w:rPr>
              <w:t>Remaining Term of Lease</w:t>
            </w:r>
          </w:p>
        </w:tc>
      </w:tr>
    </w:tbl>
    <w:p>
      <w:pPr>
        <w:pStyle w:val="TextBody"/>
        <w:bidi w:val="0"/>
        <w:spacing w:before="0" w:after="0"/>
        <w:ind w:left="0" w:right="0" w:hanging="0"/>
        <w:jc w:val="both"/>
        <w:rPr>
          <w:caps w:val="false"/>
          <w:smallCaps w:val="false"/>
        </w:rPr>
      </w:pPr>
      <w:bookmarkStart w:id="1184" w:name="xdx_8A0_zAwvvaRGMIb9"/>
      <w:bookmarkEnd w:id="118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85" w:name="xdx_863_zdvUHy7OCtbl"/>
      <w:bookmarkStart w:id="1186" w:name="xdx_846_eus-gaap--UseOfEstimates_zwIIngu"/>
      <w:bookmarkEnd w:id="1185"/>
      <w:bookmarkEnd w:id="1186"/>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87" w:name="xdx_86E_zXPFqnwcHDi9"/>
      <w:bookmarkStart w:id="1188" w:name="xdx_840_ecustom--WarrantsPolicyTextBlock"/>
      <w:bookmarkEnd w:id="1187"/>
      <w:bookmarkEnd w:id="1188"/>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89" w:name="xdx_86D_zZXFS9aFdVfe"/>
      <w:bookmarkStart w:id="1190" w:name="xdx_847_eus-gaap--RevenueFromContractWit"/>
      <w:bookmarkEnd w:id="1189"/>
      <w:bookmarkEnd w:id="1190"/>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1191" w:name="xdx_90D_ecustom--PaymentTermForDistribut"/>
      <w:bookmarkEnd w:id="1191"/>
      <w:r>
        <w:rPr>
          <w:rFonts w:ascii="Times New Roman;Times;Serif" w:hAnsi="Times New Roman;Times;Serif"/>
          <w:b w:val="false"/>
          <w:i w:val="false"/>
          <w:caps w:val="false"/>
          <w:smallCaps w:val="false"/>
          <w:sz w:val="20"/>
        </w:rPr>
        <w:t>30-</w:t>
      </w:r>
      <w:bookmarkStart w:id="1192" w:name="xdx_90D_ecustom--PaymentTermForDistribut"/>
      <w:bookmarkEnd w:id="1192"/>
      <w:r>
        <w:rPr>
          <w:rFonts w:ascii="Times New Roman;Times;Serif" w:hAnsi="Times New Roman;Times;Serif"/>
          <w:b w:val="false"/>
          <w:i w:val="false"/>
          <w:caps w:val="false"/>
          <w:smallCaps w:val="false"/>
          <w:sz w:val="20"/>
        </w:rPr>
        <w:t>60 days after shipment. In such instances, the Company records a customer deposit liability. The Company recognizes these contract liabilities as sales after the revenue criteria are met. As of March 31, 2023 and December 31, 2022, the contract liability related to the Company’s customer deposits approximated $</w:t>
      </w:r>
      <w:bookmarkStart w:id="1193" w:name="xdx_906_eus-gaap--ContractWithCustomerLi"/>
      <w:bookmarkEnd w:id="1193"/>
      <w:r>
        <w:rPr>
          <w:rFonts w:ascii="Times New Roman;Times;Serif" w:hAnsi="Times New Roman;Times;Serif"/>
          <w:b w:val="false"/>
          <w:i w:val="false"/>
          <w:caps w:val="false"/>
          <w:smallCaps w:val="false"/>
          <w:sz w:val="20"/>
        </w:rPr>
        <w:t>418 and $</w:t>
      </w:r>
      <w:bookmarkStart w:id="1194" w:name="xdx_904_eus-gaap--ContractWithCustomerLi"/>
      <w:bookmarkEnd w:id="1194"/>
      <w:r>
        <w:rPr>
          <w:rFonts w:ascii="Times New Roman;Times;Serif" w:hAnsi="Times New Roman;Times;Serif"/>
          <w:b w:val="false"/>
          <w:i w:val="false"/>
          <w:caps w:val="false"/>
          <w:smallCaps w:val="false"/>
          <w:sz w:val="20"/>
        </w:rPr>
        <w:t>238, respectively. The Company recognized $</w:t>
      </w:r>
      <w:bookmarkStart w:id="1195" w:name="xdx_90C_eus-gaap--OtherLiabilities_iI_pn"/>
      <w:bookmarkStart w:id="1196" w:name="xdx_90B_eus-gaap--OtherLiabilities_iI_pn"/>
      <w:bookmarkEnd w:id="1195"/>
      <w:bookmarkEnd w:id="1196"/>
      <w:r>
        <w:rPr>
          <w:rFonts w:ascii="Times New Roman;Times;Serif" w:hAnsi="Times New Roman;Times;Serif"/>
          <w:b w:val="false"/>
          <w:i w:val="false"/>
          <w:caps w:val="false"/>
          <w:smallCaps w:val="false"/>
          <w:sz w:val="20"/>
        </w:rPr>
        <w:t>211 of contract liability pertaining to the year ended December 31, 2022 as of March 31, 2023. The entire contract liability balance of $</w:t>
      </w:r>
      <w:bookmarkStart w:id="1197" w:name="xdx_90D_eus-gaap--Revenues_c20230101__20"/>
      <w:bookmarkEnd w:id="1197"/>
      <w:r>
        <w:rPr>
          <w:rFonts w:ascii="Times New Roman;Times;Serif" w:hAnsi="Times New Roman;Times;Serif"/>
          <w:b w:val="false"/>
          <w:i w:val="false"/>
          <w:caps w:val="false"/>
          <w:smallCaps w:val="false"/>
          <w:sz w:val="20"/>
        </w:rPr>
        <w:t>434 as of January 1, 2022 was recognized as revenue during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98" w:name="xdx_867_zbWPDXe2W63h"/>
      <w:bookmarkStart w:id="1199" w:name="xdx_843_ecustom--DisaggregationOfRevenue"/>
      <w:bookmarkEnd w:id="1198"/>
      <w:bookmarkEnd w:id="1199"/>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0" w:name="xdx_89A_eus-gaap--DisaggregationOfRevenu"/>
      <w:bookmarkEnd w:id="1200"/>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1" w:name="xdx_8B4_zHtI6eLdFbIk"/>
      <w:bookmarkEnd w:id="1201"/>
      <w:r>
        <w:rPr>
          <w:rFonts w:ascii="Times New Roman;Times;Serif" w:hAnsi="Times New Roman;Times;Serif"/>
          <w:b w:val="false"/>
          <w:i w:val="false"/>
          <w:caps w:val="false"/>
          <w:smallCaps w:val="false"/>
          <w:sz w:val="20"/>
        </w:rPr>
        <w:t>SCHEDULE OF DISAGGREGATED REVENUES BY DISTRIBUTION CHANNEL </w:t>
      </w:r>
    </w:p>
    <w:tbl>
      <w:tblPr>
        <w:tblW w:w="5992" w:type="dxa"/>
        <w:jc w:val="left"/>
        <w:tblInd w:w="0" w:type="dxa"/>
        <w:tblLayout w:type="fixed"/>
        <w:tblCellMar>
          <w:top w:w="0" w:type="dxa"/>
          <w:left w:w="0" w:type="dxa"/>
          <w:bottom w:w="0" w:type="dxa"/>
          <w:right w:w="0" w:type="dxa"/>
        </w:tblCellMar>
      </w:tblPr>
      <w:tblGrid>
        <w:gridCol w:w="3095"/>
        <w:gridCol w:w="60"/>
        <w:gridCol w:w="219"/>
        <w:gridCol w:w="1068"/>
        <w:gridCol w:w="94"/>
        <w:gridCol w:w="94"/>
        <w:gridCol w:w="219"/>
        <w:gridCol w:w="1068"/>
        <w:gridCol w:w="75"/>
      </w:tblGrid>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bookmarkStart w:id="1202" w:name="xdx_49B_20230101__20230331_zDh8SMW3SKw2"/>
            <w:bookmarkEnd w:id="1202"/>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1203" w:name="xdx_49E_20220101__20220331_zfgcpoWhMCAg"/>
            <w:bookmarkEnd w:id="1203"/>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jc w:val="center"/>
              <w:rPr/>
            </w:pPr>
            <w:r>
              <w:rPr/>
              <w:t>For the Three Months Ended</w:t>
            </w:r>
          </w:p>
          <w:p>
            <w:pPr>
              <w:pStyle w:val="TableContents"/>
              <w:bidi w:val="0"/>
              <w:spacing w:before="0" w:after="283"/>
              <w:jc w:val="center"/>
              <w:rPr/>
            </w:pPr>
            <w:r>
              <w:rPr/>
              <w:t>March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Sales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204" w:name="xdx_400_eus-gaap--RevenueFromContractWit"/>
            <w:bookmarkEnd w:id="1204"/>
          </w:p>
        </w:tc>
      </w:tr>
      <w:tr>
        <w:trPr/>
        <w:tc>
          <w:tcPr>
            <w:tcW w:w="3095" w:type="dxa"/>
            <w:tcBorders/>
            <w:shd w:fill="FFFFFF" w:val="clear"/>
            <w:vAlign w:val="center"/>
          </w:tcPr>
          <w:p>
            <w:pPr>
              <w:pStyle w:val="TableContents"/>
              <w:bidi w:val="0"/>
              <w:spacing w:before="0" w:after="283"/>
              <w:jc w:val="left"/>
              <w:rPr/>
            </w:pPr>
            <w:r>
              <w:rPr/>
              <w:t>Retail</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7,069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13,035</w:t>
            </w:r>
          </w:p>
        </w:tc>
        <w:tc>
          <w:tcPr>
            <w:tcW w:w="75" w:type="dxa"/>
            <w:tcBorders/>
            <w:shd w:fill="FFFFFF" w:val="clear"/>
            <w:vAlign w:val="center"/>
          </w:tcPr>
          <w:p>
            <w:pPr>
              <w:pStyle w:val="TableContents"/>
              <w:bidi w:val="0"/>
              <w:spacing w:before="0" w:after="283"/>
              <w:jc w:val="left"/>
              <w:rPr/>
            </w:pPr>
            <w:r>
              <w:rPr/>
              <w:t> </w:t>
            </w:r>
            <w:bookmarkStart w:id="1205" w:name="xdx_40B_eus-gaap--RevenueFromContractWit"/>
            <w:bookmarkEnd w:id="1205"/>
          </w:p>
        </w:tc>
      </w:tr>
      <w:tr>
        <w:trPr/>
        <w:tc>
          <w:tcPr>
            <w:tcW w:w="3095" w:type="dxa"/>
            <w:tcBorders/>
            <w:shd w:fill="CCEEFF" w:val="clear"/>
            <w:vAlign w:val="center"/>
          </w:tcPr>
          <w:p>
            <w:pPr>
              <w:pStyle w:val="TableContents"/>
              <w:bidi w:val="0"/>
              <w:spacing w:before="0" w:after="283"/>
              <w:jc w:val="left"/>
              <w:rPr/>
            </w:pPr>
            <w:r>
              <w:rPr/>
              <w:t>Distributor</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2,968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2,087</w:t>
            </w:r>
          </w:p>
        </w:tc>
        <w:tc>
          <w:tcPr>
            <w:tcW w:w="75" w:type="dxa"/>
            <w:tcBorders/>
            <w:shd w:fill="CCEEFF" w:val="clear"/>
            <w:vAlign w:val="center"/>
          </w:tcPr>
          <w:p>
            <w:pPr>
              <w:pStyle w:val="TableContents"/>
              <w:bidi w:val="0"/>
              <w:spacing w:before="0" w:after="283"/>
              <w:jc w:val="left"/>
              <w:rPr/>
            </w:pPr>
            <w:r>
              <w:rPr/>
              <w:t> </w:t>
            </w:r>
            <w:bookmarkStart w:id="1206" w:name="xdx_400_eus-gaap--RevenueFromContractWit"/>
            <w:bookmarkEnd w:id="1206"/>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8,754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3,181</w:t>
            </w:r>
          </w:p>
        </w:tc>
        <w:tc>
          <w:tcPr>
            <w:tcW w:w="75" w:type="dxa"/>
            <w:tcBorders/>
            <w:shd w:fill="FFFFFF" w:val="clear"/>
            <w:vAlign w:val="center"/>
          </w:tcPr>
          <w:p>
            <w:pPr>
              <w:pStyle w:val="TableContents"/>
              <w:bidi w:val="0"/>
              <w:spacing w:before="0" w:after="283"/>
              <w:jc w:val="left"/>
              <w:rPr/>
            </w:pPr>
            <w:r>
              <w:rPr/>
              <w:t> </w:t>
            </w:r>
            <w:bookmarkStart w:id="1207" w:name="xdx_40A_eus-gaap--RevenueFromContractWit"/>
            <w:bookmarkEnd w:id="1207"/>
          </w:p>
        </w:tc>
      </w:tr>
      <w:tr>
        <w:trPr/>
        <w:tc>
          <w:tcPr>
            <w:tcW w:w="30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18,791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bookmarkStart w:id="1208" w:name="xdx_403_eus-gaap--RevenueFromContractWit"/>
            <w:bookmarkEnd w:id="1208"/>
          </w:p>
        </w:tc>
      </w:tr>
      <w:tr>
        <w:trPr/>
        <w:tc>
          <w:tcPr>
            <w:tcW w:w="3095" w:type="dxa"/>
            <w:tcBorders/>
            <w:shd w:fill="CCEEFF" w:val="clear"/>
            <w:vAlign w:val="center"/>
          </w:tcPr>
          <w:p>
            <w:pPr>
              <w:pStyle w:val="TableContents"/>
              <w:bidi w:val="0"/>
              <w:spacing w:before="0" w:after="283"/>
              <w:jc w:val="left"/>
              <w:rPr/>
            </w:pPr>
            <w:r>
              <w:rPr/>
              <w:t>Total sales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18,791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09" w:name="xdx_8A0_zRUh3QXhP7Te"/>
      <w:bookmarkEnd w:id="1209"/>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210" w:name="xdx_86D_zwGCf9vSWwhk"/>
      <w:bookmarkStart w:id="1211" w:name="xdx_843_ecustom--ShippingAndHandlingCost"/>
      <w:bookmarkEnd w:id="1210"/>
      <w:bookmarkEnd w:id="1211"/>
      <w:r>
        <w:rPr>
          <w:rFonts w:ascii="Times New Roman;Times;Serif" w:hAnsi="Times New Roman;Times;Serif"/>
          <w:b w:val="false"/>
          <w:i/>
          <w:caps w:val="false"/>
          <w:smallCaps w:val="false"/>
          <w:sz w:val="20"/>
          <w:u w:val="single"/>
        </w:rPr>
        <w:t>Shipping and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w:t>
      </w:r>
      <w:bookmarkStart w:id="1212" w:name="xdx_90C_ecustom--ShippingAndHandlingCost"/>
      <w:bookmarkEnd w:id="1212"/>
      <w:r>
        <w:rPr>
          <w:rFonts w:ascii="Times New Roman;Times;Serif" w:hAnsi="Times New Roman;Times;Serif"/>
          <w:b w:val="false"/>
          <w:i w:val="false"/>
          <w:caps w:val="false"/>
          <w:smallCaps w:val="false"/>
          <w:sz w:val="20"/>
        </w:rPr>
        <w:t>1,007 and $</w:t>
      </w:r>
      <w:bookmarkStart w:id="1213" w:name="xdx_90E_ecustom--ShippingAndHandlingCost"/>
      <w:bookmarkEnd w:id="1213"/>
      <w:r>
        <w:rPr>
          <w:rFonts w:ascii="Times New Roman;Times;Serif" w:hAnsi="Times New Roman;Times;Serif"/>
          <w:b w:val="false"/>
          <w:i w:val="false"/>
          <w:caps w:val="false"/>
          <w:smallCaps w:val="false"/>
          <w:sz w:val="20"/>
        </w:rPr>
        <w:t>1,228 for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214" w:name="xdx_86A_z5CZw1G93dA1"/>
      <w:bookmarkStart w:id="1215" w:name="xdx_84E_ecustom--ProductWarrantyPolicyTe"/>
      <w:bookmarkEnd w:id="1214"/>
      <w:bookmarkEnd w:id="1215"/>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1216" w:name="xdx_900_ecustom--ProductWarrantyTermProv"/>
      <w:bookmarkEnd w:id="1216"/>
      <w:r>
        <w:rPr>
          <w:rFonts w:ascii="Times New Roman;Times;Serif" w:hAnsi="Times New Roman;Times;Serif"/>
          <w:b w:val="false"/>
          <w:i w:val="false"/>
          <w:caps w:val="false"/>
          <w:smallCaps w:val="false"/>
          <w:sz w:val="20"/>
        </w:rPr>
        <w:t xml:space="preserve">5 to </w:t>
      </w:r>
      <w:bookmarkStart w:id="1217" w:name="xdx_907_ecustom--ProductWarrantyTermProv"/>
      <w:bookmarkEnd w:id="1217"/>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March 31, 2023 and December 31, 2022 to be $</w:t>
      </w:r>
      <w:bookmarkStart w:id="1218" w:name="xdx_90F_eus-gaap--ProductWarrantyAccrual"/>
      <w:bookmarkEnd w:id="1218"/>
      <w:r>
        <w:rPr>
          <w:rFonts w:ascii="Times New Roman;Times;Serif" w:hAnsi="Times New Roman;Times;Serif"/>
          <w:b w:val="false"/>
          <w:i w:val="false"/>
          <w:caps w:val="false"/>
          <w:smallCaps w:val="false"/>
          <w:sz w:val="20"/>
        </w:rPr>
        <w:t>400 and $</w:t>
      </w:r>
      <w:bookmarkStart w:id="1219" w:name="xdx_90D_eus-gaap--ProductWarrantyAccrual"/>
      <w:bookmarkEnd w:id="1219"/>
      <w:r>
        <w:rPr>
          <w:rFonts w:ascii="Times New Roman;Times;Serif" w:hAnsi="Times New Roman;Times;Serif"/>
          <w:b w:val="false"/>
          <w:i w:val="false"/>
          <w:caps w:val="false"/>
          <w:smallCaps w:val="false"/>
          <w:sz w:val="20"/>
        </w:rPr>
        <w:t>328,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20" w:name="xdx_86A_zyzggZww4OX8"/>
      <w:bookmarkStart w:id="1221" w:name="xdx_84E_eus-gaap--ConcentrationRiskCredi"/>
      <w:bookmarkEnd w:id="1220"/>
      <w:bookmarkEnd w:id="1221"/>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Receivables from </w:t>
      </w:r>
      <w:bookmarkStart w:id="1222" w:name="xdx_90E_ecustom--NumberOfCustomers_pid_d"/>
      <w:bookmarkEnd w:id="1222"/>
      <w:r>
        <w:rPr>
          <w:rFonts w:ascii="Times New Roman;Times;Serif" w:hAnsi="Times New Roman;Times;Serif"/>
          <w:b w:val="false"/>
          <w:i w:val="false"/>
          <w:caps w:val="false"/>
          <w:smallCaps w:val="false"/>
          <w:sz w:val="20"/>
        </w:rPr>
        <w:t xml:space="preserve">one customer comprised approximately </w:t>
      </w:r>
      <w:bookmarkStart w:id="1223" w:name="xdx_90D_eus-gaap--ConcentrationRiskPerce"/>
      <w:bookmarkEnd w:id="1223"/>
      <w:r>
        <w:rPr>
          <w:rFonts w:ascii="Times New Roman;Times;Serif" w:hAnsi="Times New Roman;Times;Serif"/>
          <w:b w:val="false"/>
          <w:i w:val="false"/>
          <w:caps w:val="false"/>
          <w:smallCaps w:val="false"/>
          <w:sz w:val="20"/>
        </w:rPr>
        <w:t xml:space="preserve">50% of accounts receivable as of March 31, 2023. Receivables from </w:t>
      </w:r>
      <w:bookmarkStart w:id="1224" w:name="xdx_90C_ecustom--NumberOfCustomers_pid_d"/>
      <w:bookmarkEnd w:id="1224"/>
      <w:r>
        <w:rPr>
          <w:rFonts w:ascii="Times New Roman;Times;Serif" w:hAnsi="Times New Roman;Times;Serif"/>
          <w:b w:val="false"/>
          <w:i w:val="false"/>
          <w:caps w:val="false"/>
          <w:smallCaps w:val="false"/>
          <w:sz w:val="20"/>
        </w:rPr>
        <w:t xml:space="preserve">three customers comprised approximately </w:t>
      </w:r>
      <w:bookmarkStart w:id="1225" w:name="xdx_90D_eus-gaap--ConcentrationRiskPerce"/>
      <w:bookmarkEnd w:id="1225"/>
      <w:r>
        <w:rPr>
          <w:rFonts w:ascii="Times New Roman;Times;Serif" w:hAnsi="Times New Roman;Times;Serif"/>
          <w:b w:val="false"/>
          <w:i w:val="false"/>
          <w:caps w:val="false"/>
          <w:smallCaps w:val="false"/>
          <w:sz w:val="20"/>
        </w:rPr>
        <w:t xml:space="preserve">18%, </w:t>
      </w:r>
      <w:bookmarkStart w:id="1226" w:name="xdx_904_eus-gaap--ConcentrationRiskPerce"/>
      <w:bookmarkEnd w:id="1226"/>
      <w:r>
        <w:rPr>
          <w:rFonts w:ascii="Times New Roman;Times;Serif" w:hAnsi="Times New Roman;Times;Serif"/>
          <w:b w:val="false"/>
          <w:i w:val="false"/>
          <w:caps w:val="false"/>
          <w:smallCaps w:val="false"/>
          <w:sz w:val="20"/>
        </w:rPr>
        <w:t xml:space="preserve">10% and </w:t>
      </w:r>
      <w:bookmarkStart w:id="1227" w:name="xdx_902_eus-gaap--ConcentrationRiskPerce"/>
      <w:bookmarkEnd w:id="1227"/>
      <w:r>
        <w:rPr>
          <w:rFonts w:ascii="Times New Roman;Times;Serif" w:hAnsi="Times New Roman;Times;Serif"/>
          <w:b w:val="false"/>
          <w:i w:val="false"/>
          <w:caps w:val="false"/>
          <w:smallCaps w:val="false"/>
          <w:sz w:val="20"/>
        </w:rPr>
        <w:t>10%, respectively, of accounts receivable as of December 31, 2022. There are no other significant accounts receivable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from </w:t>
      </w:r>
      <w:bookmarkStart w:id="1228" w:name="xdx_905_ecustom--NumberOfVendors_pid_dc_"/>
      <w:bookmarkEnd w:id="1228"/>
      <w:r>
        <w:rPr>
          <w:rFonts w:ascii="Times New Roman;Times;Serif" w:hAnsi="Times New Roman;Times;Serif"/>
          <w:b w:val="false"/>
          <w:i w:val="false"/>
          <w:caps w:val="false"/>
          <w:smallCaps w:val="false"/>
          <w:sz w:val="20"/>
        </w:rPr>
        <w:t xml:space="preserve">one customer comprised approximately </w:t>
      </w:r>
      <w:bookmarkStart w:id="1229" w:name="xdx_90D_eus-gaap--ConcentrationRiskPerce"/>
      <w:bookmarkEnd w:id="1229"/>
      <w:r>
        <w:rPr>
          <w:rFonts w:ascii="Times New Roman;Times;Serif" w:hAnsi="Times New Roman;Times;Serif"/>
          <w:b w:val="false"/>
          <w:i w:val="false"/>
          <w:caps w:val="false"/>
          <w:smallCaps w:val="false"/>
          <w:sz w:val="20"/>
        </w:rPr>
        <w:t>26% of revenue for the three months ended March 31, 2023. There were no significant revenue concentrations for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Payables to </w:t>
      </w:r>
      <w:bookmarkStart w:id="1230" w:name="xdx_902_ecustom--NumberOfCustomers_dc_uC"/>
      <w:bookmarkEnd w:id="1230"/>
      <w:r>
        <w:rPr>
          <w:rFonts w:ascii="Times New Roman;Times;Serif" w:hAnsi="Times New Roman;Times;Serif"/>
          <w:b w:val="false"/>
          <w:i w:val="false"/>
          <w:caps w:val="false"/>
          <w:smallCaps w:val="false"/>
          <w:sz w:val="20"/>
        </w:rPr>
        <w:t xml:space="preserve">one vendor comprised approximately </w:t>
      </w:r>
      <w:bookmarkStart w:id="1231" w:name="xdx_90F_eus-gaap--ConcentrationRiskPerce"/>
      <w:bookmarkEnd w:id="1231"/>
      <w:r>
        <w:rPr>
          <w:rFonts w:ascii="Times New Roman;Times;Serif" w:hAnsi="Times New Roman;Times;Serif"/>
          <w:b w:val="false"/>
          <w:i w:val="false"/>
          <w:caps w:val="false"/>
          <w:smallCaps w:val="false"/>
          <w:sz w:val="20"/>
        </w:rPr>
        <w:t xml:space="preserve">67% of accounts payables as of March 31, 2023. Payables to </w:t>
      </w:r>
      <w:bookmarkStart w:id="1232" w:name="xdx_902_ecustom--NumberOfCustomers_pid_d"/>
      <w:bookmarkEnd w:id="1232"/>
      <w:r>
        <w:rPr>
          <w:rFonts w:ascii="Times New Roman;Times;Serif" w:hAnsi="Times New Roman;Times;Serif"/>
          <w:b w:val="false"/>
          <w:i w:val="false"/>
          <w:caps w:val="false"/>
          <w:smallCaps w:val="false"/>
          <w:sz w:val="20"/>
        </w:rPr>
        <w:t xml:space="preserve">one vendor comprised approximately </w:t>
      </w:r>
      <w:bookmarkStart w:id="1233" w:name="xdx_90D_eus-gaap--ConcentrationRiskPerce"/>
      <w:bookmarkEnd w:id="1233"/>
      <w:r>
        <w:rPr>
          <w:rFonts w:ascii="Times New Roman;Times;Serif" w:hAnsi="Times New Roman;Times;Serif"/>
          <w:b w:val="false"/>
          <w:i w:val="false"/>
          <w:caps w:val="false"/>
          <w:smallCaps w:val="false"/>
          <w:sz w:val="20"/>
        </w:rPr>
        <w:t>61% of accounts payables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2023, </w:t>
      </w:r>
      <w:bookmarkStart w:id="1234" w:name="xdx_903_ecustom--NumberOfVendors_pid_dc_"/>
      <w:bookmarkEnd w:id="1234"/>
      <w:r>
        <w:rPr>
          <w:rFonts w:ascii="Times New Roman;Times;Serif" w:hAnsi="Times New Roman;Times;Serif"/>
          <w:b w:val="false"/>
          <w:i w:val="false"/>
          <w:caps w:val="false"/>
          <w:smallCaps w:val="false"/>
          <w:sz w:val="20"/>
        </w:rPr>
        <w:t xml:space="preserve">two vendors accounted for approximately </w:t>
      </w:r>
      <w:bookmarkStart w:id="1235" w:name="xdx_90B_eus-gaap--ConcentrationRiskPerce"/>
      <w:bookmarkEnd w:id="1235"/>
      <w:r>
        <w:rPr>
          <w:rFonts w:ascii="Times New Roman;Times;Serif" w:hAnsi="Times New Roman;Times;Serif"/>
          <w:b w:val="false"/>
          <w:i w:val="false"/>
          <w:caps w:val="false"/>
          <w:smallCaps w:val="false"/>
          <w:sz w:val="20"/>
        </w:rPr>
        <w:t xml:space="preserve">38% and </w:t>
      </w:r>
      <w:bookmarkStart w:id="1236" w:name="xdx_908_eus-gaap--ConcentrationRiskPerce"/>
      <w:bookmarkEnd w:id="1236"/>
      <w:r>
        <w:rPr>
          <w:rFonts w:ascii="Times New Roman;Times;Serif" w:hAnsi="Times New Roman;Times;Serif"/>
          <w:b w:val="false"/>
          <w:i w:val="false"/>
          <w:caps w:val="false"/>
          <w:smallCaps w:val="false"/>
          <w:sz w:val="20"/>
        </w:rPr>
        <w:t xml:space="preserve">10%, respectively, of the Company’s total purchases. For the three months ended March 31, 2022, </w:t>
      </w:r>
      <w:bookmarkStart w:id="1237" w:name="xdx_90F_ecustom--NumberOfVendors_pid_dc_"/>
      <w:bookmarkEnd w:id="1237"/>
      <w:r>
        <w:rPr>
          <w:rFonts w:ascii="Times New Roman;Times;Serif" w:hAnsi="Times New Roman;Times;Serif"/>
          <w:b w:val="false"/>
          <w:i w:val="false"/>
          <w:caps w:val="false"/>
          <w:smallCaps w:val="false"/>
          <w:sz w:val="20"/>
        </w:rPr>
        <w:t xml:space="preserve">one vendor accounted for approximately </w:t>
      </w:r>
      <w:bookmarkStart w:id="1238" w:name="xdx_901_eus-gaap--ConcentrationRiskPerce"/>
      <w:bookmarkEnd w:id="1238"/>
      <w:r>
        <w:rPr>
          <w:rFonts w:ascii="Times New Roman;Times;Serif" w:hAnsi="Times New Roman;Times;Serif"/>
          <w:b w:val="false"/>
          <w:i w:val="false"/>
          <w:caps w:val="false"/>
          <w:smallCaps w:val="false"/>
          <w:sz w:val="20"/>
        </w:rPr>
        <w:t>34%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39" w:name="xdx_86E_z6qkUKXnpS2h"/>
      <w:bookmarkStart w:id="1240" w:name="xdx_84B_eus-gaap--AdvertisingCostsPolicy"/>
      <w:bookmarkEnd w:id="1239"/>
      <w:bookmarkEnd w:id="1240"/>
      <w:r>
        <w:rPr>
          <w:rFonts w:ascii="Times New Roman;Times;Serif" w:hAnsi="Times New Roman;Times;Serif"/>
          <w:b w:val="false"/>
          <w:i/>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w:t>
      </w:r>
      <w:bookmarkStart w:id="1241" w:name="xdx_903_eus-gaap--AdvertisingExpense_pn3"/>
      <w:bookmarkEnd w:id="1241"/>
      <w:r>
        <w:rPr>
          <w:rFonts w:ascii="Times New Roman;Times;Serif" w:hAnsi="Times New Roman;Times;Serif"/>
          <w:b w:val="false"/>
          <w:i w:val="false"/>
          <w:caps w:val="false"/>
          <w:smallCaps w:val="false"/>
          <w:sz w:val="20"/>
        </w:rPr>
        <w:t>587 and $</w:t>
      </w:r>
      <w:bookmarkStart w:id="1242" w:name="xdx_903_eus-gaap--AdvertisingExpense_pn3"/>
      <w:bookmarkEnd w:id="1242"/>
      <w:r>
        <w:rPr>
          <w:rFonts w:ascii="Times New Roman;Times;Serif" w:hAnsi="Times New Roman;Times;Serif"/>
          <w:b w:val="false"/>
          <w:i w:val="false"/>
          <w:caps w:val="false"/>
          <w:smallCaps w:val="false"/>
          <w:sz w:val="20"/>
        </w:rPr>
        <w:t>781 for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43" w:name="xdx_86D_zbEy4YaLsX4h"/>
      <w:bookmarkStart w:id="1244" w:name="xdx_844_eus-gaap--CompensationRelatedCos"/>
      <w:bookmarkEnd w:id="1243"/>
      <w:bookmarkEnd w:id="1244"/>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45" w:name="xdx_865_zpH1g0D9kQnc"/>
      <w:bookmarkStart w:id="1246" w:name="xdx_849_eus-gaap--IncomeTaxPolicyTextBlo"/>
      <w:bookmarkEnd w:id="1245"/>
      <w:bookmarkEnd w:id="1246"/>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w:t>
      </w:r>
      <w:bookmarkStart w:id="1247" w:name="xdx_906_eus-gaap--UnrecognizedTaxBenefit"/>
      <w:bookmarkEnd w:id="1247"/>
      <w:r>
        <w:rPr>
          <w:rFonts w:ascii="Times New Roman;Times;Serif" w:hAnsi="Times New Roman;Times;Serif"/>
          <w:b w:val="false"/>
          <w:i w:val="false"/>
          <w:caps w:val="false"/>
          <w:smallCaps w:val="false"/>
          <w:sz w:val="20"/>
        </w:rPr>
        <w:t>128 and $</w:t>
      </w:r>
      <w:bookmarkStart w:id="1248" w:name="xdx_909_eus-gaap--UnrecognizedTaxBenefit"/>
      <w:bookmarkEnd w:id="1248"/>
      <w:r>
        <w:rPr>
          <w:rFonts w:ascii="Times New Roman;Times;Serif" w:hAnsi="Times New Roman;Times;Serif"/>
          <w:b w:val="false"/>
          <w:i w:val="false"/>
          <w:caps w:val="false"/>
          <w:smallCaps w:val="false"/>
          <w:sz w:val="20"/>
        </w:rPr>
        <w:t>128 as of March 31, 2023, and December 31, 2022, respectively, of uncertain tax positions. The Company’s accounting policy is to include penalties and interest related to income taxes if any,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49" w:name="xdx_86C_z0oAkNTJwUHf"/>
      <w:bookmarkStart w:id="1250" w:name="xdx_84E_eus-gaap--SegmentReportingPolicy"/>
      <w:bookmarkEnd w:id="1249"/>
      <w:bookmarkEnd w:id="1250"/>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w:t>
      </w:r>
      <w:bookmarkStart w:id="1251" w:name="xdx_902_eus-gaap--NumberOfOperatingSegme"/>
      <w:bookmarkEnd w:id="1251"/>
      <w:r>
        <w:rPr>
          <w:rFonts w:ascii="Times New Roman;Times;Serif" w:hAnsi="Times New Roman;Times;Serif"/>
          <w:b w:val="false"/>
          <w:i w:val="false"/>
          <w:caps w:val="false"/>
          <w:smallCaps w:val="false"/>
          <w:sz w:val="20"/>
        </w:rPr>
        <w:t>one operating segment.</w:t>
      </w:r>
    </w:p>
    <w:p>
      <w:pPr>
        <w:pStyle w:val="TextBody"/>
        <w:bidi w:val="0"/>
        <w:spacing w:before="0" w:after="0"/>
        <w:ind w:left="0" w:right="0" w:hanging="0"/>
        <w:jc w:val="left"/>
        <w:rPr>
          <w:caps w:val="false"/>
          <w:smallCaps w:val="false"/>
        </w:rPr>
      </w:pPr>
      <w:bookmarkStart w:id="1252" w:name="xdx_854_zkHa7vCdWiNi"/>
      <w:bookmarkEnd w:id="1252"/>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253" w:name="xdx_800_eus-gaap--FairValueDisclosuresTe"/>
      <w:bookmarkEnd w:id="1253"/>
      <w:r>
        <w:rPr>
          <w:rFonts w:ascii="Times New Roman;Times;Serif" w:hAnsi="Times New Roman;Times;Serif"/>
          <w:b/>
          <w:i w:val="false"/>
          <w:caps/>
          <w:sz w:val="20"/>
        </w:rPr>
        <w:t xml:space="preserve">NOTE 3 - </w:t>
      </w:r>
      <w:bookmarkStart w:id="1254" w:name="xdx_820_z8tDo0S1EfW4"/>
      <w:bookmarkEnd w:id="1254"/>
      <w:r>
        <w:rPr>
          <w:rFonts w:ascii="Times New Roman;Times;Serif" w:hAnsi="Times New Roman;Times;Serif"/>
          <w:b/>
          <w:i w:val="false"/>
          <w:caps/>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55" w:name="xdx_892_eus-gaap--ScheduleOfFairValueAss"/>
      <w:bookmarkEnd w:id="1255"/>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56" w:name="xdx_8BB_zkCg6FWJrMMl"/>
      <w:bookmarkEnd w:id="1256"/>
      <w:r>
        <w:rPr>
          <w:rFonts w:ascii="Times New Roman;Times;Serif" w:hAnsi="Times New Roman;Times;Serif"/>
          <w:b w:val="false"/>
          <w:i w:val="false"/>
          <w:caps w:val="false"/>
          <w:smallCaps w:val="false"/>
          <w:sz w:val="20"/>
        </w:rPr>
        <w:t>SCHEDULE OF FAIR VALUE, ASSETS AND LIABILITIES </w:t>
      </w:r>
    </w:p>
    <w:tbl>
      <w:tblPr>
        <w:tblW w:w="9433" w:type="dxa"/>
        <w:jc w:val="left"/>
        <w:tblInd w:w="0" w:type="dxa"/>
        <w:tblLayout w:type="fixed"/>
        <w:tblCellMar>
          <w:top w:w="0" w:type="dxa"/>
          <w:left w:w="0" w:type="dxa"/>
          <w:bottom w:w="0" w:type="dxa"/>
          <w:right w:w="0" w:type="dxa"/>
        </w:tblCellMar>
      </w:tblPr>
      <w:tblGrid>
        <w:gridCol w:w="4250"/>
        <w:gridCol w:w="60"/>
        <w:gridCol w:w="289"/>
        <w:gridCol w:w="1156"/>
        <w:gridCol w:w="60"/>
        <w:gridCol w:w="60"/>
        <w:gridCol w:w="172"/>
        <w:gridCol w:w="688"/>
        <w:gridCol w:w="60"/>
        <w:gridCol w:w="60"/>
        <w:gridCol w:w="221"/>
        <w:gridCol w:w="533"/>
        <w:gridCol w:w="60"/>
        <w:gridCol w:w="60"/>
        <w:gridCol w:w="202"/>
        <w:gridCol w:w="552"/>
        <w:gridCol w:w="60"/>
        <w:gridCol w:w="60"/>
        <w:gridCol w:w="151"/>
        <w:gridCol w:w="604"/>
        <w:gridCol w:w="75"/>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center"/>
              <w:rPr/>
            </w:pPr>
            <w:r>
              <w:rPr/>
              <w:t> </w:t>
            </w:r>
          </w:p>
        </w:tc>
      </w:tr>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48" w:type="dxa"/>
            <w:gridSpan w:val="18"/>
            <w:tcBorders>
              <w:bottom w:val="single" w:sz="12" w:space="0" w:color="000000"/>
            </w:tcBorders>
            <w:tcMar>
              <w:bottom w:w="28" w:type="dxa"/>
            </w:tcMar>
            <w:vAlign w:val="center"/>
          </w:tcPr>
          <w:p>
            <w:pPr>
              <w:pStyle w:val="TableContents"/>
              <w:bidi w:val="0"/>
              <w:spacing w:before="0" w:after="283"/>
              <w:jc w:val="center"/>
              <w:rPr/>
            </w:pPr>
            <w:r>
              <w:rPr/>
              <w:t>As of March 31, 2023</w:t>
            </w:r>
          </w:p>
        </w:tc>
        <w:tc>
          <w:tcPr>
            <w:tcW w:w="75" w:type="dxa"/>
            <w:tcBorders/>
            <w:vAlign w:val="center"/>
          </w:tcPr>
          <w:p>
            <w:pPr>
              <w:pStyle w:val="TableContents"/>
              <w:bidi w:val="0"/>
              <w:spacing w:before="0" w:after="283"/>
              <w:jc w:val="center"/>
              <w:rPr/>
            </w:pPr>
            <w:r>
              <w:rPr/>
              <w:t> </w:t>
            </w:r>
          </w:p>
        </w:tc>
      </w:tr>
      <w:tr>
        <w:trPr/>
        <w:tc>
          <w:tcPr>
            <w:tcW w:w="4250"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w:t>
            </w:r>
            <w:bookmarkStart w:id="1257" w:name="xdx_989_ecustom--LiabilitiesCarryingValu"/>
            <w:bookmarkEnd w:id="1257"/>
          </w:p>
        </w:tc>
        <w:tc>
          <w:tcPr>
            <w:tcW w:w="1156" w:type="dxa"/>
            <w:tcBorders/>
            <w:shd w:fill="FFFFFF" w:val="clear"/>
            <w:vAlign w:val="center"/>
          </w:tcPr>
          <w:p>
            <w:pPr>
              <w:pStyle w:val="TableContents"/>
              <w:bidi w:val="0"/>
              <w:spacing w:before="0" w:after="283"/>
              <w:jc w:val="right"/>
              <w:rPr/>
            </w:pPr>
            <w:r>
              <w:rPr/>
              <w:t>4,021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bookmarkStart w:id="1258" w:name="xdx_98F_eus-gaap--SharesSubjectToMandato"/>
            <w:bookmarkEnd w:id="1258"/>
          </w:p>
        </w:tc>
        <w:tc>
          <w:tcPr>
            <w:tcW w:w="688" w:type="dxa"/>
            <w:tcBorders/>
            <w:shd w:fill="FFFFFF" w:val="clear"/>
            <w:vAlign w:val="center"/>
          </w:tcPr>
          <w:p>
            <w:pPr>
              <w:pStyle w:val="TableContents"/>
              <w:bidi w:val="0"/>
              <w:spacing w:before="0" w:after="283"/>
              <w:jc w:val="right"/>
              <w:rPr/>
            </w:pPr>
            <w:r>
              <w:rPr/>
              <w:t>4,021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bookmarkStart w:id="1259" w:name="xdx_98B_eus-gaap--SharesSubjectToMandato"/>
            <w:bookmarkEnd w:id="1259"/>
          </w:p>
        </w:tc>
        <w:tc>
          <w:tcPr>
            <w:tcW w:w="533"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bookmarkStart w:id="1260" w:name="xdx_98D_eus-gaap--SharesSubjectToMandato"/>
            <w:bookmarkEnd w:id="1260"/>
          </w:p>
        </w:tc>
        <w:tc>
          <w:tcPr>
            <w:tcW w:w="5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1261" w:name="xdx_989_eus-gaap--SharesSubjectToMandato"/>
            <w:bookmarkEnd w:id="1261"/>
          </w:p>
        </w:tc>
        <w:tc>
          <w:tcPr>
            <w:tcW w:w="604" w:type="dxa"/>
            <w:tcBorders/>
            <w:shd w:fill="FFFFFF" w:val="clear"/>
            <w:vAlign w:val="center"/>
          </w:tcPr>
          <w:p>
            <w:pPr>
              <w:pStyle w:val="TableContents"/>
              <w:bidi w:val="0"/>
              <w:spacing w:before="0" w:after="283"/>
              <w:jc w:val="right"/>
              <w:rPr/>
            </w:pPr>
            <w:r>
              <w:rPr/>
              <w:t>4,021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2" w:name="xdx_985_ecustom--LiabilitiesCarryingValu"/>
            <w:bookmarkEnd w:id="1262"/>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3" w:name="xdx_989_eus-gaap--SharesSubjectToMandato"/>
            <w:bookmarkEnd w:id="1263"/>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4" w:name="xdx_981_eus-gaap--SharesSubjectToMandato"/>
            <w:bookmarkEnd w:id="1264"/>
          </w:p>
        </w:tc>
        <w:tc>
          <w:tcPr>
            <w:tcW w:w="5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5" w:name="xdx_985_eus-gaap--SharesSubjectToMandato"/>
            <w:bookmarkEnd w:id="1265"/>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6" w:name="xdx_98E_eus-gaap--SharesSubjectToMandato"/>
            <w:bookmarkEnd w:id="1266"/>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67" w:name="xdx_981_ecustom--LiabilitiesCarryingValu"/>
            <w:bookmarkEnd w:id="1267"/>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68" w:name="xdx_983_eus-gaap--SharesSubjectToMandato"/>
            <w:bookmarkEnd w:id="1268"/>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69" w:name="xdx_98E_eus-gaap--SharesSubjectToMandato"/>
            <w:bookmarkEnd w:id="1269"/>
          </w:p>
        </w:tc>
        <w:tc>
          <w:tcPr>
            <w:tcW w:w="53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70" w:name="xdx_983_eus-gaap--SharesSubjectToMandato"/>
            <w:bookmarkEnd w:id="1270"/>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71" w:name="xdx_987_eus-gaap--SharesSubjectToMandato"/>
            <w:bookmarkEnd w:id="1271"/>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4,021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4"/>
        <w:gridCol w:w="60"/>
        <w:gridCol w:w="286"/>
        <w:gridCol w:w="1403"/>
        <w:gridCol w:w="60"/>
        <w:gridCol w:w="60"/>
        <w:gridCol w:w="174"/>
        <w:gridCol w:w="848"/>
        <w:gridCol w:w="60"/>
        <w:gridCol w:w="60"/>
        <w:gridCol w:w="231"/>
        <w:gridCol w:w="654"/>
        <w:gridCol w:w="60"/>
        <w:gridCol w:w="60"/>
        <w:gridCol w:w="177"/>
        <w:gridCol w:w="710"/>
        <w:gridCol w:w="60"/>
        <w:gridCol w:w="60"/>
        <w:gridCol w:w="150"/>
        <w:gridCol w:w="737"/>
        <w:gridCol w:w="81"/>
      </w:tblGrid>
      <w:tr>
        <w:trPr/>
        <w:tc>
          <w:tcPr>
            <w:tcW w:w="4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9" w:type="dxa"/>
            <w:gridSpan w:val="2"/>
            <w:tcBorders>
              <w:bottom w:val="single" w:sz="12" w:space="0" w:color="000000"/>
            </w:tcBorders>
            <w:tcMar>
              <w:bottom w:w="28" w:type="dxa"/>
            </w:tcMar>
            <w:vAlign w:val="center"/>
          </w:tcPr>
          <w:p>
            <w:pPr>
              <w:pStyle w:val="TableContents"/>
              <w:bidi w:val="0"/>
              <w:spacing w:before="0" w:after="283"/>
              <w:jc w:val="center"/>
              <w:rPr/>
            </w:pPr>
            <w:r>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81" w:type="dxa"/>
            <w:tcBorders/>
            <w:vAlign w:val="center"/>
          </w:tcPr>
          <w:p>
            <w:pPr>
              <w:pStyle w:val="TableContents"/>
              <w:bidi w:val="0"/>
              <w:spacing w:before="0" w:after="283"/>
              <w:jc w:val="center"/>
              <w:rPr/>
            </w:pPr>
            <w:r>
              <w:rPr/>
              <w:t> </w:t>
            </w:r>
          </w:p>
        </w:tc>
      </w:tr>
      <w:tr>
        <w:trPr/>
        <w:tc>
          <w:tcPr>
            <w:tcW w:w="4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50" w:type="dxa"/>
            <w:gridSpan w:val="18"/>
            <w:tcBorders>
              <w:bottom w:val="single" w:sz="12" w:space="0" w:color="000000"/>
            </w:tcBorders>
            <w:tcMar>
              <w:bottom w:w="28" w:type="dxa"/>
            </w:tcMar>
            <w:vAlign w:val="center"/>
          </w:tcPr>
          <w:p>
            <w:pPr>
              <w:pStyle w:val="TableContents"/>
              <w:bidi w:val="0"/>
              <w:spacing w:before="0" w:after="283"/>
              <w:jc w:val="center"/>
              <w:rPr/>
            </w:pPr>
            <w:r>
              <w:rPr/>
              <w:t>As of December 31, 2022</w:t>
            </w:r>
          </w:p>
        </w:tc>
        <w:tc>
          <w:tcPr>
            <w:tcW w:w="81" w:type="dxa"/>
            <w:tcBorders/>
            <w:vAlign w:val="center"/>
          </w:tcPr>
          <w:p>
            <w:pPr>
              <w:pStyle w:val="TableContents"/>
              <w:bidi w:val="0"/>
              <w:spacing w:before="0" w:after="283"/>
              <w:jc w:val="center"/>
              <w:rPr/>
            </w:pPr>
            <w:r>
              <w:rPr/>
              <w:t> </w:t>
            </w:r>
          </w:p>
        </w:tc>
      </w:tr>
      <w:tr>
        <w:trPr/>
        <w:tc>
          <w:tcPr>
            <w:tcW w:w="4214"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214"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w:t>
            </w:r>
            <w:bookmarkStart w:id="1272" w:name="xdx_98B_ecustom--LiabilitiesCarryingValu"/>
            <w:bookmarkEnd w:id="1272"/>
          </w:p>
        </w:tc>
        <w:tc>
          <w:tcPr>
            <w:tcW w:w="1403" w:type="dxa"/>
            <w:tcBorders/>
            <w:shd w:fill="FFFFFF" w:val="clear"/>
            <w:vAlign w:val="center"/>
          </w:tcPr>
          <w:p>
            <w:pPr>
              <w:pStyle w:val="TableContents"/>
              <w:bidi w:val="0"/>
              <w:spacing w:before="0" w:after="283"/>
              <w:jc w:val="right"/>
              <w:rPr/>
            </w:pPr>
            <w:r>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bookmarkStart w:id="1273" w:name="xdx_980_eus-gaap--SharesSubjectToMandato"/>
            <w:bookmarkEnd w:id="1273"/>
          </w:p>
        </w:tc>
        <w:tc>
          <w:tcPr>
            <w:tcW w:w="848" w:type="dxa"/>
            <w:tcBorders/>
            <w:shd w:fill="FFFFFF" w:val="clear"/>
            <w:vAlign w:val="center"/>
          </w:tcPr>
          <w:p>
            <w:pPr>
              <w:pStyle w:val="TableContents"/>
              <w:bidi w:val="0"/>
              <w:spacing w:before="0" w:after="283"/>
              <w:jc w:val="right"/>
              <w:rPr/>
            </w:pPr>
            <w:r>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bookmarkStart w:id="1274" w:name="xdx_98C_eus-gaap--SharesSubjectToMandato"/>
            <w:bookmarkEnd w:id="1274"/>
          </w:p>
        </w:tc>
        <w:tc>
          <w:tcPr>
            <w:tcW w:w="654"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1275" w:name="xdx_988_eus-gaap--SharesSubjectToMandato"/>
            <w:bookmarkEnd w:id="1275"/>
          </w:p>
        </w:tc>
        <w:tc>
          <w:tcPr>
            <w:tcW w:w="7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bookmarkStart w:id="1276" w:name="xdx_98E_eus-gaap--SharesSubjectToMandato"/>
            <w:bookmarkEnd w:id="1276"/>
          </w:p>
        </w:tc>
        <w:tc>
          <w:tcPr>
            <w:tcW w:w="737" w:type="dxa"/>
            <w:tcBorders/>
            <w:shd w:fill="FFFFFF" w:val="clear"/>
            <w:vAlign w:val="center"/>
          </w:tcPr>
          <w:p>
            <w:pPr>
              <w:pStyle w:val="TableContents"/>
              <w:bidi w:val="0"/>
              <w:spacing w:before="0" w:after="283"/>
              <w:jc w:val="right"/>
              <w:rPr/>
            </w:pPr>
            <w:r>
              <w:rPr/>
              <w:t>30,841</w:t>
            </w:r>
          </w:p>
        </w:tc>
        <w:tc>
          <w:tcPr>
            <w:tcW w:w="81" w:type="dxa"/>
            <w:tcBorders/>
            <w:shd w:fill="FFFFFF" w:val="clear"/>
            <w:vAlign w:val="center"/>
          </w:tcPr>
          <w:p>
            <w:pPr>
              <w:pStyle w:val="TableContents"/>
              <w:bidi w:val="0"/>
              <w:spacing w:before="0" w:after="283"/>
              <w:jc w:val="left"/>
              <w:rPr/>
            </w:pPr>
            <w:r>
              <w:rPr/>
              <w:t> </w:t>
            </w:r>
          </w:p>
        </w:tc>
      </w:tr>
      <w:tr>
        <w:trPr/>
        <w:tc>
          <w:tcPr>
            <w:tcW w:w="4214"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77" w:name="xdx_984_ecustom--LiabilitiesCarryingValu"/>
            <w:bookmarkEnd w:id="1277"/>
          </w:p>
        </w:tc>
        <w:tc>
          <w:tcPr>
            <w:tcW w:w="1403"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78" w:name="xdx_983_eus-gaap--SharesSubjectToMandato"/>
            <w:bookmarkEnd w:id="1278"/>
          </w:p>
        </w:tc>
        <w:tc>
          <w:tcPr>
            <w:tcW w:w="848"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79" w:name="xdx_980_eus-gaap--SharesSubjectToMandato"/>
            <w:bookmarkEnd w:id="1279"/>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80" w:name="xdx_98A_eus-gaap--SharesSubjectToMandato"/>
            <w:bookmarkEnd w:id="1280"/>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81" w:name="xdx_98F_eus-gaap--SharesSubjectToMandato"/>
            <w:bookmarkEnd w:id="1281"/>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4214"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2" w:name="xdx_980_ecustom--LiabilitiesCarryingValu"/>
            <w:bookmarkEnd w:id="1282"/>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pPr>
            <w:r>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3" w:name="xdx_985_eus-gaap--SharesSubjectToMandato"/>
            <w:bookmarkEnd w:id="1283"/>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pPr>
            <w:r>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4" w:name="xdx_98B_eus-gaap--SharesSubjectToMandato"/>
            <w:bookmarkEnd w:id="1284"/>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5" w:name="xdx_988_eus-gaap--SharesSubjectToMandato"/>
            <w:bookmarkEnd w:id="1285"/>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6" w:name="xdx_98F_eus-gaap--SharesSubjectToMandato"/>
            <w:bookmarkEnd w:id="1286"/>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pPr>
            <w:r>
              <w:rPr/>
              <w:t>30,841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87" w:name="xdx_8A2_zPcYMfJTPBPe"/>
      <w:bookmarkEnd w:id="128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March 31, 2023 and December 31, 2022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March 31, 2023 and December 31, 2022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288" w:name="xdx_807_eus-gaap--InventoryDisclosureTex"/>
      <w:bookmarkEnd w:id="1288"/>
      <w:r>
        <w:rPr>
          <w:rFonts w:ascii="Times New Roman;Times;Serif" w:hAnsi="Times New Roman;Times;Serif"/>
          <w:b/>
          <w:i w:val="false"/>
          <w:caps/>
          <w:sz w:val="20"/>
        </w:rPr>
        <w:t xml:space="preserve">NOTE 4 - </w:t>
      </w:r>
      <w:bookmarkStart w:id="1289" w:name="xdx_82C_z2gzs4rOYIW2"/>
      <w:bookmarkEnd w:id="1289"/>
      <w:r>
        <w:rPr>
          <w:rFonts w:ascii="Times New Roman;Times;Serif" w:hAnsi="Times New Roman;Times;Serif"/>
          <w:b/>
          <w:i w:val="false"/>
          <w:caps/>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90" w:name="xdx_899_eus-gaap--ScheduleOfInventoryCur"/>
      <w:bookmarkEnd w:id="1290"/>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91" w:name="xdx_8B1_zWEkuZAKALCa"/>
      <w:bookmarkEnd w:id="1291"/>
      <w:r>
        <w:rPr>
          <w:rFonts w:ascii="Times New Roman;Times;Serif" w:hAnsi="Times New Roman;Times;Serif"/>
          <w:b w:val="false"/>
          <w:i w:val="false"/>
          <w:caps w:val="false"/>
          <w:smallCaps w:val="false"/>
          <w:sz w:val="20"/>
        </w:rPr>
        <w:t>SCHEDULE OF INVENTORY </w:t>
      </w:r>
    </w:p>
    <w:tbl>
      <w:tblPr>
        <w:tblW w:w="5173" w:type="dxa"/>
        <w:jc w:val="left"/>
        <w:tblInd w:w="0" w:type="dxa"/>
        <w:tblLayout w:type="fixed"/>
        <w:tblCellMar>
          <w:top w:w="0" w:type="dxa"/>
          <w:left w:w="0" w:type="dxa"/>
          <w:bottom w:w="0" w:type="dxa"/>
          <w:right w:w="0" w:type="dxa"/>
        </w:tblCellMar>
      </w:tblPr>
      <w:tblGrid>
        <w:gridCol w:w="1490"/>
        <w:gridCol w:w="60"/>
        <w:gridCol w:w="262"/>
        <w:gridCol w:w="1272"/>
        <w:gridCol w:w="60"/>
        <w:gridCol w:w="60"/>
        <w:gridCol w:w="321"/>
        <w:gridCol w:w="15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2" w:name="xdx_491_20230331_zZonenmg2m6h"/>
            <w:bookmarkEnd w:id="1292"/>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3" w:name="xdx_496_20221231_zR1sdcuYZc8l"/>
            <w:bookmarkEnd w:id="1293"/>
          </w:p>
        </w:tc>
        <w:tc>
          <w:tcPr>
            <w:tcW w:w="1894"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75" w:type="dxa"/>
            <w:tcBorders/>
            <w:vAlign w:val="center"/>
          </w:tcPr>
          <w:p>
            <w:pPr>
              <w:pStyle w:val="TableContents"/>
              <w:bidi w:val="0"/>
              <w:spacing w:before="0" w:after="283"/>
              <w:jc w:val="left"/>
              <w:rPr/>
            </w:pPr>
            <w:r>
              <w:rPr/>
              <w:t> </w:t>
            </w:r>
            <w:bookmarkStart w:id="1294" w:name="xdx_404_eus-gaap--InventoryRawMaterials_"/>
            <w:bookmarkEnd w:id="1294"/>
          </w:p>
        </w:tc>
      </w:tr>
      <w:tr>
        <w:trPr/>
        <w:tc>
          <w:tcPr>
            <w:tcW w:w="1490" w:type="dxa"/>
            <w:tcBorders/>
            <w:shd w:fill="CCEEFF" w:val="clear"/>
            <w:vAlign w:val="center"/>
          </w:tcPr>
          <w:p>
            <w:pPr>
              <w:pStyle w:val="TableContents"/>
              <w:bidi w:val="0"/>
              <w:spacing w:before="0" w:after="283"/>
              <w:jc w:val="left"/>
              <w:rPr/>
            </w:pPr>
            <w:r>
              <w:rPr/>
              <w:t>Raw material</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44,310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42,586</w:t>
            </w:r>
          </w:p>
        </w:tc>
        <w:tc>
          <w:tcPr>
            <w:tcW w:w="75" w:type="dxa"/>
            <w:tcBorders/>
            <w:shd w:fill="CCEEFF" w:val="clear"/>
            <w:vAlign w:val="center"/>
          </w:tcPr>
          <w:p>
            <w:pPr>
              <w:pStyle w:val="TableContents"/>
              <w:bidi w:val="0"/>
              <w:spacing w:before="0" w:after="283"/>
              <w:jc w:val="left"/>
              <w:rPr/>
            </w:pPr>
            <w:r>
              <w:rPr/>
              <w:t> </w:t>
            </w:r>
            <w:bookmarkStart w:id="1295" w:name="xdx_401_eus-gaap--InventoryFinishedGoods"/>
            <w:bookmarkEnd w:id="1295"/>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7,502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12" w:space="0" w:color="000000"/>
            </w:tcBorders>
            <w:shd w:fill="FFFFFF" w:val="clear"/>
            <w:tcMar>
              <w:bottom w:w="28" w:type="dxa"/>
            </w:tcMar>
            <w:vAlign w:val="center"/>
          </w:tcPr>
          <w:p>
            <w:pPr>
              <w:pStyle w:val="TableContents"/>
              <w:bidi w:val="0"/>
              <w:spacing w:before="0" w:after="283"/>
              <w:jc w:val="right"/>
              <w:rPr/>
            </w:pPr>
            <w:r>
              <w:rPr/>
              <w:t>7,260</w:t>
            </w:r>
          </w:p>
        </w:tc>
        <w:tc>
          <w:tcPr>
            <w:tcW w:w="75" w:type="dxa"/>
            <w:tcBorders/>
            <w:shd w:fill="FFFFFF" w:val="clear"/>
            <w:vAlign w:val="center"/>
          </w:tcPr>
          <w:p>
            <w:pPr>
              <w:pStyle w:val="TableContents"/>
              <w:bidi w:val="0"/>
              <w:spacing w:before="0" w:after="283"/>
              <w:jc w:val="left"/>
              <w:rPr/>
            </w:pPr>
            <w:r>
              <w:rPr/>
              <w:t> </w:t>
            </w:r>
            <w:bookmarkStart w:id="1296" w:name="xdx_40B_eus-gaap--InventoryNet_iTI_pn3n3"/>
            <w:bookmarkEnd w:id="1296"/>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2" w:type="dxa"/>
            <w:tcBorders>
              <w:bottom w:val="double" w:sz="6" w:space="0" w:color="000000"/>
            </w:tcBorders>
            <w:shd w:fill="CCEEFF" w:val="clear"/>
            <w:tcMar>
              <w:bottom w:w="28" w:type="dxa"/>
            </w:tcMar>
            <w:vAlign w:val="center"/>
          </w:tcPr>
          <w:p>
            <w:pPr>
              <w:pStyle w:val="TableContents"/>
              <w:bidi w:val="0"/>
              <w:spacing w:before="0" w:after="283"/>
              <w:jc w:val="right"/>
              <w:rPr/>
            </w:pPr>
            <w:r>
              <w:rPr/>
              <w:t>51,812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49,846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297" w:name="xdx_8AC_zWbst8yh9dP"/>
      <w:bookmarkEnd w:id="1297"/>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bookmarkStart w:id="1298" w:name="xdx_808_eus-gaap--CommitmentsAndContinge"/>
      <w:bookmarkEnd w:id="1298"/>
      <w:r>
        <w:rPr>
          <w:rFonts w:ascii="Times New Roman;Times;Serif" w:hAnsi="Times New Roman;Times;Serif"/>
          <w:b/>
          <w:i w:val="false"/>
          <w:caps/>
          <w:sz w:val="20"/>
        </w:rPr>
        <w:t xml:space="preserve">NOTE 5 - </w:t>
      </w:r>
      <w:bookmarkStart w:id="1299" w:name="xdx_821_zLyamnpR4Nof"/>
      <w:bookmarkEnd w:id="1299"/>
      <w:r>
        <w:rPr>
          <w:rFonts w:ascii="Times New Roman;Times;Serif" w:hAnsi="Times New Roman;Times;Serif"/>
          <w:b/>
          <w:i w:val="false"/>
          <w:caps/>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and engineering office, all located in Reno, Nevada. The leases require annual escalating monthly payments ranging from $</w:t>
      </w:r>
      <w:bookmarkStart w:id="1300" w:name="xdx_90B_eus-gaap--OperatingLeasePayments"/>
      <w:bookmarkEnd w:id="1300"/>
      <w:r>
        <w:rPr>
          <w:rFonts w:ascii="Times New Roman;Times;Serif" w:hAnsi="Times New Roman;Times;Serif"/>
          <w:b w:val="false"/>
          <w:i w:val="false"/>
          <w:caps w:val="false"/>
          <w:smallCaps w:val="false"/>
          <w:sz w:val="20"/>
        </w:rPr>
        <w:t>111 to $</w:t>
      </w:r>
      <w:bookmarkStart w:id="1301" w:name="xdx_908_eus-gaap--OperatingLeasePayments"/>
      <w:bookmarkEnd w:id="1301"/>
      <w:r>
        <w:rPr>
          <w:rFonts w:ascii="Times New Roman;Times;Serif" w:hAnsi="Times New Roman;Times;Serif"/>
          <w:b w:val="false"/>
          <w:i w:val="false"/>
          <w:caps w:val="false"/>
          <w:smallCaps w:val="false"/>
          <w:sz w:val="20"/>
        </w:rPr>
        <w:t>128. On February 2, 2022, the Company entered into a 124-month lease agreement in Reno, Nevada. The lease calls for monthly base rent of $</w:t>
      </w:r>
      <w:bookmarkStart w:id="1302" w:name="xdx_906_ecustom--LesseeOperatingLeaseMon"/>
      <w:bookmarkEnd w:id="1302"/>
      <w:r>
        <w:rPr>
          <w:rFonts w:ascii="Times New Roman;Times;Serif" w:hAnsi="Times New Roman;Times;Serif"/>
          <w:b w:val="false"/>
          <w:i w:val="false"/>
          <w:caps w:val="false"/>
          <w:smallCaps w:val="false"/>
          <w:sz w:val="20"/>
        </w:rPr>
        <w:t>230, $</w:t>
      </w:r>
      <w:bookmarkStart w:id="1303" w:name="xdx_902_eus-gaap--OperatingLeaseCost_pn3"/>
      <w:bookmarkEnd w:id="1303"/>
      <w:r>
        <w:rPr>
          <w:rFonts w:ascii="Times New Roman;Times;Serif" w:hAnsi="Times New Roman;Times;Serif"/>
          <w:b w:val="false"/>
          <w:i w:val="false"/>
          <w:caps w:val="false"/>
          <w:smallCaps w:val="false"/>
          <w:sz w:val="20"/>
        </w:rPr>
        <w:t>23 of fixed operating expense costs, and estimated monthly property taxes of $</w:t>
      </w:r>
      <w:bookmarkStart w:id="1304" w:name="xdx_90A_ecustom--LesseeOperatingLeaseEst"/>
      <w:bookmarkEnd w:id="1304"/>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1305" w:name="xdx_90B_ecustom--LesseeOperatingLeasePer"/>
      <w:bookmarkEnd w:id="1305"/>
      <w:r>
        <w:rPr>
          <w:rFonts w:ascii="Times New Roman;Times;Serif" w:hAnsi="Times New Roman;Times;Serif"/>
          <w:b w:val="false"/>
          <w:i w:val="false"/>
          <w:caps w:val="false"/>
          <w:smallCaps w:val="false"/>
          <w:sz w:val="20"/>
        </w:rPr>
        <w:t xml:space="preserve">3% and </w:t>
      </w:r>
      <w:bookmarkStart w:id="1306" w:name="xdx_904_ecustom--LesseeOperatingLeasePer"/>
      <w:bookmarkEnd w:id="1306"/>
      <w:r>
        <w:rPr>
          <w:rFonts w:ascii="Times New Roman;Times;Serif" w:hAnsi="Times New Roman;Times;Serif"/>
          <w:b w:val="false"/>
          <w:i w:val="false"/>
          <w:caps w:val="false"/>
          <w:smallCaps w:val="false"/>
          <w:sz w:val="20"/>
        </w:rPr>
        <w:t xml:space="preserve">2.4%, respectively, on an annual basis. The first payment is due upon substantial completion of construction of the building which is expected to be within </w:t>
      </w:r>
      <w:bookmarkStart w:id="1307" w:name="xdx_903_ecustom--LesseeOperatingLeaseTer"/>
      <w:bookmarkEnd w:id="1307"/>
      <w:r>
        <w:rPr>
          <w:rFonts w:ascii="Times New Roman;Times;Serif" w:hAnsi="Times New Roman;Times;Serif"/>
          <w:b w:val="false"/>
          <w:i w:val="false"/>
          <w:caps w:val="false"/>
          <w:smallCaps w:val="false"/>
          <w:sz w:val="20"/>
        </w:rPr>
        <w:t>2 years from the effective date. As of March 31, 2023, the lease has not commenced as the Company does not have control over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08" w:name="xdx_89F_ecustom--DisclosureForBreakoutOf"/>
      <w:bookmarkEnd w:id="1308"/>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09" w:name="xdx_8B8_zUIzlC1yoRo5"/>
      <w:bookmarkEnd w:id="1309"/>
      <w:r>
        <w:rPr>
          <w:rFonts w:ascii="Times New Roman;Times;Serif" w:hAnsi="Times New Roman;Times;Serif"/>
          <w:b w:val="false"/>
          <w:i w:val="false"/>
          <w:caps w:val="false"/>
          <w:smallCaps w:val="false"/>
          <w:sz w:val="20"/>
        </w:rPr>
        <w:t>SCHEDULE OF TABLE REPRESENTING THE BREAKOUT OF THE OPERATING LEASES </w:t>
      </w:r>
    </w:p>
    <w:tbl>
      <w:tblPr>
        <w:tblW w:w="7883" w:type="dxa"/>
        <w:jc w:val="left"/>
        <w:tblInd w:w="0" w:type="dxa"/>
        <w:tblLayout w:type="fixed"/>
        <w:tblCellMar>
          <w:top w:w="0" w:type="dxa"/>
          <w:left w:w="0" w:type="dxa"/>
          <w:bottom w:w="0" w:type="dxa"/>
          <w:right w:w="0" w:type="dxa"/>
        </w:tblCellMar>
      </w:tblPr>
      <w:tblGrid>
        <w:gridCol w:w="3755"/>
        <w:gridCol w:w="60"/>
        <w:gridCol w:w="256"/>
        <w:gridCol w:w="1353"/>
        <w:gridCol w:w="215"/>
        <w:gridCol w:w="60"/>
        <w:gridCol w:w="309"/>
        <w:gridCol w:w="1645"/>
        <w:gridCol w:w="23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0" w:name="xdx_49F_20230331_zACeMGMctnNc"/>
            <w:bookmarkEnd w:id="1310"/>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1" w:name="xdx_495_20221231_zANCg23cSCge"/>
            <w:bookmarkEnd w:id="1311"/>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230" w:type="dxa"/>
            <w:tcBorders/>
            <w:vAlign w:val="center"/>
          </w:tcPr>
          <w:p>
            <w:pPr>
              <w:pStyle w:val="TableContents"/>
              <w:bidi w:val="0"/>
              <w:spacing w:before="0" w:after="283"/>
              <w:jc w:val="left"/>
              <w:rPr/>
            </w:pPr>
            <w:r>
              <w:rPr/>
              <w:t> </w:t>
            </w:r>
            <w:bookmarkStart w:id="1312" w:name="xdx_40E_eus-gaap--OperatingLeaseRightOfU"/>
            <w:bookmarkEnd w:id="1312"/>
          </w:p>
        </w:tc>
      </w:tr>
      <w:tr>
        <w:trPr/>
        <w:tc>
          <w:tcPr>
            <w:tcW w:w="375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4,205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4,513</w:t>
            </w:r>
          </w:p>
        </w:tc>
        <w:tc>
          <w:tcPr>
            <w:tcW w:w="230" w:type="dxa"/>
            <w:tcBorders/>
            <w:shd w:fill="CCEEFF" w:val="clear"/>
            <w:vAlign w:val="center"/>
          </w:tcPr>
          <w:p>
            <w:pPr>
              <w:pStyle w:val="TableContents"/>
              <w:bidi w:val="0"/>
              <w:spacing w:before="0" w:after="283"/>
              <w:jc w:val="left"/>
              <w:rPr/>
            </w:pPr>
            <w:r>
              <w:rPr/>
              <w:t> </w:t>
            </w:r>
            <w:bookmarkStart w:id="1313" w:name="xdx_402_eus-gaap--OperatingLeaseLiabilit"/>
            <w:bookmarkEnd w:id="1313"/>
          </w:p>
        </w:tc>
      </w:tr>
      <w:tr>
        <w:trPr/>
        <w:tc>
          <w:tcPr>
            <w:tcW w:w="3755"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1,215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1,188</w:t>
            </w:r>
          </w:p>
        </w:tc>
        <w:tc>
          <w:tcPr>
            <w:tcW w:w="230" w:type="dxa"/>
            <w:tcBorders/>
            <w:shd w:fill="FFFFFF" w:val="clear"/>
            <w:vAlign w:val="center"/>
          </w:tcPr>
          <w:p>
            <w:pPr>
              <w:pStyle w:val="TableContents"/>
              <w:bidi w:val="0"/>
              <w:spacing w:before="0" w:after="283"/>
              <w:jc w:val="left"/>
              <w:rPr/>
            </w:pPr>
            <w:r>
              <w:rPr/>
              <w:t> </w:t>
            </w:r>
            <w:bookmarkStart w:id="1314" w:name="xdx_401_eus-gaap--OperatingLeaseLiabilit"/>
            <w:bookmarkEnd w:id="1314"/>
          </w:p>
        </w:tc>
      </w:tr>
      <w:tr>
        <w:trPr/>
        <w:tc>
          <w:tcPr>
            <w:tcW w:w="3755"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230" w:type="dxa"/>
            <w:tcBorders/>
            <w:shd w:fill="CCEEFF" w:val="clear"/>
            <w:vAlign w:val="center"/>
          </w:tcPr>
          <w:p>
            <w:pPr>
              <w:pStyle w:val="TableContents"/>
              <w:bidi w:val="0"/>
              <w:spacing w:before="0" w:after="283"/>
              <w:jc w:val="left"/>
              <w:rPr/>
            </w:pPr>
            <w:r>
              <w:rPr/>
              <w:t> </w:t>
            </w:r>
            <w:bookmarkStart w:id="1315" w:name="xdx_409_eus-gaap--OperatingLeaseLiabilit"/>
            <w:bookmarkEnd w:id="1315"/>
          </w:p>
        </w:tc>
      </w:tr>
      <w:tr>
        <w:trPr/>
        <w:tc>
          <w:tcPr>
            <w:tcW w:w="37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4,424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5" w:type="dxa"/>
            <w:tcBorders>
              <w:bottom w:val="double" w:sz="6" w:space="0" w:color="000000"/>
            </w:tcBorders>
            <w:shd w:fill="FFFFFF" w:val="clear"/>
            <w:tcMar>
              <w:bottom w:w="28" w:type="dxa"/>
            </w:tcMar>
            <w:vAlign w:val="center"/>
          </w:tcPr>
          <w:p>
            <w:pPr>
              <w:pStyle w:val="TableContents"/>
              <w:bidi w:val="0"/>
              <w:spacing w:before="0" w:after="283"/>
              <w:jc w:val="right"/>
              <w:rPr/>
            </w:pPr>
            <w:r>
              <w:rPr/>
              <w:t>4,729</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Times;Serif" w:hAnsi="Times New Roman;Times;Serif"/>
                <w:sz w:val="20"/>
              </w:rPr>
            </w:pPr>
            <w:bookmarkStart w:id="1316" w:name="xdx_905_eus-gaap--OperatingLeaseWeighted"/>
            <w:bookmarkEnd w:id="1316"/>
            <w:r>
              <w:rPr>
                <w:rFonts w:ascii="Times New Roman;Times;Serif" w:hAnsi="Times New Roman;Times;Serif"/>
                <w:sz w:val="20"/>
              </w:rPr>
              <w:t>3.4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rFonts w:ascii="Times New Roman;Times;Serif" w:hAnsi="Times New Roman;Times;Serif"/>
                <w:sz w:val="20"/>
              </w:rPr>
            </w:pPr>
            <w:bookmarkStart w:id="1317" w:name="xdx_901_eus-gaap--OperatingLeaseWeighted"/>
            <w:bookmarkEnd w:id="1317"/>
            <w:r>
              <w:rPr>
                <w:rFonts w:ascii="Times New Roman;Times;Serif" w:hAnsi="Times New Roman;Times;Serif"/>
                <w:sz w:val="20"/>
              </w:rPr>
              <w:t>3.6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bookmarkStart w:id="1318" w:name="xdx_90A_eus-gaap--OperatingLeaseWeighted"/>
            <w:bookmarkEnd w:id="1318"/>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bookmarkStart w:id="1319" w:name="xdx_90C_eus-gaap--OperatingLeaseWeighted"/>
            <w:bookmarkEnd w:id="1319"/>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320" w:name="xdx_8A2_zzxgsMsbJA4l"/>
      <w:bookmarkEnd w:id="1320"/>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 (Continued)</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21" w:name="xdx_895_eus-gaap--LesseeOperatingLeaseLi"/>
      <w:bookmarkEnd w:id="1321"/>
      <w:r>
        <w:rPr>
          <w:rFonts w:ascii="Times New Roman;Times;Serif" w:hAnsi="Times New Roman;Times;Serif"/>
          <w:b w:val="false"/>
          <w:i w:val="false"/>
          <w:caps w:val="false"/>
          <w:smallCaps w:val="false"/>
          <w:sz w:val="20"/>
        </w:rPr>
        <w:t>At March 31, 2023, the future minimum lease payments under these operating leases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22" w:name="xdx_8BE_zc5dI0pA5wi8"/>
      <w:bookmarkEnd w:id="1322"/>
      <w:r>
        <w:rPr>
          <w:rFonts w:ascii="Times New Roman;Times;Serif" w:hAnsi="Times New Roman;Times;Serif"/>
          <w:b w:val="false"/>
          <w:i w:val="false"/>
          <w:caps w:val="false"/>
          <w:smallCaps w:val="false"/>
          <w:sz w:val="20"/>
        </w:rPr>
        <w:t>SCHEDULE OF THE FUTURE MINIMUM LEASE PAYMENTS UNDER THE OPERATING LEASES </w:t>
      </w:r>
    </w:p>
    <w:tbl>
      <w:tblPr>
        <w:tblW w:w="3895" w:type="dxa"/>
        <w:jc w:val="left"/>
        <w:tblInd w:w="0" w:type="dxa"/>
        <w:tblLayout w:type="fixed"/>
        <w:tblCellMar>
          <w:top w:w="0" w:type="dxa"/>
          <w:left w:w="0" w:type="dxa"/>
          <w:bottom w:w="0" w:type="dxa"/>
          <w:right w:w="0" w:type="dxa"/>
        </w:tblCellMar>
      </w:tblPr>
      <w:tblGrid>
        <w:gridCol w:w="2900"/>
        <w:gridCol w:w="60"/>
        <w:gridCol w:w="172"/>
        <w:gridCol w:w="688"/>
        <w:gridCol w:w="75"/>
      </w:tblGrid>
      <w:tr>
        <w:trPr/>
        <w:tc>
          <w:tcPr>
            <w:tcW w:w="2900" w:type="dxa"/>
            <w:tcBorders/>
            <w:vAlign w:val="center"/>
          </w:tcPr>
          <w:p>
            <w:pPr>
              <w:pStyle w:val="TableContents"/>
              <w:bidi w:val="0"/>
              <w:spacing w:before="0" w:after="283"/>
              <w:jc w:val="left"/>
              <w:rPr>
                <w:b/>
              </w:rPr>
            </w:pPr>
            <w:r>
              <w:rPr>
                <w:b/>
              </w:rPr>
              <w:t>Fiscal Years Ending</w:t>
            </w:r>
          </w:p>
        </w:tc>
        <w:tc>
          <w:tcPr>
            <w:tcW w:w="60" w:type="dxa"/>
            <w:tcBorders/>
            <w:vAlign w:val="center"/>
          </w:tcPr>
          <w:p>
            <w:pPr>
              <w:pStyle w:val="TableContents"/>
              <w:bidi w:val="0"/>
              <w:spacing w:before="0" w:after="283"/>
              <w:jc w:val="left"/>
              <w:rPr/>
            </w:pPr>
            <w:r>
              <w:rPr/>
              <w:t> </w:t>
            </w:r>
            <w:bookmarkStart w:id="1323" w:name="xdx_497_20230331_z8HxzJVxLVB"/>
            <w:bookmarkEnd w:id="1323"/>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1324" w:name="xdx_406_eus-gaap--LesseeOperatingLeaseLi"/>
            <w:bookmarkEnd w:id="1324"/>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December 31, 2023 </w:t>
            </w:r>
            <w:bookmarkStart w:id="1325" w:name="xdx_F43_zLubQUkxsXg"/>
            <w:bookmarkEnd w:id="1325"/>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1,054</w:t>
            </w:r>
          </w:p>
        </w:tc>
        <w:tc>
          <w:tcPr>
            <w:tcW w:w="75" w:type="dxa"/>
            <w:tcBorders/>
            <w:shd w:fill="CCEEFF" w:val="clear"/>
            <w:vAlign w:val="center"/>
          </w:tcPr>
          <w:p>
            <w:pPr>
              <w:pStyle w:val="TableContents"/>
              <w:bidi w:val="0"/>
              <w:spacing w:before="0" w:after="283"/>
              <w:jc w:val="left"/>
              <w:rPr/>
            </w:pPr>
            <w:r>
              <w:rPr/>
              <w:t> </w:t>
            </w:r>
            <w:bookmarkStart w:id="1326" w:name="xdx_402_eus-gaap--LesseeOperatingLeaseLi"/>
            <w:bookmarkEnd w:id="1326"/>
          </w:p>
        </w:tc>
      </w:tr>
      <w:tr>
        <w:trPr/>
        <w:tc>
          <w:tcPr>
            <w:tcW w:w="2900" w:type="dxa"/>
            <w:tcBorders/>
            <w:shd w:fill="FFFFFF" w:val="clear"/>
            <w:vAlign w:val="center"/>
          </w:tcPr>
          <w:p>
            <w:pPr>
              <w:pStyle w:val="TableContents"/>
              <w:bidi w:val="0"/>
              <w:spacing w:before="0" w:after="283"/>
              <w:jc w:val="left"/>
              <w:rPr/>
            </w:pPr>
            <w:r>
              <w:rPr/>
              <w:t>December 31, 2024</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1,435</w:t>
            </w:r>
          </w:p>
        </w:tc>
        <w:tc>
          <w:tcPr>
            <w:tcW w:w="75" w:type="dxa"/>
            <w:tcBorders/>
            <w:shd w:fill="FFFFFF" w:val="clear"/>
            <w:vAlign w:val="center"/>
          </w:tcPr>
          <w:p>
            <w:pPr>
              <w:pStyle w:val="TableContents"/>
              <w:bidi w:val="0"/>
              <w:spacing w:before="0" w:after="283"/>
              <w:jc w:val="left"/>
              <w:rPr/>
            </w:pPr>
            <w:r>
              <w:rPr/>
              <w:t> </w:t>
            </w:r>
            <w:bookmarkStart w:id="1327" w:name="xdx_403_eus-gaap--LesseeOperatingLeaseLi"/>
            <w:bookmarkEnd w:id="1327"/>
          </w:p>
        </w:tc>
      </w:tr>
      <w:tr>
        <w:trPr/>
        <w:tc>
          <w:tcPr>
            <w:tcW w:w="290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bookmarkStart w:id="1328" w:name="xdx_402_eus-gaap--LesseeOperatingLeaseLi"/>
            <w:bookmarkEnd w:id="1328"/>
          </w:p>
        </w:tc>
      </w:tr>
      <w:tr>
        <w:trPr/>
        <w:tc>
          <w:tcPr>
            <w:tcW w:w="2900" w:type="dxa"/>
            <w:tcBorders/>
            <w:shd w:fill="FFFFFF" w:val="clear"/>
            <w:vAlign w:val="center"/>
          </w:tcPr>
          <w:p>
            <w:pPr>
              <w:pStyle w:val="TableContents"/>
              <w:bidi w:val="0"/>
              <w:spacing w:before="0" w:after="283"/>
              <w:jc w:val="left"/>
              <w:rPr/>
            </w:pPr>
            <w:r>
              <w:rPr/>
              <w:t>December 31, 2026</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893</w:t>
            </w:r>
          </w:p>
        </w:tc>
        <w:tc>
          <w:tcPr>
            <w:tcW w:w="75" w:type="dxa"/>
            <w:tcBorders/>
            <w:shd w:fill="FFFFFF" w:val="clear"/>
            <w:vAlign w:val="center"/>
          </w:tcPr>
          <w:p>
            <w:pPr>
              <w:pStyle w:val="TableContents"/>
              <w:bidi w:val="0"/>
              <w:spacing w:before="0" w:after="283"/>
              <w:jc w:val="left"/>
              <w:rPr/>
            </w:pPr>
            <w:r>
              <w:rPr/>
              <w:t> </w:t>
            </w:r>
            <w:bookmarkStart w:id="1329" w:name="xdx_408_eus-gaap--LesseeOperatingLeaseLi"/>
            <w:bookmarkEnd w:id="1329"/>
          </w:p>
        </w:tc>
      </w:tr>
      <w:tr>
        <w:trPr/>
        <w:tc>
          <w:tcPr>
            <w:tcW w:w="2900"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4,817</w:t>
            </w:r>
          </w:p>
        </w:tc>
        <w:tc>
          <w:tcPr>
            <w:tcW w:w="75" w:type="dxa"/>
            <w:tcBorders/>
            <w:shd w:fill="CCEEFF" w:val="clear"/>
            <w:vAlign w:val="center"/>
          </w:tcPr>
          <w:p>
            <w:pPr>
              <w:pStyle w:val="TableContents"/>
              <w:bidi w:val="0"/>
              <w:spacing w:before="0" w:after="283"/>
              <w:jc w:val="left"/>
              <w:rPr/>
            </w:pPr>
            <w:r>
              <w:rPr/>
              <w:t> </w:t>
            </w:r>
            <w:bookmarkStart w:id="1330" w:name="xdx_40E_eus-gaap--LesseeOperatingLeaseLi"/>
            <w:bookmarkEnd w:id="1330"/>
          </w:p>
        </w:tc>
      </w:tr>
      <w:tr>
        <w:trPr/>
        <w:tc>
          <w:tcPr>
            <w:tcW w:w="290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393</w:t>
            </w:r>
          </w:p>
        </w:tc>
        <w:tc>
          <w:tcPr>
            <w:tcW w:w="75" w:type="dxa"/>
            <w:tcBorders/>
            <w:shd w:fill="FFFFFF" w:val="clear"/>
            <w:vAlign w:val="center"/>
          </w:tcPr>
          <w:p>
            <w:pPr>
              <w:pStyle w:val="TableContents"/>
              <w:bidi w:val="0"/>
              <w:spacing w:before="0" w:after="283"/>
              <w:jc w:val="left"/>
              <w:rPr/>
            </w:pPr>
            <w:r>
              <w:rPr/>
              <w:t> </w:t>
            </w:r>
            <w:bookmarkStart w:id="1331" w:name="xdx_40A_eus-gaap--OperatingLeaseLiabilit"/>
            <w:bookmarkEnd w:id="1331"/>
          </w:p>
        </w:tc>
      </w:tr>
      <w:tr>
        <w:trPr/>
        <w:tc>
          <w:tcPr>
            <w:tcW w:w="2900"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4,424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245"/>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32" w:name="xdx_F0E_zpHGWEZY1tpj"/>
            <w:bookmarkEnd w:id="1332"/>
            <w:r>
              <w:rPr>
                <w:rFonts w:ascii="Times New Roman;Times;Serif" w:hAnsi="Times New Roman;Times;Serif"/>
                <w:b w:val="false"/>
                <w:i w:val="false"/>
                <w:caps w:val="false"/>
                <w:smallCaps w:val="false"/>
                <w:sz w:val="20"/>
              </w:rPr>
              <w:t>(1)</w:t>
            </w:r>
          </w:p>
        </w:tc>
        <w:tc>
          <w:tcPr>
            <w:tcW w:w="7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33" w:name="xdx_F13_zEj5NSdn3Xrb"/>
            <w:bookmarkEnd w:id="1333"/>
            <w:r>
              <w:rPr>
                <w:rFonts w:ascii="Times New Roman;Times;Serif" w:hAnsi="Times New Roman;Times;Serif"/>
                <w:b w:val="false"/>
                <w:i w:val="false"/>
                <w:caps w:val="false"/>
                <w:smallCaps w:val="false"/>
                <w:sz w:val="20"/>
              </w:rPr>
              <w:t>Represents scheduled payments for the remaining nine-month period ending December 31, 2023.</w:t>
            </w:r>
          </w:p>
        </w:tc>
      </w:tr>
    </w:tbl>
    <w:p>
      <w:pPr>
        <w:pStyle w:val="TextBody"/>
        <w:bidi w:val="0"/>
        <w:spacing w:before="0" w:after="0"/>
        <w:ind w:left="0" w:right="0" w:hanging="0"/>
        <w:jc w:val="left"/>
        <w:rPr>
          <w:caps w:val="false"/>
          <w:smallCaps w:val="false"/>
        </w:rPr>
      </w:pPr>
      <w:bookmarkStart w:id="1334" w:name="xdx_8A4_zfFYfAITIaFe"/>
      <w:bookmarkEnd w:id="1334"/>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35" w:name="xdx_8B1_zg9bHaXMkWxc"/>
      <w:bookmarkStart w:id="1336" w:name="xdx_894_eus-gaap--LeaseCostTableTextBloc"/>
      <w:bookmarkEnd w:id="1335"/>
      <w:bookmarkEnd w:id="1336"/>
      <w:r>
        <w:rPr>
          <w:rFonts w:ascii="Times New Roman;Times;Serif" w:hAnsi="Times New Roman;Times;Serif"/>
          <w:b w:val="false"/>
          <w:i w:val="false"/>
          <w:caps w:val="false"/>
          <w:smallCaps w:val="false"/>
          <w:sz w:val="20"/>
        </w:rPr>
        <w:t>SCHEDULE OF LEASE COST </w:t>
      </w:r>
    </w:p>
    <w:tbl>
      <w:tblPr>
        <w:tblW w:w="8043" w:type="dxa"/>
        <w:jc w:val="left"/>
        <w:tblInd w:w="0" w:type="dxa"/>
        <w:tblLayout w:type="fixed"/>
        <w:tblCellMar>
          <w:top w:w="0" w:type="dxa"/>
          <w:left w:w="0" w:type="dxa"/>
          <w:bottom w:w="28" w:type="dxa"/>
          <w:right w:w="0" w:type="dxa"/>
        </w:tblCellMar>
      </w:tblPr>
      <w:tblGrid>
        <w:gridCol w:w="1940"/>
        <w:gridCol w:w="60"/>
        <w:gridCol w:w="2570"/>
        <w:gridCol w:w="60"/>
        <w:gridCol w:w="433"/>
        <w:gridCol w:w="1176"/>
        <w:gridCol w:w="60"/>
        <w:gridCol w:w="60"/>
        <w:gridCol w:w="433"/>
        <w:gridCol w:w="1176"/>
        <w:gridCol w:w="75"/>
      </w:tblGrid>
      <w:tr>
        <w:trPr/>
        <w:tc>
          <w:tcPr>
            <w:tcW w:w="194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cost</w:t>
            </w:r>
          </w:p>
        </w:tc>
        <w:tc>
          <w:tcPr>
            <w:tcW w:w="60" w:type="dxa"/>
            <w:tcBorders/>
            <w:tcMar>
              <w:bottom w:w="0" w:type="dxa"/>
            </w:tcMar>
            <w:vAlign w:val="center"/>
          </w:tcPr>
          <w:p>
            <w:pPr>
              <w:pStyle w:val="TableContents"/>
              <w:bidi w:val="0"/>
              <w:spacing w:before="0" w:after="283"/>
              <w:jc w:val="center"/>
              <w:rPr/>
            </w:pPr>
            <w:r>
              <w:rPr/>
              <w:t> </w:t>
            </w:r>
          </w:p>
        </w:tc>
        <w:tc>
          <w:tcPr>
            <w:tcW w:w="257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w:t>
            </w:r>
          </w:p>
        </w:tc>
        <w:tc>
          <w:tcPr>
            <w:tcW w:w="60" w:type="dxa"/>
            <w:tcBorders/>
            <w:tcMar>
              <w:bottom w:w="0"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March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March 31, 2022</w:t>
            </w:r>
          </w:p>
        </w:tc>
        <w:tc>
          <w:tcPr>
            <w:tcW w:w="75" w:type="dxa"/>
            <w:tcBorders/>
            <w:tcMar>
              <w:bottom w:w="0" w:type="dxa"/>
            </w:tcMar>
            <w:vAlign w:val="center"/>
          </w:tcPr>
          <w:p>
            <w:pPr>
              <w:pStyle w:val="TableContents"/>
              <w:bidi w:val="0"/>
              <w:spacing w:before="0" w:after="283"/>
              <w:jc w:val="center"/>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w:t>
            </w:r>
            <w:bookmarkStart w:id="1337" w:name="xdx_98B_eus-gaap--OperatingLeaseCost_pn3"/>
            <w:bookmarkEnd w:id="1337"/>
          </w:p>
        </w:tc>
        <w:tc>
          <w:tcPr>
            <w:tcW w:w="1176" w:type="dxa"/>
            <w:tcBorders/>
            <w:shd w:fill="CCEEFF" w:val="clear"/>
            <w:tcMar>
              <w:bottom w:w="0" w:type="dxa"/>
            </w:tcMar>
            <w:vAlign w:val="center"/>
          </w:tcPr>
          <w:p>
            <w:pPr>
              <w:pStyle w:val="TableContents"/>
              <w:bidi w:val="0"/>
              <w:spacing w:before="0" w:after="283"/>
              <w:jc w:val="right"/>
              <w:rPr/>
            </w:pPr>
            <w:r>
              <w:rPr/>
              <w:t>347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w:t>
            </w:r>
            <w:bookmarkStart w:id="1338" w:name="xdx_98C_eus-gaap--OperatingLeaseCost_pn3"/>
            <w:bookmarkEnd w:id="1338"/>
          </w:p>
        </w:tc>
        <w:tc>
          <w:tcPr>
            <w:tcW w:w="1176" w:type="dxa"/>
            <w:tcBorders/>
            <w:shd w:fill="CCEEFF" w:val="clear"/>
            <w:tcMar>
              <w:bottom w:w="0" w:type="dxa"/>
            </w:tcMar>
            <w:vAlign w:val="center"/>
          </w:tcPr>
          <w:p>
            <w:pPr>
              <w:pStyle w:val="TableContents"/>
              <w:bidi w:val="0"/>
              <w:spacing w:before="0" w:after="283"/>
              <w:jc w:val="right"/>
              <w:rPr/>
            </w:pPr>
            <w:r>
              <w:rPr/>
              <w:t>172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shd w:fill="FFFFFF" w:val="clear"/>
            <w:tcMar>
              <w:bottom w:w="0" w:type="dxa"/>
            </w:tcMar>
            <w:vAlign w:val="center"/>
          </w:tcPr>
          <w:p>
            <w:pPr>
              <w:pStyle w:val="TableContents"/>
              <w:bidi w:val="0"/>
              <w:spacing w:before="0" w:after="283"/>
              <w:jc w:val="left"/>
              <w:rPr/>
            </w:pPr>
            <w:r>
              <w:rPr/>
              <w:t> </w:t>
            </w:r>
            <w:bookmarkStart w:id="1339" w:name="xdx_988_eus-gaap--OperatingLeaseCost_pn3"/>
            <w:bookmarkEnd w:id="1339"/>
          </w:p>
        </w:tc>
        <w:tc>
          <w:tcPr>
            <w:tcW w:w="1176" w:type="dxa"/>
            <w:tcBorders/>
            <w:shd w:fill="FFFFFF" w:val="clear"/>
            <w:tcMar>
              <w:bottom w:w="0" w:type="dxa"/>
            </w:tcMar>
            <w:vAlign w:val="center"/>
          </w:tcPr>
          <w:p>
            <w:pPr>
              <w:pStyle w:val="TableContents"/>
              <w:bidi w:val="0"/>
              <w:spacing w:before="0" w:after="283"/>
              <w:jc w:val="righ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shd w:fill="FFFFFF" w:val="clear"/>
            <w:tcMar>
              <w:bottom w:w="0" w:type="dxa"/>
            </w:tcMar>
            <w:vAlign w:val="center"/>
          </w:tcPr>
          <w:p>
            <w:pPr>
              <w:pStyle w:val="TableContents"/>
              <w:bidi w:val="0"/>
              <w:spacing w:before="0" w:after="283"/>
              <w:jc w:val="left"/>
              <w:rPr/>
            </w:pPr>
            <w:r>
              <w:rPr/>
              <w:t> </w:t>
            </w:r>
            <w:bookmarkStart w:id="1340" w:name="xdx_985_eus-gaap--OperatingLeaseCost_pn3"/>
            <w:bookmarkEnd w:id="1340"/>
          </w:p>
        </w:tc>
        <w:tc>
          <w:tcPr>
            <w:tcW w:w="1176" w:type="dxa"/>
            <w:tcBorders/>
            <w:shd w:fill="FFFFFF" w:val="clear"/>
            <w:tcMar>
              <w:bottom w:w="0" w:type="dxa"/>
            </w:tcMar>
            <w:vAlign w:val="center"/>
          </w:tcPr>
          <w:p>
            <w:pPr>
              <w:pStyle w:val="TableContents"/>
              <w:bidi w:val="0"/>
              <w:spacing w:before="0" w:after="283"/>
              <w:jc w:val="right"/>
              <w:rPr/>
            </w:pPr>
            <w:r>
              <w:rPr/>
              <w:t>19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General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bookmarkStart w:id="1341" w:name="xdx_982_eus-gaap--OperatingLeaseCost_pn3"/>
            <w:bookmarkEnd w:id="1341"/>
          </w:p>
        </w:tc>
        <w:tc>
          <w:tcPr>
            <w:tcW w:w="1176"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bookmarkStart w:id="1342" w:name="xdx_980_eus-gaap--OperatingLeaseCost_pn3"/>
            <w:bookmarkEnd w:id="1342"/>
          </w:p>
        </w:tc>
        <w:tc>
          <w:tcPr>
            <w:tcW w:w="1176"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pPr>
            <w:r>
              <w:rPr/>
              <w:t>Selling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vAlign w:val="center"/>
          </w:tcPr>
          <w:p>
            <w:pPr>
              <w:pStyle w:val="TableContents"/>
              <w:bidi w:val="0"/>
              <w:spacing w:before="0" w:after="283"/>
              <w:jc w:val="left"/>
              <w:rPr/>
            </w:pPr>
            <w:r>
              <w:rPr/>
              <w:t> </w:t>
            </w:r>
            <w:bookmarkStart w:id="1343" w:name="xdx_981_eus-gaap--OperatingLeaseCost_pn3"/>
            <w:bookmarkEnd w:id="1343"/>
          </w:p>
        </w:tc>
        <w:tc>
          <w:tcPr>
            <w:tcW w:w="1176" w:type="dxa"/>
            <w:tcBorders>
              <w:bottom w:val="double" w:sz="6" w:space="0" w:color="000000"/>
            </w:tcBorders>
            <w:shd w:fill="FFFFFF" w:val="cle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vAlign w:val="center"/>
          </w:tcPr>
          <w:p>
            <w:pPr>
              <w:pStyle w:val="TableContents"/>
              <w:bidi w:val="0"/>
              <w:spacing w:before="0" w:after="283"/>
              <w:jc w:val="left"/>
              <w:rPr/>
            </w:pPr>
            <w:r>
              <w:rPr/>
              <w:t> </w:t>
            </w:r>
            <w:bookmarkStart w:id="1344" w:name="xdx_989_eus-gaap--OperatingLeaseCost_pn3"/>
            <w:bookmarkEnd w:id="1344"/>
          </w:p>
        </w:tc>
        <w:tc>
          <w:tcPr>
            <w:tcW w:w="1176" w:type="dxa"/>
            <w:tcBorders>
              <w:bottom w:val="double" w:sz="6" w:space="0" w:color="000000"/>
            </w:tcBorders>
            <w:shd w:fill="FFFFFF" w:val="clear"/>
            <w:vAlign w:val="center"/>
          </w:tcPr>
          <w:p>
            <w:pPr>
              <w:pStyle w:val="TableContents"/>
              <w:bidi w:val="0"/>
              <w:spacing w:before="0" w:after="283"/>
              <w:jc w:val="right"/>
              <w:rPr/>
            </w:pPr>
            <w:r>
              <w:rPr/>
              <w:t>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Total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CCEEFF" w:val="clear"/>
            <w:vAlign w:val="center"/>
          </w:tcPr>
          <w:p>
            <w:pPr>
              <w:pStyle w:val="TableContents"/>
              <w:bidi w:val="0"/>
              <w:spacing w:before="0" w:after="283"/>
              <w:jc w:val="left"/>
              <w:rPr/>
            </w:pPr>
            <w:r>
              <w:rPr/>
              <w:t>$</w:t>
            </w:r>
            <w:bookmarkStart w:id="1345" w:name="xdx_980_eus-gaap--OperatingLeaseCost_pn3"/>
            <w:bookmarkEnd w:id="1345"/>
          </w:p>
        </w:tc>
        <w:tc>
          <w:tcPr>
            <w:tcW w:w="1176" w:type="dxa"/>
            <w:tcBorders>
              <w:bottom w:val="double" w:sz="6" w:space="0" w:color="000000"/>
            </w:tcBorders>
            <w:shd w:fill="CCEEFF" w:val="clear"/>
            <w:vAlign w:val="center"/>
          </w:tcPr>
          <w:p>
            <w:pPr>
              <w:pStyle w:val="TableContents"/>
              <w:bidi w:val="0"/>
              <w:spacing w:before="0" w:after="283"/>
              <w:jc w:val="right"/>
              <w:rPr/>
            </w:pPr>
            <w:r>
              <w:rPr/>
              <w:t>393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CCEEFF" w:val="clear"/>
            <w:vAlign w:val="center"/>
          </w:tcPr>
          <w:p>
            <w:pPr>
              <w:pStyle w:val="TableContents"/>
              <w:bidi w:val="0"/>
              <w:spacing w:before="0" w:after="283"/>
              <w:jc w:val="left"/>
              <w:rPr/>
            </w:pPr>
            <w:r>
              <w:rPr/>
              <w:t>$</w:t>
            </w:r>
            <w:bookmarkStart w:id="1346" w:name="xdx_980_eus-gaap--OperatingLeaseCost_pn3"/>
            <w:bookmarkEnd w:id="1346"/>
          </w:p>
        </w:tc>
        <w:tc>
          <w:tcPr>
            <w:tcW w:w="1176" w:type="dxa"/>
            <w:tcBorders>
              <w:bottom w:val="double" w:sz="6" w:space="0" w:color="000000"/>
            </w:tcBorders>
            <w:shd w:fill="CCEEFF" w:val="clear"/>
            <w:vAlign w:val="center"/>
          </w:tcPr>
          <w:p>
            <w:pPr>
              <w:pStyle w:val="TableContents"/>
              <w:bidi w:val="0"/>
              <w:spacing w:before="0" w:after="283"/>
              <w:jc w:val="right"/>
              <w:rPr/>
            </w:pPr>
            <w:r>
              <w:rPr/>
              <w:t>215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47" w:name="xdx_8A9_zVXVzmdM6V12"/>
      <w:bookmarkEnd w:id="1347"/>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former holders of shares of Legacy Dragonfly common stock (including shares received as a result of the conversion of Legacy Dragonfly Preferred Stock into New Dragonfly Common Stock) are entitled to receive their pro rata share of up to </w:t>
      </w:r>
      <w:bookmarkStart w:id="1348" w:name="xdx_90E_ecustom--BusinessAcquisitionEqui"/>
      <w:bookmarkEnd w:id="1348"/>
      <w:r>
        <w:rPr>
          <w:rFonts w:ascii="Times New Roman;Times;Serif" w:hAnsi="Times New Roman;Times;Serif"/>
          <w:b w:val="false"/>
          <w:i w:val="false"/>
          <w:caps w:val="false"/>
          <w:smallCaps w:val="false"/>
          <w:sz w:val="20"/>
        </w:rPr>
        <w:t xml:space="preserve">40,000,000 additional shares of common stock (the “Earnout Shares”). The Earnout Shares are issuable in three tranches. The first tranche of </w:t>
      </w:r>
      <w:bookmarkStart w:id="1349" w:name="xdx_900_ecustom--EarnoutSharesIssuable_i"/>
      <w:bookmarkEnd w:id="1349"/>
      <w:r>
        <w:rPr>
          <w:rFonts w:ascii="Times New Roman;Times;Serif" w:hAnsi="Times New Roman;Times;Serif"/>
          <w:b w:val="false"/>
          <w:i w:val="false"/>
          <w:caps w:val="false"/>
          <w:smallCaps w:val="false"/>
          <w:sz w:val="20"/>
        </w:rPr>
        <w:t>15,000,000 shares is issuable if New Dragonfly’s 2023 total audited revenue is equal to or greater than $</w:t>
      </w:r>
      <w:bookmarkStart w:id="1350" w:name="xdx_90B_ecustom--AuditedRevenue_pn3n3_c2"/>
      <w:bookmarkEnd w:id="1350"/>
      <w:r>
        <w:rPr>
          <w:rFonts w:ascii="Times New Roman;Times;Serif" w:hAnsi="Times New Roman;Times;Serif"/>
          <w:b w:val="false"/>
          <w:i w:val="false"/>
          <w:caps w:val="false"/>
          <w:smallCaps w:val="false"/>
          <w:sz w:val="20"/>
        </w:rPr>
        <w:t>250,000 and New Dragonfly’s 2023 audited operating income is equal to or greater than $</w:t>
      </w:r>
      <w:bookmarkStart w:id="1351" w:name="xdx_908_ecustom--AuditedOperatingIncome_"/>
      <w:bookmarkEnd w:id="1351"/>
      <w:r>
        <w:rPr>
          <w:rFonts w:ascii="Times New Roman;Times;Serif" w:hAnsi="Times New Roman;Times;Serif"/>
          <w:b w:val="false"/>
          <w:i w:val="false"/>
          <w:caps w:val="false"/>
          <w:smallCaps w:val="false"/>
          <w:sz w:val="20"/>
        </w:rPr>
        <w:t xml:space="preserve">35,000. The second tranche of </w:t>
      </w:r>
      <w:bookmarkStart w:id="1352" w:name="xdx_904_ecustom--EarnoutSharesIssuable_i"/>
      <w:bookmarkEnd w:id="1352"/>
      <w:r>
        <w:rPr>
          <w:rFonts w:ascii="Times New Roman;Times;Serif" w:hAnsi="Times New Roman;Times;Serif"/>
          <w:b w:val="false"/>
          <w:i w:val="false"/>
          <w:caps w:val="false"/>
          <w:smallCaps w:val="false"/>
          <w:sz w:val="20"/>
        </w:rPr>
        <w:t>12,500,000 shares is issuable upon achieving a volume-weighted average trading price threshold of at least $</w:t>
      </w:r>
      <w:bookmarkStart w:id="1353" w:name="xdx_909_ecustom--VolumeWeightedAveragePr"/>
      <w:bookmarkEnd w:id="1353"/>
      <w:r>
        <w:rPr>
          <w:rFonts w:ascii="Times New Roman;Times;Serif" w:hAnsi="Times New Roman;Times;Serif"/>
          <w:b w:val="false"/>
          <w:i w:val="false"/>
          <w:caps w:val="false"/>
          <w:smallCaps w:val="false"/>
          <w:sz w:val="20"/>
        </w:rPr>
        <w:t xml:space="preserve">22.50 on or prior to December 31, 2026 and the third tranche of </w:t>
      </w:r>
      <w:bookmarkStart w:id="1354" w:name="xdx_903_ecustom--EarnoutSharesIssuable_i"/>
      <w:bookmarkEnd w:id="1354"/>
      <w:r>
        <w:rPr>
          <w:rFonts w:ascii="Times New Roman;Times;Serif" w:hAnsi="Times New Roman;Times;Serif"/>
          <w:b w:val="false"/>
          <w:i w:val="false"/>
          <w:caps w:val="false"/>
          <w:smallCaps w:val="false"/>
          <w:sz w:val="20"/>
        </w:rPr>
        <w:t>12,500,000 is issuable upon achieving a volume-weighted average trading price threshold of at least $</w:t>
      </w:r>
      <w:bookmarkStart w:id="1355" w:name="xdx_903_ecustom--VolumeWeightedAveragePr"/>
      <w:bookmarkEnd w:id="1355"/>
      <w:r>
        <w:rPr>
          <w:rFonts w:ascii="Times New Roman;Times;Serif" w:hAnsi="Times New Roman;Times;Serif"/>
          <w:b w:val="false"/>
          <w:i w:val="false"/>
          <w:caps w:val="false"/>
          <w:smallCaps w:val="false"/>
          <w:sz w:val="20"/>
        </w:rPr>
        <w:t>32.50 on or prior to December 31, 2028. To the extent not previously earned, the second tranche is issuable if the $</w:t>
      </w:r>
      <w:bookmarkStart w:id="1356" w:name="xdx_909_ecustom--VolumeWeightedAveragePr"/>
      <w:bookmarkEnd w:id="1356"/>
      <w:r>
        <w:rPr>
          <w:rFonts w:ascii="Times New Roman;Times;Serif" w:hAnsi="Times New Roman;Times;Serif"/>
          <w:b w:val="false"/>
          <w:i w:val="false"/>
          <w:caps w:val="false"/>
          <w:smallCaps w:val="false"/>
          <w:sz w:val="20"/>
        </w:rPr>
        <w:t>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further discussion regarding contingent consideration arising from the April 2022 asset purchase agreement with Thomason Jones Company, LLC.</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1357" w:name="xdx_80D_eus-gaap--DebtDisclosureTextBloc"/>
      <w:bookmarkEnd w:id="1357"/>
      <w:r>
        <w:rPr>
          <w:rFonts w:ascii="Times New Roman;Times;Serif" w:hAnsi="Times New Roman;Times;Serif"/>
          <w:b/>
          <w:i w:val="false"/>
          <w:caps/>
          <w:sz w:val="20"/>
        </w:rPr>
        <w:t xml:space="preserve">NOTE 6 - </w:t>
      </w:r>
      <w:bookmarkStart w:id="1358" w:name="xdx_82B_zQ5cDH08FZtk"/>
      <w:bookmarkEnd w:id="1358"/>
      <w:r>
        <w:rPr>
          <w:rFonts w:ascii="Times New Roman;Times;Serif" w:hAnsi="Times New Roman;Times;Serif"/>
          <w:b/>
          <w:i w:val="false"/>
          <w:caps/>
          <w:sz w:val="20"/>
        </w:rPr>
        <w:t>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the Company entered into agreements to issue $</w:t>
      </w:r>
      <w:bookmarkStart w:id="1359" w:name="xdx_90F_eus-gaap--DebtInstrumentFaceAmou"/>
      <w:bookmarkEnd w:id="1359"/>
      <w:r>
        <w:rPr>
          <w:rFonts w:ascii="Times New Roman;Times;Serif" w:hAnsi="Times New Roman;Times;Serif"/>
          <w:b w:val="false"/>
          <w:i w:val="false"/>
          <w:caps w:val="false"/>
          <w:smallCaps w:val="false"/>
          <w:sz w:val="20"/>
        </w:rPr>
        <w:t>45,000 in fixed rate senior notes (Series 2021 6 Notes) pursuant to a Trust Indenture held by UMB Bank, as trustee and disbursing agent, and Newlight Capital, LLC as servicer. The trust and debt documents also require a Lender Collateral Residual Value Insurance Policy (the “Insurance Policy”, with UMB Bank as named insured for $</w:t>
      </w:r>
      <w:bookmarkStart w:id="1360" w:name="xdx_90E_ecustom--DebtInstrumentInsuredAm"/>
      <w:bookmarkEnd w:id="1360"/>
      <w:r>
        <w:rPr>
          <w:rFonts w:ascii="Times New Roman;Times;Serif" w:hAnsi="Times New Roman;Times;Serif"/>
          <w:b w:val="false"/>
          <w:i w:val="false"/>
          <w:caps w:val="false"/>
          <w:smallCaps w:val="false"/>
          <w:sz w:val="20"/>
        </w:rPr>
        <w:t>45,000), and a placement agent, which is Tribe Capital Markets,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w:t>
      </w:r>
      <w:bookmarkStart w:id="1361" w:name="xdx_90B_eus-gaap--GainsLossesOnExtinguis"/>
      <w:bookmarkEnd w:id="1361"/>
      <w:r>
        <w:rPr>
          <w:rFonts w:ascii="Times New Roman;Times;Serif" w:hAnsi="Times New Roman;Times;Serif"/>
          <w:b w:val="false"/>
          <w:i w:val="false"/>
          <w:caps w:val="false"/>
          <w:smallCaps w:val="false"/>
          <w:sz w:val="20"/>
        </w:rPr>
        <w:t>4,824 was recognized upon settlement. During the three months ended March 31, 2022, a total of $</w:t>
      </w:r>
      <w:bookmarkStart w:id="1362" w:name="xdx_905_eus-gaap--InterestExpense_pn3n3_"/>
      <w:bookmarkEnd w:id="1362"/>
      <w:r>
        <w:rPr>
          <w:rFonts w:ascii="Times New Roman;Times;Serif" w:hAnsi="Times New Roman;Times;Serif"/>
          <w:b w:val="false"/>
          <w:i w:val="false"/>
          <w:caps w:val="false"/>
          <w:smallCaps w:val="false"/>
          <w:sz w:val="20"/>
        </w:rPr>
        <w:t>619 of interest expense was incurred under the debt. Amortization of the debt issuance costs amounted to $</w:t>
      </w:r>
      <w:bookmarkStart w:id="1363" w:name="xdx_906_eus-gaap--AmortizationOfFinancin"/>
      <w:bookmarkEnd w:id="1363"/>
      <w:r>
        <w:rPr>
          <w:rFonts w:ascii="Times New Roman;Times;Serif" w:hAnsi="Times New Roman;Times;Serif"/>
          <w:b w:val="false"/>
          <w:i w:val="false"/>
          <w:caps w:val="false"/>
          <w:smallCaps w:val="false"/>
          <w:sz w:val="20"/>
        </w:rPr>
        <w:t>613 during the three months ended March 31, 2022.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w:t>
      </w:r>
      <w:bookmarkStart w:id="1364" w:name="xdx_902_ecustom--DebtInstrumentAmortizat"/>
      <w:bookmarkEnd w:id="1364"/>
      <w:r>
        <w:rPr>
          <w:rFonts w:ascii="Times New Roman;Times;Serif" w:hAnsi="Times New Roman;Times;Serif"/>
          <w:b w:val="false"/>
          <w:i w:val="false"/>
          <w:caps w:val="false"/>
          <w:smallCaps w:val="false"/>
          <w:sz w:val="20"/>
        </w:rPr>
        <w:t>5% per annum (or $</w:t>
      </w:r>
      <w:bookmarkStart w:id="1365" w:name="xdx_908_ecustom--DebtInstrumentAmortizat"/>
      <w:bookmarkEnd w:id="1365"/>
      <w:r>
        <w:rPr>
          <w:rFonts w:ascii="Times New Roman;Times;Serif" w:hAnsi="Times New Roman;Times;Serif"/>
          <w:b w:val="false"/>
          <w:i w:val="false"/>
          <w:caps w:val="false"/>
          <w:smallCaps w:val="false"/>
          <w:sz w:val="20"/>
        </w:rPr>
        <w:t xml:space="preserve">937.5 on the first day of each calendar quarter) beginning </w:t>
      </w:r>
      <w:bookmarkStart w:id="1366" w:name="xdx_90D_ecustom--DebtInstrumentAmortizat"/>
      <w:bookmarkEnd w:id="1366"/>
      <w:r>
        <w:rPr>
          <w:rFonts w:ascii="Times New Roman;Times;Serif" w:hAnsi="Times New Roman;Times;Serif"/>
          <w:b w:val="false"/>
          <w:i w:val="false"/>
          <w:caps w:val="false"/>
          <w:smallCaps w:val="false"/>
          <w:sz w:val="20"/>
        </w:rPr>
        <w:t xml:space="preserve">24 months after the Closing Date and matures on the fourth anniversary of the Closing Date (“Maturity Date”). The Term Loan accrues interest (i) until April 1, 2023, at a per annum rate equal to the adjusted Secured Overnight Financing Rate (“SOFR”) plus a margin equal to </w:t>
      </w:r>
      <w:bookmarkStart w:id="1367" w:name="xdx_906_eus-gaap--DebtInstrumentBasisSpr"/>
      <w:bookmarkEnd w:id="1367"/>
      <w:r>
        <w:rPr>
          <w:rFonts w:ascii="Times New Roman;Times;Serif" w:hAnsi="Times New Roman;Times;Serif"/>
          <w:b w:val="false"/>
          <w:i w:val="false"/>
          <w:caps w:val="false"/>
          <w:smallCaps w:val="false"/>
          <w:sz w:val="20"/>
        </w:rPr>
        <w:t xml:space="preserve">13.5%, of which </w:t>
      </w:r>
      <w:bookmarkStart w:id="1368" w:name="xdx_900_ecustom--DebtInstrumentBasisSpre"/>
      <w:bookmarkEnd w:id="1368"/>
      <w:r>
        <w:rPr>
          <w:rFonts w:ascii="Times New Roman;Times;Serif" w:hAnsi="Times New Roman;Times;Serif"/>
          <w:b w:val="false"/>
          <w:i w:val="false"/>
          <w:caps w:val="false"/>
          <w:smallCaps w:val="false"/>
          <w:sz w:val="20"/>
        </w:rPr>
        <w:t xml:space="preserve">7% will be payable in cash and </w:t>
      </w:r>
      <w:bookmarkStart w:id="1369" w:name="xdx_908_ecustom--DebtInstrumentBasisSpre"/>
      <w:bookmarkEnd w:id="1369"/>
      <w:r>
        <w:rPr>
          <w:rFonts w:ascii="Times New Roman;Times;Serif" w:hAnsi="Times New Roman;Times;Serif"/>
          <w:b w:val="false"/>
          <w:i w:val="false"/>
          <w:caps w:val="false"/>
          <w:smallCaps w:val="false"/>
          <w:sz w:val="20"/>
        </w:rPr>
        <w:t xml:space="preserve">6.5% will be paid in kind, (ii) thereafter until October 1, 2024, at a per annum rate equal to adjusted SOFR plus </w:t>
      </w:r>
      <w:bookmarkStart w:id="1370" w:name="xdx_906_ecustom--DebtInstrumentBasisSpre"/>
      <w:bookmarkEnd w:id="1370"/>
      <w:r>
        <w:rPr>
          <w:rFonts w:ascii="Times New Roman;Times;Serif" w:hAnsi="Times New Roman;Times;Serif"/>
          <w:b w:val="false"/>
          <w:i w:val="false"/>
          <w:caps w:val="false"/>
          <w:smallCaps w:val="false"/>
          <w:sz w:val="20"/>
        </w:rPr>
        <w:t xml:space="preserve">7% payable in cash plus an amount ranging from </w:t>
      </w:r>
      <w:bookmarkStart w:id="1371" w:name="xdx_906_ecustom--DebtInstrumentBasisSpre"/>
      <w:bookmarkEnd w:id="1371"/>
      <w:r>
        <w:rPr>
          <w:rFonts w:ascii="Times New Roman;Times;Serif" w:hAnsi="Times New Roman;Times;Serif"/>
          <w:b w:val="false"/>
          <w:i w:val="false"/>
          <w:caps w:val="false"/>
          <w:smallCaps w:val="false"/>
          <w:sz w:val="20"/>
        </w:rPr>
        <w:t xml:space="preserve">4.5% to </w:t>
      </w:r>
      <w:bookmarkStart w:id="1372" w:name="xdx_900_ecustom--DebtInstrumentBasisSpre"/>
      <w:bookmarkEnd w:id="1372"/>
      <w:r>
        <w:rPr>
          <w:rFonts w:ascii="Times New Roman;Times;Serif" w:hAnsi="Times New Roman;Times;Serif"/>
          <w:b w:val="false"/>
          <w:i w:val="false"/>
          <w:caps w:val="false"/>
          <w:smallCaps w:val="false"/>
          <w:sz w:val="20"/>
        </w:rPr>
        <w:t xml:space="preserve">6.5%, depending on the senior leverage ratio of the consolidated company, which will be paid in kind and (iii) at all times thereafter, at a per annum rate equal to adjusted SOFR plus a margin ranging from </w:t>
      </w:r>
      <w:bookmarkStart w:id="1373" w:name="xdx_90F_ecustom--DebtInstrumentBasisSpre"/>
      <w:bookmarkEnd w:id="1373"/>
      <w:r>
        <w:rPr>
          <w:rFonts w:ascii="Times New Roman;Times;Serif" w:hAnsi="Times New Roman;Times;Serif"/>
          <w:b w:val="false"/>
          <w:i w:val="false"/>
          <w:caps w:val="false"/>
          <w:smallCaps w:val="false"/>
          <w:sz w:val="20"/>
        </w:rPr>
        <w:t xml:space="preserve">11.5% to </w:t>
      </w:r>
      <w:bookmarkStart w:id="1374" w:name="xdx_90F_ecustom--DebtInstrumentBasisSpre"/>
      <w:bookmarkEnd w:id="1374"/>
      <w:r>
        <w:rPr>
          <w:rFonts w:ascii="Times New Roman;Times;Serif" w:hAnsi="Times New Roman;Times;Serif"/>
          <w:b w:val="false"/>
          <w:i w:val="false"/>
          <w:caps w:val="false"/>
          <w:smallCaps w:val="false"/>
          <w:sz w:val="20"/>
        </w:rPr>
        <w:t xml:space="preserve">13.5% payable in cash, depending on the senior leverage ratio of the consolidated company. In each of the foregoing cases, adjusted SOFR will be no less than </w:t>
      </w:r>
      <w:bookmarkStart w:id="1375" w:name="xdx_900_eus-gaap--DebtInstrumentBasisSpr"/>
      <w:bookmarkEnd w:id="1375"/>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a total of $</w:t>
      </w:r>
      <w:bookmarkStart w:id="1376" w:name="xdx_907_eus-gaap--InterestExpenseDebtExc"/>
      <w:bookmarkEnd w:id="1376"/>
      <w:r>
        <w:rPr>
          <w:rFonts w:ascii="Times New Roman;Times;Serif" w:hAnsi="Times New Roman;Times;Serif"/>
          <w:b w:val="false"/>
          <w:i w:val="false"/>
          <w:caps w:val="false"/>
          <w:smallCaps w:val="false"/>
          <w:sz w:val="20"/>
        </w:rPr>
        <w:t>3,496 of interest expense was incurred under the debt. Amortization of the debt issuance costs amounted to $</w:t>
      </w:r>
      <w:bookmarkStart w:id="1377" w:name="xdx_908_eus-gaap--AmortizationOfFinancin"/>
      <w:bookmarkEnd w:id="1377"/>
      <w:r>
        <w:rPr>
          <w:rFonts w:ascii="Times New Roman;Times;Serif" w:hAnsi="Times New Roman;Times;Serif"/>
          <w:b w:val="false"/>
          <w:i w:val="false"/>
          <w:caps w:val="false"/>
          <w:smallCaps w:val="false"/>
          <w:sz w:val="20"/>
        </w:rPr>
        <w:t>219 during the three months ended March 31, 2023. The carrying balance of $</w:t>
      </w:r>
      <w:bookmarkStart w:id="1378" w:name="xdx_903_eus-gaap--LongTermDebt_iI_pn3n3_"/>
      <w:bookmarkEnd w:id="1378"/>
      <w:r>
        <w:rPr>
          <w:rFonts w:ascii="Times New Roman;Times;Serif" w:hAnsi="Times New Roman;Times;Serif"/>
          <w:b w:val="false"/>
          <w:i w:val="false"/>
          <w:caps w:val="false"/>
          <w:smallCaps w:val="false"/>
          <w:sz w:val="20"/>
        </w:rPr>
        <w:t>20,699 on March 31, 2023 consisted of $</w:t>
      </w:r>
      <w:bookmarkStart w:id="1379" w:name="xdx_90F_eus-gaap--DebtInstrumentFaceAmou"/>
      <w:bookmarkEnd w:id="1379"/>
      <w:r>
        <w:rPr>
          <w:rFonts w:ascii="Times New Roman;Times;Serif" w:hAnsi="Times New Roman;Times;Serif"/>
          <w:b w:val="false"/>
          <w:i w:val="false"/>
          <w:caps w:val="false"/>
          <w:smallCaps w:val="false"/>
          <w:sz w:val="20"/>
        </w:rPr>
        <w:t>75,000 in principal, plus $</w:t>
      </w:r>
      <w:bookmarkStart w:id="1380" w:name="xdx_90B_eus-gaap--PaidInKindInterest_pn3"/>
      <w:bookmarkEnd w:id="1380"/>
      <w:r>
        <w:rPr>
          <w:rFonts w:ascii="Times New Roman;Times;Serif" w:hAnsi="Times New Roman;Times;Serif"/>
          <w:b w:val="false"/>
          <w:i w:val="false"/>
          <w:caps w:val="false"/>
          <w:smallCaps w:val="false"/>
          <w:sz w:val="20"/>
        </w:rPr>
        <w:t>2,430 PIK interest, less $</w:t>
      </w:r>
      <w:bookmarkStart w:id="1381" w:name="xdx_90B_eus-gaap--DeferredFinanceCostsNe"/>
      <w:bookmarkEnd w:id="1381"/>
      <w:r>
        <w:rPr>
          <w:rFonts w:ascii="Times New Roman;Times;Serif" w:hAnsi="Times New Roman;Times;Serif"/>
          <w:b w:val="false"/>
          <w:i w:val="false"/>
          <w:caps w:val="false"/>
          <w:smallCaps w:val="false"/>
          <w:sz w:val="20"/>
        </w:rPr>
        <w:t>56,731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82" w:name="xdx_900_eus-gaap--DebtInstrumentDescript"/>
      <w:bookmarkEnd w:id="1382"/>
      <w:r>
        <w:rPr>
          <w:rFonts w:ascii="Times New Roman;Times;Serif" w:hAnsi="Times New Roman;Times;Serif"/>
          <w:b w:val="false"/>
          <w:i w:val="false"/>
          <w:caps w:val="false"/>
          <w:smallCaps w:val="false"/>
          <w:sz w:val="20"/>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83" w:name="xdx_8B5_zQNzMQ9BaYlj"/>
      <w:bookmarkStart w:id="1384" w:name="xdx_895_ecustom--ScheduleOfLeverageRatio"/>
      <w:bookmarkEnd w:id="1383"/>
      <w:bookmarkEnd w:id="1384"/>
      <w:r>
        <w:rPr>
          <w:rFonts w:ascii="Times New Roman;Times;Serif" w:hAnsi="Times New Roman;Times;Serif"/>
          <w:b w:val="false"/>
          <w:i w:val="false"/>
          <w:caps w:val="false"/>
          <w:smallCaps w:val="false"/>
          <w:sz w:val="20"/>
        </w:rPr>
        <w:t>SCHEDULE OF LEVERAGE RATION </w:t>
      </w:r>
    </w:p>
    <w:tbl>
      <w:tblPr>
        <w:tblW w:w="5155" w:type="dxa"/>
        <w:jc w:val="left"/>
        <w:tblInd w:w="0" w:type="dxa"/>
        <w:tblLayout w:type="fixed"/>
        <w:tblCellMar>
          <w:top w:w="0" w:type="dxa"/>
          <w:left w:w="0" w:type="dxa"/>
          <w:bottom w:w="28" w:type="dxa"/>
          <w:right w:w="0" w:type="dxa"/>
        </w:tblCellMar>
      </w:tblPr>
      <w:tblGrid>
        <w:gridCol w:w="3620"/>
        <w:gridCol w:w="60"/>
        <w:gridCol w:w="60"/>
        <w:gridCol w:w="1340"/>
        <w:gridCol w:w="75"/>
      </w:tblGrid>
      <w:tr>
        <w:trPr/>
        <w:tc>
          <w:tcPr>
            <w:tcW w:w="3620" w:type="dxa"/>
            <w:tcBorders>
              <w:bottom w:val="single" w:sz="12" w:space="0" w:color="000000"/>
            </w:tcBorders>
            <w:shd w:fill="FFFFFF" w:val="clear"/>
            <w:vAlign w:val="center"/>
          </w:tcPr>
          <w:p>
            <w:pPr>
              <w:pStyle w:val="TableContents"/>
              <w:bidi w:val="0"/>
              <w:spacing w:before="0" w:after="283"/>
              <w:jc w:val="left"/>
              <w:rPr>
                <w:b/>
              </w:rPr>
            </w:pPr>
            <w:r>
              <w:rPr>
                <w:b/>
              </w:rPr>
              <w:t>Test Period 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Leverage Ratio</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2022 -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5" w:name="xdx_90D_eus-gaap--DebtInstrumentDescript"/>
            <w:bookmarkEnd w:id="1385"/>
            <w:r>
              <w:rPr>
                <w:rFonts w:ascii="Times New Roman;Times;Serif" w:hAnsi="Times New Roman;Times;Serif"/>
                <w:sz w:val="20"/>
              </w:rPr>
              <w:t>6.75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2023 - 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6" w:name="xdx_90B_eus-gaap--DebtInstrumentDescript"/>
            <w:bookmarkEnd w:id="1386"/>
            <w:r>
              <w:rPr>
                <w:rFonts w:ascii="Times New Roman;Times;Serif" w:hAnsi="Times New Roman;Times;Serif"/>
                <w:sz w:val="20"/>
              </w:rPr>
              <w:t>6.00 to 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2023 - 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7" w:name="xdx_907_eus-gaap--DebtInstrumentDescript"/>
            <w:bookmarkEnd w:id="1387"/>
            <w:r>
              <w:rPr>
                <w:rFonts w:ascii="Times New Roman;Times;Serif" w:hAnsi="Times New Roman;Times;Serif"/>
                <w:sz w:val="20"/>
              </w:rPr>
              <w:t>5.00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2024 - 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8" w:name="xdx_906_eus-gaap--DebtInstrumentDescript"/>
            <w:bookmarkEnd w:id="1388"/>
            <w:r>
              <w:rPr>
                <w:rFonts w:ascii="Times New Roman;Times;Serif" w:hAnsi="Times New Roman;Times;Serif"/>
                <w:sz w:val="20"/>
              </w:rPr>
              <w:t>4.00 to 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2024 -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9" w:name="xdx_904_eus-gaap--DebtInstrumentDescript"/>
            <w:bookmarkEnd w:id="1389"/>
            <w:r>
              <w:rPr>
                <w:rFonts w:ascii="Times New Roman;Times;Serif" w:hAnsi="Times New Roman;Times;Serif"/>
                <w:sz w:val="20"/>
              </w:rPr>
              <w:t>3.25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2025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390" w:name="xdx_908_eus-gaap--DebtInstrumentDescript"/>
            <w:bookmarkEnd w:id="1390"/>
            <w:r>
              <w:rPr>
                <w:rFonts w:ascii="Times New Roman;Times;Serif" w:hAnsi="Times New Roman;Times;Serif"/>
                <w:sz w:val="20"/>
              </w:rPr>
              <w:t>3.00 to 1.00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91" w:name="xdx_8AD_zM5n48DAKQL7"/>
      <w:bookmarkEnd w:id="139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2" w:name="xdx_90C_ecustom--LiquidityDescription_c2"/>
      <w:bookmarkEnd w:id="1392"/>
      <w:r>
        <w:rPr>
          <w:rFonts w:ascii="Times New Roman;Times;Serif" w:hAnsi="Times New Roman;Times;Serif"/>
          <w:b w:val="false"/>
          <w:i w:val="false"/>
          <w:caps w:val="false"/>
          <w:smallCaps w:val="false"/>
          <w:sz w:val="20"/>
        </w:rPr>
        <w:t>The Company shall not permit their Liquidity (determined on a consolidated basis) to be less than $10,000 as of the last day of each fiscal month (commencing with month ending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Fixed Charge Coverage Ratio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3" w:name="xdx_900_ecustom--FixedChargeCoverageRati"/>
      <w:bookmarkEnd w:id="1393"/>
      <w:r>
        <w:rPr>
          <w:rFonts w:ascii="Times New Roman;Times;Serif" w:hAnsi="Times New Roman;Times;Serif"/>
          <w:b w:val="false"/>
          <w:i w:val="false"/>
          <w:caps w:val="false"/>
          <w:smallCaps w:val="false"/>
          <w:sz w:val="20"/>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4" w:name="xdx_907_ecustom--CapitalExpendituresDesc"/>
      <w:bookmarkEnd w:id="1394"/>
      <w:r>
        <w:rPr>
          <w:rFonts w:ascii="Times New Roman;Times;Serif" w:hAnsi="Times New Roman;Times;Serif"/>
          <w:b w:val="false"/>
          <w:i w:val="false"/>
          <w:caps w:val="false"/>
          <w:smallCaps w:val="false"/>
          <w:sz w:val="20"/>
        </w:rPr>
        <w:t>If consolidated EBITDA for the trailing twelve month period ending on the most recently completed fiscal quarter is less than $15,000, then the level of capital expenditures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Alter Domus (US) LLC, as administrative agent for the lenders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5" w:name="xdx_89A_eus-gaap--ScheduleOfMaturitiesOf"/>
      <w:bookmarkEnd w:id="1395"/>
      <w:r>
        <w:rPr>
          <w:rFonts w:ascii="Times New Roman;Times;Serif" w:hAnsi="Times New Roman;Times;Serif"/>
          <w:b w:val="false"/>
          <w:i w:val="false"/>
          <w:caps w:val="false"/>
          <w:smallCaps w:val="false"/>
          <w:sz w:val="20"/>
        </w:rPr>
        <w:t>At March 31, 2023, the future debt maturities, based on contractual principal payments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6" w:name="xdx_8BD_zRiJ2Y8aDuKj"/>
      <w:bookmarkEnd w:id="1396"/>
      <w:r>
        <w:rPr>
          <w:rFonts w:ascii="Times New Roman;Times;Serif" w:hAnsi="Times New Roman;Times;Serif"/>
          <w:b w:val="false"/>
          <w:i w:val="false"/>
          <w:caps w:val="false"/>
          <w:smallCaps w:val="false"/>
          <w:sz w:val="20"/>
        </w:rPr>
        <w:t>SCHEDULE OF FUTURE DEBT MATURITIES </w:t>
      </w:r>
    </w:p>
    <w:tbl>
      <w:tblPr>
        <w:tblW w:w="5870" w:type="dxa"/>
        <w:jc w:val="left"/>
        <w:tblInd w:w="0" w:type="dxa"/>
        <w:tblLayout w:type="fixed"/>
        <w:tblCellMar>
          <w:top w:w="0" w:type="dxa"/>
          <w:left w:w="0" w:type="dxa"/>
          <w:bottom w:w="0" w:type="dxa"/>
          <w:right w:w="0" w:type="dxa"/>
        </w:tblCellMar>
      </w:tblPr>
      <w:tblGrid>
        <w:gridCol w:w="4805"/>
        <w:gridCol w:w="60"/>
        <w:gridCol w:w="140"/>
        <w:gridCol w:w="755"/>
        <w:gridCol w:w="110"/>
      </w:tblGrid>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7" w:name="xdx_49A_20230331_zLhuXyVYbPIl"/>
            <w:bookmarkEnd w:id="1397"/>
          </w:p>
        </w:tc>
        <w:tc>
          <w:tcPr>
            <w:tcW w:w="8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For Year Ended December 31,</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398" w:name="xdx_408_eus-gaap--LongTermDebtMaturities"/>
            <w:bookmarkEnd w:id="1398"/>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2023 </w:t>
            </w:r>
            <w:bookmarkStart w:id="1399" w:name="xdx_F4E_zjgDSMGwxmrd"/>
            <w:bookmarkEnd w:id="1399"/>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00" w:name="xdx_40E_eus-gaap--LongTermDebtMaturities"/>
            <w:bookmarkEnd w:id="1400"/>
          </w:p>
        </w:tc>
      </w:tr>
      <w:tr>
        <w:trPr/>
        <w:tc>
          <w:tcPr>
            <w:tcW w:w="4805"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938</w:t>
            </w:r>
          </w:p>
        </w:tc>
        <w:tc>
          <w:tcPr>
            <w:tcW w:w="110" w:type="dxa"/>
            <w:tcBorders/>
            <w:shd w:fill="CCEEFF" w:val="clear"/>
            <w:vAlign w:val="center"/>
          </w:tcPr>
          <w:p>
            <w:pPr>
              <w:pStyle w:val="TableContents"/>
              <w:bidi w:val="0"/>
              <w:spacing w:before="0" w:after="283"/>
              <w:jc w:val="left"/>
              <w:rPr/>
            </w:pPr>
            <w:r>
              <w:rPr/>
              <w:t> </w:t>
            </w:r>
            <w:bookmarkStart w:id="1401" w:name="xdx_404_eus-gaap--LongTermDebtMaturities"/>
            <w:bookmarkEnd w:id="1401"/>
          </w:p>
        </w:tc>
      </w:tr>
      <w:tr>
        <w:trPr/>
        <w:tc>
          <w:tcPr>
            <w:tcW w:w="480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3,750</w:t>
            </w:r>
          </w:p>
        </w:tc>
        <w:tc>
          <w:tcPr>
            <w:tcW w:w="110" w:type="dxa"/>
            <w:tcBorders/>
            <w:shd w:fill="FFFFFF" w:val="clear"/>
            <w:vAlign w:val="center"/>
          </w:tcPr>
          <w:p>
            <w:pPr>
              <w:pStyle w:val="TableContents"/>
              <w:bidi w:val="0"/>
              <w:spacing w:before="0" w:after="283"/>
              <w:jc w:val="left"/>
              <w:rPr/>
            </w:pPr>
            <w:r>
              <w:rPr/>
              <w:t> </w:t>
            </w:r>
            <w:bookmarkStart w:id="1402" w:name="xdx_402_eus-gaap--LongTermDebtMaturities"/>
            <w:bookmarkEnd w:id="1402"/>
          </w:p>
        </w:tc>
      </w:tr>
      <w:tr>
        <w:trPr/>
        <w:tc>
          <w:tcPr>
            <w:tcW w:w="480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91,775</w:t>
            </w:r>
          </w:p>
        </w:tc>
        <w:tc>
          <w:tcPr>
            <w:tcW w:w="110" w:type="dxa"/>
            <w:tcBorders/>
            <w:shd w:fill="CCEEFF" w:val="clear"/>
            <w:vAlign w:val="center"/>
          </w:tcPr>
          <w:p>
            <w:pPr>
              <w:pStyle w:val="TableContents"/>
              <w:bidi w:val="0"/>
              <w:spacing w:before="0" w:after="283"/>
              <w:jc w:val="left"/>
              <w:rPr/>
            </w:pPr>
            <w:r>
              <w:rPr/>
              <w:t> </w:t>
            </w:r>
            <w:bookmarkStart w:id="1403" w:name="xdx_408_ecustom--LongTermDebtMaturitiesR"/>
            <w:bookmarkEnd w:id="1403"/>
          </w:p>
        </w:tc>
      </w:tr>
      <w:tr>
        <w:trPr/>
        <w:tc>
          <w:tcPr>
            <w:tcW w:w="48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96,463</w:t>
            </w:r>
          </w:p>
        </w:tc>
        <w:tc>
          <w:tcPr>
            <w:tcW w:w="110" w:type="dxa"/>
            <w:tcBorders/>
            <w:shd w:fill="FFFFFF" w:val="clear"/>
            <w:vAlign w:val="center"/>
          </w:tcPr>
          <w:p>
            <w:pPr>
              <w:pStyle w:val="TableContents"/>
              <w:bidi w:val="0"/>
              <w:spacing w:before="0" w:after="283"/>
              <w:jc w:val="left"/>
              <w:rPr/>
            </w:pPr>
            <w:r>
              <w:rPr/>
              <w:t> </w:t>
            </w:r>
            <w:bookmarkStart w:id="1404" w:name="xdx_402_ecustom--EstimatedInterestPaidin"/>
            <w:bookmarkEnd w:id="1404"/>
          </w:p>
        </w:tc>
      </w:tr>
      <w:tr>
        <w:trPr/>
        <w:tc>
          <w:tcPr>
            <w:tcW w:w="4805" w:type="dxa"/>
            <w:tcBorders/>
            <w:shd w:fill="CCEEFF" w:val="clear"/>
            <w:vAlign w:val="center"/>
          </w:tcPr>
          <w:p>
            <w:pPr>
              <w:pStyle w:val="TableContents"/>
              <w:bidi w:val="0"/>
              <w:spacing w:before="0" w:after="283"/>
              <w:jc w:val="left"/>
              <w:rPr/>
            </w:pPr>
            <w:r>
              <w:rPr/>
              <w:t>Less: Estimated interest paid-in-kind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(19,033</w:t>
            </w:r>
          </w:p>
        </w:tc>
        <w:tc>
          <w:tcPr>
            <w:tcW w:w="110" w:type="dxa"/>
            <w:tcBorders/>
            <w:shd w:fill="CCEEFF" w:val="clear"/>
            <w:vAlign w:val="center"/>
          </w:tcPr>
          <w:p>
            <w:pPr>
              <w:pStyle w:val="TableContents"/>
              <w:bidi w:val="0"/>
              <w:spacing w:before="0" w:after="283"/>
              <w:jc w:val="left"/>
              <w:rPr/>
            </w:pPr>
            <w:r>
              <w:rPr/>
              <w:t>)</w:t>
            </w:r>
            <w:bookmarkStart w:id="1405" w:name="xdx_401_eus-gaap--LongTermDebt_iTI_pn3n3"/>
            <w:bookmarkEnd w:id="1405"/>
          </w:p>
        </w:tc>
      </w:tr>
      <w:tr>
        <w:trPr/>
        <w:tc>
          <w:tcPr>
            <w:tcW w:w="4805"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77,430</w:t>
            </w:r>
          </w:p>
        </w:tc>
        <w:tc>
          <w:tcPr>
            <w:tcW w:w="110" w:type="dxa"/>
            <w:tcBorders/>
            <w:shd w:fill="FFFFFF" w:val="clear"/>
            <w:vAlign w:val="center"/>
          </w:tcPr>
          <w:p>
            <w:pPr>
              <w:pStyle w:val="TableContents"/>
              <w:bidi w:val="0"/>
              <w:spacing w:before="0" w:after="283"/>
              <w:jc w:val="left"/>
              <w:rPr/>
            </w:pPr>
            <w:r>
              <w:rPr/>
              <w:t> </w:t>
            </w:r>
            <w:bookmarkStart w:id="1406" w:name="xdx_407_eus-gaap--DeferredFinanceCostsNe"/>
            <w:bookmarkEnd w:id="1406"/>
          </w:p>
        </w:tc>
      </w:tr>
      <w:tr>
        <w:trPr/>
        <w:tc>
          <w:tcPr>
            <w:tcW w:w="4805" w:type="dxa"/>
            <w:tcBorders/>
            <w:shd w:fill="CCEEFF" w:val="clear"/>
            <w:vAlign w:val="center"/>
          </w:tcPr>
          <w:p>
            <w:pPr>
              <w:pStyle w:val="TableContents"/>
              <w:bidi w:val="0"/>
              <w:spacing w:before="0" w:after="283"/>
              <w:jc w:val="left"/>
              <w:rPr/>
            </w:pPr>
            <w:r>
              <w:rPr/>
              <w:t>Less: Unamortized debt issuance costs,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(56,731</w:t>
            </w:r>
          </w:p>
        </w:tc>
        <w:tc>
          <w:tcPr>
            <w:tcW w:w="110" w:type="dxa"/>
            <w:tcBorders/>
            <w:shd w:fill="CCEEFF" w:val="clear"/>
            <w:vAlign w:val="center"/>
          </w:tcPr>
          <w:p>
            <w:pPr>
              <w:pStyle w:val="TableContents"/>
              <w:bidi w:val="0"/>
              <w:spacing w:before="0" w:after="283"/>
              <w:jc w:val="left"/>
              <w:rPr/>
            </w:pPr>
            <w:r>
              <w:rPr/>
              <w:t>)</w:t>
            </w:r>
            <w:bookmarkStart w:id="1407" w:name="xdx_40F_eus-gaap--DebtInstrumentCarrying"/>
            <w:bookmarkEnd w:id="1407"/>
          </w:p>
        </w:tc>
      </w:tr>
      <w:tr>
        <w:trPr/>
        <w:tc>
          <w:tcPr>
            <w:tcW w:w="4805" w:type="dxa"/>
            <w:tcBorders/>
            <w:shd w:fill="FFFFFF" w:val="clear"/>
            <w:vAlign w:val="center"/>
          </w:tcPr>
          <w:p>
            <w:pPr>
              <w:pStyle w:val="TableContents"/>
              <w:bidi w:val="0"/>
              <w:spacing w:before="0" w:after="283"/>
              <w:jc w:val="left"/>
              <w:rPr/>
            </w:pPr>
            <w:r>
              <w:rPr/>
              <w:t>Total carrying amount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20,699</w:t>
            </w:r>
          </w:p>
        </w:tc>
        <w:tc>
          <w:tcPr>
            <w:tcW w:w="110" w:type="dxa"/>
            <w:tcBorders/>
            <w:shd w:fill="FFFFFF" w:val="clear"/>
            <w:vAlign w:val="center"/>
          </w:tcPr>
          <w:p>
            <w:pPr>
              <w:pStyle w:val="TableContents"/>
              <w:bidi w:val="0"/>
              <w:spacing w:before="0" w:after="283"/>
              <w:jc w:val="left"/>
              <w:rPr/>
            </w:pPr>
            <w:r>
              <w:rPr/>
              <w:t> </w:t>
            </w:r>
            <w:bookmarkStart w:id="1408" w:name="xdx_407_eus-gaap--LongTermDebtCurrent_iN"/>
            <w:bookmarkEnd w:id="1408"/>
          </w:p>
        </w:tc>
      </w:tr>
      <w:tr>
        <w:trPr/>
        <w:tc>
          <w:tcPr>
            <w:tcW w:w="4805" w:type="dxa"/>
            <w:tcBorders/>
            <w:shd w:fill="CCEEFF" w:val="clear"/>
            <w:vAlign w:val="center"/>
          </w:tcPr>
          <w:p>
            <w:pPr>
              <w:pStyle w:val="TableContents"/>
              <w:bidi w:val="0"/>
              <w:spacing w:before="0" w:after="283"/>
              <w:jc w:val="left"/>
              <w:rPr/>
            </w:pPr>
            <w:r>
              <w:rPr/>
              <w:t>Less: Current portion of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(20,699</w:t>
            </w:r>
          </w:p>
        </w:tc>
        <w:tc>
          <w:tcPr>
            <w:tcW w:w="110" w:type="dxa"/>
            <w:tcBorders/>
            <w:shd w:fill="CCEEFF" w:val="clear"/>
            <w:vAlign w:val="center"/>
          </w:tcPr>
          <w:p>
            <w:pPr>
              <w:pStyle w:val="TableContents"/>
              <w:bidi w:val="0"/>
              <w:spacing w:before="0" w:after="283"/>
              <w:jc w:val="left"/>
              <w:rPr/>
            </w:pPr>
            <w:r>
              <w:rPr/>
              <w:t>)</w:t>
            </w:r>
            <w:bookmarkStart w:id="1409" w:name="xdx_401_eus-gaap--LongTermDebtNoncurrent"/>
            <w:bookmarkEnd w:id="1409"/>
          </w:p>
        </w:tc>
      </w:tr>
      <w:tr>
        <w:trPr/>
        <w:tc>
          <w:tcPr>
            <w:tcW w:w="4805" w:type="dxa"/>
            <w:tcBorders/>
            <w:shd w:fill="FFFFFF" w:val="clear"/>
            <w:vAlign w:val="center"/>
          </w:tcPr>
          <w:p>
            <w:pPr>
              <w:pStyle w:val="TableContents"/>
              <w:bidi w:val="0"/>
              <w:spacing w:before="0" w:after="283"/>
              <w:jc w:val="left"/>
              <w:rPr/>
            </w:pPr>
            <w:r>
              <w:rPr/>
              <w:t>Total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10" w:name="xdx_F04_zNFlD67V8a8a"/>
            <w:bookmarkEnd w:id="1410"/>
            <w:r>
              <w:rPr>
                <w:rFonts w:ascii="Times New Roman;Times;Serif" w:hAnsi="Times New Roman;Times;Serif"/>
                <w:b w:val="false"/>
                <w:i w:val="false"/>
                <w:caps w:val="false"/>
                <w:smallCaps w:val="false"/>
                <w:sz w:val="20"/>
              </w:rPr>
              <w:t>(1)</w:t>
            </w:r>
          </w:p>
        </w:tc>
        <w:tc>
          <w:tcPr>
            <w:tcW w:w="7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11" w:name="xdx_F1B_z2jRjrZrunc8"/>
            <w:bookmarkEnd w:id="1411"/>
            <w:r>
              <w:rPr>
                <w:rFonts w:ascii="Times New Roman;Times;Serif" w:hAnsi="Times New Roman;Times;Serif"/>
                <w:b w:val="false"/>
                <w:i w:val="false"/>
                <w:caps w:val="false"/>
                <w:smallCaps w:val="false"/>
                <w:sz w:val="20"/>
              </w:rPr>
              <w:t>Represents scheduled payments for the remaining nine-month period ending December 31, 2023</w:t>
            </w:r>
          </w:p>
        </w:tc>
      </w:tr>
    </w:tbl>
    <w:p>
      <w:pPr>
        <w:pStyle w:val="TextBody"/>
        <w:bidi w:val="0"/>
        <w:spacing w:before="0" w:after="0"/>
        <w:ind w:left="0" w:right="0" w:hanging="0"/>
        <w:jc w:val="both"/>
        <w:rPr>
          <w:caps w:val="false"/>
          <w:smallCaps w:val="false"/>
        </w:rPr>
      </w:pPr>
      <w:bookmarkStart w:id="1412" w:name="xdx_8A8_zxd2jxCvdWP2"/>
      <w:bookmarkEnd w:id="1412"/>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13" w:name="xdx_801_eus-gaap--AssetAcquisitionTextBl"/>
      <w:bookmarkEnd w:id="1413"/>
      <w:r>
        <w:rPr>
          <w:rFonts w:ascii="Times New Roman;Times;Serif" w:hAnsi="Times New Roman;Times;Serif"/>
          <w:b/>
          <w:i w:val="false"/>
          <w:caps/>
          <w:sz w:val="20"/>
        </w:rPr>
        <w:t xml:space="preserve">NOTE 7 - </w:t>
      </w:r>
      <w:bookmarkStart w:id="1414" w:name="xdx_82C_zTUtulXWmgj3"/>
      <w:bookmarkEnd w:id="1414"/>
      <w:r>
        <w:rPr>
          <w:rFonts w:ascii="Times New Roman;Times;Serif" w:hAnsi="Times New Roman;Times;Serif"/>
          <w:b/>
          <w:i w:val="false"/>
          <w:caps/>
          <w:sz w:val="20"/>
        </w:rPr>
        <w:t>ASSET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Bourns Production,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w:t>
      </w:r>
      <w:bookmarkStart w:id="1415" w:name="xdx_905_eus-gaap--AssetAcquisitionConsid"/>
      <w:bookmarkEnd w:id="1415"/>
      <w:r>
        <w:rPr>
          <w:rFonts w:ascii="Times New Roman;Times;Serif" w:hAnsi="Times New Roman;Times;Serif"/>
          <w:b w:val="false"/>
          <w:i w:val="false"/>
          <w:caps w:val="false"/>
          <w:smallCaps w:val="false"/>
          <w:sz w:val="20"/>
        </w:rPr>
        <w:t>197 which approximated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(the “April 2022 Asset Purchase Agreement”) with William Thomason, Richard Jones, and Thomason Jones Company, LLC (“Thomason Jones”) whereby the Company acquired inventory and intellectual property assets for up to $</w:t>
      </w:r>
      <w:bookmarkStart w:id="1416" w:name="xdx_901_eus-gaap--AssetAcquisitionConsid"/>
      <w:bookmarkEnd w:id="1416"/>
      <w:r>
        <w:rPr>
          <w:rFonts w:ascii="Times New Roman;Times;Serif" w:hAnsi="Times New Roman;Times;Serif"/>
          <w:b w:val="false"/>
          <w:i w:val="false"/>
          <w:caps w:val="false"/>
          <w:smallCaps w:val="false"/>
          <w:sz w:val="20"/>
        </w:rPr>
        <w:t>700 cash plus contingent payments of $</w:t>
      </w:r>
      <w:bookmarkStart w:id="1417" w:name="xdx_90C_eus-gaap--AssetAcquisitionConsid"/>
      <w:bookmarkEnd w:id="1417"/>
      <w:r>
        <w:rPr>
          <w:rFonts w:ascii="Times New Roman;Times;Serif" w:hAnsi="Times New Roman;Times;Serif"/>
          <w:b w:val="false"/>
          <w:i w:val="false"/>
          <w:caps w:val="false"/>
          <w:smallCaps w:val="false"/>
          <w:sz w:val="20"/>
        </w:rPr>
        <w:t>1,000 each to William Thomason and Richard Jones (the “Earn Out”). The Company determined the contingent consideration to be recognized as contingent compensation to Mr. Thomason and Mr. Jones. The Company concluded the purchase price to be $</w:t>
      </w:r>
      <w:bookmarkStart w:id="1418" w:name="xdx_901_eus-gaap--AssetAcquisitionConsid"/>
      <w:bookmarkEnd w:id="1418"/>
      <w:r>
        <w:rPr>
          <w:rFonts w:ascii="Times New Roman;Times;Serif" w:hAnsi="Times New Roman;Times;Serif"/>
          <w:b w:val="false"/>
          <w:i w:val="false"/>
          <w:caps w:val="false"/>
          <w:smallCaps w:val="false"/>
          <w:sz w:val="20"/>
        </w:rPr>
        <w:t>444 and was allocated in its entirety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twenty-four months of the Agreement the Company realizes $</w:t>
      </w:r>
      <w:bookmarkStart w:id="1419" w:name="xdx_90B_eus-gaap--Revenues_pn3n3_c202301"/>
      <w:bookmarkEnd w:id="1419"/>
      <w:r>
        <w:rPr>
          <w:rFonts w:ascii="Times New Roman;Times;Serif" w:hAnsi="Times New Roman;Times;Serif"/>
          <w:b w:val="false"/>
          <w:i w:val="false"/>
          <w:caps w:val="false"/>
          <w:smallCaps w:val="false"/>
          <w:sz w:val="20"/>
        </w:rPr>
        <w:t>3,000 in gross sales of product either (a) sold under the Wakespeed brand and/or (b) which incorporates any portion of Purchased IP as listed within the agreement, then the Company will pay to Thomason and Jones each the amount of $</w:t>
      </w:r>
      <w:bookmarkStart w:id="1420" w:name="xdx_907_eus-gaap--OtherLiabilities_iI_pn"/>
      <w:bookmarkEnd w:id="1420"/>
      <w:r>
        <w:rPr>
          <w:rFonts w:ascii="Times New Roman;Times;Serif" w:hAnsi="Times New Roman;Times;Serif"/>
          <w:b w:val="false"/>
          <w:i w:val="false"/>
          <w:caps w:val="false"/>
          <w:smallCaps w:val="false"/>
          <w:sz w:val="20"/>
        </w:rPr>
        <w:t>1,000 as soon as reasonably practicable. This payment may be made in cash or common stock, in the sole discretion of the Company. As a result, the Company determined that a liability should be recorded ratably over the 24 month period. The Company recognized immediate compensation expense within sales and marketing of $</w:t>
      </w:r>
      <w:bookmarkStart w:id="1421" w:name="xdx_907_eus-gaap--SellingAndMarketingExp"/>
      <w:bookmarkEnd w:id="1421"/>
      <w:r>
        <w:rPr>
          <w:rFonts w:ascii="Times New Roman;Times;Serif" w:hAnsi="Times New Roman;Times;Serif"/>
          <w:b w:val="false"/>
          <w:i w:val="false"/>
          <w:caps w:val="false"/>
          <w:smallCaps w:val="false"/>
          <w:sz w:val="20"/>
        </w:rPr>
        <w:t>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an accrual related to the Earn Out in the amount of $</w:t>
      </w:r>
      <w:bookmarkStart w:id="1422" w:name="xdx_900_eus-gaap--AccruedLiabilitiesAndO"/>
      <w:bookmarkEnd w:id="1422"/>
      <w:r>
        <w:rPr>
          <w:rFonts w:ascii="Times New Roman;Times;Serif" w:hAnsi="Times New Roman;Times;Serif"/>
          <w:b w:val="false"/>
          <w:i w:val="false"/>
          <w:caps w:val="false"/>
          <w:smallCaps w:val="false"/>
          <w:sz w:val="20"/>
        </w:rPr>
        <w:t>1,147 and $</w:t>
      </w:r>
      <w:bookmarkStart w:id="1423" w:name="xdx_908_eus-gaap--AccruedLiabilitiesAndO"/>
      <w:bookmarkEnd w:id="1423"/>
      <w:r>
        <w:rPr>
          <w:rFonts w:ascii="Times New Roman;Times;Serif" w:hAnsi="Times New Roman;Times;Serif"/>
          <w:b w:val="false"/>
          <w:i w:val="false"/>
          <w:caps w:val="false"/>
          <w:smallCaps w:val="false"/>
          <w:sz w:val="20"/>
        </w:rPr>
        <w:t>782 as of March 31, 2023 and December 31, 2022.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24" w:name="xdx_800_eus-gaap--RelatedPartyTransactio"/>
      <w:bookmarkEnd w:id="1424"/>
      <w:r>
        <w:rPr>
          <w:rFonts w:ascii="Times New Roman;Times;Serif" w:hAnsi="Times New Roman;Times;Serif"/>
          <w:b/>
          <w:i w:val="false"/>
          <w:caps/>
          <w:sz w:val="20"/>
        </w:rPr>
        <w:t xml:space="preserve">NOTE 8 - </w:t>
      </w:r>
      <w:bookmarkStart w:id="1425" w:name="xdx_82A_zFVWfVdygwi3"/>
      <w:bookmarkEnd w:id="1425"/>
      <w:r>
        <w:rPr>
          <w:rFonts w:ascii="Times New Roman;Times;Serif" w:hAnsi="Times New Roman;Times;Serif"/>
          <w:b/>
          <w:i w:val="false"/>
          <w:caps/>
          <w:sz w:val="20"/>
        </w:rPr>
        <w:t>RELATED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loaned its Chief Financial Officer $</w:t>
      </w:r>
      <w:bookmarkStart w:id="1426" w:name="xdx_902_eus-gaap--RelatedPartyTransactio"/>
      <w:bookmarkEnd w:id="1426"/>
      <w:r>
        <w:rPr>
          <w:rFonts w:ascii="Times New Roman;Times;Serif" w:hAnsi="Times New Roman;Times;Serif"/>
          <w:b w:val="false"/>
          <w:i w:val="false"/>
          <w:caps w:val="false"/>
          <w:smallCaps w:val="false"/>
          <w:sz w:val="20"/>
        </w:rPr>
        <w:t>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(“COO”). As consideration for the COO’s execution of the agreement, the Company agreed to pay the employee a lump sum payment of $</w:t>
      </w:r>
      <w:bookmarkStart w:id="1427" w:name="xdx_90F_eus-gaap--RelatedPartyTransactio"/>
      <w:bookmarkEnd w:id="1427"/>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1428" w:name="xdx_90D_eus-gaap--OtherLiabilities_iI_pn"/>
      <w:bookmarkEnd w:id="1428"/>
      <w:r>
        <w:rPr>
          <w:rFonts w:ascii="Times New Roman;Times;Serif" w:hAnsi="Times New Roman;Times;Serif"/>
          <w:b w:val="false"/>
          <w:i w:val="false"/>
          <w:caps w:val="false"/>
          <w:smallCaps w:val="false"/>
          <w:sz w:val="20"/>
        </w:rPr>
        <w:t>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an agreement with its former COO in which the ownership of a Company van was transferred to the former COO in connection with his severance. The Company accounted for the cost of the van as an employee bonus, resulting in $116 of general and administrative expense for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(the “Note”) with a board member in the amount of $</w:t>
      </w:r>
      <w:bookmarkStart w:id="1429" w:name="xdx_902_eus-gaap--ConvertibleNotesPayabl"/>
      <w:bookmarkEnd w:id="1429"/>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1430" w:name="xdx_90D_eus-gaap--DebtInstrumentFaceAmou"/>
      <w:bookmarkEnd w:id="1430"/>
      <w:r>
        <w:rPr>
          <w:rFonts w:ascii="Times New Roman;Times;Serif" w:hAnsi="Times New Roman;Times;Serif"/>
          <w:b w:val="false"/>
          <w:i w:val="false"/>
          <w:caps w:val="false"/>
          <w:smallCaps w:val="false"/>
          <w:sz w:val="20"/>
        </w:rPr>
        <w:t>100 (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31" w:name="xdx_804_ecustom--WarrantLiabilitiesDiscl"/>
      <w:bookmarkEnd w:id="1431"/>
      <w:r>
        <w:rPr>
          <w:rFonts w:ascii="Times New Roman;Times;Serif" w:hAnsi="Times New Roman;Times;Serif"/>
          <w:b/>
          <w:i w:val="false"/>
          <w:caps/>
          <w:sz w:val="20"/>
        </w:rPr>
        <w:t xml:space="preserve">NOTE 9 - </w:t>
      </w:r>
      <w:bookmarkStart w:id="1432" w:name="xdx_82B_z7OC6RNs6iv5"/>
      <w:bookmarkEnd w:id="1432"/>
      <w:r>
        <w:rPr>
          <w:rFonts w:ascii="Times New Roman;Times;Serif" w:hAnsi="Times New Roman;Times;Serif"/>
          <w:b/>
          <w:i w:val="false"/>
          <w:caps/>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w:t>
      </w:r>
      <w:bookmarkStart w:id="1433" w:name="xdx_905_eus-gaap--ClassOfWarrantOrRightE"/>
      <w:bookmarkEnd w:id="1433"/>
      <w:r>
        <w:rPr>
          <w:rFonts w:ascii="Times New Roman;Times;Serif" w:hAnsi="Times New Roman;Times;Serif"/>
          <w:b w:val="false"/>
          <w:i w:val="false"/>
          <w:caps w:val="false"/>
          <w:smallCaps w:val="false"/>
          <w:sz w:val="20"/>
        </w:rPr>
        <w:t>11.50 per share. No fractional shares will be issued upon exercise of the Public Warrants. The Company may elect to redeem the Public Warrants subject to certain conditions, in whole and not in part, at a price of $</w:t>
      </w:r>
      <w:bookmarkStart w:id="1434" w:name="xdx_900_eus-gaap--ClassOfWarrantOrRightE"/>
      <w:bookmarkEnd w:id="1434"/>
      <w:r>
        <w:rPr>
          <w:rFonts w:ascii="Times New Roman;Times;Serif" w:hAnsi="Times New Roman;Times;Serif"/>
          <w:b w:val="false"/>
          <w:i w:val="false"/>
          <w:caps w:val="false"/>
          <w:smallCaps w:val="false"/>
          <w:sz w:val="20"/>
        </w:rPr>
        <w:t>0.01 per Public Warrant if (i) 30 days’ prior written notice of redemption is provided to the holders, and (ii) the last reported sale price of the Company’s common stock equals or exceeds $</w:t>
      </w:r>
      <w:bookmarkStart w:id="1435" w:name="xdx_90C_eus-gaap--SharePrice_iI_pid_c202"/>
      <w:bookmarkEnd w:id="1435"/>
      <w:r>
        <w:rPr>
          <w:rFonts w:ascii="Times New Roman;Times;Serif" w:hAnsi="Times New Roman;Times;Serif"/>
          <w:b w:val="false"/>
          <w:i w:val="false"/>
          <w:caps w:val="false"/>
          <w:smallCaps w:val="false"/>
          <w:sz w:val="20"/>
        </w:rPr>
        <w:t xml:space="preserve">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w:t>
      </w:r>
      <w:bookmarkStart w:id="1436" w:name="xdx_900_eus-gaap--ClassOfWarrantOrRightO"/>
      <w:bookmarkEnd w:id="1436"/>
      <w:r>
        <w:rPr>
          <w:rFonts w:ascii="Times New Roman;Times;Serif" w:hAnsi="Times New Roman;Times;Serif"/>
          <w:b w:val="false"/>
          <w:i w:val="false"/>
          <w:caps w:val="false"/>
          <w:smallCaps w:val="false"/>
          <w:sz w:val="20"/>
        </w:rPr>
        <w:t>9,487,500 Public Warrants issued and outstanding. The Public Warrants are not precluded from equity classification and are accounted for as such on the date of issuance, and each balance sheet date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2023, the Company received proceeds from public warrant exercises of $</w:t>
      </w:r>
      <w:bookmarkStart w:id="1437" w:name="xdx_901_ecustom--StockIssuedDuringPeriod"/>
      <w:bookmarkEnd w:id="1437"/>
      <w:r>
        <w:rPr>
          <w:rFonts w:ascii="Times New Roman;Times;Serif" w:hAnsi="Times New Roman;Times;Serif"/>
          <w:b w:val="false"/>
          <w:i w:val="false"/>
          <w:caps w:val="false"/>
          <w:smallCaps w:val="false"/>
          <w:sz w:val="20"/>
        </w:rPr>
        <w:t xml:space="preserve">747 in exchange for </w:t>
      </w:r>
      <w:bookmarkStart w:id="1438" w:name="xdx_90F_ecustom--StockIssuedDuringPeriod"/>
      <w:bookmarkEnd w:id="1438"/>
      <w:r>
        <w:rPr>
          <w:rFonts w:ascii="Times New Roman;Times;Serif" w:hAnsi="Times New Roman;Times;Serif"/>
          <w:b w:val="false"/>
          <w:i w:val="false"/>
          <w:caps w:val="false"/>
          <w:smallCaps w:val="false"/>
          <w:sz w:val="20"/>
        </w:rPr>
        <w:t>64,971 common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Warrants classified as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three months ended March 31, 2023, private placement warrant holders exercised </w:t>
      </w:r>
      <w:bookmarkStart w:id="1439" w:name="xdx_90F_eus-gaap--ClassOfWarrantOrRightN"/>
      <w:bookmarkEnd w:id="1439"/>
      <w:r>
        <w:rPr>
          <w:rFonts w:ascii="Times New Roman;Times;Serif" w:hAnsi="Times New Roman;Times;Serif"/>
          <w:b w:val="false"/>
          <w:i w:val="false"/>
          <w:caps w:val="false"/>
          <w:smallCaps w:val="false"/>
          <w:sz w:val="20"/>
        </w:rPr>
        <w:t xml:space="preserve">3,126,472 warrants on a cashless basis, with the Company agreeing to issue </w:t>
      </w:r>
      <w:bookmarkStart w:id="1440" w:name="xdx_902_eus-gaap--StockIssuedDuringPerio"/>
      <w:bookmarkEnd w:id="1440"/>
      <w:r>
        <w:rPr>
          <w:rFonts w:ascii="Times New Roman;Times;Serif" w:hAnsi="Times New Roman;Times;Serif"/>
          <w:b w:val="false"/>
          <w:i w:val="false"/>
          <w:caps w:val="false"/>
          <w:smallCaps w:val="false"/>
          <w:sz w:val="20"/>
        </w:rPr>
        <w:t xml:space="preserve">1,100,000 shares of common stock in connection with such exercise. There were </w:t>
      </w:r>
      <w:bookmarkStart w:id="1441" w:name="xdx_90B_eus-gaap--ClassOfWarrantOrRightO"/>
      <w:bookmarkEnd w:id="1441"/>
      <w:r>
        <w:rPr>
          <w:rFonts w:ascii="Times New Roman;Times;Serif" w:hAnsi="Times New Roman;Times;Serif"/>
          <w:b w:val="false"/>
          <w:i w:val="false"/>
          <w:caps w:val="false"/>
          <w:smallCaps w:val="false"/>
          <w:sz w:val="20"/>
        </w:rPr>
        <w:t xml:space="preserve">1,501,386 and </w:t>
      </w:r>
      <w:bookmarkStart w:id="1442" w:name="xdx_90F_eus-gaap--ClassOfWarrantOrRightO"/>
      <w:bookmarkEnd w:id="1442"/>
      <w:r>
        <w:rPr>
          <w:rFonts w:ascii="Times New Roman;Times;Serif" w:hAnsi="Times New Roman;Times;Serif"/>
          <w:b w:val="false"/>
          <w:i w:val="false"/>
          <w:caps w:val="false"/>
          <w:smallCaps w:val="false"/>
          <w:sz w:val="20"/>
        </w:rPr>
        <w:t>4,627,858 private warrants issued and outstanding as of March 31,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1443" w:name="xdx_906_eus-gaap--ClassOfWarrantOrRightN"/>
      <w:bookmarkEnd w:id="1443"/>
      <w:r>
        <w:rPr>
          <w:rFonts w:ascii="Times New Roman;Times;Serif" w:hAnsi="Times New Roman;Times;Serif"/>
          <w:b w:val="false"/>
          <w:i w:val="false"/>
          <w:caps w:val="false"/>
          <w:smallCaps w:val="false"/>
          <w:sz w:val="20"/>
        </w:rPr>
        <w:t xml:space="preserve">2,593,056 shares (the “Penny Warrants”) and (ii) the $10 warrants to issue warrants to the Term Loan Lenders exercisable to purchase an aggregate of </w:t>
      </w:r>
      <w:bookmarkStart w:id="1444" w:name="xdx_901_eus-gaap--ClassOfWarrantOrRightN"/>
      <w:bookmarkEnd w:id="1444"/>
      <w:r>
        <w:rPr>
          <w:rFonts w:ascii="Times New Roman;Times;Serif" w:hAnsi="Times New Roman;Times;Serif"/>
          <w:b w:val="false"/>
          <w:i w:val="false"/>
          <w:caps w:val="false"/>
          <w:smallCaps w:val="false"/>
          <w:sz w:val="20"/>
        </w:rPr>
        <w:t>1,600,000 shares of common stock at $</w:t>
      </w:r>
      <w:bookmarkStart w:id="1445" w:name="xdx_907_eus-gaap--SharePrice_iI_pid_c202"/>
      <w:bookmarkEnd w:id="1445"/>
      <w:r>
        <w:rPr>
          <w:rFonts w:ascii="Times New Roman;Times;Serif" w:hAnsi="Times New Roman;Times;Serif"/>
          <w:b w:val="false"/>
          <w:i w:val="false"/>
          <w:caps w:val="false"/>
          <w:smallCaps w:val="false"/>
          <w:sz w:val="20"/>
        </w:rPr>
        <w:t xml:space="preserve">10 per share (the “$10 Warrants” and, together with the Penny Warrants, the “Term Loan Warrants”). The $10 Warrants were exercised on a cashless basis on October 10, 2022, with the Company issuing </w:t>
      </w:r>
      <w:bookmarkStart w:id="1446" w:name="xdx_90D_eus-gaap--ClassOfWarrantOrRightN"/>
      <w:bookmarkEnd w:id="1446"/>
      <w:r>
        <w:rPr>
          <w:rFonts w:ascii="Times New Roman;Times;Serif" w:hAnsi="Times New Roman;Times;Serif"/>
          <w:b w:val="false"/>
          <w:i w:val="false"/>
          <w:caps w:val="false"/>
          <w:smallCaps w:val="false"/>
          <w:sz w:val="20"/>
        </w:rPr>
        <w:t xml:space="preserve">457,142 shares of Common Stock in connection with such exercise. During the three months ended March 31, 2023, penny warrant holders exercised </w:t>
      </w:r>
      <w:bookmarkStart w:id="1447" w:name="xdx_90C_eus-gaap--ClassOfWarrantOrRightN"/>
      <w:bookmarkEnd w:id="1447"/>
      <w:r>
        <w:rPr>
          <w:rFonts w:ascii="Times New Roman;Times;Serif" w:hAnsi="Times New Roman;Times;Serif"/>
          <w:b w:val="false"/>
          <w:i w:val="false"/>
          <w:caps w:val="false"/>
          <w:smallCaps w:val="false"/>
          <w:sz w:val="20"/>
        </w:rPr>
        <w:t xml:space="preserve">1,250,000 warrants on a cashless basis, with the Company agreeing to issue </w:t>
      </w:r>
      <w:bookmarkStart w:id="1448" w:name="xdx_904_eus-gaap--ClassOfWarrantOrRightN"/>
      <w:bookmarkEnd w:id="1448"/>
      <w:r>
        <w:rPr>
          <w:rFonts w:ascii="Times New Roman;Times;Serif" w:hAnsi="Times New Roman;Times;Serif"/>
          <w:b w:val="false"/>
          <w:i w:val="false"/>
          <w:caps w:val="false"/>
          <w:smallCaps w:val="false"/>
          <w:sz w:val="20"/>
        </w:rPr>
        <w:t>1,248,294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49" w:name="xdx_89A_eus-gaap--DisclosureOfShareBased"/>
      <w:bookmarkEnd w:id="1449"/>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50" w:name="xdx_8B9_zgK1AlVD0xm"/>
      <w:bookmarkEnd w:id="1450"/>
      <w:r>
        <w:rPr>
          <w:rFonts w:ascii="Times New Roman;Times;Serif" w:hAnsi="Times New Roman;Times;Serif"/>
          <w:b w:val="false"/>
          <w:i w:val="false"/>
          <w:caps w:val="false"/>
          <w:smallCaps w:val="false"/>
          <w:sz w:val="20"/>
        </w:rPr>
        <w:t>SCHEDULE FAIR VALUE WARRANTS  </w:t>
      </w:r>
    </w:p>
    <w:tbl>
      <w:tblPr>
        <w:tblW w:w="5995" w:type="dxa"/>
        <w:jc w:val="left"/>
        <w:tblInd w:w="0" w:type="dxa"/>
        <w:tblLayout w:type="fixed"/>
        <w:tblCellMar>
          <w:top w:w="0" w:type="dxa"/>
          <w:left w:w="0" w:type="dxa"/>
          <w:bottom w:w="0" w:type="dxa"/>
          <w:right w:w="0" w:type="dxa"/>
        </w:tblCellMar>
      </w:tblPr>
      <w:tblGrid>
        <w:gridCol w:w="2000"/>
        <w:gridCol w:w="60"/>
        <w:gridCol w:w="307"/>
        <w:gridCol w:w="1228"/>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March 31,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December 31, 2022</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1451" w:name="xdx_983_eus-gaap--SharePrice_iI_pid_c202"/>
            <w:bookmarkEnd w:id="1451"/>
          </w:p>
        </w:tc>
        <w:tc>
          <w:tcPr>
            <w:tcW w:w="1228" w:type="dxa"/>
            <w:tcBorders/>
            <w:shd w:fill="CCEEFF" w:val="clear"/>
            <w:vAlign w:val="center"/>
          </w:tcPr>
          <w:p>
            <w:pPr>
              <w:pStyle w:val="TableContents"/>
              <w:bidi w:val="0"/>
              <w:spacing w:before="0" w:after="283"/>
              <w:jc w:val="right"/>
              <w:rPr/>
            </w:pPr>
            <w:r>
              <w:rPr/>
              <w:t>3.00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1452" w:name="xdx_982_eus-gaap--SharePrice_iI_pid_c202"/>
            <w:bookmarkEnd w:id="1452"/>
          </w:p>
        </w:tc>
        <w:tc>
          <w:tcPr>
            <w:tcW w:w="1516" w:type="dxa"/>
            <w:tcBorders/>
            <w:shd w:fill="CCEEFF" w:val="clear"/>
            <w:vAlign w:val="center"/>
          </w:tcPr>
          <w:p>
            <w:pPr>
              <w:pStyle w:val="TableContents"/>
              <w:bidi w:val="0"/>
              <w:spacing w:before="0" w:after="283"/>
              <w:jc w:val="right"/>
              <w:rPr/>
            </w:pPr>
            <w:r>
              <w:rPr/>
              <w:t>11.09</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1453" w:name="xdx_98C_eus-gaap--WarrantsAndRightsOutst"/>
            <w:bookmarkEnd w:id="1453"/>
          </w:p>
        </w:tc>
        <w:tc>
          <w:tcPr>
            <w:tcW w:w="1228"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1454" w:name="xdx_982_eus-gaap--WarrantsAndRightsOutst"/>
            <w:bookmarkEnd w:id="1454"/>
          </w:p>
        </w:tc>
        <w:tc>
          <w:tcPr>
            <w:tcW w:w="1516" w:type="dxa"/>
            <w:tcBorders/>
            <w:shd w:fill="FFFFFF" w:val="clear"/>
            <w:vAlign w:val="center"/>
          </w:tcPr>
          <w:p>
            <w:pPr>
              <w:pStyle w:val="TableContents"/>
              <w:bidi w:val="0"/>
              <w:spacing w:before="0" w:after="283"/>
              <w:jc w:val="right"/>
              <w:rPr/>
            </w:pPr>
            <w:r>
              <w:rPr/>
              <w:t>0.01</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bookmarkStart w:id="1455" w:name="xdx_909_eus-gaap--WarrantsAndRightsOutst"/>
            <w:bookmarkEnd w:id="1455"/>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bookmarkStart w:id="1456" w:name="xdx_90E_eus-gaap--WarrantsAndRightsOutst"/>
            <w:bookmarkEnd w:id="1456"/>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bookmarkStart w:id="1457" w:name="xdx_90E_eus-gaap--WarrantsAndRightsOutst"/>
            <w:bookmarkEnd w:id="1457"/>
            <w:r>
              <w:rPr/>
              <w:t>9.52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1458" w:name="xdx_904_eus-gaap--WarrantsAndRightsOutst"/>
            <w:bookmarkEnd w:id="1458"/>
            <w:r>
              <w:rPr/>
              <w:t>9.77</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bookmarkStart w:id="1459" w:name="xdx_981_eus-gaap--WarrantsAndRightsOutst"/>
            <w:bookmarkEnd w:id="1459"/>
          </w:p>
        </w:tc>
        <w:tc>
          <w:tcPr>
            <w:tcW w:w="1228" w:type="dxa"/>
            <w:tcBorders/>
            <w:shd w:fill="CCEEFF" w:val="clear"/>
            <w:vAlign w:val="center"/>
          </w:tcPr>
          <w:p>
            <w:pPr>
              <w:pStyle w:val="TableContents"/>
              <w:bidi w:val="0"/>
              <w:spacing w:before="0" w:after="283"/>
              <w:jc w:val="right"/>
              <w:rPr/>
            </w:pPr>
            <w:r>
              <w:rPr/>
              <w:t>89.00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1460" w:name="xdx_983_eus-gaap--WarrantsAndRightsOutst"/>
            <w:bookmarkEnd w:id="1460"/>
          </w:p>
        </w:tc>
        <w:tc>
          <w:tcPr>
            <w:tcW w:w="1516" w:type="dxa"/>
            <w:tcBorders/>
            <w:shd w:fill="CCEEFF" w:val="clear"/>
            <w:vAlign w:val="center"/>
          </w:tcPr>
          <w:p>
            <w:pPr>
              <w:pStyle w:val="TableContents"/>
              <w:bidi w:val="0"/>
              <w:spacing w:before="0" w:after="283"/>
              <w:jc w:val="right"/>
              <w:rPr/>
            </w:pPr>
            <w:r>
              <w:rPr/>
              <w:t>90.00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1461" w:name="xdx_987_eus-gaap--WarrantsAndRightsOutst"/>
            <w:bookmarkEnd w:id="1461"/>
          </w:p>
        </w:tc>
        <w:tc>
          <w:tcPr>
            <w:tcW w:w="1228" w:type="dxa"/>
            <w:tcBorders/>
            <w:shd w:fill="FFFFFF" w:val="clear"/>
            <w:vAlign w:val="center"/>
          </w:tcPr>
          <w:p>
            <w:pPr>
              <w:pStyle w:val="TableContents"/>
              <w:bidi w:val="0"/>
              <w:spacing w:before="0" w:after="283"/>
              <w:jc w:val="right"/>
              <w:rPr/>
            </w:pPr>
            <w:r>
              <w:rPr/>
              <w:t>3.43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1462" w:name="xdx_981_eus-gaap--WarrantsAndRightsOutst"/>
            <w:bookmarkEnd w:id="1462"/>
          </w:p>
        </w:tc>
        <w:tc>
          <w:tcPr>
            <w:tcW w:w="1516"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1463" w:name="xdx_98C_ecustom--FairValueOfWarrant_iI_p"/>
            <w:bookmarkEnd w:id="1463"/>
          </w:p>
        </w:tc>
        <w:tc>
          <w:tcPr>
            <w:tcW w:w="1228" w:type="dxa"/>
            <w:tcBorders/>
            <w:shd w:fill="CCEEFF" w:val="clear"/>
            <w:vAlign w:val="center"/>
          </w:tcPr>
          <w:p>
            <w:pPr>
              <w:pStyle w:val="TableContents"/>
              <w:bidi w:val="0"/>
              <w:spacing w:before="0" w:after="283"/>
              <w:jc w:val="right"/>
              <w:rPr/>
            </w:pPr>
            <w:r>
              <w:rPr/>
              <w:t>2.99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1464" w:name="xdx_98F_ecustom--FairValueOfWarrant_iI_p"/>
            <w:bookmarkEnd w:id="1464"/>
          </w:p>
        </w:tc>
        <w:tc>
          <w:tcPr>
            <w:tcW w:w="1516" w:type="dxa"/>
            <w:tcBorders/>
            <w:shd w:fill="CCEEFF" w:val="clear"/>
            <w:vAlign w:val="center"/>
          </w:tcPr>
          <w:p>
            <w:pPr>
              <w:pStyle w:val="TableContents"/>
              <w:bidi w:val="0"/>
              <w:spacing w:before="0" w:after="283"/>
              <w:jc w:val="right"/>
              <w:rPr/>
            </w:pPr>
            <w:r>
              <w:rPr/>
              <w:t>11.89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65" w:name="xdx_8A2_zrWvcdJPGiha"/>
      <w:bookmarkEnd w:id="14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66" w:name="xdx_891_eus-gaap--ScheduleOfStockholders"/>
      <w:bookmarkEnd w:id="1466"/>
      <w:r>
        <w:rPr>
          <w:rFonts w:ascii="Times New Roman;Times;Serif" w:hAnsi="Times New Roman;Times;Serif"/>
          <w:b w:val="false"/>
          <w:i w:val="false"/>
          <w:caps w:val="false"/>
          <w:smallCaps w:val="false"/>
          <w:sz w:val="20"/>
        </w:rPr>
        <w:t>The following table presents a roll-forward of the Company’s warrants from January 1, 2023 to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67" w:name="xdx_8B0_zBeXHweQ8xPi"/>
      <w:bookmarkEnd w:id="1467"/>
      <w:r>
        <w:rPr>
          <w:rFonts w:ascii="Times New Roman;Times;Serif" w:hAnsi="Times New Roman;Times;Serif"/>
          <w:b w:val="false"/>
          <w:i w:val="false"/>
          <w:caps w:val="false"/>
          <w:smallCaps w:val="false"/>
          <w:sz w:val="20"/>
        </w:rPr>
        <w:t>SCHEDULE OF ROLL FORWARD IN WARRANTS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0"/>
        <w:gridCol w:w="1424"/>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68" w:name="xdx_496_20230101__20230331__us-gaap--Sta"/>
            <w:bookmarkEnd w:id="1468"/>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1469" w:name="xdx_40A_eus-gaap--ShareBasedCompensation"/>
            <w:bookmarkEnd w:id="1469"/>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4,627,858</w:t>
            </w:r>
          </w:p>
        </w:tc>
        <w:tc>
          <w:tcPr>
            <w:tcW w:w="110" w:type="dxa"/>
            <w:tcBorders/>
            <w:shd w:fill="CCEEFF" w:val="clear"/>
            <w:vAlign w:val="center"/>
          </w:tcPr>
          <w:p>
            <w:pPr>
              <w:pStyle w:val="TableContents"/>
              <w:bidi w:val="0"/>
              <w:spacing w:before="0" w:after="283"/>
              <w:jc w:val="left"/>
              <w:rPr/>
            </w:pPr>
            <w:r>
              <w:rPr/>
              <w:t> </w:t>
            </w:r>
            <w:bookmarkStart w:id="1470" w:name="xdx_409_eus-gaap--ShareBasedCompensation"/>
            <w:bookmarkEnd w:id="1470"/>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(3,126,472</w:t>
            </w:r>
          </w:p>
        </w:tc>
        <w:tc>
          <w:tcPr>
            <w:tcW w:w="110" w:type="dxa"/>
            <w:tcBorders/>
            <w:shd w:fill="FFFFFF" w:val="clear"/>
            <w:vAlign w:val="center"/>
          </w:tcPr>
          <w:p>
            <w:pPr>
              <w:pStyle w:val="TableContents"/>
              <w:bidi w:val="0"/>
              <w:spacing w:before="0" w:after="283"/>
              <w:jc w:val="left"/>
              <w:rPr/>
            </w:pPr>
            <w:r>
              <w:rPr/>
              <w:t>)</w:t>
            </w:r>
            <w:bookmarkStart w:id="1471" w:name="xdx_40E_eus-gaap--ShareBasedCompensation"/>
            <w:bookmarkEnd w:id="1471"/>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pPr>
            <w:r>
              <w:rPr/>
              <w:t>1,501,386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private warrants issued, exercised and outstanding from the period January 1, 2022 through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6"/>
        <w:gridCol w:w="1418"/>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72" w:name="xdx_490_20230101__20230331__us-gaap--Sta"/>
            <w:bookmarkEnd w:id="1472"/>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1473" w:name="xdx_40A_eus-gaap--ShareBasedCompensation"/>
            <w:bookmarkEnd w:id="1473"/>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9,487,500</w:t>
            </w:r>
          </w:p>
        </w:tc>
        <w:tc>
          <w:tcPr>
            <w:tcW w:w="110" w:type="dxa"/>
            <w:tcBorders/>
            <w:shd w:fill="CCEEFF" w:val="clear"/>
            <w:vAlign w:val="center"/>
          </w:tcPr>
          <w:p>
            <w:pPr>
              <w:pStyle w:val="TableContents"/>
              <w:bidi w:val="0"/>
              <w:spacing w:before="0" w:after="283"/>
              <w:jc w:val="left"/>
              <w:rPr/>
            </w:pPr>
            <w:r>
              <w:rPr/>
              <w:t> </w:t>
            </w:r>
            <w:bookmarkStart w:id="1474" w:name="xdx_40A_eus-gaap--ShareBasedCompensation"/>
            <w:bookmarkEnd w:id="1474"/>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pPr>
            <w:r>
              <w:rPr/>
              <w:t>(64,971</w:t>
            </w:r>
          </w:p>
        </w:tc>
        <w:tc>
          <w:tcPr>
            <w:tcW w:w="110" w:type="dxa"/>
            <w:tcBorders/>
            <w:shd w:fill="FFFFFF" w:val="clear"/>
            <w:vAlign w:val="center"/>
          </w:tcPr>
          <w:p>
            <w:pPr>
              <w:pStyle w:val="TableContents"/>
              <w:bidi w:val="0"/>
              <w:spacing w:before="0" w:after="283"/>
              <w:jc w:val="left"/>
              <w:rPr/>
            </w:pPr>
            <w:r>
              <w:rPr/>
              <w:t>)</w:t>
            </w:r>
            <w:bookmarkStart w:id="1475" w:name="xdx_40E_eus-gaap--ShareBasedCompensation"/>
            <w:bookmarkEnd w:id="1475"/>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double" w:sz="6" w:space="0" w:color="000000"/>
            </w:tcBorders>
            <w:shd w:fill="CCEEFF" w:val="clear"/>
            <w:tcMar>
              <w:bottom w:w="28" w:type="dxa"/>
            </w:tcMar>
            <w:vAlign w:val="center"/>
          </w:tcPr>
          <w:p>
            <w:pPr>
              <w:pStyle w:val="TableContents"/>
              <w:bidi w:val="0"/>
              <w:spacing w:before="0" w:after="283"/>
              <w:jc w:val="right"/>
              <w:rPr/>
            </w:pPr>
            <w:r>
              <w:rPr/>
              <w:t>9,422,529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public warrants issued, exercised and outstanding from the period January 1, 2022 through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0"/>
        <w:gridCol w:w="1424"/>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76" w:name="xdx_492_20230101__20230331__us-gaap--Sta"/>
            <w:bookmarkEnd w:id="1476"/>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1477" w:name="xdx_40C_eus-gaap--ShareBasedCompensation"/>
            <w:bookmarkEnd w:id="1477"/>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2,593,056</w:t>
            </w:r>
          </w:p>
        </w:tc>
        <w:tc>
          <w:tcPr>
            <w:tcW w:w="110" w:type="dxa"/>
            <w:tcBorders/>
            <w:shd w:fill="CCEEFF" w:val="clear"/>
            <w:vAlign w:val="center"/>
          </w:tcPr>
          <w:p>
            <w:pPr>
              <w:pStyle w:val="TableContents"/>
              <w:bidi w:val="0"/>
              <w:spacing w:before="0" w:after="283"/>
              <w:jc w:val="left"/>
              <w:rPr/>
            </w:pPr>
            <w:r>
              <w:rPr/>
              <w:t> </w:t>
            </w:r>
            <w:bookmarkStart w:id="1478" w:name="xdx_404_eus-gaap--ShareBasedCompensation"/>
            <w:bookmarkEnd w:id="1478"/>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(1,250,000</w:t>
            </w:r>
          </w:p>
        </w:tc>
        <w:tc>
          <w:tcPr>
            <w:tcW w:w="110" w:type="dxa"/>
            <w:tcBorders/>
            <w:shd w:fill="FFFFFF" w:val="clear"/>
            <w:vAlign w:val="center"/>
          </w:tcPr>
          <w:p>
            <w:pPr>
              <w:pStyle w:val="TableContents"/>
              <w:bidi w:val="0"/>
              <w:spacing w:before="0" w:after="283"/>
              <w:jc w:val="left"/>
              <w:rPr/>
            </w:pPr>
            <w:r>
              <w:rPr/>
              <w:t>)</w:t>
            </w:r>
            <w:bookmarkStart w:id="1479" w:name="xdx_40A_eus-gaap--ShareBasedCompensation"/>
            <w:bookmarkEnd w:id="1479"/>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pPr>
            <w:r>
              <w:rPr/>
              <w:t>1,343,056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term loan warrants issued, exercised and outstanding from the period January 1, 2022 through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 forward of the aggregate fair values of the Company’s warrant liabilities for which fair value is determined by Level 3 Inputs. The only class of warrants that were determined to be Level 3 are the term loan warrants.</w:t>
      </w:r>
    </w:p>
    <w:p>
      <w:pPr>
        <w:pStyle w:val="TextBody"/>
        <w:bidi w:val="0"/>
        <w:spacing w:before="0" w:after="0"/>
        <w:ind w:left="0" w:right="0" w:hanging="0"/>
        <w:jc w:val="both"/>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80" w:name="xdx_49F_20230101__20230331__us-gaap--Sta"/>
            <w:bookmarkEnd w:id="1480"/>
          </w:p>
        </w:tc>
        <w:tc>
          <w:tcPr>
            <w:tcW w:w="1639" w:type="dxa"/>
            <w:gridSpan w:val="2"/>
            <w:tcBorders>
              <w:bottom w:val="single" w:sz="12" w:space="0" w:color="000000"/>
            </w:tcBorders>
            <w:tcMar>
              <w:bottom w:w="28" w:type="dxa"/>
            </w:tcMar>
            <w:vAlign w:val="center"/>
          </w:tcPr>
          <w:p>
            <w:pPr>
              <w:pStyle w:val="TableContents"/>
              <w:bidi w:val="0"/>
              <w:spacing w:before="0" w:after="283"/>
              <w:jc w:val="center"/>
              <w:rPr/>
            </w:pPr>
            <w:r>
              <w:rPr/>
              <w:t>Warrant Liability</w:t>
            </w:r>
          </w:p>
        </w:tc>
        <w:tc>
          <w:tcPr>
            <w:tcW w:w="110" w:type="dxa"/>
            <w:tcBorders/>
            <w:vAlign w:val="center"/>
          </w:tcPr>
          <w:p>
            <w:pPr>
              <w:pStyle w:val="TableContents"/>
              <w:bidi w:val="0"/>
              <w:spacing w:before="0" w:after="283"/>
              <w:jc w:val="left"/>
              <w:rPr/>
            </w:pPr>
            <w:r>
              <w:rPr/>
              <w:t> </w:t>
            </w:r>
            <w:bookmarkStart w:id="1481" w:name="xdx_400_eus-gaap--SharesSubjectToMandato"/>
            <w:bookmarkEnd w:id="1481"/>
          </w:p>
        </w:tc>
      </w:tr>
      <w:tr>
        <w:trPr/>
        <w:tc>
          <w:tcPr>
            <w:tcW w:w="3080"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30,841</w:t>
            </w:r>
          </w:p>
        </w:tc>
        <w:tc>
          <w:tcPr>
            <w:tcW w:w="110" w:type="dxa"/>
            <w:tcBorders/>
            <w:shd w:fill="CCEEFF" w:val="clear"/>
            <w:vAlign w:val="center"/>
          </w:tcPr>
          <w:p>
            <w:pPr>
              <w:pStyle w:val="TableContents"/>
              <w:bidi w:val="0"/>
              <w:spacing w:before="0" w:after="283"/>
              <w:jc w:val="left"/>
              <w:rPr/>
            </w:pPr>
            <w:r>
              <w:rPr/>
              <w:t> </w:t>
            </w:r>
            <w:bookmarkStart w:id="1482" w:name="xdx_40A_ecustom--ExerciseOfWarrants_iN_p"/>
            <w:bookmarkEnd w:id="1482"/>
          </w:p>
        </w:tc>
      </w:tr>
      <w:tr>
        <w:trPr/>
        <w:tc>
          <w:tcPr>
            <w:tcW w:w="308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(8,822</w:t>
            </w:r>
          </w:p>
        </w:tc>
        <w:tc>
          <w:tcPr>
            <w:tcW w:w="110" w:type="dxa"/>
            <w:tcBorders/>
            <w:shd w:fill="FFFFFF" w:val="clear"/>
            <w:vAlign w:val="center"/>
          </w:tcPr>
          <w:p>
            <w:pPr>
              <w:pStyle w:val="TableContents"/>
              <w:bidi w:val="0"/>
              <w:spacing w:before="0" w:after="283"/>
              <w:jc w:val="left"/>
              <w:rPr/>
            </w:pPr>
            <w:r>
              <w:rPr/>
              <w:t>)</w:t>
            </w:r>
            <w:bookmarkStart w:id="1483" w:name="xdx_407_eus-gaap--FairValueAdjustmentOfW"/>
            <w:bookmarkEnd w:id="1483"/>
          </w:p>
        </w:tc>
      </w:tr>
      <w:tr>
        <w:trPr/>
        <w:tc>
          <w:tcPr>
            <w:tcW w:w="3080" w:type="dxa"/>
            <w:tcBorders/>
            <w:shd w:fill="CCEEFF" w:val="clear"/>
            <w:vAlign w:val="center"/>
          </w:tcPr>
          <w:p>
            <w:pPr>
              <w:pStyle w:val="TableContents"/>
              <w:bidi w:val="0"/>
              <w:spacing w:before="0" w:after="283"/>
              <w:jc w:val="both"/>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(17,998</w:t>
            </w:r>
          </w:p>
        </w:tc>
        <w:tc>
          <w:tcPr>
            <w:tcW w:w="110" w:type="dxa"/>
            <w:tcBorders/>
            <w:shd w:fill="CCEEFF" w:val="clear"/>
            <w:vAlign w:val="center"/>
          </w:tcPr>
          <w:p>
            <w:pPr>
              <w:pStyle w:val="TableContents"/>
              <w:bidi w:val="0"/>
              <w:spacing w:before="0" w:after="283"/>
              <w:jc w:val="left"/>
              <w:rPr/>
            </w:pPr>
            <w:r>
              <w:rPr/>
              <w:t>)</w:t>
            </w:r>
            <w:bookmarkStart w:id="1484" w:name="xdx_404_eus-gaap--SharesSubjectToMandato"/>
            <w:bookmarkEnd w:id="1484"/>
          </w:p>
        </w:tc>
      </w:tr>
      <w:tr>
        <w:trPr/>
        <w:tc>
          <w:tcPr>
            <w:tcW w:w="3080" w:type="dxa"/>
            <w:tcBorders/>
            <w:shd w:fill="FFFFFF" w:val="clear"/>
            <w:vAlign w:val="center"/>
          </w:tcPr>
          <w:p>
            <w:pPr>
              <w:pStyle w:val="TableContents"/>
              <w:bidi w:val="0"/>
              <w:spacing w:before="0" w:after="283"/>
              <w:jc w:val="both"/>
              <w:rPr/>
            </w:pPr>
            <w:r>
              <w:rPr/>
              <w:t>Balances, March 31, 2023</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4,021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85" w:name="xdx_8A2_z5fchmM6Avzh"/>
      <w:bookmarkEnd w:id="148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86" w:name="xdx_801_eus-gaap--StockholdersEquityNote"/>
      <w:bookmarkEnd w:id="1486"/>
      <w:r>
        <w:rPr>
          <w:rFonts w:ascii="Times New Roman;Times;Serif" w:hAnsi="Times New Roman;Times;Serif"/>
          <w:b/>
          <w:i w:val="false"/>
          <w:caps/>
          <w:sz w:val="20"/>
        </w:rPr>
        <w:t xml:space="preserve">NOTE 10 - </w:t>
      </w:r>
      <w:bookmarkStart w:id="1487" w:name="xdx_822_ztE5lCQZE5Nf"/>
      <w:bookmarkEnd w:id="1487"/>
      <w:r>
        <w:rPr>
          <w:rFonts w:ascii="Times New Roman;Times;Serif" w:hAnsi="Times New Roman;Times;Serif"/>
          <w:b/>
          <w:i w:val="false"/>
          <w:caps/>
          <w:sz w:val="20"/>
        </w:rPr>
        <w:t>COMMON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w:t>
      </w:r>
      <w:bookmarkStart w:id="1488" w:name="xdx_90F_eus-gaap--CommonStockSharesAutho"/>
      <w:bookmarkEnd w:id="1488"/>
      <w:r>
        <w:rPr>
          <w:rFonts w:ascii="Times New Roman;Times;Serif" w:hAnsi="Times New Roman;Times;Serif"/>
          <w:b w:val="false"/>
          <w:i w:val="false"/>
          <w:caps w:val="false"/>
          <w:smallCaps w:val="false"/>
          <w:sz w:val="20"/>
        </w:rPr>
        <w:t>170,000,000 shares of common stock with $</w:t>
      </w:r>
      <w:bookmarkStart w:id="1489" w:name="xdx_909_eus-gaap--CommonStockParOrStated"/>
      <w:bookmarkEnd w:id="1489"/>
      <w:r>
        <w:rPr>
          <w:rFonts w:ascii="Times New Roman;Times;Serif" w:hAnsi="Times New Roman;Times;Serif"/>
          <w:b w:val="false"/>
          <w:i w:val="false"/>
          <w:caps w:val="false"/>
          <w:smallCaps w:val="false"/>
          <w:sz w:val="20"/>
        </w:rPr>
        <w:t>0.0001 par value. Common stockholders are entitled to dividends if and when declared by the Board of Directors subject to the rights of the preferred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90" w:name="xdx_899_ecustom--SummaryOfReservedShares"/>
      <w:bookmarkEnd w:id="1490"/>
      <w:r>
        <w:rPr>
          <w:rFonts w:ascii="Times New Roman;Times;Serif" w:hAnsi="Times New Roman;Times;Serif"/>
          <w:b w:val="false"/>
          <w:i w:val="false"/>
          <w:caps w:val="false"/>
          <w:smallCaps w:val="false"/>
          <w:sz w:val="20"/>
        </w:rPr>
        <w:t>For the three months ended March 31, 2023 and 2022, the Company had reserved shares of common stock for issuance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91" w:name="xdx_8B6_zvGq0t1dEtV8"/>
      <w:bookmarkEnd w:id="1491"/>
      <w:r>
        <w:rPr>
          <w:rFonts w:ascii="Times New Roman;Times;Serif" w:hAnsi="Times New Roman;Times;Serif"/>
          <w:b w:val="false"/>
          <w:i w:val="false"/>
          <w:caps w:val="false"/>
          <w:smallCaps w:val="false"/>
          <w:sz w:val="20"/>
        </w:rPr>
        <w:t>SUMMARY OF RESERVED SHARES OF COMMON STOCK FOR ISSUANCE </w:t>
      </w:r>
    </w:p>
    <w:tbl>
      <w:tblPr>
        <w:tblW w:w="6688" w:type="dxa"/>
        <w:jc w:val="left"/>
        <w:tblInd w:w="0" w:type="dxa"/>
        <w:tblLayout w:type="fixed"/>
        <w:tblCellMar>
          <w:top w:w="0" w:type="dxa"/>
          <w:left w:w="0" w:type="dxa"/>
          <w:bottom w:w="0" w:type="dxa"/>
          <w:right w:w="0" w:type="dxa"/>
        </w:tblCellMar>
      </w:tblPr>
      <w:tblGrid>
        <w:gridCol w:w="3365"/>
        <w:gridCol w:w="60"/>
        <w:gridCol w:w="71"/>
        <w:gridCol w:w="1463"/>
        <w:gridCol w:w="60"/>
        <w:gridCol w:w="60"/>
        <w:gridCol w:w="79"/>
        <w:gridCol w:w="1455"/>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2" w:name="xdx_495_20230331_zoaQ6IzTuZCd"/>
            <w:bookmarkEnd w:id="1492"/>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3" w:name="xdx_49B_20220331_zRUL0DM0oX6e"/>
            <w:bookmarkEnd w:id="1493"/>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75" w:type="dxa"/>
            <w:tcBorders/>
            <w:vAlign w:val="center"/>
          </w:tcPr>
          <w:p>
            <w:pPr>
              <w:pStyle w:val="TableContents"/>
              <w:bidi w:val="0"/>
              <w:spacing w:before="0" w:after="283"/>
              <w:jc w:val="left"/>
              <w:rPr/>
            </w:pPr>
            <w:r>
              <w:rPr/>
              <w:t> </w:t>
            </w:r>
            <w:bookmarkStart w:id="1494" w:name="xdx_40E_eus-gaap--ShareBasedCompensation"/>
            <w:bookmarkEnd w:id="1494"/>
          </w:p>
        </w:tc>
      </w:tr>
      <w:tr>
        <w:trPr/>
        <w:tc>
          <w:tcPr>
            <w:tcW w:w="3365" w:type="dxa"/>
            <w:tcBorders/>
            <w:shd w:fill="CCEEFF" w:val="clear"/>
            <w:vAlign w:val="center"/>
          </w:tcPr>
          <w:p>
            <w:pPr>
              <w:pStyle w:val="TableContents"/>
              <w:bidi w:val="0"/>
              <w:spacing w:before="0" w:after="283"/>
              <w:jc w:val="left"/>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3,731,392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3,631,002</w:t>
            </w:r>
          </w:p>
        </w:tc>
        <w:tc>
          <w:tcPr>
            <w:tcW w:w="75" w:type="dxa"/>
            <w:tcBorders/>
            <w:shd w:fill="CCEEFF" w:val="clear"/>
            <w:vAlign w:val="center"/>
          </w:tcPr>
          <w:p>
            <w:pPr>
              <w:pStyle w:val="TableContents"/>
              <w:bidi w:val="0"/>
              <w:spacing w:before="0" w:after="283"/>
              <w:jc w:val="left"/>
              <w:rPr/>
            </w:pPr>
            <w:r>
              <w:rPr/>
              <w:t> </w:t>
            </w:r>
            <w:bookmarkStart w:id="1495" w:name="xdx_40F_eus-gaap--CommonStockSharesOutst"/>
            <w:bookmarkEnd w:id="1495"/>
          </w:p>
        </w:tc>
      </w:tr>
      <w:tr>
        <w:trPr/>
        <w:tc>
          <w:tcPr>
            <w:tcW w:w="3365" w:type="dxa"/>
            <w:tcBorders/>
            <w:shd w:fill="FFFFFF" w:val="clear"/>
            <w:vAlign w:val="center"/>
          </w:tcPr>
          <w:p>
            <w:pPr>
              <w:pStyle w:val="TableContents"/>
              <w:bidi w:val="0"/>
              <w:spacing w:before="0" w:after="283"/>
              <w:jc w:val="left"/>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36,581,910</w:t>
            </w:r>
          </w:p>
        </w:tc>
        <w:tc>
          <w:tcPr>
            <w:tcW w:w="75" w:type="dxa"/>
            <w:tcBorders/>
            <w:shd w:fill="FFFFFF" w:val="clear"/>
            <w:vAlign w:val="center"/>
          </w:tcPr>
          <w:p>
            <w:pPr>
              <w:pStyle w:val="TableContents"/>
              <w:bidi w:val="0"/>
              <w:spacing w:before="0" w:after="283"/>
              <w:jc w:val="left"/>
              <w:rPr/>
            </w:pPr>
            <w:r>
              <w:rPr/>
              <w:t> </w:t>
            </w:r>
            <w:bookmarkStart w:id="1496" w:name="xdx_406_eus-gaap--ClassOfWarrantOrRightO"/>
            <w:bookmarkEnd w:id="1496"/>
          </w:p>
        </w:tc>
      </w:tr>
      <w:tr>
        <w:trPr/>
        <w:tc>
          <w:tcPr>
            <w:tcW w:w="3365" w:type="dxa"/>
            <w:tcBorders/>
            <w:shd w:fill="CCEEFF" w:val="clear"/>
            <w:vAlign w:val="center"/>
          </w:tcPr>
          <w:p>
            <w:pPr>
              <w:pStyle w:val="TableContents"/>
              <w:bidi w:val="0"/>
              <w:spacing w:before="0" w:after="283"/>
              <w:jc w:val="left"/>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12,266,971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497" w:name="xdx_403_ecustom--EarnoutShares_iI_pid_zr"/>
            <w:bookmarkEnd w:id="1497"/>
          </w:p>
        </w:tc>
      </w:tr>
      <w:tr>
        <w:trPr/>
        <w:tc>
          <w:tcPr>
            <w:tcW w:w="3365" w:type="dxa"/>
            <w:tcBorders/>
            <w:shd w:fill="FFFFFF" w:val="clear"/>
            <w:vAlign w:val="center"/>
          </w:tcPr>
          <w:p>
            <w:pPr>
              <w:pStyle w:val="TableContents"/>
              <w:bidi w:val="0"/>
              <w:spacing w:before="0" w:after="283"/>
              <w:jc w:val="left"/>
              <w:rPr/>
            </w:pPr>
            <w:r>
              <w:rPr/>
              <w:t>Earnout shares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498" w:name="xdx_40D_eus-gaap--ShareBasedCompensation"/>
            <w:bookmarkEnd w:id="1498"/>
          </w:p>
        </w:tc>
      </w:tr>
      <w:tr>
        <w:trPr/>
        <w:tc>
          <w:tcPr>
            <w:tcW w:w="3365" w:type="dxa"/>
            <w:tcBorders/>
            <w:shd w:fill="CCEEFF" w:val="clear"/>
            <w:vAlign w:val="center"/>
          </w:tcPr>
          <w:p>
            <w:pPr>
              <w:pStyle w:val="TableContents"/>
              <w:bidi w:val="0"/>
              <w:spacing w:before="0" w:after="283"/>
              <w:jc w:val="left"/>
              <w:rPr/>
            </w:pPr>
            <w:r>
              <w:rPr/>
              <w:t>Shares available for future issuance</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12" w:space="0" w:color="000000"/>
            </w:tcBorders>
            <w:shd w:fill="CCEEFF" w:val="clear"/>
            <w:tcMar>
              <w:bottom w:w="28" w:type="dxa"/>
            </w:tcMar>
            <w:vAlign w:val="center"/>
          </w:tcPr>
          <w:p>
            <w:pPr>
              <w:pStyle w:val="TableContents"/>
              <w:bidi w:val="0"/>
              <w:spacing w:before="0" w:after="283"/>
              <w:jc w:val="right"/>
              <w:rPr/>
            </w:pPr>
            <w:r>
              <w:rPr/>
              <w:t>4,319,309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1,205,790</w:t>
            </w:r>
          </w:p>
        </w:tc>
        <w:tc>
          <w:tcPr>
            <w:tcW w:w="75" w:type="dxa"/>
            <w:tcBorders/>
            <w:shd w:fill="CCEEFF" w:val="clear"/>
            <w:vAlign w:val="center"/>
          </w:tcPr>
          <w:p>
            <w:pPr>
              <w:pStyle w:val="TableContents"/>
              <w:bidi w:val="0"/>
              <w:spacing w:before="0" w:after="283"/>
              <w:jc w:val="left"/>
              <w:rPr/>
            </w:pPr>
            <w:r>
              <w:rPr/>
              <w:t> </w:t>
            </w:r>
            <w:bookmarkStart w:id="1499" w:name="xdx_40E_eus-gaap--CommonStockCapitalShar"/>
            <w:bookmarkEnd w:id="1499"/>
          </w:p>
        </w:tc>
      </w:tr>
      <w:tr>
        <w:trPr/>
        <w:tc>
          <w:tcPr>
            <w:tcW w:w="33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double" w:sz="6" w:space="0" w:color="000000"/>
            </w:tcBorders>
            <w:shd w:fill="FFFFFF" w:val="clear"/>
            <w:tcMar>
              <w:bottom w:w="28" w:type="dxa"/>
            </w:tcMar>
            <w:vAlign w:val="center"/>
          </w:tcPr>
          <w:p>
            <w:pPr>
              <w:pStyle w:val="TableContents"/>
              <w:bidi w:val="0"/>
              <w:spacing w:before="0" w:after="283"/>
              <w:jc w:val="right"/>
              <w:rPr/>
            </w:pPr>
            <w:r>
              <w:rPr/>
              <w:t>106,113,174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double" w:sz="6" w:space="0" w:color="000000"/>
            </w:tcBorders>
            <w:shd w:fill="FFFFFF" w:val="clear"/>
            <w:tcMar>
              <w:bottom w:w="28" w:type="dxa"/>
            </w:tcMar>
            <w:vAlign w:val="center"/>
          </w:tcPr>
          <w:p>
            <w:pPr>
              <w:pStyle w:val="TableContents"/>
              <w:bidi w:val="0"/>
              <w:spacing w:before="0" w:after="283"/>
              <w:jc w:val="right"/>
              <w:rPr/>
            </w:pPr>
            <w:r>
              <w:rPr/>
              <w:t>41,418,702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00" w:name="xdx_8AD_zk3GHsjO0wDa"/>
      <w:bookmarkEnd w:id="1500"/>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w:t>
      </w:r>
      <w:bookmarkStart w:id="1501" w:name="xdx_909_ecustom--PlanOfMergerMaximumAggr"/>
      <w:bookmarkEnd w:id="1501"/>
      <w:r>
        <w:rPr>
          <w:rFonts w:ascii="Times New Roman;Times;Serif" w:hAnsi="Times New Roman;Times;Serif"/>
          <w:b w:val="false"/>
          <w:i w:val="false"/>
          <w:caps w:val="false"/>
          <w:smallCaps w:val="false"/>
          <w:sz w:val="20"/>
        </w:rPr>
        <w:t xml:space="preserve">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w:t>
      </w:r>
      <w:bookmarkStart w:id="1502" w:name="xdx_903_eus-gaap--StockIssuedDuringPerio"/>
      <w:bookmarkEnd w:id="1502"/>
      <w:r>
        <w:rPr>
          <w:rFonts w:ascii="Times New Roman;Times;Serif" w:hAnsi="Times New Roman;Times;Serif"/>
          <w:b w:val="false"/>
          <w:i w:val="false"/>
          <w:caps w:val="false"/>
          <w:smallCaps w:val="false"/>
          <w:sz w:val="20"/>
        </w:rPr>
        <w:t>73,500 shares pursuant to the Purchase Agreement with CCM LLC for aggregate net proceeds to the Company of $</w:t>
      </w:r>
      <w:bookmarkStart w:id="1503" w:name="xdx_902_eus-gaap--ProceedsFromIssuanceOf"/>
      <w:bookmarkEnd w:id="1503"/>
      <w:r>
        <w:rPr>
          <w:rFonts w:ascii="Times New Roman;Times;Serif" w:hAnsi="Times New Roman;Times;Serif"/>
          <w:b w:val="false"/>
          <w:i w:val="false"/>
          <w:caps w:val="false"/>
          <w:smallCaps w:val="false"/>
          <w:sz w:val="20"/>
        </w:rPr>
        <w:t>597 from the period January 1, 2023 through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504" w:name="xdx_80E_eus-gaap--DisclosureOfCompensati"/>
      <w:bookmarkEnd w:id="1504"/>
      <w:r>
        <w:rPr>
          <w:rFonts w:ascii="Times New Roman;Times;Serif" w:hAnsi="Times New Roman;Times;Serif"/>
          <w:b/>
          <w:i w:val="false"/>
          <w:caps/>
          <w:sz w:val="20"/>
        </w:rPr>
        <w:t xml:space="preserve">NOTE 11 - </w:t>
      </w:r>
      <w:bookmarkStart w:id="1505" w:name="xdx_82F_z4shRzZzMUWd"/>
      <w:bookmarkEnd w:id="1505"/>
      <w:r>
        <w:rPr>
          <w:rFonts w:ascii="Times New Roman;Times;Serif" w:hAnsi="Times New Roman;Times;Serif"/>
          <w:b/>
          <w:i w:val="false"/>
          <w:caps/>
          <w:sz w:val="20"/>
        </w:rPr>
        <w:t>STOCK-BASED COMPENSATION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1506" w:name="xdx_905_eus-gaap--AllocatedShareBasedCom"/>
      <w:bookmarkEnd w:id="1506"/>
      <w:r>
        <w:rPr>
          <w:rFonts w:ascii="Times New Roman;Times;Serif" w:hAnsi="Times New Roman;Times;Serif"/>
          <w:b w:val="false"/>
          <w:i w:val="false"/>
          <w:caps w:val="false"/>
          <w:smallCaps w:val="false"/>
          <w:sz w:val="20"/>
        </w:rPr>
        <w:t>4,487 and $</w:t>
      </w:r>
      <w:bookmarkStart w:id="1507" w:name="xdx_902_eus-gaap--AllocatedShareBasedCom"/>
      <w:bookmarkEnd w:id="1507"/>
      <w:r>
        <w:rPr>
          <w:rFonts w:ascii="Times New Roman;Times;Serif" w:hAnsi="Times New Roman;Times;Serif"/>
          <w:b w:val="false"/>
          <w:i w:val="false"/>
          <w:caps w:val="false"/>
          <w:smallCaps w:val="false"/>
          <w:sz w:val="20"/>
        </w:rPr>
        <w:t>288 was recognized in the Company’s consolidated statements of operations for the three months ended March 31, 2023 and 2022, respectively. Of the $</w:t>
      </w:r>
      <w:bookmarkStart w:id="1508" w:name="xdx_905_eus-gaap--AllocatedShareBasedCom"/>
      <w:bookmarkEnd w:id="1508"/>
      <w:r>
        <w:rPr>
          <w:rFonts w:ascii="Times New Roman;Times;Serif" w:hAnsi="Times New Roman;Times;Serif"/>
          <w:b w:val="false"/>
          <w:i w:val="false"/>
          <w:caps w:val="false"/>
          <w:smallCaps w:val="false"/>
          <w:sz w:val="20"/>
        </w:rPr>
        <w:t>4,487 of share-based compensation incurred during the three months ended March 31, 2023, $</w:t>
      </w:r>
      <w:bookmarkStart w:id="1509" w:name="xdx_902_eus-gaap--AllocatedShareBasedCom"/>
      <w:bookmarkEnd w:id="1509"/>
      <w:r>
        <w:rPr>
          <w:rFonts w:ascii="Times New Roman;Times;Serif" w:hAnsi="Times New Roman;Times;Serif"/>
          <w:b w:val="false"/>
          <w:i w:val="false"/>
          <w:caps w:val="false"/>
          <w:smallCaps w:val="false"/>
          <w:sz w:val="20"/>
        </w:rPr>
        <w:t>36 is allocated to cost of goods sold, $</w:t>
      </w:r>
      <w:bookmarkStart w:id="1510" w:name="xdx_90A_eus-gaap--AllocatedShareBasedCom"/>
      <w:bookmarkEnd w:id="1510"/>
      <w:r>
        <w:rPr>
          <w:rFonts w:ascii="Times New Roman;Times;Serif" w:hAnsi="Times New Roman;Times;Serif"/>
          <w:b w:val="false"/>
          <w:i w:val="false"/>
          <w:caps w:val="false"/>
          <w:smallCaps w:val="false"/>
          <w:sz w:val="20"/>
        </w:rPr>
        <w:t>29 to research and development, $</w:t>
      </w:r>
      <w:bookmarkStart w:id="1511" w:name="xdx_901_eus-gaap--AllocatedShareBasedCom"/>
      <w:bookmarkEnd w:id="1511"/>
      <w:r>
        <w:rPr>
          <w:rFonts w:ascii="Times New Roman;Times;Serif" w:hAnsi="Times New Roman;Times;Serif"/>
          <w:b w:val="false"/>
          <w:i w:val="false"/>
          <w:caps w:val="false"/>
          <w:smallCaps w:val="false"/>
          <w:sz w:val="20"/>
        </w:rPr>
        <w:t>856 to selling and marketing, and $</w:t>
      </w:r>
      <w:bookmarkStart w:id="1512" w:name="xdx_906_eus-gaap--AllocatedShareBasedCom"/>
      <w:bookmarkEnd w:id="1512"/>
      <w:r>
        <w:rPr>
          <w:rFonts w:ascii="Times New Roman;Times;Serif" w:hAnsi="Times New Roman;Times;Serif"/>
          <w:b w:val="false"/>
          <w:i w:val="false"/>
          <w:caps w:val="false"/>
          <w:smallCaps w:val="false"/>
          <w:sz w:val="20"/>
        </w:rPr>
        <w:t>3,566 to general and administrative expenses. Of the $</w:t>
      </w:r>
      <w:bookmarkStart w:id="1513" w:name="xdx_90B_eus-gaap--AllocatedShareBasedCom"/>
      <w:bookmarkEnd w:id="1513"/>
      <w:r>
        <w:rPr>
          <w:rFonts w:ascii="Times New Roman;Times;Serif" w:hAnsi="Times New Roman;Times;Serif"/>
          <w:b w:val="false"/>
          <w:i w:val="false"/>
          <w:caps w:val="false"/>
          <w:smallCaps w:val="false"/>
          <w:sz w:val="20"/>
        </w:rPr>
        <w:t>288 of share-based compensation incurred during the three months ended March 31, 2022, $</w:t>
      </w:r>
      <w:bookmarkStart w:id="1514" w:name="xdx_904_eus-gaap--AllocatedShareBasedCom"/>
      <w:bookmarkEnd w:id="1514"/>
      <w:r>
        <w:rPr>
          <w:rFonts w:ascii="Times New Roman;Times;Serif" w:hAnsi="Times New Roman;Times;Serif"/>
          <w:b w:val="false"/>
          <w:i w:val="false"/>
          <w:caps w:val="false"/>
          <w:smallCaps w:val="false"/>
          <w:sz w:val="20"/>
        </w:rPr>
        <w:t>97 is allocated to cost of goods sold, $</w:t>
      </w:r>
      <w:bookmarkStart w:id="1515" w:name="xdx_90F_eus-gaap--AllocatedShareBasedCom"/>
      <w:bookmarkEnd w:id="1515"/>
      <w:r>
        <w:rPr>
          <w:rFonts w:ascii="Times New Roman;Times;Serif" w:hAnsi="Times New Roman;Times;Serif"/>
          <w:b w:val="false"/>
          <w:i w:val="false"/>
          <w:caps w:val="false"/>
          <w:smallCaps w:val="false"/>
          <w:sz w:val="20"/>
        </w:rPr>
        <w:t>37 to research and development, $</w:t>
      </w:r>
      <w:bookmarkStart w:id="1516" w:name="xdx_901_eus-gaap--AllocatedShareBasedCom"/>
      <w:bookmarkEnd w:id="1516"/>
      <w:r>
        <w:rPr>
          <w:rFonts w:ascii="Times New Roman;Times;Serif" w:hAnsi="Times New Roman;Times;Serif"/>
          <w:b w:val="false"/>
          <w:i w:val="false"/>
          <w:caps w:val="false"/>
          <w:smallCaps w:val="false"/>
          <w:sz w:val="20"/>
        </w:rPr>
        <w:t>60 to selling and marketing, and $</w:t>
      </w:r>
      <w:bookmarkStart w:id="1517" w:name="xdx_90E_eus-gaap--AllocatedShareBasedCom"/>
      <w:bookmarkEnd w:id="1517"/>
      <w:r>
        <w:rPr>
          <w:rFonts w:ascii="Times New Roman;Times;Serif" w:hAnsi="Times New Roman;Times;Serif"/>
          <w:b w:val="false"/>
          <w:i w:val="false"/>
          <w:caps w:val="false"/>
          <w:smallCaps w:val="false"/>
          <w:sz w:val="20"/>
        </w:rPr>
        <w:t>94 to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18" w:name="xdx_892_eus-gaap--ScheduleOfShareBasedCo"/>
      <w:bookmarkEnd w:id="1518"/>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19" w:name="xdx_8B0_zPNjKyC1i9b1"/>
      <w:bookmarkEnd w:id="1519"/>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386"/>
        <w:gridCol w:w="60"/>
        <w:gridCol w:w="60"/>
        <w:gridCol w:w="980"/>
        <w:gridCol w:w="95"/>
        <w:gridCol w:w="60"/>
        <w:gridCol w:w="215"/>
        <w:gridCol w:w="1605"/>
        <w:gridCol w:w="60"/>
        <w:gridCol w:w="60"/>
        <w:gridCol w:w="240"/>
        <w:gridCol w:w="1580"/>
        <w:gridCol w:w="60"/>
        <w:gridCol w:w="60"/>
        <w:gridCol w:w="181"/>
        <w:gridCol w:w="2243"/>
        <w:gridCol w:w="60"/>
        <w:gridCol w:w="60"/>
        <w:gridCol w:w="181"/>
        <w:gridCol w:w="883"/>
        <w:gridCol w:w="76"/>
      </w:tblGrid>
      <w:tr>
        <w:trPr/>
        <w:tc>
          <w:tcPr>
            <w:tcW w:w="1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w:t>
            </w:r>
            <w:bookmarkStart w:id="1520" w:name="xdx_F5B_zOgfIDlBTjZe"/>
            <w:bookmarkEnd w:id="1520"/>
            <w:r>
              <w:rPr>
                <w:rFonts w:ascii="Times New Roman;Times;Serif" w:hAnsi="Times New Roman;Times;Serif"/>
                <w:b w:val="false"/>
                <w:i w:val="false"/>
                <w:caps w:val="false"/>
                <w:smallCaps w:val="false"/>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spacing w:before="0" w:after="283"/>
              <w:jc w:val="center"/>
              <w:rPr/>
            </w:pPr>
            <w:r>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jc w:val="center"/>
              <w:rPr/>
            </w:pPr>
            <w:r>
              <w:rPr/>
              <w:t>Grant</w:t>
            </w:r>
          </w:p>
          <w:p>
            <w:pPr>
              <w:pStyle w:val="TableContents"/>
              <w:bidi w:val="0"/>
              <w:jc w:val="center"/>
              <w:rPr/>
            </w:pPr>
            <w:r>
              <w:rPr/>
              <w:t>Date Fair</w:t>
            </w:r>
          </w:p>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4" w:type="dxa"/>
            <w:gridSpan w:val="2"/>
            <w:tcBorders>
              <w:bottom w:val="single" w:sz="12" w:space="0" w:color="000000"/>
            </w:tcBorders>
            <w:tcMar>
              <w:bottom w:w="30" w:type="dxa"/>
            </w:tcMar>
            <w:vAlign w:val="center"/>
          </w:tcPr>
          <w:p>
            <w:pPr>
              <w:pStyle w:val="TableContents"/>
              <w:bidi w:val="0"/>
              <w:spacing w:before="0" w:after="283"/>
              <w:jc w:val="center"/>
              <w:rPr/>
            </w:pPr>
            <w:r>
              <w:rPr/>
              <w:t>Weighted-Average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jc w:val="center"/>
              <w:rPr/>
            </w:pPr>
            <w:r>
              <w:rPr/>
              <w:t>Aggregate</w:t>
            </w:r>
          </w:p>
          <w:p>
            <w:pPr>
              <w:pStyle w:val="TableContents"/>
              <w:bidi w:val="0"/>
              <w:spacing w:before="0" w:after="283"/>
              <w:jc w:val="center"/>
              <w:rPr/>
            </w:pPr>
            <w:r>
              <w:rPr/>
              <w:t>intrinsic value</w:t>
            </w:r>
          </w:p>
        </w:tc>
        <w:tc>
          <w:tcPr>
            <w:tcW w:w="76" w:type="dxa"/>
            <w:tcBorders/>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1" w:name="xdx_98B_eus-gaap--ShareBasedCompensation"/>
            <w:bookmarkEnd w:id="1521"/>
          </w:p>
        </w:tc>
        <w:tc>
          <w:tcPr>
            <w:tcW w:w="980" w:type="dxa"/>
            <w:tcBorders/>
            <w:shd w:fill="CCEEFF" w:val="clear"/>
            <w:vAlign w:val="center"/>
          </w:tcPr>
          <w:p>
            <w:pPr>
              <w:pStyle w:val="TableContents"/>
              <w:bidi w:val="0"/>
              <w:spacing w:before="0" w:after="283"/>
              <w:jc w:val="right"/>
              <w:rPr/>
            </w:pPr>
            <w:r>
              <w:rPr/>
              <w:t>3,690,955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522" w:name="xdx_984_eus-gaap--ShareBasedCompensation"/>
            <w:bookmarkEnd w:id="1522"/>
          </w:p>
        </w:tc>
        <w:tc>
          <w:tcPr>
            <w:tcW w:w="1605" w:type="dxa"/>
            <w:tcBorders/>
            <w:shd w:fill="CCEEFF" w:val="clear"/>
            <w:vAlign w:val="center"/>
          </w:tcPr>
          <w:p>
            <w:pPr>
              <w:pStyle w:val="TableContents"/>
              <w:bidi w:val="0"/>
              <w:spacing w:before="0" w:after="283"/>
              <w:jc w:val="right"/>
              <w:rPr/>
            </w:pPr>
            <w:r>
              <w:rPr/>
              <w:t>          </w:t>
            </w: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1523" w:name="xdx_98F_eus-gaap--SharebasedCompensation"/>
            <w:bookmarkEnd w:id="1523"/>
          </w:p>
        </w:tc>
        <w:tc>
          <w:tcPr>
            <w:tcW w:w="1580" w:type="dxa"/>
            <w:tcBorders/>
            <w:shd w:fill="CCEEFF" w:val="clear"/>
            <w:vAlign w:val="center"/>
          </w:tcPr>
          <w:p>
            <w:pPr>
              <w:pStyle w:val="TableContents"/>
              <w:bidi w:val="0"/>
              <w:spacing w:before="0" w:after="283"/>
              <w:jc w:val="right"/>
              <w:rPr/>
            </w:pPr>
            <w:r>
              <w:rPr/>
              <w:t>        </w:t>
            </w: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bookmarkStart w:id="1524" w:name="xdx_90E_ecustom--SharebasedCompensationA"/>
            <w:bookmarkEnd w:id="1524"/>
            <w:r>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1525" w:name="xdx_983_eus-gaap--ShareBasedCompensation"/>
            <w:bookmarkEnd w:id="1525"/>
          </w:p>
        </w:tc>
        <w:tc>
          <w:tcPr>
            <w:tcW w:w="883" w:type="dxa"/>
            <w:tcBorders/>
            <w:shd w:fill="CCEEFF" w:val="clear"/>
            <w:vAlign w:val="center"/>
          </w:tcPr>
          <w:p>
            <w:pPr>
              <w:pStyle w:val="TableContents"/>
              <w:bidi w:val="0"/>
              <w:spacing w:before="0" w:after="283"/>
              <w:jc w:val="right"/>
              <w:rPr/>
            </w:pPr>
            <w:r>
              <w:rPr/>
              <w:t>6,550</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6" w:name="xdx_989_eus-gaap--ShareBasedCompensation"/>
            <w:bookmarkEnd w:id="1526"/>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527" w:name="xdx_983_eus-gaap--ShareBasedCompensation"/>
            <w:bookmarkEnd w:id="1527"/>
          </w:p>
        </w:tc>
        <w:tc>
          <w:tcPr>
            <w:tcW w:w="1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bookmarkStart w:id="1528" w:name="xdx_980_eus-gaap--ShareBasedCompensation"/>
            <w:bookmarkEnd w:id="1528"/>
          </w:p>
        </w:tc>
        <w:tc>
          <w:tcPr>
            <w:tcW w:w="15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1529" w:name="xdx_98C_ecustom--ShareBasedCompensationA"/>
            <w:bookmarkEnd w:id="1529"/>
          </w:p>
        </w:tc>
        <w:tc>
          <w:tcPr>
            <w:tcW w:w="883"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0" w:name="xdx_981_eus-gaap--ShareBasedCompensation"/>
            <w:bookmarkEnd w:id="1530"/>
          </w:p>
        </w:tc>
        <w:tc>
          <w:tcPr>
            <w:tcW w:w="980" w:type="dxa"/>
            <w:tcBorders/>
            <w:shd w:fill="CCEEFF" w:val="clear"/>
            <w:vAlign w:val="center"/>
          </w:tcPr>
          <w:p>
            <w:pPr>
              <w:pStyle w:val="TableContents"/>
              <w:bidi w:val="0"/>
              <w:spacing w:before="0" w:after="283"/>
              <w:jc w:val="right"/>
              <w:rPr/>
            </w:pPr>
            <w:r>
              <w:rPr/>
              <w:t>(11,584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531" w:name="xdx_989_eus-gaap--ShareBasedCompensation"/>
            <w:bookmarkEnd w:id="1531"/>
          </w:p>
        </w:tc>
        <w:tc>
          <w:tcPr>
            <w:tcW w:w="1605" w:type="dxa"/>
            <w:tcBorders/>
            <w:shd w:fill="CCEEFF" w:val="clear"/>
            <w:vAlign w:val="center"/>
          </w:tcPr>
          <w:p>
            <w:pPr>
              <w:pStyle w:val="TableContents"/>
              <w:bidi w:val="0"/>
              <w:spacing w:before="0" w:after="283"/>
              <w:jc w:val="right"/>
              <w:rPr/>
            </w:pPr>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bookmarkStart w:id="1532" w:name="xdx_982_eus-gaap--SharebasedCompensation"/>
            <w:bookmarkEnd w:id="1532"/>
          </w:p>
        </w:tc>
        <w:tc>
          <w:tcPr>
            <w:tcW w:w="1580" w:type="dxa"/>
            <w:tcBorders/>
            <w:shd w:fill="CCEEFF" w:val="clear"/>
            <w:vAlign w:val="center"/>
          </w:tcPr>
          <w:p>
            <w:pPr>
              <w:pStyle w:val="TableContents"/>
              <w:bidi w:val="0"/>
              <w:spacing w:before="0" w:after="283"/>
              <w:jc w:val="right"/>
              <w:rPr/>
            </w:pPr>
            <w:r>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533" w:name="xdx_986_ecustom--ShareBasedCompensationA"/>
            <w:bookmarkEnd w:id="1533"/>
          </w:p>
        </w:tc>
        <w:tc>
          <w:tcPr>
            <w:tcW w:w="883"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34" w:name="xdx_987_eus-gaap--StockIssuedDuringPerio"/>
            <w:bookmarkEnd w:id="1534"/>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35" w:name="xdx_980_eus-gaap--ShareBasedCompensation"/>
            <w:bookmarkEnd w:id="1535"/>
          </w:p>
        </w:tc>
        <w:tc>
          <w:tcPr>
            <w:tcW w:w="1605" w:type="dxa"/>
            <w:tcBorders>
              <w:bottom w:val="single" w:sz="12" w:space="0" w:color="000000"/>
            </w:tcBorders>
            <w:shd w:fill="FFFFFF" w:val="clear"/>
            <w:tcMar>
              <w:bottom w:w="28" w:type="dxa"/>
            </w:tcMar>
            <w:vAlign w:val="center"/>
          </w:tcPr>
          <w:p>
            <w:pPr>
              <w:pStyle w:val="TableContents"/>
              <w:bidi w:val="0"/>
              <w:spacing w:before="0" w:after="283"/>
              <w:jc w:val="right"/>
              <w:rPr/>
            </w:pPr>
            <w:r>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36" w:name="xdx_986_eus-gaap--SharebasedCompensation"/>
            <w:bookmarkEnd w:id="1536"/>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pPr>
            <w:r>
              <w:rPr/>
              <w:t>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37" w:name="xdx_987_eus-gaap--ShareBasedCompensation"/>
            <w:bookmarkEnd w:id="1537"/>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8" w:name="xdx_98F_eus-gaap--ShareBasedCompensation"/>
            <w:bookmarkEnd w:id="1538"/>
          </w:p>
        </w:tc>
        <w:tc>
          <w:tcPr>
            <w:tcW w:w="980" w:type="dxa"/>
            <w:tcBorders/>
            <w:shd w:fill="CCEEFF" w:val="clear"/>
            <w:vAlign w:val="center"/>
          </w:tcPr>
          <w:p>
            <w:pPr>
              <w:pStyle w:val="TableContents"/>
              <w:bidi w:val="0"/>
              <w:spacing w:before="0" w:after="283"/>
              <w:jc w:val="right"/>
              <w:rPr/>
            </w:pPr>
            <w:r>
              <w:rPr/>
              <w:t>3,631,002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539" w:name="xdx_980_eus-gaap--ShareBasedCompensation"/>
            <w:bookmarkEnd w:id="1539"/>
          </w:p>
        </w:tc>
        <w:tc>
          <w:tcPr>
            <w:tcW w:w="1605"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1540" w:name="xdx_98C_eus-gaap--SharebasedCompensation"/>
            <w:bookmarkEnd w:id="1540"/>
          </w:p>
        </w:tc>
        <w:tc>
          <w:tcPr>
            <w:tcW w:w="1580" w:type="dxa"/>
            <w:tcBorders/>
            <w:shd w:fill="CCEEFF" w:val="clear"/>
            <w:vAlign w:val="center"/>
          </w:tcPr>
          <w:p>
            <w:pPr>
              <w:pStyle w:val="TableContents"/>
              <w:bidi w:val="0"/>
              <w:spacing w:before="0" w:after="283"/>
              <w:jc w:val="right"/>
              <w:rPr/>
            </w:pPr>
            <w:r>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1541" w:name="xdx_900_eus-gaap--SharebasedCompensation"/>
            <w:bookmarkEnd w:id="1541"/>
            <w:r>
              <w:rPr/>
              <w:t>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1542" w:name="xdx_980_eus-gaap--ShareBasedCompensation"/>
            <w:bookmarkEnd w:id="1542"/>
          </w:p>
        </w:tc>
        <w:tc>
          <w:tcPr>
            <w:tcW w:w="883" w:type="dxa"/>
            <w:tcBorders/>
            <w:shd w:fill="CCEEFF" w:val="clear"/>
            <w:vAlign w:val="center"/>
          </w:tcPr>
          <w:p>
            <w:pPr>
              <w:pStyle w:val="TableContents"/>
              <w:bidi w:val="0"/>
              <w:spacing w:before="0" w:after="283"/>
              <w:jc w:val="right"/>
              <w:rPr/>
            </w:pPr>
            <w:r>
              <w:rPr/>
              <w:t>6,377</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3" w:name="xdx_98F_eus-gaap--ShareBasedCompensation"/>
            <w:bookmarkEnd w:id="1543"/>
          </w:p>
        </w:tc>
        <w:tc>
          <w:tcPr>
            <w:tcW w:w="980" w:type="dxa"/>
            <w:tcBorders/>
            <w:shd w:fill="CCEEFF" w:val="clear"/>
            <w:vAlign w:val="center"/>
          </w:tcPr>
          <w:p>
            <w:pPr>
              <w:pStyle w:val="TableContents"/>
              <w:bidi w:val="0"/>
              <w:spacing w:before="0" w:after="283"/>
              <w:jc w:val="right"/>
              <w:rPr/>
            </w:pPr>
            <w:r>
              <w:rPr/>
              <w:t>3,642,958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544" w:name="xdx_981_eus-gaap--ShareBasedCompensation"/>
            <w:bookmarkEnd w:id="1544"/>
          </w:p>
        </w:tc>
        <w:tc>
          <w:tcPr>
            <w:tcW w:w="1605"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1545" w:name="xdx_982_eus-gaap--SharebasedCompensation"/>
            <w:bookmarkEnd w:id="1545"/>
          </w:p>
        </w:tc>
        <w:tc>
          <w:tcPr>
            <w:tcW w:w="158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1546" w:name="xdx_90A_ecustom--SharebasedCompensationA"/>
            <w:bookmarkEnd w:id="1546"/>
            <w:r>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1547" w:name="xdx_98C_eus-gaap--ShareBasedCompensation"/>
            <w:bookmarkEnd w:id="1547"/>
          </w:p>
        </w:tc>
        <w:tc>
          <w:tcPr>
            <w:tcW w:w="883" w:type="dxa"/>
            <w:tcBorders/>
            <w:shd w:fill="CCEEFF" w:val="clear"/>
            <w:vAlign w:val="center"/>
          </w:tcPr>
          <w:p>
            <w:pPr>
              <w:pStyle w:val="TableContents"/>
              <w:bidi w:val="0"/>
              <w:spacing w:before="0" w:after="283"/>
              <w:jc w:val="right"/>
              <w:rPr/>
            </w:pPr>
            <w:r>
              <w:rPr/>
              <w:t>35,989</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48" w:name="xdx_982_eus-gaap--ShareBasedCompensation"/>
            <w:bookmarkEnd w:id="1548"/>
          </w:p>
        </w:tc>
        <w:tc>
          <w:tcPr>
            <w:tcW w:w="980" w:type="dxa"/>
            <w:tcBorders/>
            <w:shd w:fill="FFFFFF" w:val="clear"/>
            <w:vAlign w:val="center"/>
          </w:tcPr>
          <w:p>
            <w:pPr>
              <w:pStyle w:val="TableContents"/>
              <w:bidi w:val="0"/>
              <w:spacing w:before="0" w:after="283"/>
              <w:jc w:val="right"/>
              <w:rPr/>
            </w:pPr>
            <w:r>
              <w:rPr/>
              <w:t>143,607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549" w:name="xdx_98B_eus-gaap--ShareBasedCompensation"/>
            <w:bookmarkEnd w:id="1549"/>
          </w:p>
        </w:tc>
        <w:tc>
          <w:tcPr>
            <w:tcW w:w="1605" w:type="dxa"/>
            <w:tcBorders/>
            <w:shd w:fill="FFFFFF" w:val="clear"/>
            <w:vAlign w:val="center"/>
          </w:tcPr>
          <w:p>
            <w:pPr>
              <w:pStyle w:val="TableContents"/>
              <w:bidi w:val="0"/>
              <w:spacing w:before="0" w:after="283"/>
              <w:jc w:val="right"/>
              <w:rPr/>
            </w:pPr>
            <w:r>
              <w:rPr/>
              <w:t>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bookmarkStart w:id="1550" w:name="xdx_986_eus-gaap--ShareBasedCompensation"/>
            <w:bookmarkEnd w:id="1550"/>
          </w:p>
        </w:tc>
        <w:tc>
          <w:tcPr>
            <w:tcW w:w="1580" w:type="dxa"/>
            <w:tcBorders/>
            <w:shd w:fill="FFFFFF" w:val="clear"/>
            <w:vAlign w:val="center"/>
          </w:tcPr>
          <w:p>
            <w:pPr>
              <w:pStyle w:val="TableContents"/>
              <w:bidi w:val="0"/>
              <w:spacing w:before="0" w:after="283"/>
              <w:jc w:val="right"/>
              <w:rPr/>
            </w:pPr>
            <w:r>
              <w:rPr/>
              <w:t>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1551" w:name="xdx_98D_ecustom--ShareBasedCompensationA"/>
            <w:bookmarkEnd w:id="1551"/>
          </w:p>
        </w:tc>
        <w:tc>
          <w:tcPr>
            <w:tcW w:w="883" w:type="dxa"/>
            <w:tcBorders/>
            <w:shd w:fill="FFFFFF" w:val="clear"/>
            <w:vAlign w:val="center"/>
          </w:tcPr>
          <w:p>
            <w:pPr>
              <w:pStyle w:val="TableContents"/>
              <w:bidi w:val="0"/>
              <w:spacing w:before="0" w:after="283"/>
              <w:jc w:val="right"/>
              <w:rPr/>
            </w:pPr>
            <w:r>
              <w:rPr/>
              <w:t>632</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2" w:name="xdx_98A_eus-gaap--ShareBasedCompensation"/>
            <w:bookmarkEnd w:id="1552"/>
          </w:p>
        </w:tc>
        <w:tc>
          <w:tcPr>
            <w:tcW w:w="980" w:type="dxa"/>
            <w:tcBorders/>
            <w:shd w:fill="CCEEFF" w:val="clear"/>
            <w:vAlign w:val="center"/>
          </w:tcPr>
          <w:p>
            <w:pPr>
              <w:pStyle w:val="TableContents"/>
              <w:bidi w:val="0"/>
              <w:spacing w:before="0" w:after="283"/>
              <w:jc w:val="right"/>
              <w:rPr/>
            </w:pPr>
            <w:r>
              <w:rPr/>
              <w:t>(19,164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553" w:name="xdx_984_eus-gaap--ShareBasedCompensation"/>
            <w:bookmarkEnd w:id="1553"/>
          </w:p>
        </w:tc>
        <w:tc>
          <w:tcPr>
            <w:tcW w:w="1605" w:type="dxa"/>
            <w:tcBorders/>
            <w:shd w:fill="CCEEFF" w:val="clear"/>
            <w:vAlign w:val="center"/>
          </w:tcPr>
          <w:p>
            <w:pPr>
              <w:pStyle w:val="TableContents"/>
              <w:bidi w:val="0"/>
              <w:spacing w:before="0" w:after="283"/>
              <w:jc w:val="right"/>
              <w:rPr/>
            </w:pPr>
            <w:r>
              <w:rPr/>
              <w:t>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bookmarkStart w:id="1554" w:name="xdx_984_eus-gaap--SharebasedCompensation"/>
            <w:bookmarkEnd w:id="1554"/>
          </w:p>
        </w:tc>
        <w:tc>
          <w:tcPr>
            <w:tcW w:w="1580"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555" w:name="xdx_986_ecustom--ShareBasedCompensationA"/>
            <w:bookmarkEnd w:id="1555"/>
          </w:p>
        </w:tc>
        <w:tc>
          <w:tcPr>
            <w:tcW w:w="883" w:type="dxa"/>
            <w:tcBorders/>
            <w:shd w:fill="CCEEFF" w:val="clear"/>
            <w:vAlign w:val="center"/>
          </w:tcPr>
          <w:p>
            <w:pPr>
              <w:pStyle w:val="TableContents"/>
              <w:bidi w:val="0"/>
              <w:spacing w:before="0" w:after="283"/>
              <w:jc w:val="right"/>
              <w:rPr/>
            </w:pPr>
            <w:r>
              <w:rPr/>
              <w:t>6</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56" w:name="xdx_98B_eus-gaap--StockIssuedDuringPerio"/>
            <w:bookmarkEnd w:id="1556"/>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(36,009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57" w:name="xdx_988_eus-gaap--ShareBasedCompensation"/>
            <w:bookmarkEnd w:id="1557"/>
          </w:p>
        </w:tc>
        <w:tc>
          <w:tcPr>
            <w:tcW w:w="1605"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58" w:name="xdx_982_eus-gaap--SharebasedCompensation"/>
            <w:bookmarkEnd w:id="1558"/>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59" w:name="xdx_98A_eus-gaap--ShareBasedCompensation"/>
            <w:bookmarkEnd w:id="1559"/>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232</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60" w:name="xdx_983_eus-gaap--ShareBasedCompensation"/>
            <w:bookmarkEnd w:id="156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3,731,392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61" w:name="xdx_98C_eus-gaap--ShareBasedCompensation"/>
            <w:bookmarkEnd w:id="1561"/>
          </w:p>
        </w:tc>
        <w:tc>
          <w:tcPr>
            <w:tcW w:w="1605" w:type="dxa"/>
            <w:tcBorders>
              <w:bottom w:val="double" w:sz="6" w:space="0" w:color="000000"/>
            </w:tcBorders>
            <w:shd w:fill="CCEEFF" w:val="clear"/>
            <w:tcMar>
              <w:bottom w:w="28" w:type="dxa"/>
            </w:tcM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62" w:name="xdx_983_eus-gaap--SharebasedCompensation"/>
            <w:bookmarkEnd w:id="1562"/>
          </w:p>
        </w:tc>
        <w:tc>
          <w:tcPr>
            <w:tcW w:w="1580" w:type="dxa"/>
            <w:tcBorders>
              <w:bottom w:val="double" w:sz="6" w:space="0" w:color="000000"/>
            </w:tcBorders>
            <w:shd w:fill="CCEEFF" w:val="clear"/>
            <w:tcMar>
              <w:bottom w:w="28" w:type="dxa"/>
            </w:tcM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1563" w:name="xdx_90E_eus-gaap--SharebasedCompensation"/>
            <w:bookmarkEnd w:id="1563"/>
            <w:r>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64" w:name="xdx_987_eus-gaap--ShareBasedCompensation"/>
            <w:bookmarkEnd w:id="1564"/>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pPr>
            <w:r>
              <w:rPr/>
              <w:t>3,800</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Vested and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65" w:name="xdx_98B_eus-gaap--ShareBasedCompensation"/>
            <w:bookmarkEnd w:id="1565"/>
          </w:p>
        </w:tc>
        <w:tc>
          <w:tcPr>
            <w:tcW w:w="980" w:type="dxa"/>
            <w:tcBorders/>
            <w:shd w:fill="FFFFFF" w:val="clear"/>
            <w:vAlign w:val="center"/>
          </w:tcPr>
          <w:p>
            <w:pPr>
              <w:pStyle w:val="TableContents"/>
              <w:bidi w:val="0"/>
              <w:spacing w:before="0" w:after="283"/>
              <w:jc w:val="right"/>
              <w:rPr/>
            </w:pPr>
            <w:r>
              <w:rPr/>
              <w:t>2,029,985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bookmarkStart w:id="1566" w:name="xdx_982_eus-gaap--ShareBasedCompensation"/>
            <w:bookmarkEnd w:id="1566"/>
          </w:p>
        </w:tc>
        <w:tc>
          <w:tcPr>
            <w:tcW w:w="1605" w:type="dxa"/>
            <w:tcBorders/>
            <w:shd w:fill="FFFFFF" w:val="cle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bookmarkStart w:id="1567" w:name="xdx_90B_eus-gaap--SharebasedCompensation"/>
            <w:bookmarkEnd w:id="1567"/>
            <w:r>
              <w:rPr/>
              <w:t>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bookmarkStart w:id="1568" w:name="xdx_982_eus-gaap--ShareBasedCompensation"/>
            <w:bookmarkEnd w:id="1568"/>
          </w:p>
        </w:tc>
        <w:tc>
          <w:tcPr>
            <w:tcW w:w="883" w:type="dxa"/>
            <w:tcBorders/>
            <w:shd w:fill="FFFFFF" w:val="clear"/>
            <w:vAlign w:val="center"/>
          </w:tcPr>
          <w:p>
            <w:pPr>
              <w:pStyle w:val="TableContents"/>
              <w:bidi w:val="0"/>
              <w:spacing w:before="0" w:after="283"/>
              <w:jc w:val="right"/>
              <w:rPr/>
            </w:pPr>
            <w:r>
              <w:rPr/>
              <w:t>3,120</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Vested and expected to vest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9" w:name="xdx_98B_eus-gaap--ShareBasedCompensation"/>
            <w:bookmarkEnd w:id="1569"/>
          </w:p>
        </w:tc>
        <w:tc>
          <w:tcPr>
            <w:tcW w:w="980" w:type="dxa"/>
            <w:tcBorders/>
            <w:shd w:fill="CCEEFF" w:val="clear"/>
            <w:vAlign w:val="center"/>
          </w:tcPr>
          <w:p>
            <w:pPr>
              <w:pStyle w:val="TableContents"/>
              <w:bidi w:val="0"/>
              <w:spacing w:before="0" w:after="283"/>
              <w:jc w:val="right"/>
              <w:rPr/>
            </w:pPr>
            <w:r>
              <w:rPr/>
              <w:t>3,731,392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570" w:name="xdx_984_eus-gaap--ShareBasedCompensation"/>
            <w:bookmarkEnd w:id="1570"/>
          </w:p>
        </w:tc>
        <w:tc>
          <w:tcPr>
            <w:tcW w:w="1605" w:type="dxa"/>
            <w:tcBorders/>
            <w:shd w:fill="CCEEFF" w:val="cle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1571" w:name="xdx_901_eus-gaap--SharebasedCompensation"/>
            <w:bookmarkEnd w:id="1571"/>
            <w:r>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1572" w:name="xdx_98E_eus-gaap--ShareBasedCompensation"/>
            <w:bookmarkEnd w:id="1572"/>
          </w:p>
        </w:tc>
        <w:tc>
          <w:tcPr>
            <w:tcW w:w="883" w:type="dxa"/>
            <w:tcBorders/>
            <w:shd w:fill="CCEEFF" w:val="clear"/>
            <w:vAlign w:val="center"/>
          </w:tcPr>
          <w:p>
            <w:pPr>
              <w:pStyle w:val="TableContents"/>
              <w:bidi w:val="0"/>
              <w:spacing w:before="0" w:after="283"/>
              <w:jc w:val="right"/>
              <w:rPr/>
            </w:pPr>
            <w:r>
              <w:rPr/>
              <w:t>3,800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right"/>
              <w:rPr>
                <w:rFonts w:ascii="Times New Roman;Times;Serif" w:hAnsi="Times New Roman;Times;Serif"/>
                <w:sz w:val="20"/>
              </w:rPr>
            </w:pPr>
            <w:bookmarkStart w:id="1573" w:name="xdx_F08_zcUw0P8GhtV"/>
            <w:bookmarkEnd w:id="1573"/>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bookmarkStart w:id="1574" w:name="xdx_F1C_z4NoZtaT67Mk"/>
            <w:bookmarkEnd w:id="1574"/>
            <w:r>
              <w:rPr>
                <w:rFonts w:ascii="Times New Roman;Times;Serif" w:hAnsi="Times New Roman;Times;Serif"/>
                <w:sz w:val="20"/>
              </w:rPr>
              <w:t xml:space="preserve">Number of options and weighted average exercise price has been adjusted to reflect the exchange of Legacy Dragonfly’s stock options for New Dragonfly stock options at an exchange ratio of approximately </w:t>
            </w:r>
            <w:bookmarkStart w:id="1575" w:name="xdx_900_eus-gaap--StockholdersEquityNote"/>
            <w:bookmarkEnd w:id="1575"/>
            <w:r>
              <w:rPr>
                <w:rFonts w:ascii="Times New Roman;Times;Serif" w:hAnsi="Times New Roman;Times;Serif"/>
                <w:sz w:val="20"/>
              </w:rPr>
              <w:t>1.182 as a result of the merger.</w:t>
            </w:r>
          </w:p>
        </w:tc>
      </w:tr>
    </w:tbl>
    <w:p>
      <w:pPr>
        <w:pStyle w:val="TextBody"/>
        <w:bidi w:val="0"/>
        <w:spacing w:before="0" w:after="0"/>
        <w:ind w:left="0" w:right="0" w:hanging="0"/>
        <w:jc w:val="both"/>
        <w:rPr>
          <w:caps w:val="false"/>
          <w:smallCaps w:val="false"/>
        </w:rPr>
      </w:pPr>
      <w:bookmarkStart w:id="1576" w:name="xdx_8A3_zSw64sGHWSj7"/>
      <w:bookmarkEnd w:id="1576"/>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the Company granted </w:t>
      </w:r>
      <w:bookmarkStart w:id="1577" w:name="xdx_90A_eus-gaap--ShareBasedCompensation"/>
      <w:bookmarkEnd w:id="1577"/>
      <w:r>
        <w:rPr>
          <w:rFonts w:ascii="Times New Roman;Times;Serif" w:hAnsi="Times New Roman;Times;Serif"/>
          <w:b w:val="false"/>
          <w:i w:val="false"/>
          <w:caps w:val="false"/>
          <w:smallCaps w:val="false"/>
          <w:sz w:val="20"/>
        </w:rPr>
        <w:t>180,000 restricted stock units under the 2022 plan which vest one year from the grant date. The fair value of the restricted stock units on the date of grant was $</w:t>
      </w:r>
      <w:bookmarkStart w:id="1578" w:name="xdx_905_eus-gaap--StockIssuedDuringPerio"/>
      <w:bookmarkEnd w:id="1578"/>
      <w:r>
        <w:rPr>
          <w:rFonts w:ascii="Times New Roman;Times;Serif" w:hAnsi="Times New Roman;Times;Serif"/>
          <w:b w:val="false"/>
          <w:i w:val="false"/>
          <w:caps w:val="false"/>
          <w:smallCaps w:val="false"/>
          <w:sz w:val="20"/>
        </w:rPr>
        <w:t xml:space="preserve">2,520, which is recognized as compensation expense over the requisite service period based on the value of the underlying shares on the date of grant. On February 10, 2023, the Company granted </w:t>
      </w:r>
      <w:bookmarkStart w:id="1579" w:name="xdx_904_eus-gaap--ShareBasedCompensation"/>
      <w:bookmarkEnd w:id="1579"/>
      <w:r>
        <w:rPr>
          <w:rFonts w:ascii="Times New Roman;Times;Serif" w:hAnsi="Times New Roman;Times;Serif"/>
          <w:b w:val="false"/>
          <w:i w:val="false"/>
          <w:caps w:val="false"/>
          <w:smallCaps w:val="false"/>
          <w:sz w:val="20"/>
        </w:rPr>
        <w:t>461,998 restricted stock units under the 2022 plan which vest immediately. The fair value of the restricted stock units on the date of grant was $</w:t>
      </w:r>
      <w:bookmarkStart w:id="1580" w:name="xdx_902_eus-gaap--StockIssuedDuringPerio"/>
      <w:bookmarkEnd w:id="1580"/>
      <w:r>
        <w:rPr>
          <w:rFonts w:ascii="Times New Roman;Times;Serif" w:hAnsi="Times New Roman;Times;Serif"/>
          <w:b w:val="false"/>
          <w:i w:val="false"/>
          <w:caps w:val="false"/>
          <w:smallCaps w:val="false"/>
          <w:sz w:val="20"/>
        </w:rPr>
        <w:t>3,464 and was recorded as compensation expense.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81" w:name="xdx_89C_eus-gaap--ScheduleOfUnvestedRest"/>
      <w:bookmarkEnd w:id="1581"/>
      <w:r>
        <w:rPr>
          <w:rFonts w:ascii="Times New Roman;Times;Serif" w:hAnsi="Times New Roman;Times;Serif"/>
          <w:b w:val="false"/>
          <w:i w:val="false"/>
          <w:caps w:val="false"/>
          <w:smallCaps w:val="false"/>
          <w:sz w:val="20"/>
        </w:rPr>
        <w:t>There were no grants of restricted stock units prior to October 7, 2022. The following table presents the restricted stock units activity for the three months ended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82" w:name="xdx_8BC_zWNykOTCHlw1"/>
      <w:bookmarkEnd w:id="1582"/>
      <w:r>
        <w:rPr>
          <w:rFonts w:ascii="Times New Roman;Times;Serif" w:hAnsi="Times New Roman;Times;Serif"/>
          <w:b w:val="false"/>
          <w:i w:val="false"/>
          <w:caps w:val="false"/>
          <w:smallCaps w:val="false"/>
          <w:sz w:val="20"/>
        </w:rPr>
        <w:t>SCHEDULE OF RESTRICTED STOCK UNITS ACTIVITY </w:t>
      </w:r>
    </w:p>
    <w:tbl>
      <w:tblPr>
        <w:tblW w:w="6544" w:type="dxa"/>
        <w:jc w:val="left"/>
        <w:tblInd w:w="0" w:type="dxa"/>
        <w:tblLayout w:type="fixed"/>
        <w:tblCellMar>
          <w:top w:w="0" w:type="dxa"/>
          <w:left w:w="0" w:type="dxa"/>
          <w:bottom w:w="0" w:type="dxa"/>
          <w:right w:w="0" w:type="dxa"/>
        </w:tblCellMar>
      </w:tblPr>
      <w:tblGrid>
        <w:gridCol w:w="3380"/>
        <w:gridCol w:w="60"/>
        <w:gridCol w:w="67"/>
        <w:gridCol w:w="987"/>
        <w:gridCol w:w="95"/>
        <w:gridCol w:w="60"/>
        <w:gridCol w:w="364"/>
        <w:gridCol w:w="1456"/>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jc w:val="center"/>
              <w:rPr/>
            </w:pPr>
            <w:r>
              <w:rPr/>
              <w:t>Number of</w:t>
            </w:r>
          </w:p>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spacing w:before="0" w:after="283"/>
              <w:jc w:val="center"/>
              <w:rPr/>
            </w:pPr>
            <w:r>
              <w:rPr/>
              <w:t>Fair Market Value</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Unvested shares at January 1, 2023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1583" w:name="xdx_984_eus-gaap--ShareBasedCompensation"/>
            <w:bookmarkEnd w:id="1583"/>
          </w:p>
        </w:tc>
        <w:tc>
          <w:tcPr>
            <w:tcW w:w="987" w:type="dxa"/>
            <w:tcBorders/>
            <w:shd w:fill="CCEEFF" w:val="clear"/>
            <w:vAlign w:val="center"/>
          </w:tcPr>
          <w:p>
            <w:pPr>
              <w:pStyle w:val="TableContents"/>
              <w:bidi w:val="0"/>
              <w:spacing w:before="0" w:after="283"/>
              <w:jc w:val="right"/>
              <w:rPr/>
            </w:pPr>
            <w:r>
              <w:rPr/>
              <w:t>180,000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w:t>
            </w:r>
            <w:bookmarkStart w:id="1584" w:name="xdx_98C_eus-gaap--ShareBasedCompensation"/>
            <w:bookmarkEnd w:id="1584"/>
          </w:p>
        </w:tc>
        <w:tc>
          <w:tcPr>
            <w:tcW w:w="1456" w:type="dxa"/>
            <w:tcBorders/>
            <w:shd w:fill="CCEEFF" w:val="clear"/>
            <w:vAlign w:val="center"/>
          </w:tcPr>
          <w:p>
            <w:pPr>
              <w:pStyle w:val="TableContents"/>
              <w:bidi w:val="0"/>
              <w:spacing w:before="0" w:after="283"/>
              <w:jc w:val="right"/>
              <w:rPr/>
            </w:pPr>
            <w:r>
              <w:rPr/>
              <w:t>14.00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1585" w:name="xdx_984_eus-gaap--ShareBasedCompensation"/>
            <w:bookmarkEnd w:id="1585"/>
          </w:p>
        </w:tc>
        <w:tc>
          <w:tcPr>
            <w:tcW w:w="987"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bookmarkStart w:id="1586" w:name="xdx_98D_eus-gaap--ShareBasedCompensation"/>
            <w:bookmarkEnd w:id="1586"/>
          </w:p>
        </w:tc>
        <w:tc>
          <w:tcPr>
            <w:tcW w:w="1456" w:type="dxa"/>
            <w:tcBorders/>
            <w:shd w:fill="FFFFFF" w:val="clear"/>
            <w:vAlign w:val="center"/>
          </w:tcPr>
          <w:p>
            <w:pPr>
              <w:pStyle w:val="TableContents"/>
              <w:bidi w:val="0"/>
              <w:spacing w:before="0" w:after="283"/>
              <w:jc w:val="right"/>
              <w:rPr/>
            </w:pPr>
            <w:r>
              <w:rPr/>
              <w:t>7.50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587" w:name="xdx_984_eus-gaap--ShareBasedCompensation"/>
            <w:bookmarkEnd w:id="1587"/>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(461,998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bookmarkStart w:id="1588" w:name="xdx_987_eus-gaap--ShareBasedCompensation"/>
            <w:bookmarkEnd w:id="1588"/>
          </w:p>
        </w:tc>
        <w:tc>
          <w:tcPr>
            <w:tcW w:w="1456" w:type="dxa"/>
            <w:tcBorders/>
            <w:shd w:fill="CCEEFF" w:val="clear"/>
            <w:vAlign w:val="center"/>
          </w:tcPr>
          <w:p>
            <w:pPr>
              <w:pStyle w:val="TableContents"/>
              <w:bidi w:val="0"/>
              <w:spacing w:before="0" w:after="283"/>
              <w:jc w:val="right"/>
              <w:rPr/>
            </w:pPr>
            <w:r>
              <w:rPr/>
              <w:t>7.50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Unvested shares, March 31, 2023</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89" w:name="xdx_985_eus-gaap--ShareBasedCompensation"/>
            <w:bookmarkEnd w:id="1589"/>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pPr>
            <w:r>
              <w:rPr/>
              <w:t>180,000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w:t>
            </w:r>
            <w:bookmarkStart w:id="1590" w:name="xdx_989_eus-gaap--ShareBasedCompensation"/>
            <w:bookmarkEnd w:id="1590"/>
          </w:p>
        </w:tc>
        <w:tc>
          <w:tcPr>
            <w:tcW w:w="1456"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Vested as of March 31, 2023</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1591" w:name="xdx_984_eus-gaap--SharebasedCompensation"/>
            <w:bookmarkEnd w:id="1591"/>
          </w:p>
        </w:tc>
        <w:tc>
          <w:tcPr>
            <w:tcW w:w="987"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w:t>
            </w:r>
            <w:bookmarkStart w:id="1592" w:name="xdx_98B_ecustom--SharebasedCompensationA"/>
            <w:bookmarkEnd w:id="1592"/>
          </w:p>
        </w:tc>
        <w:tc>
          <w:tcPr>
            <w:tcW w:w="1456" w:type="dxa"/>
            <w:tcBorders/>
            <w:shd w:fill="FFFFFF" w:val="clear"/>
            <w:vAlign w:val="center"/>
          </w:tcPr>
          <w:p>
            <w:pPr>
              <w:pStyle w:val="TableContents"/>
              <w:bidi w:val="0"/>
              <w:spacing w:before="0" w:after="283"/>
              <w:jc w:val="right"/>
              <w:rPr/>
            </w:pPr>
            <w:r>
              <w:rPr/>
              <w:t>7.50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593" w:name="xdx_8A0_zQ0qlyT1Rdf9"/>
      <w:bookmarkEnd w:id="15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there were </w:t>
      </w:r>
      <w:bookmarkStart w:id="1594" w:name="xdx_903_eus-gaap--ClassOfWarrantOrRightU"/>
      <w:bookmarkEnd w:id="1594"/>
      <w:r>
        <w:rPr>
          <w:rFonts w:ascii="Times New Roman;Times;Serif" w:hAnsi="Times New Roman;Times;Serif"/>
          <w:b w:val="false"/>
          <w:i w:val="false"/>
          <w:caps w:val="false"/>
          <w:smallCaps w:val="false"/>
          <w:sz w:val="20"/>
        </w:rPr>
        <w:t>4,319,309 shares of unissued authorized and available for future awards under the 2022 Equity Incentive Plan and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595" w:name="xdx_806_eus-gaap--EarningsPerShareTextBl"/>
      <w:bookmarkEnd w:id="1595"/>
      <w:r>
        <w:rPr>
          <w:rFonts w:ascii="Times New Roman;Times;Serif" w:hAnsi="Times New Roman;Times;Serif"/>
          <w:b/>
          <w:i w:val="false"/>
          <w:caps/>
          <w:sz w:val="20"/>
        </w:rPr>
        <w:t xml:space="preserve">NOTE 12 - </w:t>
      </w:r>
      <w:bookmarkStart w:id="1596" w:name="xdx_824_zjHF7DbJWfKb"/>
      <w:bookmarkEnd w:id="1596"/>
      <w:r>
        <w:rPr>
          <w:rFonts w:ascii="Times New Roman;Times;Serif" w:hAnsi="Times New Roman;Times;Serif"/>
          <w:b/>
          <w:i w:val="false"/>
          <w:caps/>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97" w:name="xdx_893_eus-gaap--ScheduleOfEarningsPerS"/>
      <w:bookmarkEnd w:id="1597"/>
      <w:r>
        <w:rPr>
          <w:rFonts w:ascii="Times New Roman;Times;Serif" w:hAnsi="Times New Roman;Times;Serif"/>
          <w:b w:val="false"/>
          <w:i w:val="false"/>
          <w:caps w:val="false"/>
          <w:smallCaps w:val="false"/>
          <w:sz w:val="20"/>
        </w:rPr>
        <w:t>The following table sets forth the information needed to compute basic and diluted earnings (loss) per share for the three months ended March 31, 2023 and 2022: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98" w:name="xdx_8B0_z9XbL80feS03"/>
      <w:bookmarkEnd w:id="1598"/>
      <w:r>
        <w:rPr>
          <w:rFonts w:ascii="Times New Roman;Times;Serif" w:hAnsi="Times New Roman;Times;Serif"/>
          <w:b w:val="false"/>
          <w:i w:val="false"/>
          <w:caps w:val="false"/>
          <w:smallCaps w:val="false"/>
          <w:sz w:val="20"/>
        </w:rPr>
        <w:t>SCHEDULE OF INFORMATION NEEDED TO COMPUTE BASIC AND DILUTED EARNINGS PER SHARE </w:t>
      </w:r>
    </w:p>
    <w:tbl>
      <w:tblPr>
        <w:tblW w:w="8433" w:type="dxa"/>
        <w:jc w:val="left"/>
        <w:tblInd w:w="0" w:type="dxa"/>
        <w:tblLayout w:type="fixed"/>
        <w:tblCellMar>
          <w:top w:w="0" w:type="dxa"/>
          <w:left w:w="0" w:type="dxa"/>
          <w:bottom w:w="0" w:type="dxa"/>
          <w:right w:w="0" w:type="dxa"/>
        </w:tblCellMar>
      </w:tblPr>
      <w:tblGrid>
        <w:gridCol w:w="5075"/>
        <w:gridCol w:w="60"/>
        <w:gridCol w:w="173"/>
        <w:gridCol w:w="1361"/>
        <w:gridCol w:w="60"/>
        <w:gridCol w:w="60"/>
        <w:gridCol w:w="173"/>
        <w:gridCol w:w="1361"/>
        <w:gridCol w:w="11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9" w:name="xdx_497_20230101__20230331_z7H29eiDWkze"/>
            <w:bookmarkEnd w:id="1599"/>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0" w:name="xdx_49E_20220101__20220331_zHT4YtuoHjZ"/>
            <w:bookmarkEnd w:id="1600"/>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110" w:type="dxa"/>
            <w:tcBorders/>
            <w:vAlign w:val="center"/>
          </w:tcPr>
          <w:p>
            <w:pPr>
              <w:pStyle w:val="TableContents"/>
              <w:bidi w:val="0"/>
              <w:spacing w:before="0" w:after="283"/>
              <w:jc w:val="left"/>
              <w:rPr/>
            </w:pPr>
            <w:r>
              <w:rPr/>
              <w:t> </w:t>
            </w:r>
            <w:bookmarkStart w:id="1601" w:name="xdx_402_eus-gaap--EarningsPerShareBasicA"/>
            <w:bookmarkEnd w:id="1601"/>
          </w:p>
        </w:tc>
      </w:tr>
      <w:tr>
        <w:trPr/>
        <w:tc>
          <w:tcPr>
            <w:tcW w:w="5075" w:type="dxa"/>
            <w:tcBorders/>
            <w:shd w:fill="CCEEFF" w:val="clear"/>
            <w:vAlign w:val="center"/>
          </w:tcPr>
          <w:p>
            <w:pPr>
              <w:pStyle w:val="TableContents"/>
              <w:bidi w:val="0"/>
              <w:spacing w:before="0" w:after="283"/>
              <w:jc w:val="left"/>
              <w:rPr>
                <w:b/>
              </w:rPr>
            </w:pPr>
            <w:r>
              <w:rPr>
                <w:b/>
              </w:rPr>
              <w:t>Basic Earnings (Loss) per common share: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2" w:name="xdx_405_eus-gaap--NetIncomeLossAvailable"/>
            <w:bookmarkEnd w:id="1602"/>
          </w:p>
        </w:tc>
      </w:tr>
      <w:tr>
        <w:trPr/>
        <w:tc>
          <w:tcPr>
            <w:tcW w:w="5075" w:type="dxa"/>
            <w:tcBorders/>
            <w:shd w:fill="FFFFFF" w:val="clear"/>
            <w:vAlign w:val="center"/>
          </w:tcPr>
          <w:p>
            <w:pPr>
              <w:pStyle w:val="TableContents"/>
              <w:bidi w:val="0"/>
              <w:spacing w:before="0" w:after="283"/>
              <w:jc w:val="left"/>
              <w:rPr/>
            </w:pPr>
            <w:r>
              <w:rPr/>
              <w:t>Net Income (Loss) available to common shareholders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4,892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bookmarkStart w:id="1603" w:name="xdx_405_eus-gaap--WeightedAverageNumberO"/>
            <w:bookmarkEnd w:id="1603"/>
          </w:p>
        </w:tc>
      </w:tr>
      <w:tr>
        <w:trPr/>
        <w:tc>
          <w:tcPr>
            <w:tcW w:w="5075" w:type="dxa"/>
            <w:tcBorders/>
            <w:shd w:fill="CCEEFF" w:val="clear"/>
            <w:vAlign w:val="center"/>
          </w:tcPr>
          <w:p>
            <w:pPr>
              <w:pStyle w:val="TableContents"/>
              <w:bidi w:val="0"/>
              <w:spacing w:before="0" w:after="283"/>
              <w:jc w:val="left"/>
              <w:rPr/>
            </w:pPr>
            <w:r>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45,104,515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bookmarkStart w:id="1604" w:name="xdx_404_eus-gaap--EarningsPerShareBasic_"/>
            <w:bookmarkEnd w:id="1604"/>
          </w:p>
        </w:tc>
      </w:tr>
      <w:tr>
        <w:trPr/>
        <w:tc>
          <w:tcPr>
            <w:tcW w:w="5075" w:type="dxa"/>
            <w:tcBorders/>
            <w:shd w:fill="FFFFFF" w:val="clear"/>
            <w:vAlign w:val="center"/>
          </w:tcPr>
          <w:p>
            <w:pPr>
              <w:pStyle w:val="TableContents"/>
              <w:bidi w:val="0"/>
              <w:spacing w:before="0" w:after="283"/>
              <w:jc w:val="left"/>
              <w:rPr/>
            </w:pPr>
            <w:r>
              <w:rPr/>
              <w:t>Earnings (Loss) per share, basic</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5" w:name="xdx_40A_eus-gaap--EarningsPerShareDilute"/>
            <w:bookmarkEnd w:id="1605"/>
          </w:p>
        </w:tc>
      </w:tr>
      <w:tr>
        <w:trPr/>
        <w:tc>
          <w:tcPr>
            <w:tcW w:w="5075" w:type="dxa"/>
            <w:tcBorders/>
            <w:shd w:fill="FFFFFF" w:val="clear"/>
            <w:vAlign w:val="center"/>
          </w:tcPr>
          <w:p>
            <w:pPr>
              <w:pStyle w:val="TableContents"/>
              <w:bidi w:val="0"/>
              <w:spacing w:before="0" w:after="283"/>
              <w:jc w:val="left"/>
              <w:rPr>
                <w:b/>
              </w:rPr>
            </w:pPr>
            <w:r>
              <w:rPr>
                <w:b/>
              </w:rPr>
              <w:t>Diluted Earnings (Loss) per common share: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6" w:name="xdx_40F_eus-gaap--NetIncomeLossAvailable"/>
            <w:bookmarkEnd w:id="1606"/>
          </w:p>
        </w:tc>
      </w:tr>
      <w:tr>
        <w:trPr/>
        <w:tc>
          <w:tcPr>
            <w:tcW w:w="5075" w:type="dxa"/>
            <w:tcBorders/>
            <w:shd w:fill="CCEEFF" w:val="clear"/>
            <w:vAlign w:val="center"/>
          </w:tcPr>
          <w:p>
            <w:pPr>
              <w:pStyle w:val="TableContents"/>
              <w:bidi w:val="0"/>
              <w:spacing w:before="0" w:after="283"/>
              <w:jc w:val="left"/>
              <w:rPr/>
            </w:pPr>
            <w:r>
              <w:rPr/>
              <w:t>Net Income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4,892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bookmarkStart w:id="1607" w:name="xdx_40D_eus-gaap--WeightedAverageNumberO"/>
            <w:bookmarkEnd w:id="1607"/>
          </w:p>
        </w:tc>
      </w:tr>
      <w:tr>
        <w:trPr/>
        <w:tc>
          <w:tcPr>
            <w:tcW w:w="507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45,104,515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bookmarkStart w:id="1608" w:name="xdx_40D_eus-gaap--IncrementalCommonShare"/>
            <w:bookmarkEnd w:id="1608"/>
          </w:p>
        </w:tc>
      </w:tr>
      <w:tr>
        <w:trPr/>
        <w:tc>
          <w:tcPr>
            <w:tcW w:w="5075" w:type="dxa"/>
            <w:tcBorders/>
            <w:shd w:fill="CCEEFF" w:val="clear"/>
            <w:vAlign w:val="center"/>
          </w:tcPr>
          <w:p>
            <w:pPr>
              <w:pStyle w:val="TableContents"/>
              <w:bidi w:val="0"/>
              <w:spacing w:before="0" w:after="283"/>
              <w:jc w:val="left"/>
              <w:rPr/>
            </w:pPr>
            <w:r>
              <w:rPr/>
              <w:t>Dilutive effect related to stock options and warrants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3,351,481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09" w:name="xdx_400_eus-gaap--WeightedAverageNumberO"/>
            <w:bookmarkEnd w:id="1609"/>
          </w:p>
        </w:tc>
      </w:tr>
      <w:tr>
        <w:trPr/>
        <w:tc>
          <w:tcPr>
            <w:tcW w:w="5075" w:type="dxa"/>
            <w:tcBorders/>
            <w:shd w:fill="FFFFFF" w:val="clear"/>
            <w:vAlign w:val="center"/>
          </w:tcPr>
          <w:p>
            <w:pPr>
              <w:pStyle w:val="TableContents"/>
              <w:bidi w:val="0"/>
              <w:spacing w:before="0" w:after="283"/>
              <w:jc w:val="left"/>
              <w:rPr/>
            </w:pPr>
            <w:r>
              <w:rPr/>
              <w:t>Weighted average diluted shares outstanding</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48,455,996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bookmarkStart w:id="1610" w:name="xdx_40C_eus-gaap--EarningsPerShareDilute"/>
            <w:bookmarkEnd w:id="1610"/>
          </w:p>
        </w:tc>
      </w:tr>
      <w:tr>
        <w:trPr/>
        <w:tc>
          <w:tcPr>
            <w:tcW w:w="5075" w:type="dxa"/>
            <w:tcBorders/>
            <w:shd w:fill="CCEEFF" w:val="clear"/>
            <w:vAlign w:val="center"/>
          </w:tcPr>
          <w:p>
            <w:pPr>
              <w:pStyle w:val="TableContents"/>
              <w:bidi w:val="0"/>
              <w:spacing w:before="0" w:after="283"/>
              <w:jc w:val="left"/>
              <w:rPr/>
            </w:pPr>
            <w:r>
              <w:rPr/>
              <w:t>Earnings (Loss) per share, diluted</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611" w:name="xdx_8A4_zUziNFKc9COh"/>
      <w:bookmarkEnd w:id="16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12" w:name="xdx_89A_eus-gaap--ScheduleOfAntidilutive"/>
      <w:bookmarkEnd w:id="1612"/>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income per share net income (loss) per share because their effect was anti-dilutive: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13" w:name="xdx_8B1_zNH58TzjrNpd"/>
      <w:bookmarkEnd w:id="1613"/>
      <w:r>
        <w:rPr>
          <w:rFonts w:ascii="Times New Roman;Times;Serif" w:hAnsi="Times New Roman;Times;Serif"/>
          <w:b w:val="false"/>
          <w:i w:val="false"/>
          <w:caps w:val="false"/>
          <w:smallCaps w:val="false"/>
          <w:sz w:val="20"/>
        </w:rPr>
        <w:t>SCHEDULE OF POTENTIAL SHARES OF COMMON STOCK EXCLUDED FROM DILUTED NET (LOSS) INCOME PER SHARE </w:t>
      </w:r>
    </w:p>
    <w:tbl>
      <w:tblPr>
        <w:tblW w:w="8188" w:type="dxa"/>
        <w:jc w:val="left"/>
        <w:tblInd w:w="0" w:type="dxa"/>
        <w:tblLayout w:type="fixed"/>
        <w:tblCellMar>
          <w:top w:w="0" w:type="dxa"/>
          <w:left w:w="0" w:type="dxa"/>
          <w:bottom w:w="0" w:type="dxa"/>
          <w:right w:w="0" w:type="dxa"/>
        </w:tblCellMar>
      </w:tblPr>
      <w:tblGrid>
        <w:gridCol w:w="4865"/>
        <w:gridCol w:w="60"/>
        <w:gridCol w:w="79"/>
        <w:gridCol w:w="1455"/>
        <w:gridCol w:w="60"/>
        <w:gridCol w:w="60"/>
        <w:gridCol w:w="88"/>
        <w:gridCol w:w="1446"/>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614" w:name="xdx_98E_eus-gaap--AntidilutiveSecurities"/>
            <w:bookmarkEnd w:id="1614"/>
          </w:p>
        </w:tc>
        <w:tc>
          <w:tcPr>
            <w:tcW w:w="1455" w:type="dxa"/>
            <w:tcBorders/>
            <w:shd w:fill="CCEEFF" w:val="clear"/>
            <w:vAlign w:val="center"/>
          </w:tcPr>
          <w:p>
            <w:pPr>
              <w:pStyle w:val="TableContents"/>
              <w:bidi w:val="0"/>
              <w:spacing w:before="0" w:after="283"/>
              <w:jc w:val="right"/>
              <w:rPr/>
            </w:pPr>
            <w:r>
              <w:rPr/>
              <w:t>10,923,915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bookmarkStart w:id="1615" w:name="xdx_98B_eus-gaap--AntidilutiveSecurities"/>
            <w:bookmarkEnd w:id="1615"/>
          </w:p>
        </w:tc>
        <w:tc>
          <w:tcPr>
            <w:tcW w:w="144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1616" w:name="xdx_981_eus-gaap--AntidilutiveSecurities"/>
            <w:bookmarkEnd w:id="1616"/>
          </w:p>
        </w:tc>
        <w:tc>
          <w:tcPr>
            <w:tcW w:w="1455" w:type="dxa"/>
            <w:tcBorders/>
            <w:shd w:fill="FFFFFF" w:val="clear"/>
            <w:vAlign w:val="center"/>
          </w:tcPr>
          <w:p>
            <w:pPr>
              <w:pStyle w:val="TableContents"/>
              <w:bidi w:val="0"/>
              <w:spacing w:before="0" w:after="283"/>
              <w:jc w:val="right"/>
              <w:rPr/>
            </w:pPr>
            <w:r>
              <w:rPr/>
              <w:t>111,015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bookmarkStart w:id="1617" w:name="xdx_98E_eus-gaap--AntidilutiveSecurities"/>
            <w:bookmarkEnd w:id="1617"/>
          </w:p>
        </w:tc>
        <w:tc>
          <w:tcPr>
            <w:tcW w:w="144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618" w:name="xdx_98B_eus-gaap--AntidilutiveSecurities"/>
            <w:bookmarkEnd w:id="1618"/>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619" w:name="xdx_987_eus-gaap--AntidilutiveSecurities"/>
            <w:bookmarkEnd w:id="1619"/>
          </w:p>
        </w:tc>
        <w:tc>
          <w:tcPr>
            <w:tcW w:w="1446" w:type="dxa"/>
            <w:tcBorders>
              <w:bottom w:val="single" w:sz="12" w:space="0" w:color="000000"/>
            </w:tcBorders>
            <w:shd w:fill="CCEEFF" w:val="clear"/>
            <w:tcMar>
              <w:bottom w:w="28" w:type="dxa"/>
            </w:tcMar>
            <w:vAlign w:val="center"/>
          </w:tcPr>
          <w:p>
            <w:pPr>
              <w:pStyle w:val="TableContents"/>
              <w:bidi w:val="0"/>
              <w:spacing w:before="0" w:after="283"/>
              <w:jc w:val="right"/>
              <w:rPr/>
            </w:pPr>
            <w:r>
              <w:rPr/>
              <w:t>3,631,002</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620" w:name="xdx_989_eus-gaap--AntidilutiveSecurities"/>
            <w:bookmarkEnd w:id="1620"/>
          </w:p>
        </w:tc>
        <w:tc>
          <w:tcPr>
            <w:tcW w:w="1455" w:type="dxa"/>
            <w:tcBorders>
              <w:bottom w:val="single" w:sz="12" w:space="0" w:color="000000"/>
            </w:tcBorders>
            <w:shd w:fill="FFFFFF" w:val="clear"/>
            <w:tcMar>
              <w:bottom w:w="28" w:type="dxa"/>
            </w:tcMar>
            <w:vAlign w:val="center"/>
          </w:tcPr>
          <w:p>
            <w:pPr>
              <w:pStyle w:val="TableContents"/>
              <w:bidi w:val="0"/>
              <w:spacing w:before="0" w:after="283"/>
              <w:jc w:val="right"/>
              <w:rPr/>
            </w:pPr>
            <w:r>
              <w:rPr/>
              <w:t>11,034,930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621" w:name="xdx_98D_eus-gaap--AntidilutiveSecurities"/>
            <w:bookmarkEnd w:id="1621"/>
          </w:p>
        </w:tc>
        <w:tc>
          <w:tcPr>
            <w:tcW w:w="1446" w:type="dxa"/>
            <w:tcBorders>
              <w:bottom w:val="single" w:sz="12" w:space="0" w:color="000000"/>
            </w:tcBorders>
            <w:shd w:fill="FFFFFF" w:val="clear"/>
            <w:tcMar>
              <w:bottom w:w="28" w:type="dxa"/>
            </w:tcMar>
            <w:vAlign w:val="center"/>
          </w:tcPr>
          <w:p>
            <w:pPr>
              <w:pStyle w:val="TableContents"/>
              <w:bidi w:val="0"/>
              <w:spacing w:before="0" w:after="283"/>
              <w:jc w:val="right"/>
              <w:rPr/>
            </w:pPr>
            <w:r>
              <w:rPr/>
              <w:t>3,631,002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22" w:name="xdx_8A7_zLjL2AeWCoR7"/>
      <w:bookmarkEnd w:id="162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23" w:name="xdx_804_eus-gaap--IncomeTaxDisclosureTex"/>
      <w:bookmarkEnd w:id="1623"/>
      <w:r>
        <w:rPr>
          <w:rFonts w:ascii="Times New Roman;Times;Serif" w:hAnsi="Times New Roman;Times;Serif"/>
          <w:b/>
          <w:i w:val="false"/>
          <w:caps w:val="false"/>
          <w:smallCaps w:val="false"/>
          <w:sz w:val="20"/>
        </w:rPr>
        <w:t xml:space="preserve">NOTE 13 – </w:t>
      </w:r>
      <w:bookmarkStart w:id="1624" w:name="xdx_825_zZgPxI5Cjoz5"/>
      <w:bookmarkEnd w:id="1624"/>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provision and the resulting effective tax rate for interim periods is determined based upon its estimated annual effective tax rate adjusted for the effect of discrete items arising in that quarter. The Company recorded an income tax expense (benefit) of $</w:t>
      </w:r>
      <w:bookmarkStart w:id="1625" w:name="xdx_90B_eus-gaap--IncomeTaxExpenseBenefi"/>
      <w:bookmarkEnd w:id="1625"/>
      <w:r>
        <w:rPr>
          <w:rFonts w:ascii="Times New Roman;Times;Serif" w:hAnsi="Times New Roman;Times;Serif"/>
          <w:b w:val="false"/>
          <w:i w:val="false"/>
          <w:caps w:val="false"/>
          <w:smallCaps w:val="false"/>
          <w:sz w:val="20"/>
        </w:rPr>
        <w:t>0 and ($</w:t>
      </w:r>
      <w:bookmarkStart w:id="1626" w:name="xdx_904_eus-gaap--IncomeTaxExpenseBenefi"/>
      <w:bookmarkEnd w:id="1626"/>
      <w:r>
        <w:rPr>
          <w:rFonts w:ascii="Times New Roman;Times;Serif" w:hAnsi="Times New Roman;Times;Serif"/>
          <w:b w:val="false"/>
          <w:i w:val="false"/>
          <w:caps w:val="false"/>
          <w:smallCaps w:val="false"/>
          <w:sz w:val="20"/>
        </w:rPr>
        <w:t>527) during the three months ended March 31,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27" w:name="xdx_80A_eus-gaap--SubsequentEventsTextBl"/>
      <w:bookmarkEnd w:id="1627"/>
      <w:r>
        <w:rPr>
          <w:rFonts w:ascii="Times New Roman;Times;Serif" w:hAnsi="Times New Roman;Times;Serif"/>
          <w:b/>
          <w:i w:val="false"/>
          <w:caps w:val="false"/>
          <w:smallCaps w:val="false"/>
          <w:sz w:val="20"/>
        </w:rPr>
        <w:t xml:space="preserve">NOTE 14 – </w:t>
      </w:r>
      <w:bookmarkStart w:id="1628" w:name="xdx_82C_zZPLjaxbwqek"/>
      <w:bookmarkEnd w:id="1628"/>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2023 the Company paid the $</w:t>
      </w:r>
      <w:bookmarkStart w:id="1629" w:name="xdx_909_eus-gaap--ConvertibleNotesPayabl"/>
      <w:bookmarkEnd w:id="1629"/>
      <w:r>
        <w:rPr>
          <w:rFonts w:ascii="Times New Roman;Times;Serif" w:hAnsi="Times New Roman;Times;Serif"/>
          <w:b w:val="false"/>
          <w:i w:val="false"/>
          <w:caps w:val="false"/>
          <w:smallCaps w:val="false"/>
          <w:sz w:val="20"/>
        </w:rPr>
        <w:t>1,000 Principal Amount on the Note previously issued to Brian Nelson on March 5, 2023. Upon execution of the Note and funding of the Principal Amount, a payment of the $</w:t>
      </w:r>
      <w:bookmarkStart w:id="1630" w:name="xdx_900_eus-gaap--DebtInstrumentFaceAmou"/>
      <w:bookmarkEnd w:id="1630"/>
      <w:r>
        <w:rPr>
          <w:rFonts w:ascii="Times New Roman;Times;Serif" w:hAnsi="Times New Roman;Times;Serif"/>
          <w:b w:val="false"/>
          <w:i w:val="false"/>
          <w:caps w:val="false"/>
          <w:smallCaps w:val="false"/>
          <w:sz w:val="20"/>
        </w:rPr>
        <w:t>100 Loan Fee, was fully earned as of the date of the note and was due and paid in full in cash on April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“Separation Date”), the Company’s Chief Legal Officer’s employment with the Company ended and her employment agreement was deemed terminated as of that date by the Company without cause for purposes of determining severance thereunder. Under the terms of her employment agreement, Ms. Harvey is entitled to receive cash severance equal to $</w:t>
      </w:r>
      <w:bookmarkStart w:id="1631" w:name="xdx_905_eus-gaap--Cash_iI_pn3n3_c2023042"/>
      <w:bookmarkEnd w:id="1631"/>
      <w:r>
        <w:rPr>
          <w:rFonts w:ascii="Times New Roman;Times;Serif" w:hAnsi="Times New Roman;Times;Serif"/>
          <w:b w:val="false"/>
          <w:i w:val="false"/>
          <w:caps w:val="false"/>
          <w:smallCaps w:val="false"/>
          <w:sz w:val="20"/>
        </w:rPr>
        <w:t>334,000 payable in 52 biweekly installments commencing 30 days from the Separation Date. Ms. Harvey’s outstanding options granted by the Company fully vested, and are exercisable for three (3) months following the Separation Date.</w:t>
      </w:r>
    </w:p>
    <w:p>
      <w:pPr>
        <w:pStyle w:val="TextBody"/>
        <w:bidi w:val="0"/>
        <w:spacing w:before="0" w:after="0"/>
        <w:ind w:left="0" w:right="0" w:hanging="0"/>
        <w:jc w:val="left"/>
        <w:rPr>
          <w:caps w:val="false"/>
          <w:smallCaps w:val="false"/>
        </w:rPr>
      </w:pPr>
      <w:bookmarkStart w:id="1632" w:name="xdx_814_zUiOa95WpNCk"/>
      <w:bookmarkEnd w:id="163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120" w:after="283"/>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38275" cy="971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38275" cy="9715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Shares of Common Stock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035"/>
        <w:gridCol w:w="1250"/>
      </w:tblGrid>
      <w:tr>
        <w:trPr/>
        <w:tc>
          <w:tcPr>
            <w:tcW w:w="3035" w:type="dxa"/>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Roth Capital Partners</w:t>
            </w:r>
          </w:p>
        </w:tc>
        <w:tc>
          <w:tcPr>
            <w:tcW w:w="1250" w:type="dxa"/>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Chardan</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 2023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and the Financial Industry Regulatory Authority, Inc. (“FINRA”) filing fee.</w:t>
      </w:r>
    </w:p>
    <w:p>
      <w:pPr>
        <w:pStyle w:val="TextBody"/>
        <w:bidi w:val="0"/>
        <w:jc w:val="left"/>
        <w:rPr>
          <w:caps w:val="false"/>
          <w:smallCaps w:val="false"/>
        </w:rPr>
      </w:pPr>
      <w:r>
        <w:rPr>
          <w:caps w:val="false"/>
          <w:smallCaps w:val="false"/>
        </w:rPr>
        <w:t> </w:t>
      </w:r>
    </w:p>
    <w:tbl>
      <w:tblPr>
        <w:tblW w:w="4419" w:type="dxa"/>
        <w:jc w:val="left"/>
        <w:tblInd w:w="0" w:type="dxa"/>
        <w:tblLayout w:type="fixed"/>
        <w:tblCellMar>
          <w:top w:w="0" w:type="dxa"/>
          <w:left w:w="0" w:type="dxa"/>
          <w:bottom w:w="0" w:type="dxa"/>
          <w:right w:w="0" w:type="dxa"/>
        </w:tblCellMar>
      </w:tblPr>
      <w:tblGrid>
        <w:gridCol w:w="3140"/>
        <w:gridCol w:w="60"/>
        <w:gridCol w:w="160"/>
        <w:gridCol w:w="984"/>
        <w:gridCol w:w="75"/>
      </w:tblGrid>
      <w:tr>
        <w:trPr/>
        <w:tc>
          <w:tcPr>
            <w:tcW w:w="31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44"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to be</w:t>
            </w:r>
          </w:p>
        </w:tc>
        <w:tc>
          <w:tcPr>
            <w:tcW w:w="75" w:type="dxa"/>
            <w:tcBorders/>
            <w:shd w:fill="FFFFFF" w:val="clear"/>
            <w:vAlign w:val="center"/>
          </w:tcPr>
          <w:p>
            <w:pPr>
              <w:pStyle w:val="TableContents"/>
              <w:bidi w:val="0"/>
              <w:spacing w:before="0" w:after="283"/>
              <w:jc w:val="center"/>
              <w:rPr/>
            </w:pPr>
            <w:r>
              <w:rPr/>
              <w:t> </w:t>
            </w:r>
          </w:p>
        </w:tc>
      </w:tr>
      <w:tr>
        <w:trPr/>
        <w:tc>
          <w:tcPr>
            <w:tcW w:w="31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44"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w:t>
            </w:r>
          </w:p>
        </w:tc>
        <w:tc>
          <w:tcPr>
            <w:tcW w:w="75" w:type="dxa"/>
            <w:tcBorders/>
            <w:shd w:fill="FFFFFF" w:val="clear"/>
            <w:vAlign w:val="center"/>
          </w:tcPr>
          <w:p>
            <w:pPr>
              <w:pStyle w:val="TableContents"/>
              <w:bidi w:val="0"/>
              <w:spacing w:before="0" w:after="283"/>
              <w:jc w:val="center"/>
              <w:rPr/>
            </w:pPr>
            <w:r>
              <w:rPr/>
              <w:t> </w:t>
            </w:r>
          </w:p>
        </w:tc>
      </w:tr>
      <w:tr>
        <w:trPr/>
        <w:tc>
          <w:tcPr>
            <w:tcW w:w="314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2,534.60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Printing and engraving expenses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Transfer Agent’s fees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Miscellaneous fees and expenses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completed by amendment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Articles of Incorporation nor our Bylaws prevent us from indemnifying our officers, directors and agents to the extent permitted under the Nevada Revised Statutes, as amended (“NRS”).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120" w:after="283"/>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the undertakings set out in response to Item 17 of this Registration Statement.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IPO and Business Combination Issuances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Business Combination, and (iii) may be exercised by the holders on a cashless basis. No underwriting discounts or commissions were paid with respect to such sale. The issuance of the Private Warrants was made pursuant to the exemption from registration contained in Section 4(a)(2) of the Securities Act.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we issued an additional 15,000 shares to CCM pursuant to the terms of the Subscription Agreement. See “</w:t>
      </w:r>
      <w:r>
        <w:rPr>
          <w:rFonts w:ascii="Times New Roman;Times;Serif" w:hAnsi="Times New Roman;Times;Serif"/>
          <w:b w:val="false"/>
          <w:i/>
          <w:caps w:val="false"/>
          <w:smallCaps w:val="false"/>
          <w:sz w:val="20"/>
        </w:rPr>
        <w:t>Management’s Discussion and Analysis — The Business Combination — PIPE Investment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in connection with the entry into the Term Loan Agreement, we entered into (i) the Penny Warrants and (ii) the $10 Warrants. See “</w:t>
      </w:r>
      <w:r>
        <w:rPr>
          <w:rFonts w:ascii="Times New Roman;Times;Serif" w:hAnsi="Times New Roman;Times;Serif"/>
          <w:b w:val="false"/>
          <w:i/>
          <w:caps w:val="false"/>
          <w:smallCaps w:val="false"/>
          <w:sz w:val="20"/>
        </w:rPr>
        <w:t>Certain Relationships and Related Person Transactions — Debt Financing — Warrant Agreements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RSU Grants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granted each of our non-employee directors (i.e. Jonathan Bellows, Perry Boyle, Karina Edmonds, Luisa Ingargiola, Brian Nelson, and Rick Parod) an award of 30,000 restricted stock units (“RSUs”) under the Dragonfly Energy Holdings Corp. 2022 Equity Incentive Plan. The RSUs are eligible to vest on the first anniversary of the grant date, subject to each director’s continued service on our board through the vesting date.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certificates or book entry statements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 note in the principal amount of $1.0 million (the “Principal Amount”) to Brian Nelson (the “Note”), one of our directors, in a private placement in exchange for cash in an equal amount. The Note became due and payable in full on April 1, 2023. We were also obligated to pay a loan fee in the amount of $100,000 to Mr. Nelson on April 4, 2023 (the “Loan Fee”). The Principal Amount of the Note was paid in full on April 1, 2023 and the Loan Fee was paid in full on April 4, 2023.</w:t>
      </w:r>
    </w:p>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120" w:after="283"/>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60"/>
        <w:gridCol w:w="6771"/>
        <w:gridCol w:w="60"/>
        <w:gridCol w:w="500"/>
        <w:gridCol w:w="263"/>
        <w:gridCol w:w="650"/>
        <w:gridCol w:w="485"/>
        <w:gridCol w:w="665"/>
      </w:tblGrid>
      <w:tr>
        <w:trPr/>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77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563"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5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pPr>
            <w:r>
              <w:rPr/>
              <w:t> </w:t>
            </w:r>
          </w:p>
        </w:tc>
        <w:tc>
          <w:tcPr>
            <w:tcW w:w="677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263"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"AnnexA_168524"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as of May 15, 2022, by and among Dragonfly Energy Holdings Corp. (f/k/a Chardan NexTech Acquisition 2 Corp.), Bronco Merger Sub, Inc. and Dragonfly Energy Corp. (included as Annex A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Amendment to Agreement and Plan of Merger, dated as of July 12, 2022, by and among Dragonfly Energy Holdings Corp. (f/k/a Chardan NexTech Acquisition 2 Corp.), Bronco Merger Sub, Inc. and Dragonfly Energy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Plan of Conversion.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 xml:space="preserve">Articles of Incorporation of Dragonfly Energy Holdings Corp. </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 xml:space="preserve">Bylaws of Dragonfly Energy Holdings Corp. </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$10 Warrant of Dragonfly Energy Holdings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Penny Warrant of Dragonfly Energy Holdings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Warrant Agreement, dated as of October 19, 2022, between Dragonfly Energy Holdings Corp. and American Stock Transfer &amp; Trust Company,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Specimen Warrant Certificate of Dragonfly Energy Holdings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Promissory Note of the Company, dated March 5, 2023.</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Underwriter Warrant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Opinion of Parsons Behle &amp; Latimer.</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"https://www.sec.gov/Archives/edgar/data/1847986/000110465922100022/tm2218377-26_s4a.htm" \l "tANNE"</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Sponsor Support Agreement, dated as of May 15, 2022, by and among Chardan NexTech Investments 2 LLC, Dragonfly Energy Corp. and Chardan NexTech Investments 2 LLC (included as Annex E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"https://www.sec.gov/Archives/edgar/data/1847986/000110465922100022/tm2218377-26_s4a.htm" \l "tANNJ"</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Commitment Letter, dated as of May 15, 2022, by and among Dragonfly Energy Holdings Corp. (f/k/a Chardan NexTech Acquisition 2 Corp.), Dragonfly Energy Corp., CCM Investments 5 LLC and EICF Agent LLC (included as Annex J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"https://www.sec.gov/Archives/edgar/data/1847986/000110465922100022/tm2218377-26_s4a.htm" \l "tANNK"</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Equity Facility Letter Agreement, dated as of May 15, 2022, by and among Dragonfly Energy Corp., Dragonfly Energy Holdings Corp. (f/k/a Chardan NexTech Acquisition 2 Corp.) and CCM Investments 5 LLC (included as Annex K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"https://www.sec.gov/Archives/edgar/data/1847986/000110465922100022/tm2218377-26_s4a.htm" \l "tANNF"</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Subscription Agreement, dated as of May 15, 2022, between Dragonfly Energy Holdings Corp. (f/k/a Chardan NexTech Acquisition 2 Corp.) and Chardan NexTech Investments 2 LLC (included as Annex F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Dragonfly Energy Holdings Corp. 2022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Dragonfly Energy Holdings Corp. Employee Stock Purchase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Director Indemnification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S-4/A</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Multi-tenant Industrial Triple Net Lease, dated as of March 1, 2021, between Dragonfly Energy Corp. and Icon Reno Property Owner Pool 3 Nevada,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Lease, dated as of February 8, 2022, between Dragonfly Energy Corp. and Prologis, L.P.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Purchase Agreement, dated as of October 7, 2022, between Dragonfly Energy Holdings Corp. and Chardan Capital Markets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
        <w:gridCol w:w="60"/>
        <w:gridCol w:w="7267"/>
        <w:gridCol w:w="60"/>
        <w:gridCol w:w="505"/>
        <w:gridCol w:w="60"/>
        <w:gridCol w:w="657"/>
        <w:gridCol w:w="60"/>
        <w:gridCol w:w="739"/>
      </w:tblGrid>
      <w:tr>
        <w:trPr/>
        <w:tc>
          <w:tcPr>
            <w:tcW w:w="7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26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021"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9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pPr>
            <w:r>
              <w:rPr/>
              <w:t> </w:t>
            </w:r>
          </w:p>
        </w:tc>
        <w:tc>
          <w:tcPr>
            <w:tcW w:w="726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pPr>
            <w:r>
              <w:rPr/>
              <w:t> </w:t>
            </w:r>
          </w:p>
        </w:tc>
        <w:tc>
          <w:tcPr>
            <w:tcW w:w="5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Registration Rights Agreement, dated as of October 7, 2022, between Dragonfly Energy Holdings Corp. and Chardan Capital Markets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Term Loan Agreement, dated as of October 7, 2022, by and among the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Pledge Agreement, dated as of October 7, 2022, by and among Dragonfly Energy Holdings Corp.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Employment Agreement, dated as of January 1, 2022, by and between Dragonfly Energy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Employment Agreement, dated as of January 1, 2022, by and between Dragonfly Energy Corp. and Sean Nichols.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Sean Nichols.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Employment Agreement, dated as of August 17, 2021, by and between Dragonfly Energy Corp. and John Marchetti.</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Dragonfly Energy Corp. 2019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Dragonfly Energy Corp. 2021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Amended and Restated Registration Rights Agreement, dated as of October 7, 2022, by and among Dragonfly Energy Holdings Corp. and each of the stockholders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Denis Phares.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John Marchetti.</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First Amended and Restated Employment Agreement, dated February 24, 2023, by and between Dragonfly Energy Holdings Corp. and John Marchetti.</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Separation Agreement by and between Dragonfly Energy Holdings Corp. and Sean Nichols, dated October 25, 2022.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First Amendment to Separation Agreement by and between Dragonfly Energy Holdings Corp. and Sean Nichols, dated November 14, 2022.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Asset Purchase Agreement, dated April 22, 2022, by and among Dragonfly Energy Corp., Thomason Jones Company, LLC, William Thomason and Richard Jones.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Manufacturing Supply Agreement, dated November 19, 2021, by and between Dragonfly Energy Holdings Corp. and Keystone RV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Asset Purchase Agreement, dated January 1, 2022, by and between Dragonfly Energy Holdings Corp. and Bourns Productions,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Assignment and Assumption Agreement, dated January 1, 2022, by and between Dragonfly Energy Corp. and Bourns Productions,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Assignment and Assumption of Lease Agreement, dated January 1, 2022, by and among Dragonfly Energy Corp., Bourns Productions, Inc. and Los Angeles &amp; Steel Co.</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Research and Development Lab Lease, dated April 25, 2019, by and between Dragonfly Energy Corp. and BRE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Amendment No. 1 to Research and Lab Lease, dated March 12, 2020, by and between Dragonfly Energy Corp. and DRE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Amendment No. 2 to Research and Lab Lease, dated July 27, 2020, by and between Dragonfly Energy Corp. and DRE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
        <w:gridCol w:w="60"/>
        <w:gridCol w:w="7337"/>
        <w:gridCol w:w="60"/>
        <w:gridCol w:w="535"/>
        <w:gridCol w:w="60"/>
        <w:gridCol w:w="650"/>
        <w:gridCol w:w="60"/>
        <w:gridCol w:w="680"/>
      </w:tblGrid>
      <w:tr>
        <w:trPr/>
        <w:tc>
          <w:tcPr>
            <w:tcW w:w="7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33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98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6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pPr>
            <w:r>
              <w:rPr/>
              <w:t> </w:t>
            </w:r>
          </w:p>
        </w:tc>
        <w:tc>
          <w:tcPr>
            <w:tcW w:w="733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pPr>
            <w:r>
              <w:rPr/>
              <w:t> </w:t>
            </w:r>
          </w:p>
        </w:tc>
        <w:tc>
          <w:tcPr>
            <w:tcW w:w="5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Amendment No. 3 to Research and Lab Lease, dated August 26, 2020, by and between Dragonfly Energy Corp. and DRE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Amendment No. 4 to Research and Lab Lease, dated December 16, 2020, by and between Dragonfly Energy Corp. and BRS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Amendment No. 5 to Research and Lab Lease, dated January 28, 2022, by and between Dragonfly Energy Corp. and BRS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Limited Waiver, dated as of March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Nicole Harvey.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List of Subsidiaries.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BDO USA, LLP.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Parsons Behle &amp; Latimer (included in Exhibit 5.1 hereto).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w:anchor="Z_001">
              <w:r>
                <w:rPr>
                  <w:rStyle w:val="InternetLink"/>
                  <w:rFonts w:ascii="Times New Roman;Times;Serif" w:hAnsi="Times New Roman;Times;Serif"/>
                  <w:b w:val="false"/>
                  <w:i w:val="false"/>
                  <w:caps w:val="false"/>
                  <w:smallCaps w:val="false"/>
                  <w:sz w:val="20"/>
                </w:rPr>
                <w:t>Power of Attorney (included on the signature page to the prospectus which forms part of this registration statement).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Exhibit.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by amendment.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schedules and exhibits to the agreement have been omitted pursuant to Item 601(b)(2) of Regulation S-K. A copy of any omitted schedule and/or exhibit will be furnished to the Securities and Exchange Commission upon request.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w:t>
      </w:r>
    </w:p>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(the “Securities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ind w:left="0" w:right="0" w:firstLine="72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120" w:after="283"/>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Reno, State of Nevada, on June 2, 2023.</w:t>
      </w:r>
    </w:p>
    <w:p>
      <w:pPr>
        <w:pStyle w:val="TextBody"/>
        <w:bidi w:val="0"/>
        <w:ind w:left="0" w:right="0" w:firstLine="72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of the individuals whose signature appears below constitutes and appoints Denis Phares and John Marchetti, and each and either of them, his or her true and lawful attorney-in-fact and agent, each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ind w:left="16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1633" w:name="Z_001"/>
      <w:bookmarkEnd w:id="1633"/>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both"/>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2420"/>
        <w:gridCol w:w="60"/>
        <w:gridCol w:w="3965"/>
        <w:gridCol w:w="60"/>
        <w:gridCol w:w="1070"/>
      </w:tblGrid>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4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tc>
      </w:tr>
      <w:tr>
        <w:trPr/>
        <w:tc>
          <w:tcPr>
            <w:tcW w:w="24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Marchetti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tc>
      </w:tr>
      <w:tr>
        <w:trPr/>
        <w:tc>
          <w:tcPr>
            <w:tcW w:w="24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Luisa Ingargiola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tc>
      </w:tr>
      <w:tr>
        <w:trPr/>
        <w:tc>
          <w:tcPr>
            <w:tcW w:w="24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Brian Nelson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tc>
      </w:tr>
      <w:tr>
        <w:trPr/>
        <w:tc>
          <w:tcPr>
            <w:tcW w:w="24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Perry Boyle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tc>
      </w:tr>
      <w:tr>
        <w:trPr/>
        <w:tc>
          <w:tcPr>
            <w:tcW w:w="24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Jonathan Bellows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tc>
      </w:tr>
      <w:tr>
        <w:trPr/>
        <w:tc>
          <w:tcPr>
            <w:tcW w:w="24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Rick Parod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tc>
      </w:tr>
      <w:tr>
        <w:trPr/>
        <w:tc>
          <w:tcPr>
            <w:tcW w:w="24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Karina Montilla Edmonds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tc>
      </w:tr>
      <w:tr>
        <w:trPr/>
        <w:tc>
          <w:tcPr>
            <w:tcW w:w="24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jc w:val="left"/>
        <w:rPr>
          <w:caps w:val="false"/>
          <w:smallCaps w:val="false"/>
        </w:rPr>
      </w:pPr>
      <w:r>
        <w:rPr>
          <w:caps w:val="false"/>
          <w:smallCaps w:val="false"/>
        </w:rPr>
        <w:t> </w:t>
      </w:r>
    </w:p>
    <w:p>
      <w:pPr>
        <w:pStyle w:val="TextBody"/>
        <w:bidi w:val="0"/>
        <w:ind w:left="0" w:right="0" w:hanging="0"/>
        <w:jc w:val="center"/>
        <w:rPr>
          <w:caps w:val="false"/>
          <w:smallCaps w:val="false"/>
        </w:rPr>
      </w:pPr>
      <w:bookmarkStart w:id="1634" w:name="ex23-1.htm"/>
      <w:bookmarkStart w:id="1635" w:name="ksex231"/>
      <w:bookmarkEnd w:id="1634"/>
      <w:bookmarkEnd w:id="163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our report dated April 17, 2023, relating to the consolidated financial statements of Dragonfly Energy Holdings Corp., which is contained in that Prospectus. Our report contains an explanatory paragraph regarding the Company’s ability to continue as a going concern.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2023</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1636" w:name="ex107.htm"/>
      <w:bookmarkStart w:id="1637" w:name="ksex107"/>
      <w:bookmarkEnd w:id="1636"/>
      <w:bookmarkEnd w:id="163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and Carry Forward Securities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
        <w:gridCol w:w="60"/>
        <w:gridCol w:w="804"/>
        <w:gridCol w:w="60"/>
        <w:gridCol w:w="1062"/>
        <w:gridCol w:w="60"/>
        <w:gridCol w:w="134"/>
        <w:gridCol w:w="1023"/>
        <w:gridCol w:w="60"/>
        <w:gridCol w:w="60"/>
        <w:gridCol w:w="396"/>
        <w:gridCol w:w="629"/>
        <w:gridCol w:w="60"/>
        <w:gridCol w:w="60"/>
        <w:gridCol w:w="386"/>
        <w:gridCol w:w="612"/>
        <w:gridCol w:w="60"/>
        <w:gridCol w:w="60"/>
        <w:gridCol w:w="140"/>
        <w:gridCol w:w="1100"/>
        <w:gridCol w:w="60"/>
        <w:gridCol w:w="60"/>
        <w:gridCol w:w="60"/>
        <w:gridCol w:w="1160"/>
        <w:gridCol w:w="60"/>
        <w:gridCol w:w="60"/>
        <w:gridCol w:w="176"/>
        <w:gridCol w:w="1087"/>
        <w:gridCol w:w="80"/>
      </w:tblGrid>
      <w:tr>
        <w:trPr/>
        <w:tc>
          <w:tcPr>
            <w:tcW w:w="5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center"/>
              <w:rPr/>
            </w:pPr>
            <w:r>
              <w:rPr/>
              <w:t xml:space="preserve">Security </w:t>
              <w:br/>
              <w:t>Type</w:t>
            </w:r>
          </w:p>
        </w:tc>
        <w:tc>
          <w:tcPr>
            <w:tcW w:w="60" w:type="dxa"/>
            <w:tcBorders/>
            <w:vAlign w:val="center"/>
          </w:tcPr>
          <w:p>
            <w:pPr>
              <w:pStyle w:val="TableContents"/>
              <w:bidi w:val="0"/>
              <w:spacing w:before="0" w:after="283"/>
              <w:jc w:val="left"/>
              <w:rPr/>
            </w:pPr>
            <w:r>
              <w:rPr/>
              <w:t> </w:t>
            </w:r>
          </w:p>
        </w:tc>
        <w:tc>
          <w:tcPr>
            <w:tcW w:w="1062" w:type="dxa"/>
            <w:tcBorders>
              <w:bottom w:val="single" w:sz="12" w:space="0" w:color="000000"/>
            </w:tcBorders>
            <w:tcMar>
              <w:bottom w:w="28" w:type="dxa"/>
            </w:tcMar>
            <w:vAlign w:val="center"/>
          </w:tcPr>
          <w:p>
            <w:pPr>
              <w:pStyle w:val="TableContents"/>
              <w:bidi w:val="0"/>
              <w:spacing w:before="0" w:after="283"/>
              <w:jc w:val="center"/>
              <w:rPr/>
            </w:pPr>
            <w:r>
              <w:rPr/>
              <w:t>Security Class Title</w:t>
            </w:r>
          </w:p>
        </w:tc>
        <w:tc>
          <w:tcPr>
            <w:tcW w:w="60" w:type="dxa"/>
            <w:tcBorders/>
            <w:vAlign w:val="cente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Fee Calculation or </w:t>
              <w:br/>
              <w:t>Carry Forward Rule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Amount </w:t>
              <w:b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Proposed </w:t>
              <w:br/>
              <w:t xml:space="preserve">Maximum </w:t>
              <w:br/>
              <w:t xml:space="preserve">Offering </w:t>
              <w:br/>
              <w:t xml:space="preserve">Price Per </w:t>
              <w:br/>
              <w:t>Unit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Maximum </w:t>
              <w:br/>
              <w:t xml:space="preserve">Aggregate </w:t>
              <w:br/>
              <w:t xml:space="preserve">Offering </w:t>
              <w:br/>
              <w:t>Price(1)(2)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pPr>
            <w:r>
              <w:rPr/>
              <w:t>Fee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3" w:type="dxa"/>
            <w:gridSpan w:val="2"/>
            <w:tcBorders>
              <w:bottom w:val="single" w:sz="12" w:space="0" w:color="000000"/>
            </w:tcBorders>
            <w:tcMar>
              <w:bottom w:w="28" w:type="dxa"/>
            </w:tcMar>
            <w:vAlign w:val="center"/>
          </w:tcPr>
          <w:p>
            <w:pPr>
              <w:pStyle w:val="TableContents"/>
              <w:bidi w:val="0"/>
              <w:spacing w:before="0" w:after="283"/>
              <w:jc w:val="center"/>
              <w:rPr/>
            </w:pPr>
            <w:r>
              <w:rPr/>
              <w:t>Amount of Registration Fee</w:t>
            </w:r>
          </w:p>
        </w:tc>
        <w:tc>
          <w:tcPr>
            <w:tcW w:w="80" w:type="dxa"/>
            <w:tcBorders/>
            <w:vAlign w:val="center"/>
          </w:tcPr>
          <w:p>
            <w:pPr>
              <w:pStyle w:val="TableContents"/>
              <w:bidi w:val="0"/>
              <w:spacing w:before="0" w:after="283"/>
              <w:jc w:val="left"/>
              <w:rPr/>
            </w:pPr>
            <w:r>
              <w:rPr/>
              <w:t> </w:t>
            </w:r>
          </w:p>
        </w:tc>
      </w:tr>
      <w:tr>
        <w:trPr/>
        <w:tc>
          <w:tcPr>
            <w:tcW w:w="576" w:type="dxa"/>
            <w:tcBorders/>
            <w:shd w:fill="CCEEFF" w:val="clear"/>
            <w:vAlign w:val="center"/>
          </w:tcPr>
          <w:p>
            <w:pPr>
              <w:pStyle w:val="TableContents"/>
              <w:bidi w:val="0"/>
              <w:spacing w:before="0" w:after="283"/>
              <w:jc w:val="center"/>
              <w:rPr>
                <w:b/>
              </w:rPr>
            </w:pPr>
            <w:r>
              <w:rPr>
                <w:b/>
              </w:rPr>
              <w:t>Fees to Be Paid</w:t>
            </w:r>
          </w:p>
        </w:tc>
        <w:tc>
          <w:tcPr>
            <w:tcW w:w="6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Shares of common stock, par value $0.0001 per share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457(o)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0.00011020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2,543.60</w:t>
            </w:r>
          </w:p>
        </w:tc>
        <w:tc>
          <w:tcPr>
            <w:tcW w:w="80" w:type="dxa"/>
            <w:tcBorders/>
            <w:shd w:fill="CCEEFF" w:val="clear"/>
            <w:vAlign w:val="center"/>
          </w:tcPr>
          <w:p>
            <w:pPr>
              <w:pStyle w:val="TableContents"/>
              <w:bidi w:val="0"/>
              <w:spacing w:before="0" w:after="283"/>
              <w:jc w:val="left"/>
              <w:rPr/>
            </w:pPr>
            <w:r>
              <w:rPr/>
              <w:t> </w:t>
            </w:r>
          </w:p>
        </w:tc>
      </w:tr>
      <w:tr>
        <w:trPr/>
        <w:tc>
          <w:tcPr>
            <w:tcW w:w="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88" w:type="dxa"/>
            <w:gridSpan w:val="10"/>
            <w:tcBorders/>
            <w:shd w:fill="FFFFFF" w:val="clear"/>
            <w:vAlign w:val="center"/>
          </w:tcPr>
          <w:p>
            <w:pPr>
              <w:pStyle w:val="TableContents"/>
              <w:bidi w:val="0"/>
              <w:spacing w:before="0" w:after="283"/>
              <w:jc w:val="right"/>
              <w:rPr/>
            </w:pPr>
            <w:r>
              <w:rPr/>
              <w:t>Total Offering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087" w:type="dxa"/>
            <w:tcBorders/>
            <w:shd w:fill="FFFFFF" w:val="clear"/>
            <w:vAlign w:val="center"/>
          </w:tcPr>
          <w:p>
            <w:pPr>
              <w:pStyle w:val="TableContents"/>
              <w:bidi w:val="0"/>
              <w:spacing w:before="0" w:after="283"/>
              <w:jc w:val="right"/>
              <w:rPr/>
            </w:pPr>
            <w:r>
              <w:rPr/>
              <w:t>2,534.60</w:t>
            </w:r>
          </w:p>
        </w:tc>
        <w:tc>
          <w:tcPr>
            <w:tcW w:w="80" w:type="dxa"/>
            <w:tcBorders/>
            <w:shd w:fill="FFFFFF" w:val="clear"/>
            <w:vAlign w:val="center"/>
          </w:tcPr>
          <w:p>
            <w:pPr>
              <w:pStyle w:val="TableContents"/>
              <w:bidi w:val="0"/>
              <w:spacing w:before="0" w:after="283"/>
              <w:jc w:val="left"/>
              <w:rPr/>
            </w:pPr>
            <w:r>
              <w:rPr/>
              <w:t> </w:t>
            </w:r>
          </w:p>
        </w:tc>
      </w:tr>
      <w:tr>
        <w:trPr/>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8" w:type="dxa"/>
            <w:gridSpan w:val="10"/>
            <w:tcBorders/>
            <w:shd w:fill="CCEEFF" w:val="clear"/>
            <w:vAlign w:val="center"/>
          </w:tcPr>
          <w:p>
            <w:pPr>
              <w:pStyle w:val="TableContents"/>
              <w:bidi w:val="0"/>
              <w:spacing w:before="0" w:after="283"/>
              <w:jc w:val="right"/>
              <w:rPr/>
            </w:pPr>
            <w:r>
              <w:rPr/>
              <w:t>Total Fees Previously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rPr>
            </w:pPr>
            <w:r>
              <w:rPr>
                <w:b/>
              </w:rPr>
              <w:t>-</w:t>
            </w:r>
          </w:p>
        </w:tc>
        <w:tc>
          <w:tcPr>
            <w:tcW w:w="80" w:type="dxa"/>
            <w:tcBorders/>
            <w:shd w:fill="CCEEFF" w:val="clear"/>
            <w:vAlign w:val="center"/>
          </w:tcPr>
          <w:p>
            <w:pPr>
              <w:pStyle w:val="TableContents"/>
              <w:bidi w:val="0"/>
              <w:spacing w:before="0" w:after="283"/>
              <w:jc w:val="left"/>
              <w:rPr/>
            </w:pPr>
            <w:r>
              <w:rPr/>
              <w:t> </w:t>
            </w:r>
          </w:p>
        </w:tc>
      </w:tr>
      <w:tr>
        <w:trPr/>
        <w:tc>
          <w:tcPr>
            <w:tcW w:w="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88" w:type="dxa"/>
            <w:gridSpan w:val="10"/>
            <w:tcBorders/>
            <w:shd w:fill="FFFFFF" w:val="clear"/>
            <w:vAlign w:val="center"/>
          </w:tcPr>
          <w:p>
            <w:pPr>
              <w:pStyle w:val="TableContents"/>
              <w:bidi w:val="0"/>
              <w:spacing w:before="0" w:after="283"/>
              <w:jc w:val="right"/>
              <w:rPr/>
            </w:pPr>
            <w:r>
              <w:rPr/>
              <w:t>Total Fee Offsets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rPr>
            </w:pPr>
            <w:r>
              <w:rPr>
                <w:b/>
              </w:rPr>
              <w:t>-</w:t>
            </w:r>
          </w:p>
        </w:tc>
        <w:tc>
          <w:tcPr>
            <w:tcW w:w="80" w:type="dxa"/>
            <w:tcBorders/>
            <w:shd w:fill="FFFFFF" w:val="clear"/>
            <w:vAlign w:val="center"/>
          </w:tcPr>
          <w:p>
            <w:pPr>
              <w:pStyle w:val="TableContents"/>
              <w:bidi w:val="0"/>
              <w:spacing w:before="0" w:after="283"/>
              <w:jc w:val="left"/>
              <w:rPr/>
            </w:pPr>
            <w:r>
              <w:rPr/>
              <w:t> </w:t>
            </w:r>
          </w:p>
        </w:tc>
      </w:tr>
      <w:tr>
        <w:trPr/>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8" w:type="dxa"/>
            <w:gridSpan w:val="10"/>
            <w:tcBorders/>
            <w:shd w:fill="CCEEFF" w:val="clear"/>
            <w:vAlign w:val="center"/>
          </w:tcPr>
          <w:p>
            <w:pPr>
              <w:pStyle w:val="TableContents"/>
              <w:bidi w:val="0"/>
              <w:spacing w:before="0" w:after="283"/>
              <w:jc w:val="right"/>
              <w:rPr/>
            </w:pPr>
            <w:r>
              <w:rPr/>
              <w:t>Net Fee Due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2,534.60</w:t>
            </w:r>
          </w:p>
        </w:tc>
        <w:tc>
          <w:tcPr>
            <w:tcW w:w="8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solely for the purpose of calculating the amount of the registration fee in pursuant to Rule 457(o) under the Securities Act of 1933, as amended (the “Securities Act”).</w:t>
            </w:r>
          </w:p>
        </w:tc>
      </w:tr>
      <w:tr>
        <w:trPr/>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aggregate offering price of the additional shares of common stock that the underwriter has the option to purchase to cover over-allotments.</w:t>
            </w:r>
          </w:p>
        </w:tc>
      </w:tr>
      <w:tr>
        <w:trPr/>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under the Securities Act, this registration statement shall also cover an indeterminate number of shares that may be issued and resold resulting from stock splits, stock dividends or similar transactions.</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847986/000110465922081684/cntq-20210630xex2d1a.htm" TargetMode="External"/><Relationship Id="rId12" Type="http://schemas.openxmlformats.org/officeDocument/2006/relationships/hyperlink" Target="https://www.sec.gov/Archives/edgar/data/1847986/000149315223010262/ex2-1.htm" TargetMode="External"/><Relationship Id="rId13" Type="http://schemas.openxmlformats.org/officeDocument/2006/relationships/hyperlink" Target="https://www.sec.gov/Archives/edgar/data/1847986/000149315223010262/ex3-1.htm" TargetMode="External"/><Relationship Id="rId14" Type="http://schemas.openxmlformats.org/officeDocument/2006/relationships/hyperlink" Target="https://www.sec.gov/Archives/edgar/data/1847986/000149315223010262/ex3-2.htm" TargetMode="External"/><Relationship Id="rId15" Type="http://schemas.openxmlformats.org/officeDocument/2006/relationships/hyperlink" Target="https://www.sec.gov/Archives/edgar/data/1847986/000110465922107212/tm2222125d3_ex4-1.htm" TargetMode="External"/><Relationship Id="rId16" Type="http://schemas.openxmlformats.org/officeDocument/2006/relationships/hyperlink" Target="https://www.sec.gov/Archives/edgar/data/1847986/000110465922107212/tm2222125d3_ex4-2.htm" TargetMode="External"/><Relationship Id="rId17" Type="http://schemas.openxmlformats.org/officeDocument/2006/relationships/hyperlink" Target="https://www.sec.gov/Archives/edgar/data/1847986/000110465922107212/tm2222125d3_ex4-3.htm" TargetMode="External"/><Relationship Id="rId18" Type="http://schemas.openxmlformats.org/officeDocument/2006/relationships/hyperlink" Target="https://www.sec.gov/Archives/edgar/data/1847986/000110465922110688/dfli-20220630xex4d4.htm" TargetMode="External"/><Relationship Id="rId19" Type="http://schemas.openxmlformats.org/officeDocument/2006/relationships/hyperlink" Target="https://www.sec.gov/Archives/edgar/data/1847986/000149315223012533/ex4-5.htm" TargetMode="External"/><Relationship Id="rId20" Type="http://schemas.openxmlformats.org/officeDocument/2006/relationships/hyperlink" Target="https://www.sec.gov/Archives/edgar/data/1847986/000149315223007147/ex4-1.htm" TargetMode="External"/><Relationship Id="rId21" Type="http://schemas.openxmlformats.org/officeDocument/2006/relationships/hyperlink" Target="https://www.sec.gov/Archives/edgar/data/1847986/000149315223012533/ex4-7.htm" TargetMode="External"/><Relationship Id="rId22" Type="http://schemas.openxmlformats.org/officeDocument/2006/relationships/hyperlink" Target="https://www.sec.gov/Archives/edgar/data/1847986/000110465922107212/tm2222125d3_ex10-5.htm" TargetMode="External"/><Relationship Id="rId23" Type="http://schemas.openxmlformats.org/officeDocument/2006/relationships/hyperlink" Target="https://www.sec.gov/Archives/edgar/data/1847986/000110465922107212/tm2222125d3_ex10-6.htm" TargetMode="External"/><Relationship Id="rId24" Type="http://schemas.openxmlformats.org/officeDocument/2006/relationships/hyperlink" Target="https://www.sec.gov/Archives/edgar/data/1847986/000110465922099731/tm2218377d21_ex10-10.htm" TargetMode="External"/><Relationship Id="rId25" Type="http://schemas.openxmlformats.org/officeDocument/2006/relationships/hyperlink" Target="https://www.sec.gov/Archives/edgar/data/1847986/000110465922081684/cntq-20210630xex10d11.htm" TargetMode="External"/><Relationship Id="rId26" Type="http://schemas.openxmlformats.org/officeDocument/2006/relationships/hyperlink" Target="https://www.sec.gov/Archives/edgar/data/1847986/000110465922081684/cntq-20210630xex10d12.htm" TargetMode="External"/><Relationship Id="rId27" Type="http://schemas.openxmlformats.org/officeDocument/2006/relationships/hyperlink" Target="https://www.sec.gov/Archives/edgar/data/1847986/000110465922107212/tm2222125d3_ex10-10.htm" TargetMode="External"/><Relationship Id="rId28" Type="http://schemas.openxmlformats.org/officeDocument/2006/relationships/hyperlink" Target="https://www.sec.gov/Archives/edgar/data/1847986/000110465922107212/tm2222125d3_ex10-11.htm" TargetMode="External"/><Relationship Id="rId29" Type="http://schemas.openxmlformats.org/officeDocument/2006/relationships/hyperlink" Target="https://www.sec.gov/Archives/edgar/data/1847986/000110465922107212/tm2222125d3_ex10-12.htm" TargetMode="External"/><Relationship Id="rId30" Type="http://schemas.openxmlformats.org/officeDocument/2006/relationships/hyperlink" Target="https://www.sec.gov/Archives/edgar/data/1847986/000110465922107212/tm2222125d3_ex10-13.htm" TargetMode="External"/><Relationship Id="rId31" Type="http://schemas.openxmlformats.org/officeDocument/2006/relationships/hyperlink" Target="https://www.sec.gov/Archives/edgar/data/1847986/000110465922107212/tm2222125d3_ex10-14.htm" TargetMode="External"/><Relationship Id="rId32" Type="http://schemas.openxmlformats.org/officeDocument/2006/relationships/hyperlink" Target="https://www.sec.gov/Archives/edgar/data/1847986/000110465922107212/tm2222125d3_ex10-15.htm" TargetMode="External"/><Relationship Id="rId33" Type="http://schemas.openxmlformats.org/officeDocument/2006/relationships/hyperlink" Target="https://www.sec.gov/Archives/edgar/data/1847986/000110465922107212/tm2222125d3_ex10-16.htm" TargetMode="External"/><Relationship Id="rId34" Type="http://schemas.openxmlformats.org/officeDocument/2006/relationships/hyperlink" Target="https://www.sec.gov/Archives/edgar/data/1847986/000110465922107212/tm2222125d3_ex10-17.htm" TargetMode="External"/><Relationship Id="rId35" Type="http://schemas.openxmlformats.org/officeDocument/2006/relationships/hyperlink" Target="https://www.sec.gov/Archives/edgar/data/1847986/000110465922107212/tm2222125d3_ex10-18.htm" TargetMode="External"/><Relationship Id="rId36" Type="http://schemas.openxmlformats.org/officeDocument/2006/relationships/hyperlink" Target="https://www.sec.gov/Archives/edgar/data/1847986/000110465922107212/tm2222125d3_ex10-19.htm" TargetMode="External"/><Relationship Id="rId37" Type="http://schemas.openxmlformats.org/officeDocument/2006/relationships/hyperlink" Target="https://www.sec.gov/Archives/edgar/data/1847986/000110465922107212/tm2222125d3_ex10-20.htm" TargetMode="External"/><Relationship Id="rId38" Type="http://schemas.openxmlformats.org/officeDocument/2006/relationships/hyperlink" Target="https://www.sec.gov/Archives/edgar/data/1847986/000110465922107212/tm2222125d3_ex10-21.htm" TargetMode="External"/><Relationship Id="rId39" Type="http://schemas.openxmlformats.org/officeDocument/2006/relationships/hyperlink" Target="https://www.sec.gov/Archives/edgar/data/1847986/000110465922114961/dfli-20220630xex10d22.htm" TargetMode="External"/><Relationship Id="rId40" Type="http://schemas.openxmlformats.org/officeDocument/2006/relationships/hyperlink" Target="https://www.sec.gov/Archives/edgar/data/1847986/000110465922114961/dfli-20220630xex10d23.htm" TargetMode="External"/><Relationship Id="rId41" Type="http://schemas.openxmlformats.org/officeDocument/2006/relationships/hyperlink" Target="https://www.sec.gov/Archives/edgar/data/1847986/000110465922114961/dfli-20220630xex10d24.htm" TargetMode="External"/><Relationship Id="rId42" Type="http://schemas.openxmlformats.org/officeDocument/2006/relationships/hyperlink" Target="https://www.sec.gov/Archives/edgar/data/1847986/000149315223006564/ex10-1.htm" TargetMode="External"/><Relationship Id="rId43" Type="http://schemas.openxmlformats.org/officeDocument/2006/relationships/hyperlink" Target="https://www.sec.gov/Archives/edgar/data/1847986/000149315223012533/ex10-26.htm" TargetMode="External"/><Relationship Id="rId44" Type="http://schemas.openxmlformats.org/officeDocument/2006/relationships/hyperlink" Target="https://www.sec.gov/Archives/edgar/data/1847986/000149315223012533/ex10-27.htm" TargetMode="External"/><Relationship Id="rId45" Type="http://schemas.openxmlformats.org/officeDocument/2006/relationships/hyperlink" Target="https://www.sec.gov/Archives/edgar/data/1847986/000149315223012533/ex10-28.htm" TargetMode="External"/><Relationship Id="rId46" Type="http://schemas.openxmlformats.org/officeDocument/2006/relationships/hyperlink" Target="https://www.sec.gov/Archives/edgar/data/1847986/000149315223012533/ex10-29.htm" TargetMode="External"/><Relationship Id="rId47" Type="http://schemas.openxmlformats.org/officeDocument/2006/relationships/hyperlink" Target="https://www.sec.gov/Archives/edgar/data/1847986/000149315223012533/ex10-30.htm" TargetMode="External"/><Relationship Id="rId48" Type="http://schemas.openxmlformats.org/officeDocument/2006/relationships/hyperlink" Target="https://www.sec.gov/Archives/edgar/data/1847986/000149315223012533/ex10-31.htm" TargetMode="External"/><Relationship Id="rId49" Type="http://schemas.openxmlformats.org/officeDocument/2006/relationships/hyperlink" Target="https://www.sec.gov/Archives/edgar/data/1847986/000149315223012533/ex10-32.htm" TargetMode="External"/><Relationship Id="rId50" Type="http://schemas.openxmlformats.org/officeDocument/2006/relationships/hyperlink" Target="https://www.sec.gov/Archives/edgar/data/1847986/000149315223012533/ex10-33.htm" TargetMode="External"/><Relationship Id="rId51" Type="http://schemas.openxmlformats.org/officeDocument/2006/relationships/hyperlink" Target="https://www.sec.gov/Archives/edgar/data/1847986/000149315223012533/ex10-34.htm" TargetMode="External"/><Relationship Id="rId52" Type="http://schemas.openxmlformats.org/officeDocument/2006/relationships/hyperlink" Target="https://www.sec.gov/Archives/edgar/data/1847986/000149315223012533/ex10-35.htm" TargetMode="External"/><Relationship Id="rId53" Type="http://schemas.openxmlformats.org/officeDocument/2006/relationships/hyperlink" Target="https://www.sec.gov/Archives/edgar/data/1847986/000149315223012533/ex10-36.htm" TargetMode="External"/><Relationship Id="rId54" Type="http://schemas.openxmlformats.org/officeDocument/2006/relationships/hyperlink" Target="https://www.sec.gov/Archives/edgar/data/1847986/000149315223012533/ex10-37.htm" TargetMode="External"/><Relationship Id="rId55" Type="http://schemas.openxmlformats.org/officeDocument/2006/relationships/hyperlink" Target="https://www.sec.gov/Archives/edgar/data/1847986/000149315223012533/ex10-38.htm" TargetMode="External"/><Relationship Id="rId56" Type="http://schemas.openxmlformats.org/officeDocument/2006/relationships/hyperlink" Target="https://www.sec.gov/Archives/edgar/data/1847986/000149315223009479/ex10-1.htm" TargetMode="External"/><Relationship Id="rId57" Type="http://schemas.openxmlformats.org/officeDocument/2006/relationships/hyperlink" Target="https://www.sec.gov/Archives/edgar/data/1847986/000149315223014966/ex10-1.htm" TargetMode="External"/><Relationship Id="rId58" Type="http://schemas.openxmlformats.org/officeDocument/2006/relationships/hyperlink" Target="https://www.sec.gov/Archives/edgar/data/1847986/000110465922107212/tm2222125d3_ex21-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103652</Words>
  <Characters>558364</Characters>
  <CharactersWithSpaces>665942</CharactersWithSpaces>
  <Paragraphs>15077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