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July 13, 2021.</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333-254010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85-1873463</w:t>
            </w:r>
          </w:p>
        </w:tc>
        <w:tc>
          <w:tcPr>
            <w:tcW w:w="0" w:type="dxa"/>
            <w:vAlign w:val="bottom"/>
          </w:tcPr>
          <w:p>
            <w:pPr>
              <w:spacing w:after="0"/>
              <w:rPr>
                <w:sz w:val="1"/>
                <w:szCs w:val="1"/>
                <w:color w:val="auto"/>
              </w:rPr>
            </w:pPr>
          </w:p>
        </w:tc>
      </w:tr>
      <w:tr>
        <w:trPr>
          <w:trHeight w:val="40"/>
        </w:trPr>
        <w:tc>
          <w:tcPr>
            <w:tcW w:w="37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2"/>
              </w:rPr>
              <w:t>(State or other jurisdiction of incorporation or</w:t>
            </w:r>
          </w:p>
        </w:tc>
        <w:tc>
          <w:tcPr>
            <w:tcW w:w="12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 Classification Code</w:t>
            </w:r>
          </w:p>
        </w:tc>
        <w:tc>
          <w:tcPr>
            <w:tcW w:w="100" w:type="dxa"/>
            <w:vAlign w:val="bottom"/>
            <w:vMerge w:val="continue"/>
          </w:tcPr>
          <w:p>
            <w:pPr>
              <w:spacing w:after="0"/>
              <w:rPr>
                <w:sz w:val="16"/>
                <w:szCs w:val="16"/>
                <w:color w:val="auto"/>
              </w:rPr>
            </w:pPr>
          </w:p>
        </w:tc>
        <w:tc>
          <w:tcPr>
            <w:tcW w:w="3700" w:type="dxa"/>
            <w:vAlign w:val="bottom"/>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organization)</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w:t>
            </w:r>
          </w:p>
        </w:tc>
        <w:tc>
          <w:tcPr>
            <w:tcW w:w="37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jc w:val="center"/>
        <w:spacing w:after="0" w:line="192" w:lineRule="auto"/>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5080" w:type="dxa"/>
            <w:vAlign w:val="bottom"/>
          </w:tcPr>
          <w:p>
            <w:pPr>
              <w:ind w:left="720"/>
              <w:spacing w:after="0"/>
              <w:rPr>
                <w:sz w:val="20"/>
                <w:szCs w:val="20"/>
                <w:color w:val="auto"/>
              </w:rPr>
            </w:pPr>
            <w:r>
              <w:rPr>
                <w:rFonts w:ascii="Arial" w:cs="Arial" w:eastAsia="Arial" w:hAnsi="Arial"/>
                <w:sz w:val="18"/>
                <w:szCs w:val="18"/>
                <w:i w:val="1"/>
                <w:iCs w:val="1"/>
                <w:color w:val="auto"/>
              </w:rPr>
              <w:t>Copies to:</w:t>
            </w:r>
          </w:p>
        </w:tc>
      </w:tr>
      <w:tr>
        <w:trPr>
          <w:trHeight w:val="414"/>
        </w:trPr>
        <w:tc>
          <w:tcPr>
            <w:tcW w:w="284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Ari Edelman, Esq.</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Alan I. Annex, Esq.</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C. Craig Lilly, Esq.</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88"/>
              </w:rPr>
              <w:t>Jason T. Simon, Esq.</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Reed Smith LLP</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4"/>
              </w:rPr>
              <w:t>Greenberg Traurig, LLP</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599 Lexington Avenue</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88"/>
              </w:rPr>
              <w:t>1750 Tysons Blvd., Suite 1000</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New York, New York 10022</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McLean, VA 22102</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(212) 521-5400</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90"/>
              </w:rPr>
              <w:t>(703) 749-1300</w:t>
            </w:r>
          </w:p>
        </w:tc>
      </w:tr>
      <w:tr>
        <w:trPr>
          <w:trHeight w:val="234"/>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(212) 521-5450— Facsimile</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90"/>
              </w:rPr>
              <w:t>(703) 749-1301 — Facsimile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 offering.</w:t>
      </w:r>
    </w:p>
    <w:p>
      <w:pPr>
        <w:spacing w:after="0" w:line="229"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ind w:left="13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72" w:right="339" w:bottom="8" w:gutter="0" w:footer="0" w:header="0"/>
        </w:sectPr>
      </w:pPr>
    </w:p>
    <w:bookmarkStart w:id="1" w:name="page2"/>
    <w:bookmarkEnd w:id="1"/>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24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CALCULATION OF REGISTRATION FEE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Proposed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85"/>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Being</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5"/>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70"/>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 of Security being registered</w:t>
            </w: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Registered</w:t>
            </w:r>
          </w:p>
        </w:tc>
        <w:tc>
          <w:tcPr>
            <w:tcW w:w="140" w:type="dxa"/>
            <w:vAlign w:val="bottom"/>
          </w:tcPr>
          <w:p>
            <w:pPr>
              <w:spacing w:after="0"/>
              <w:rPr>
                <w:sz w:val="23"/>
                <w:szCs w:val="23"/>
                <w:color w:val="auto"/>
              </w:rPr>
            </w:pPr>
          </w:p>
        </w:tc>
        <w:tc>
          <w:tcPr>
            <w:tcW w:w="1240" w:type="dxa"/>
            <w:vAlign w:val="bottom"/>
            <w:gridSpan w:val="2"/>
          </w:tcPr>
          <w:p>
            <w:pPr>
              <w:jc w:val="center"/>
              <w:ind w:right="300"/>
              <w:spacing w:after="0" w:line="270" w:lineRule="exact"/>
              <w:rPr>
                <w:sz w:val="20"/>
                <w:szCs w:val="20"/>
                <w:color w:val="auto"/>
              </w:rPr>
            </w:pPr>
            <w:r>
              <w:rPr>
                <w:rFonts w:ascii="Arial" w:cs="Arial" w:eastAsia="Arial" w:hAnsi="Arial"/>
                <w:sz w:val="18"/>
                <w:szCs w:val="18"/>
                <w:b w:val="1"/>
                <w:bCs w:val="1"/>
                <w:color w:val="auto"/>
                <w:w w:val="86"/>
              </w:rPr>
              <w:t>Security</w:t>
            </w:r>
            <w:r>
              <w:rPr>
                <w:rFonts w:ascii="Arial" w:cs="Arial" w:eastAsia="Arial" w:hAnsi="Arial"/>
                <w:sz w:val="29"/>
                <w:szCs w:val="29"/>
                <w:b w:val="1"/>
                <w:bCs w:val="1"/>
                <w:color w:val="auto"/>
                <w:w w:val="86"/>
                <w:vertAlign w:val="superscript"/>
              </w:rPr>
              <w:t>(1)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right="280"/>
              <w:spacing w:after="0" w:line="269" w:lineRule="exact"/>
              <w:rPr>
                <w:sz w:val="20"/>
                <w:szCs w:val="20"/>
                <w:color w:val="auto"/>
              </w:rPr>
            </w:pPr>
            <w:r>
              <w:rPr>
                <w:rFonts w:ascii="Arial" w:cs="Arial" w:eastAsia="Arial" w:hAnsi="Arial"/>
                <w:sz w:val="31"/>
                <w:szCs w:val="31"/>
                <w:b w:val="1"/>
                <w:bCs w:val="1"/>
                <w:color w:val="auto"/>
                <w:w w:val="87"/>
                <w:vertAlign w:val="subscript"/>
              </w:rPr>
              <w:t>Price</w:t>
            </w:r>
            <w:r>
              <w:rPr>
                <w:rFonts w:ascii="Arial" w:cs="Arial" w:eastAsia="Arial" w:hAnsi="Arial"/>
                <w:sz w:val="14"/>
                <w:szCs w:val="14"/>
                <w:b w:val="1"/>
                <w:bCs w:val="1"/>
                <w:color w:val="auto"/>
                <w:w w:val="87"/>
              </w:rPr>
              <w:t>(1)(2)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245"/>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1"/>
              </w:rPr>
              <w:t>Units, each consisting of one share of common stock, $0.0001 par</w:t>
            </w: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value and one-half of one redeemable warrant entitling the</w:t>
            </w: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080" w:type="dxa"/>
            <w:vAlign w:val="bottom"/>
            <w:gridSpan w:val="3"/>
            <w:shd w:val="clear" w:color="auto" w:fill="CCEEFF"/>
          </w:tcPr>
          <w:p>
            <w:pPr>
              <w:ind w:left="180"/>
              <w:spacing w:after="0" w:line="267" w:lineRule="exact"/>
              <w:rPr>
                <w:sz w:val="20"/>
                <w:szCs w:val="20"/>
                <w:color w:val="auto"/>
              </w:rPr>
            </w:pPr>
            <w:r>
              <w:rPr>
                <w:rFonts w:ascii="Arial" w:cs="Arial" w:eastAsia="Arial" w:hAnsi="Arial"/>
                <w:sz w:val="18"/>
                <w:szCs w:val="18"/>
                <w:color w:val="auto"/>
              </w:rPr>
              <w:t>holder to purchase one share of common stock</w:t>
            </w:r>
            <w:r>
              <w:rPr>
                <w:rFonts w:ascii="Arial" w:cs="Arial" w:eastAsia="Arial" w:hAnsi="Arial"/>
                <w:sz w:val="29"/>
                <w:szCs w:val="29"/>
                <w:color w:val="auto"/>
                <w:vertAlign w:val="superscript"/>
              </w:rPr>
              <w:t>(2)</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12,546.50</w:t>
            </w:r>
          </w:p>
        </w:tc>
        <w:tc>
          <w:tcPr>
            <w:tcW w:w="0" w:type="dxa"/>
            <w:vAlign w:val="bottom"/>
          </w:tcPr>
          <w:p>
            <w:pPr>
              <w:spacing w:after="0"/>
              <w:rPr>
                <w:sz w:val="1"/>
                <w:szCs w:val="1"/>
                <w:color w:val="auto"/>
              </w:rPr>
            </w:pPr>
          </w:p>
        </w:tc>
      </w:tr>
      <w:tr>
        <w:trPr>
          <w:trHeight w:val="205"/>
        </w:trPr>
        <w:tc>
          <w:tcPr>
            <w:tcW w:w="5080" w:type="dxa"/>
            <w:vAlign w:val="bottom"/>
            <w:gridSpan w:val="3"/>
          </w:tcPr>
          <w:p>
            <w:pPr>
              <w:spacing w:after="0" w:line="206" w:lineRule="exact"/>
              <w:rPr>
                <w:sz w:val="20"/>
                <w:szCs w:val="20"/>
                <w:color w:val="auto"/>
              </w:rPr>
            </w:pPr>
            <w:r>
              <w:rPr>
                <w:rFonts w:ascii="Arial" w:cs="Arial" w:eastAsia="Arial" w:hAnsi="Arial"/>
                <w:sz w:val="18"/>
                <w:szCs w:val="18"/>
                <w:color w:val="auto"/>
                <w:w w:val="99"/>
              </w:rPr>
              <w:t>Shares of common stock, $0.0001 par value, included as part of</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080" w:type="dxa"/>
            <w:vAlign w:val="bottom"/>
            <w:gridSpan w:val="3"/>
          </w:tcPr>
          <w:p>
            <w:pPr>
              <w:ind w:left="180"/>
              <w:spacing w:after="0" w:line="267" w:lineRule="exact"/>
              <w:rPr>
                <w:sz w:val="20"/>
                <w:szCs w:val="20"/>
                <w:color w:val="auto"/>
              </w:rPr>
            </w:pPr>
            <w:r>
              <w:rPr>
                <w:rFonts w:ascii="Arial" w:cs="Arial" w:eastAsia="Arial" w:hAnsi="Arial"/>
                <w:sz w:val="18"/>
                <w:szCs w:val="18"/>
                <w:color w:val="auto"/>
              </w:rPr>
              <w:t>the units</w:t>
            </w:r>
            <w:r>
              <w:rPr>
                <w:rFonts w:ascii="Arial" w:cs="Arial" w:eastAsia="Arial" w:hAnsi="Arial"/>
                <w:sz w:val="29"/>
                <w:szCs w:val="29"/>
                <w:color w:val="auto"/>
                <w:vertAlign w:val="superscript"/>
              </w:rPr>
              <w:t>(3)</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11,500,000</w:t>
            </w:r>
          </w:p>
        </w:tc>
        <w:tc>
          <w:tcPr>
            <w:tcW w:w="1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Redeemable warrants included as part of the units</w:t>
            </w:r>
            <w:r>
              <w:rPr>
                <w:rFonts w:ascii="Arial" w:cs="Arial" w:eastAsia="Arial" w:hAnsi="Arial"/>
                <w:sz w:val="29"/>
                <w:szCs w:val="29"/>
                <w:color w:val="auto"/>
                <w:vertAlign w:val="superscript"/>
              </w:rPr>
              <w:t>(3)</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5,750,000</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2"/>
        </w:trPr>
        <w:tc>
          <w:tcPr>
            <w:tcW w:w="5080" w:type="dxa"/>
            <w:vAlign w:val="bottom"/>
            <w:gridSpan w:val="3"/>
          </w:tcPr>
          <w:p>
            <w:pPr>
              <w:spacing w:after="0" w:line="201" w:lineRule="exact"/>
              <w:rPr>
                <w:sz w:val="20"/>
                <w:szCs w:val="20"/>
                <w:color w:val="auto"/>
              </w:rPr>
            </w:pPr>
            <w:r>
              <w:rPr>
                <w:rFonts w:ascii="Arial" w:cs="Arial" w:eastAsia="Arial" w:hAnsi="Arial"/>
                <w:sz w:val="18"/>
                <w:szCs w:val="18"/>
                <w:color w:val="auto"/>
              </w:rPr>
              <w:t>Shares of common stock underlying the redeemable warrants</w:t>
            </w:r>
          </w:p>
        </w:tc>
        <w:tc>
          <w:tcPr>
            <w:tcW w:w="16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5,750,000</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66,125,000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restart"/>
          </w:tcPr>
          <w:p>
            <w:pPr>
              <w:jc w:val="right"/>
              <w:ind w:right="145"/>
              <w:spacing w:after="0"/>
              <w:rPr>
                <w:sz w:val="20"/>
                <w:szCs w:val="20"/>
                <w:color w:val="auto"/>
              </w:rPr>
            </w:pPr>
            <w:r>
              <w:rPr>
                <w:rFonts w:ascii="Arial" w:cs="Arial" w:eastAsia="Arial" w:hAnsi="Arial"/>
                <w:sz w:val="18"/>
                <w:szCs w:val="18"/>
                <w:color w:val="auto"/>
              </w:rPr>
              <w:t>7,214.25</w:t>
            </w:r>
          </w:p>
        </w:tc>
        <w:tc>
          <w:tcPr>
            <w:tcW w:w="0" w:type="dxa"/>
            <w:vAlign w:val="bottom"/>
          </w:tcPr>
          <w:p>
            <w:pPr>
              <w:spacing w:after="0"/>
              <w:rPr>
                <w:sz w:val="1"/>
                <w:szCs w:val="1"/>
                <w:color w:val="auto"/>
              </w:rPr>
            </w:pPr>
          </w:p>
        </w:tc>
      </w:tr>
      <w:tr>
        <w:trPr>
          <w:trHeight w:val="29"/>
        </w:trPr>
        <w:tc>
          <w:tcPr>
            <w:tcW w:w="5080" w:type="dxa"/>
            <w:vAlign w:val="bottom"/>
            <w:gridSpan w:val="3"/>
          </w:tcPr>
          <w:p>
            <w:pPr>
              <w:ind w:left="180"/>
              <w:spacing w:after="0" w:line="30" w:lineRule="exact"/>
              <w:rPr>
                <w:sz w:val="20"/>
                <w:szCs w:val="20"/>
                <w:color w:val="auto"/>
              </w:rPr>
            </w:pPr>
            <w:r>
              <w:rPr>
                <w:rFonts w:ascii="Arial" w:cs="Arial" w:eastAsia="Arial" w:hAnsi="Arial"/>
                <w:sz w:val="3"/>
                <w:szCs w:val="3"/>
                <w:color w:val="auto"/>
              </w:rPr>
              <w:t>included as part of the units</w:t>
            </w:r>
          </w:p>
        </w:tc>
        <w:tc>
          <w:tcPr>
            <w:tcW w:w="16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181,125,000.00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19,760.75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457(o) under the Securities Act of 1933, as amended.</w:t>
      </w:r>
    </w:p>
    <w:p>
      <w:pPr>
        <w:spacing w:after="0" w:line="34"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 the aggregate of 10,000,000 units to be issued to public stockholders in the public offering, and 1,500,000 units which may be issued upon exercise of a 45-day option granted to the Underwriters to cover over-allotments, if any; and (B) shares of common stock and warrants underlying such units.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there are also being registered an indeterminable number of additional securities as may be issued to prevent dilution resulting from share sub-divisions, share dividends or similar transactions.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 under the Securities 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457(g), based on the exercise price of the warrants.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spacing w:after="0"/>
        <w:tabs>
          <w:tab w:leader="none" w:pos="690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 xml:space="preserve">SUBJECT TO COMPLETION, DATED </w:t>
      </w:r>
      <w:r>
        <w:rPr>
          <w:rFonts w:ascii="Arial" w:cs="Arial" w:eastAsia="Arial" w:hAnsi="Arial"/>
          <w:sz w:val="17"/>
          <w:szCs w:val="17"/>
          <w:b w:val="1"/>
          <w:bCs w:val="1"/>
          <w:color w:val="C00000"/>
        </w:rPr>
        <w:t>JULY 13,</w:t>
      </w:r>
      <w:r>
        <w:rPr>
          <w:rFonts w:ascii="Arial" w:cs="Arial" w:eastAsia="Arial" w:hAnsi="Arial"/>
          <w:sz w:val="17"/>
          <w:szCs w:val="17"/>
          <w:b w:val="1"/>
          <w:bCs w:val="1"/>
          <w:color w:val="D2232A"/>
        </w:rPr>
        <w:t xml:space="preserve"> 2021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 UNITS</w:t>
      </w:r>
    </w:p>
    <w:p>
      <w:pPr>
        <w:spacing w:after="0" w:line="2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Chardan NexTech Acquisition 2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Although we are not limited to a particular industry or geographic region for purposes of consummating an initial business combination, we intend to focus our search on disruptive technology companies.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is an initial public offering of our securities. We are offering 10,000,000 units at an offering price of $10.00 per unit. Each unit consists of one share of common stock, par value $0.0001, and one-half of one warrant, which we refer to throughout this prospectus as “warrants” or the “public warrants.” Each whole warrant entitles the holder thereof to purchase one share of common stock at a price of $11.50 per share, subject to adjustment, terms and limitations as described in the prospectus. Only whole warrants are exercisable. Each warrant will become exercisable 30 days after the consummation of an initial business combination, and will expire five years after the completion of an initial business combination, or earlier upon redemption.</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granted Chardan Capital Markets, LLC, the representative of the underwriters, a 45-day option to purchase up to an additional 1,500,000 units (over and above the 10,000,000 units referred to above) solely to cover over-allotments, if any. Our sponsor, Chardan NexTech Investments 2 LLC, and certain of our officers and directors are affiliated with the representative of the underwriters. We have engaged B. Riley Securities, Inc. to act as a “qualified independent underwriter” for this offering.</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provide the holders of our outstanding shares of common stock that were sold as part of the units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will have 15 months from the closing of this offering (or up to 18 months from the closing of this offering if we have executed a definitive agreement and filed a proxy statement for an initial business combination within 15 months from the closing of this offering) to consummate an initial business combination. In addition,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as described in more detail in this prospectus. Public stockholders will not be offered the opportunity to vote on or redeem their shares in connection with any such extension.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Chardan NexTech 2 Warrant Holdings LLC, an affiliate of our sponsor, has committed to purchase 5,238,461 warrants (or up to 5,469,230 warrants depending on the extent to which the underwriters’ over-allotment option is exercised) at a price of $0.65 per warrant ($3,405,000 (or up to $3,555,000 depending on the extent to which the underwriters’ over-allotment option is exercised)) in a private placement that will close simultaneously with the closing of this offering.</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are referred to herein as “founder shares,” which includes an aggregate of up to 375,000 shares that are subject to forfeiture to the extent that the underwriters’ over-allotment option is not exercised in full or in part.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presently no public market for our units, common stock, or warrants. We have applied to have our units listed on the Nasdaq Capital Market, or the Nasdaq, under the symbol “CNTQU” on or promptly after the date of this prospectus. Once the securities comprising the units begin separate trading as described in this prospectus, the shares of common stock and warrants will be traded on the Nasdaq under the symbols “CNTQ” and “CNTQW,” respectively. We cannot assure you that our securities will continue to be listed on the Nasdaq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firstLine="324"/>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will therefore be subject to reduced public company reporting requirements.</w:t>
      </w:r>
    </w:p>
    <w:p>
      <w:pPr>
        <w:spacing w:after="0" w:line="16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28 of this prospectus for a discussion of information that should be considered in connection with an investment in our securities.</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Underwriting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Proceeds,</w:t>
            </w: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Price to</w:t>
            </w:r>
          </w:p>
        </w:tc>
        <w:tc>
          <w:tcPr>
            <w:tcW w:w="8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Discount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Before</w:t>
            </w:r>
          </w:p>
        </w:tc>
      </w:tr>
      <w:tr>
        <w:trPr>
          <w:trHeight w:val="270"/>
        </w:trPr>
        <w:tc>
          <w:tcPr>
            <w:tcW w:w="6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Public</w:t>
            </w:r>
          </w:p>
        </w:tc>
        <w:tc>
          <w:tcPr>
            <w:tcW w:w="138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w w:val="95"/>
              </w:rPr>
              <w:t>Commissions</w:t>
            </w:r>
            <w:r>
              <w:rPr>
                <w:rFonts w:ascii="Arial" w:cs="Arial" w:eastAsia="Arial" w:hAnsi="Arial"/>
                <w:sz w:val="29"/>
                <w:szCs w:val="29"/>
                <w:b w:val="1"/>
                <w:bCs w:val="1"/>
                <w:color w:val="auto"/>
                <w:w w:val="95"/>
                <w:vertAlign w:val="superscript"/>
              </w:rPr>
              <w:t>(1)</w:t>
            </w:r>
          </w:p>
        </w:tc>
        <w:tc>
          <w:tcPr>
            <w:tcW w:w="16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Expenses, to us</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unit</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100,000,000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340" w:right="2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$100,000 payable to B. Riley Securities, Inc. for acting as a qualified independent underwriter. Such amount shall remain constant at $500,000, even if the over-allotment option is exercised. Please see the section titled “Underwriting” for further information relating to the underwriting arrangements agreed to between us and the underwriters in this offering.</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Upon consummation of the offering, $10.10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underwriters are offering the units on a firm commitment basis. Chardan, acting as the representative of the underwriters, expects to deliver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color w:val="auto"/>
                <w:w w:val="99"/>
              </w:rPr>
              <w:t>units to purchasers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Chardan</w:t>
      </w:r>
    </w:p>
    <w:p>
      <w:pPr>
        <w:spacing w:after="0" w:line="22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20" w:type="dxa"/>
            <w:vAlign w:val="bottom"/>
            <w:gridSpan w:val="7"/>
          </w:tcPr>
          <w:p>
            <w:pPr>
              <w:jc w:val="center"/>
              <w:ind w:right="2560"/>
              <w:spacing w:after="0"/>
              <w:rPr>
                <w:sz w:val="20"/>
                <w:szCs w:val="20"/>
                <w:color w:val="auto"/>
              </w:rPr>
            </w:pPr>
            <w:r>
              <w:rPr>
                <w:rFonts w:ascii="Arial" w:cs="Arial" w:eastAsia="Arial" w:hAnsi="Arial"/>
                <w:sz w:val="18"/>
                <w:szCs w:val="18"/>
                <w:b w:val="1"/>
                <w:bCs w:val="1"/>
                <w:color w:val="auto"/>
              </w:rPr>
              <w:t>CHARDAN NEXTECH ACQUISITION 2 CORP.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40" w:type="dxa"/>
            <w:vAlign w:val="bottom"/>
            <w:gridSpan w:val="4"/>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9"/>
        </w:trPr>
        <w:tc>
          <w:tcPr>
            <w:tcW w:w="10760" w:type="dxa"/>
            <w:vAlign w:val="bottom"/>
            <w:gridSpan w:val="19"/>
            <w:shd w:val="clear" w:color="auto" w:fill="CCEEFF"/>
          </w:tcPr>
          <w:p>
            <w:pPr>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340" w:type="dxa"/>
            <w:vAlign w:val="bottom"/>
            <w:gridSpan w:val="6"/>
            <w:shd w:val="clear" w:color="auto" w:fill="CCEEFF"/>
          </w:tcPr>
          <w:p>
            <w:pPr>
              <w:jc w:val="center"/>
              <w:ind w:left="50"/>
              <w:spacing w:after="0" w:line="169"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SUMMARY FINANCIAL DATA</w:t>
              </w:r>
            </w:hyperlink>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CAUTIONARY NOTE REGARDING FORWARD-LOOKING STATEMENTS AND RISK FACTOR SUMMARY</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27</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380" w:type="dxa"/>
            <w:vAlign w:val="bottom"/>
            <w:gridSpan w:val="17"/>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2380" w:type="dxa"/>
            <w:vAlign w:val="bottom"/>
            <w:gridSpan w:val="2"/>
          </w:tcPr>
          <w:p>
            <w:pPr>
              <w:spacing w:after="0"/>
              <w:rPr>
                <w:sz w:val="15"/>
                <w:szCs w:val="15"/>
                <w:color w:val="auto"/>
              </w:rPr>
            </w:pPr>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28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USE OF PROCEEDS</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64</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DIVIDEND POLICY</w:t>
              </w:r>
            </w:hyperlink>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67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68</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CAPITALIZATION</w:t>
              </w:r>
            </w:hyperlink>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71</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920" w:type="dxa"/>
            <w:vAlign w:val="bottom"/>
            <w:gridSpan w:val="18"/>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PROPOSED BUSINESS</w:t>
              </w:r>
            </w:hyperlink>
          </w:p>
        </w:tc>
        <w:tc>
          <w:tcPr>
            <w:tcW w:w="1840" w:type="dxa"/>
            <w:vAlign w:val="bottom"/>
          </w:tcPr>
          <w:p>
            <w:pPr>
              <w:spacing w:after="0"/>
              <w:rPr>
                <w:sz w:val="15"/>
                <w:szCs w:val="15"/>
                <w:color w:val="auto"/>
              </w:rPr>
            </w:pPr>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76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MANAGEMENT</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104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PRINCIPAL STOCKHOLDERS</w:t>
              </w:r>
            </w:hyperlink>
          </w:p>
        </w:tc>
        <w:tc>
          <w:tcPr>
            <w:tcW w:w="380" w:type="dxa"/>
            <w:vAlign w:val="bottom"/>
            <w:gridSpan w:val="8"/>
          </w:tcPr>
          <w:p>
            <w:pPr>
              <w:jc w:val="center"/>
              <w:ind w:left="30"/>
              <w:spacing w:after="0" w:line="176" w:lineRule="exact"/>
              <w:rPr>
                <w:rFonts w:ascii="Arial" w:cs="Arial" w:eastAsia="Arial" w:hAnsi="Arial"/>
                <w:sz w:val="18"/>
                <w:szCs w:val="18"/>
                <w:color w:val="0000EE"/>
                <w:w w:val="86"/>
              </w:rPr>
            </w:pPr>
            <w:hyperlink w:anchor="page124">
              <w:r>
                <w:rPr>
                  <w:rFonts w:ascii="Arial" w:cs="Arial" w:eastAsia="Arial" w:hAnsi="Arial"/>
                  <w:sz w:val="18"/>
                  <w:szCs w:val="18"/>
                  <w:color w:val="0000EE"/>
                  <w:w w:val="86"/>
                </w:rPr>
                <w:t>115</w:t>
              </w:r>
            </w:hyperlink>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480" w:type="dxa"/>
            <w:vAlign w:val="bottom"/>
            <w:gridSpan w:val="16"/>
            <w:shd w:val="clear" w:color="auto" w:fill="CCEEFF"/>
          </w:tcPr>
          <w:p>
            <w:pPr>
              <w:spacing w:after="0" w:line="176" w:lineRule="exact"/>
              <w:rPr>
                <w:rFonts w:ascii="Arial" w:cs="Arial" w:eastAsia="Arial" w:hAnsi="Arial"/>
                <w:sz w:val="18"/>
                <w:szCs w:val="18"/>
                <w:color w:val="0000EE"/>
                <w:w w:val="95"/>
              </w:rPr>
            </w:pPr>
            <w:hyperlink w:anchor="page127">
              <w:r>
                <w:rPr>
                  <w:rFonts w:ascii="Arial" w:cs="Arial" w:eastAsia="Arial" w:hAnsi="Arial"/>
                  <w:sz w:val="18"/>
                  <w:szCs w:val="18"/>
                  <w:color w:val="0000EE"/>
                  <w:w w:val="95"/>
                </w:rPr>
                <w:t>CERTAIN RELATIONSHIPS AND RELATED PARTY TRANSACTIONS</w:t>
              </w:r>
            </w:hyperlink>
          </w:p>
        </w:tc>
        <w:tc>
          <w:tcPr>
            <w:tcW w:w="5280" w:type="dxa"/>
            <w:vAlign w:val="bottom"/>
            <w:gridSpan w:val="3"/>
            <w:shd w:val="clear" w:color="auto" w:fill="CCEEFF"/>
          </w:tcPr>
          <w:p>
            <w:pPr>
              <w:spacing w:after="0"/>
              <w:rPr>
                <w:sz w:val="15"/>
                <w:szCs w:val="15"/>
                <w:color w:val="auto"/>
              </w:rPr>
            </w:pPr>
          </w:p>
        </w:tc>
        <w:tc>
          <w:tcPr>
            <w:tcW w:w="380" w:type="dxa"/>
            <w:vAlign w:val="bottom"/>
            <w:gridSpan w:val="8"/>
            <w:shd w:val="clear" w:color="auto" w:fill="CCEEFF"/>
          </w:tcPr>
          <w:p>
            <w:pPr>
              <w:jc w:val="center"/>
              <w:ind w:left="30"/>
              <w:spacing w:after="0" w:line="176" w:lineRule="exact"/>
              <w:rPr>
                <w:rFonts w:ascii="Arial" w:cs="Arial" w:eastAsia="Arial" w:hAnsi="Arial"/>
                <w:sz w:val="18"/>
                <w:szCs w:val="18"/>
                <w:color w:val="0000EE"/>
                <w:w w:val="86"/>
              </w:rPr>
            </w:pPr>
            <w:hyperlink w:anchor="page127">
              <w:r>
                <w:rPr>
                  <w:rFonts w:ascii="Arial" w:cs="Arial" w:eastAsia="Arial" w:hAnsi="Arial"/>
                  <w:sz w:val="18"/>
                  <w:szCs w:val="18"/>
                  <w:color w:val="0000EE"/>
                  <w:w w:val="86"/>
                </w:rPr>
                <w:t>118</w:t>
              </w:r>
            </w:hyperlink>
          </w:p>
        </w:tc>
        <w:tc>
          <w:tcPr>
            <w:tcW w:w="10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480" w:type="dxa"/>
            <w:vAlign w:val="bottom"/>
            <w:gridSpan w:val="16"/>
          </w:tcPr>
          <w:p>
            <w:pPr>
              <w:spacing w:after="0" w:line="176" w:lineRule="exact"/>
              <w:rPr>
                <w:rFonts w:ascii="Arial" w:cs="Arial" w:eastAsia="Arial" w:hAnsi="Arial"/>
                <w:sz w:val="18"/>
                <w:szCs w:val="18"/>
                <w:color w:val="0000EE"/>
              </w:rPr>
            </w:pPr>
            <w:hyperlink w:anchor="page131">
              <w:r>
                <w:rPr>
                  <w:rFonts w:ascii="Arial" w:cs="Arial" w:eastAsia="Arial" w:hAnsi="Arial"/>
                  <w:sz w:val="18"/>
                  <w:szCs w:val="18"/>
                  <w:color w:val="0000EE"/>
                </w:rPr>
                <w:t>DESCRIPTION OF SECURITIES</w:t>
              </w:r>
            </w:hyperlink>
          </w:p>
        </w:tc>
        <w:tc>
          <w:tcPr>
            <w:tcW w:w="5280" w:type="dxa"/>
            <w:vAlign w:val="bottom"/>
            <w:gridSpan w:val="3"/>
          </w:tcPr>
          <w:p>
            <w:pPr>
              <w:spacing w:after="0"/>
              <w:rPr>
                <w:sz w:val="15"/>
                <w:szCs w:val="15"/>
                <w:color w:val="auto"/>
              </w:rPr>
            </w:pPr>
          </w:p>
        </w:tc>
        <w:tc>
          <w:tcPr>
            <w:tcW w:w="480" w:type="dxa"/>
            <w:vAlign w:val="bottom"/>
            <w:gridSpan w:val="9"/>
          </w:tcPr>
          <w:p>
            <w:pPr>
              <w:jc w:val="center"/>
              <w:spacing w:after="0" w:line="176" w:lineRule="exact"/>
              <w:rPr>
                <w:rFonts w:ascii="Arial" w:cs="Arial" w:eastAsia="Arial" w:hAnsi="Arial"/>
                <w:sz w:val="18"/>
                <w:szCs w:val="18"/>
                <w:color w:val="0000EE"/>
                <w:w w:val="93"/>
              </w:rPr>
            </w:pPr>
            <w:hyperlink w:anchor="page131">
              <w:r>
                <w:rPr>
                  <w:rFonts w:ascii="Arial" w:cs="Arial" w:eastAsia="Arial" w:hAnsi="Arial"/>
                  <w:sz w:val="18"/>
                  <w:szCs w:val="18"/>
                  <w:color w:val="0000EE"/>
                  <w:w w:val="93"/>
                </w:rPr>
                <w:t>121</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U.S. FEDERAL INCOME TAX CONSIDERATIONS</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45">
              <w:r>
                <w:rPr>
                  <w:rFonts w:ascii="Arial" w:cs="Arial" w:eastAsia="Arial" w:hAnsi="Arial"/>
                  <w:sz w:val="18"/>
                  <w:szCs w:val="18"/>
                  <w:color w:val="0000EE"/>
                  <w:w w:val="93"/>
                </w:rPr>
                <w:t>134</w:t>
              </w:r>
            </w:hyperlink>
          </w:p>
        </w:tc>
      </w:tr>
      <w:tr>
        <w:trPr>
          <w:trHeight w:val="175"/>
        </w:trPr>
        <w:tc>
          <w:tcPr>
            <w:tcW w:w="39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UNDERWRITING (CONFLICTS OF INTEREST)</w:t>
              </w:r>
            </w:hyperlink>
          </w:p>
        </w:tc>
        <w:tc>
          <w:tcPr>
            <w:tcW w:w="684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0000EE"/>
            </w:tcBorders>
            <w:gridSpan w:val="7"/>
          </w:tcPr>
          <w:p>
            <w:pPr>
              <w:jc w:val="center"/>
              <w:spacing w:after="0" w:line="176"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143</w:t>
              </w:r>
            </w:hyperlink>
          </w:p>
        </w:tc>
        <w:tc>
          <w:tcPr>
            <w:tcW w:w="10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LEGAL MATTERS</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59">
              <w:r>
                <w:rPr>
                  <w:rFonts w:ascii="Arial" w:cs="Arial" w:eastAsia="Arial" w:hAnsi="Arial"/>
                  <w:sz w:val="18"/>
                  <w:szCs w:val="18"/>
                  <w:color w:val="0000EE"/>
                  <w:w w:val="93"/>
                </w:rPr>
                <w:t>148</w:t>
              </w:r>
            </w:hyperlink>
          </w:p>
        </w:tc>
      </w:tr>
      <w:tr>
        <w:trPr>
          <w:trHeight w:val="176"/>
        </w:trPr>
        <w:tc>
          <w:tcPr>
            <w:tcW w:w="14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EXPERTS</w:t>
              </w:r>
            </w:hyperlink>
          </w:p>
        </w:tc>
        <w:tc>
          <w:tcPr>
            <w:tcW w:w="9300" w:type="dxa"/>
            <w:vAlign w:val="bottom"/>
            <w:tcBorders>
              <w:top w:val="single" w:sz="8" w:color="CCEEFF"/>
            </w:tcBorders>
            <w:gridSpan w:val="13"/>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0000EE"/>
            </w:tcBorders>
            <w:gridSpan w:val="7"/>
          </w:tcPr>
          <w:p>
            <w:pPr>
              <w:jc w:val="center"/>
              <w:spacing w:after="0" w:line="176" w:lineRule="exact"/>
              <w:rPr>
                <w:rFonts w:ascii="Arial" w:cs="Arial" w:eastAsia="Arial" w:hAnsi="Arial"/>
                <w:sz w:val="18"/>
                <w:szCs w:val="18"/>
                <w:color w:val="0000EE"/>
                <w:w w:val="93"/>
              </w:rPr>
            </w:pPr>
            <w:hyperlink w:anchor="page159">
              <w:r>
                <w:rPr>
                  <w:rFonts w:ascii="Arial" w:cs="Arial" w:eastAsia="Arial" w:hAnsi="Arial"/>
                  <w:sz w:val="18"/>
                  <w:szCs w:val="18"/>
                  <w:color w:val="0000EE"/>
                  <w:w w:val="93"/>
                </w:rPr>
                <w:t>148</w:t>
              </w:r>
            </w:hyperlink>
          </w:p>
        </w:tc>
        <w:tc>
          <w:tcPr>
            <w:tcW w:w="10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WHERE YOU CAN FIND ADDITIONAL INFORMATION</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59">
              <w:r>
                <w:rPr>
                  <w:rFonts w:ascii="Arial" w:cs="Arial" w:eastAsia="Arial" w:hAnsi="Arial"/>
                  <w:sz w:val="18"/>
                  <w:szCs w:val="18"/>
                  <w:color w:val="0000EE"/>
                  <w:w w:val="93"/>
                </w:rPr>
                <w:t>148</w:t>
              </w:r>
            </w:hyperlink>
          </w:p>
        </w:tc>
      </w:tr>
      <w:tr>
        <w:trPr>
          <w:trHeight w:val="176"/>
        </w:trPr>
        <w:tc>
          <w:tcPr>
            <w:tcW w:w="442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INDEX TO FINANCIAL STATEMENTS</w:t>
              </w:r>
            </w:hyperlink>
          </w:p>
        </w:tc>
        <w:tc>
          <w:tcPr>
            <w:tcW w:w="6340" w:type="dxa"/>
            <w:vAlign w:val="bottom"/>
            <w:tcBorders>
              <w:top w:val="single" w:sz="8" w:color="CCEEFF"/>
            </w:tcBorders>
            <w:gridSpan w:val="4"/>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gridSpan w:val="6"/>
          </w:tcPr>
          <w:p>
            <w:pPr>
              <w:jc w:val="center"/>
              <w:ind w:right="20"/>
              <w:spacing w:after="0" w:line="176" w:lineRule="exact"/>
              <w:rPr>
                <w:rFonts w:ascii="Arial" w:cs="Arial" w:eastAsia="Arial" w:hAnsi="Arial"/>
                <w:sz w:val="18"/>
                <w:szCs w:val="18"/>
                <w:color w:val="0000EE"/>
                <w:w w:val="88"/>
              </w:rPr>
            </w:pPr>
            <w:hyperlink w:anchor="page160">
              <w:r>
                <w:rPr>
                  <w:rFonts w:ascii="Arial" w:cs="Arial" w:eastAsia="Arial" w:hAnsi="Arial"/>
                  <w:sz w:val="18"/>
                  <w:szCs w:val="18"/>
                  <w:color w:val="0000EE"/>
                  <w:w w:val="88"/>
                </w:rPr>
                <w:t>F-1</w:t>
              </w:r>
            </w:hyperlink>
          </w:p>
        </w:tc>
        <w:tc>
          <w:tcPr>
            <w:tcW w:w="100" w:type="dxa"/>
            <w:vAlign w:val="bottom"/>
            <w:tcBorders>
              <w:top w:val="single" w:sz="8" w:color="CCEEFF"/>
            </w:tcBorders>
          </w:tcPr>
          <w:p>
            <w:pPr>
              <w:spacing w:after="0"/>
              <w:rPr>
                <w:sz w:val="15"/>
                <w:szCs w:val="15"/>
                <w:color w:val="auto"/>
              </w:rPr>
            </w:pPr>
          </w:p>
        </w:tc>
      </w:tr>
      <w:tr>
        <w:trPr>
          <w:trHeight w:val="695"/>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87" w:lineRule="exact"/>
        <w:rPr>
          <w:sz w:val="20"/>
          <w:szCs w:val="20"/>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refers to Chardan Capital Markets, LLC, the representative of the underwriters,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refers to our shares of common stock, par value $0.0001 per share;</w:t>
      </w:r>
    </w:p>
    <w:p>
      <w:pPr>
        <w:spacing w:after="0" w:line="225" w:lineRule="exact"/>
        <w:rPr>
          <w:rFonts w:ascii="Arial" w:cs="Arial" w:eastAsia="Arial" w:hAnsi="Arial"/>
          <w:sz w:val="18"/>
          <w:szCs w:val="18"/>
          <w:color w:val="auto"/>
        </w:rPr>
      </w:pPr>
    </w:p>
    <w:p>
      <w:pPr>
        <w:jc w:val="both"/>
        <w:ind w:left="580" w:hanging="235"/>
        <w:spacing w:after="0" w:line="263"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refers to the 2,875,000 shares of common stock held by our sponsor, officers, directors, and affiliates of our management team prior to this offering (including up to an aggregate of 375,000 shares of common stock subject to forfeiture to the extent that the underwriters’ over-allotment option is not exercised in full or in part);</w:t>
      </w:r>
    </w:p>
    <w:p>
      <w:pPr>
        <w:spacing w:after="0" w:line="183" w:lineRule="exact"/>
        <w:rPr>
          <w:rFonts w:ascii="Arial" w:cs="Arial" w:eastAsia="Arial" w:hAnsi="Arial"/>
          <w:sz w:val="18"/>
          <w:szCs w:val="18"/>
          <w:color w:val="auto"/>
        </w:rPr>
      </w:pPr>
    </w:p>
    <w:p>
      <w:pPr>
        <w:ind w:left="580" w:right="2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refers to all of our stockholders immediately prior to the date of this prospectus, including our sponsor, officers and directors to the extent they hold founder shares;</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“insiders” refers to our officers, directors, initial stockholders, and Chardan NexTech 2 Warrant Holdings LLC, an affiliate of our sponsor;</w:t>
      </w:r>
    </w:p>
    <w:p>
      <w:pPr>
        <w:spacing w:after="0" w:line="236" w:lineRule="exact"/>
        <w:rPr>
          <w:rFonts w:ascii="Arial" w:cs="Arial" w:eastAsia="Arial" w:hAnsi="Arial"/>
          <w:sz w:val="17"/>
          <w:szCs w:val="17"/>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warrants” refers to the warrants we are selling privately to our sponsor or its designees upon consummation of this offering;</w:t>
      </w:r>
    </w:p>
    <w:p>
      <w:pPr>
        <w:spacing w:after="0" w:line="225" w:lineRule="exact"/>
        <w:rPr>
          <w:rFonts w:ascii="Arial" w:cs="Arial" w:eastAsia="Arial" w:hAnsi="Arial"/>
          <w:sz w:val="18"/>
          <w:szCs w:val="18"/>
          <w:color w:val="auto"/>
        </w:rPr>
      </w:pPr>
    </w:p>
    <w:p>
      <w:pPr>
        <w:ind w:left="58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refers to the shares of common stock that are being sold as part of the units in this public offering, whether they are purchased in this public offering or in the aftermarket;</w:t>
      </w:r>
    </w:p>
    <w:p>
      <w:pPr>
        <w:spacing w:after="0" w:line="170" w:lineRule="exact"/>
        <w:rPr>
          <w:rFonts w:ascii="Arial" w:cs="Arial" w:eastAsia="Arial" w:hAnsi="Arial"/>
          <w:sz w:val="18"/>
          <w:szCs w:val="18"/>
          <w:color w:val="auto"/>
        </w:rPr>
      </w:pPr>
    </w:p>
    <w:p>
      <w:pPr>
        <w:ind w:left="580" w:hanging="235"/>
        <w:spacing w:after="0" w:line="308"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refers to the holders of our public shares, including any of our initial stockholders to the extent that they purchase such public shares (except that our initial stockholders will not have redemption or tender rights with respect to any public shares they own);</w:t>
      </w:r>
    </w:p>
    <w:p>
      <w:pPr>
        <w:spacing w:after="0" w:line="146" w:lineRule="exact"/>
        <w:rPr>
          <w:rFonts w:ascii="Arial" w:cs="Arial" w:eastAsia="Arial" w:hAnsi="Arial"/>
          <w:sz w:val="17"/>
          <w:szCs w:val="17"/>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refers to Chardan NexTech Investments 2 LLC, an entity affiliated with Chardan;</w:t>
      </w:r>
    </w:p>
    <w:p>
      <w:pPr>
        <w:spacing w:after="0" w:line="225" w:lineRule="exact"/>
        <w:rPr>
          <w:rFonts w:ascii="Arial" w:cs="Arial" w:eastAsia="Arial" w:hAnsi="Arial"/>
          <w:sz w:val="18"/>
          <w:szCs w:val="18"/>
          <w:color w:val="auto"/>
        </w:rPr>
      </w:pPr>
    </w:p>
    <w:p>
      <w:pPr>
        <w:ind w:left="580" w:right="2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refers to our redeemable warrants, which include the warrants underlying the units sold in this offering, whether they are purchased in this public offering or in the aftermarket; and</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or “our company” refers to Chardan NexTech Acquisition 2 Corp., a Delaware corporation.</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Each unit consists of one share of common stock and one-half of one redeemable warrant. Each whole warrant entitles the holder thereof to purchase one share of our common stock at a price of $11.50 per share, subject to adjustment as described in this prospectus, and only whole warrants are exercisable.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Unless otherwise provided herein, the information in this prospectus assumes that the underwriters will not exercise their over-allotment option and gives effect to a 2.875-for-1 stock split we effected on March 4, 2021.</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special purpose acquisition company and investment banking marketplaces.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special purpose acquisition companies as has been demonstrated within the last several months. In the second half of 2020, special purpose acquisition companies accounted for ~56% of all capital raised in the initial public offering market, and have had record issuances in the first month of 2021, raising nearly $24 billion, almost two times U.S. initial public offerings during the same period.</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special purpose acquisition company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 Sponsor, and Board of Directors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Our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Management Team</w:t>
      </w:r>
    </w:p>
    <w:p>
      <w:pPr>
        <w:spacing w:after="0" w:line="22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b w:val="1"/>
          <w:bCs w:val="1"/>
          <w:i w:val="1"/>
          <w:iCs w:val="1"/>
          <w:color w:val="auto"/>
        </w:rPr>
        <w:t xml:space="preserve">Kerry Propper </w:t>
      </w:r>
      <w:r>
        <w:rPr>
          <w:rFonts w:ascii="Arial" w:cs="Arial" w:eastAsia="Arial" w:hAnsi="Arial"/>
          <w:sz w:val="16"/>
          <w:szCs w:val="16"/>
          <w:color w:val="auto"/>
        </w:rPr>
        <w:t>is our co-founder and will serve as our Chairman of the board of directors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co-founder and managing partner of ATW Partners, a growth-focused investment firm. Mr. Propper also sits on the board of 340Basics, Credit Sesame, and PierianDx among other boards.</w:t>
      </w:r>
    </w:p>
    <w:p>
      <w:pPr>
        <w:spacing w:after="0" w:line="16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Jonas Grossman </w:t>
      </w:r>
      <w:r>
        <w:rPr>
          <w:rFonts w:ascii="Arial" w:cs="Arial" w:eastAsia="Arial" w:hAnsi="Arial"/>
          <w:sz w:val="17"/>
          <w:szCs w:val="17"/>
          <w:color w:val="auto"/>
        </w:rPr>
        <w:t>is our co-founder and has been our Chief Executive Officer and a member of our board of directors since June 2020 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Secretary, and Treasurer since July 2020. Mr. Grossman has served as managing partner and head of capital markets for Chardan since December 2003, and has additionally served as president of Chardan since September 2015. With nearly two decades of transactional and special acquisition company expertise, Mr. Grossman has led or managed more than 500 transactions, including providing underwriting and business combination advisory services to more than 85 special purpose acquisition companies in a variety of industries. Mr. Grossman has been a founder and / or a member of the board of seven special purpose acquisition companies, of which on four he also has served as Chief Executive Officer and President. Since April 2020, Mr. Grossman has served as the President and Chief Executive Officer of Chardan Healthcare Acquisition 2 Corp which announced its merger with Renovacor, Inc in March 2021. He also served as President and Chief Executive Officer of Chardan Healthcare Acquisition Corp. from March 2018 until its merger in October 2019 with BiomX Ltd. (NYSE: PHGE). He is currently a director of BiomX. Mr. Grossman was a founder and director of LifeSci Acquisition Corp. from March 2020 until the close of its business combination with Vincera Pharma, Inc. in December 2020. He has served as a director to Ventoux CCM Acquisition Corp. since December 2020 and CleanTech Acquisition Corp since May 2021. Since July 2020, he has served as Chief Executive Officer and director of Chardan NexTech Acquisition Corp. Previously, from 2001 to 2003, Mr. Grossman worked at Ramius Capital Group, LLC, a global multi-strategy hedge fund where he served as Vice President and Head Trader. Mr. Grossman holds a B.A. in Economics from Cornell University and an M.B.A. from New York University’s Stern School of Business. He has served on the board of directors for UNICEF since December 2016.</w:t>
      </w:r>
    </w:p>
    <w:p>
      <w:pPr>
        <w:spacing w:after="0" w:line="18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has served as our Chief Financial Officer since April 2021 and will serve as a member of our board of directors upon the effective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registration statement of which this prospectus is a part. Mr. Weil has spent over two decades on Wall Street providing strategic advisory services to global companies, senior executives, boards of directors, and investors. Since March 2021, he has served as chief financial officer of Chardan NexTech Acquisition Corp., and he has agreed to also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Chardan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Chardan has an extensive track record in the special purpose acquisition company market as underwriter, sponsor and advisor. Since 2004, Chardan has been lead or co-lead underwriter on 90 special purpose acquisition company initial public offerings. Since 2018, Chardan has been a mergers and acquisition advisor to 16 special purpose acquisition companies, helping them close transactions valued at approximately $6.8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13 special purpose acquisition companies, six of which have closed successful business combinations, one of which has announced a business combination, three of which are seeking acquisitions, and three of which are publicly filed.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Biele has over 28 years of investment banking experience serving in a variety of roles. He recently joined PREEM,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will serve as a member of our board of directors upon the effective date of the registration statement of which this prospectus is a part.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 registration statement of which this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Jory Des Jardins </w:t>
      </w:r>
      <w:r>
        <w:rPr>
          <w:rFonts w:ascii="Arial" w:cs="Arial" w:eastAsia="Arial" w:hAnsi="Arial"/>
          <w:sz w:val="17"/>
          <w:szCs w:val="17"/>
          <w:color w:val="auto"/>
        </w:rPr>
        <w:t>will serve as a member of our board of directors upon the effective date of the registration statement of which this prospectus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Hitesh Thakrar </w:t>
      </w:r>
      <w:r>
        <w:rPr>
          <w:rFonts w:ascii="Arial" w:cs="Arial" w:eastAsia="Arial" w:hAnsi="Arial"/>
          <w:sz w:val="17"/>
          <w:szCs w:val="17"/>
          <w:color w:val="auto"/>
        </w:rPr>
        <w:t>will serve as a member of our board of directors upon the effective date of the registration statement of which this prospectus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Mr. Thakrar is an experienced investor in the technology sector, having spent over 20 years investing in public equities in the life sciences, information technology and innovation sectors. Since 2015, he has been active in early stage venture investing. Mr. Thakrar is currently a Venture Partner at Syncona Limited, a Wellcome Trust backed early stage venture fund. He is also a Governance Board Member of KQ Labs at the Francis Crick Institute, an accelerator supporting next generation businesses in data science and life sciences. He is the main Board Trustee of the Alan Turing Institute which is the UK National Institute for Artificial Intelligence and Data Science research. Additionally, Mr. Thakrar is the Chair of the Investment Committee for Newable Ventures, a pre-Series A fund focused on deep technology. He is also an advisor to UKRI’s Science and Technology Funding Council (SFTC) which helps early stage companies spin out from UK universities. He has previously served as a non-executive director for Desktop Genetics and Tropic Biosciences, both of which specialize in the use of CRISPR technology in gene editing. Prior to 2015, Mr. Thakrar worked at various public market institutions in global equity research and fund management including at ADIA (Abu Dhabi’s sovereign wealth fund),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Todd Thomson </w:t>
      </w:r>
      <w:r>
        <w:rPr>
          <w:rFonts w:ascii="Arial" w:cs="Arial" w:eastAsia="Arial" w:hAnsi="Arial"/>
          <w:sz w:val="16"/>
          <w:szCs w:val="16"/>
          <w:color w:val="auto"/>
        </w:rPr>
        <w:t>will serve as a member of our board of directors upon the effective date of the registration statement of which this prospectus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Mr. Thomson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management team’s operating, special purpose acquisition company,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686" w:gutter="0" w:footer="0" w:header="0"/>
        </w:sectPr>
      </w:pPr>
    </w:p>
    <w:bookmarkStart w:id="10" w:name="page11"/>
    <w:bookmarkEnd w:id="10"/>
    <w:p>
      <w:pPr>
        <w:jc w:val="both"/>
        <w:ind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NexTech Acquisition Corp., or Chardan NexTech 1, a blank check company expected to consummate its initial public offering before the consummation of this offering.</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As described in this prospectus, Messrs. Propper, Grossman, Weil, and Boyle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including sponsoring, underwriting and mergers and acquisitions advisory;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can benefit from being a publicly traded company, are prepared to be a publicly traded company and can utilize access to broader capital markets.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We will have 15 months from the closing of this offering (or 18 months from the closing of this offering if we have executed a definitive agreement and filed a proxy statement for an initial business combination within 15 months from the closing of this offering) to consummate an initial business combination. In addition,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shareholders will not be offered the opportunity to vote on or redeem their shares in connection with any such extension.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ectPr>
          <w:pgSz w:w="11900" w:h="16906" w:orient="portrait"/>
          <w:cols w:equalWidth="0" w:num="1">
            <w:col w:w="11240"/>
          </w:cols>
          <w:pgMar w:left="320" w:top="908" w:right="3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4" w:name="page15"/>
    <w:bookmarkEnd w:id="14"/>
    <w:p>
      <w:pPr>
        <w:jc w:val="both"/>
        <w:ind w:firstLine="324"/>
        <w:spacing w:after="0" w:line="289"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Chardan will be the beneficial owner of founder shares or private warrants following this offering by virtue of its ownership of our sponsor and members of our management team may indirectly own such securities. Our sponsor intends to allocate up to 20,000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in Connection with the Business Combination</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engaged Chardan as an advisor in connection with our business combination, pursuant to the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 Certain individuals who will perform advisory services on behalf of Chardan in connection with the business combination also serve as our officers and directors.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Private Placements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founder shares are identical to the public shares. However, our initial stockholders have agreed (1) to vote their founder shares in favor of any proposed business combination, (2)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(or up to 21 months, as applicable) of the closing of this offering, unless we provide public stockholders an opportunity to redeem their public shares in conjunction with any such amendment, (3) not to redeem any shares, including any founder shares, into the right to receive cash from the trust account in connection with a stockholder vote to approve our proposed initial business combination, (4) not to sell any shares to us in any tender offer in connection with our proposed initial business combination, and (5) that the founder shares shall not participate in any liquidating distribution upon winding up if a business combination is not consummated.</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the date of this prospectus, the founder shares will be placed into an escrow account maintained by Continental Stock Transfer &amp; Trust Company acting as escrow agent.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5,238,461 (or up to 5,469,230 depending on the extent to which the underwriters’ over-allotment option is exercised) warrants at a price of $0.65 per warrant ($3,405,000 (or up to $3,555,000 depending on the extent to which the underwriters’ over-allotment option is exercised)) in a private placement that will close simultaneously with the closing of this offering.</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15 months (or up to 21 months, as applicable), the proceeds from the sale of the private warrants will be included in the liquidating distribution to the holders of our public shares.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public units or public shares are purchased by any of our directors, officers or initial stockholders, they will be entitled to funds from the trust account to the same extent as any other public stockholder upon our liquidation, but such directors, officers, or initial stockholders will not have redemption rights related thereto.</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offices are located at 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10004, and our telephone number is (646) 465-9000.</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making your decision on whether to invest in our securities, you should take into account not only the backgrounds of the members of our management team, but also the special risks we face as a blank check company and the fact that we are not conducting this offering in compliance with Rule 419 promulgated under the Securities Act. You will not be entitled to protections normally afforded to investors in Rule 419 blank check offerings. You should carefully consider these and the other risks set forth in the section below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28 of this prospectus.</w:t>
      </w:r>
    </w:p>
    <w:p>
      <w:pPr>
        <w:spacing w:after="0" w:line="153" w:lineRule="exact"/>
        <w:rPr>
          <w:sz w:val="20"/>
          <w:szCs w:val="20"/>
          <w:color w:val="auto"/>
        </w:rPr>
      </w:pPr>
    </w:p>
    <w:p>
      <w:pPr>
        <w:ind w:left="20"/>
        <w:spacing w:after="0"/>
        <w:tabs>
          <w:tab w:leader="none" w:pos="348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6"/>
          <w:szCs w:val="16"/>
          <w:color w:val="auto"/>
        </w:rPr>
        <w:t>10,000,000 units, at $10.00 per unit, each unit consisting of one share of common stock and one-half of</w:t>
      </w:r>
    </w:p>
    <w:p>
      <w:pPr>
        <w:spacing w:after="0" w:line="27" w:lineRule="exact"/>
        <w:rPr>
          <w:sz w:val="20"/>
          <w:szCs w:val="20"/>
          <w:color w:val="auto"/>
        </w:rPr>
      </w:pPr>
    </w:p>
    <w:p>
      <w:pPr>
        <w:ind w:left="3500" w:right="20"/>
        <w:spacing w:after="0" w:line="260" w:lineRule="auto"/>
        <w:rPr>
          <w:sz w:val="20"/>
          <w:szCs w:val="20"/>
          <w:color w:val="auto"/>
        </w:rPr>
      </w:pPr>
      <w:r>
        <w:rPr>
          <w:rFonts w:ascii="Arial" w:cs="Arial" w:eastAsia="Arial" w:hAnsi="Arial"/>
          <w:sz w:val="18"/>
          <w:szCs w:val="18"/>
          <w:color w:val="auto"/>
        </w:rPr>
        <w:t>one warrant. Each whole warrant entitles the holder thereof to purchase one share of common stock at a price of $11.50, subject to adjustment as described in this prospectus.</w:t>
      </w:r>
    </w:p>
    <w:p>
      <w:pPr>
        <w:sectPr>
          <w:pgSz w:w="11900" w:h="16838" w:orient="portrait"/>
          <w:cols w:equalWidth="0" w:num="1">
            <w:col w:w="11240"/>
          </w:cols>
          <w:pgMar w:left="320" w:top="1120" w:right="339" w:bottom="1440" w:gutter="0" w:footer="0" w:header="0"/>
        </w:sectPr>
      </w:pPr>
    </w:p>
    <w:p>
      <w:pPr>
        <w:spacing w:after="0" w:line="222"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anticipate the units, and the shares of common stock and the warrants, once they begin separate trading, will be listed on the Nasdaq under the symbols “CNTQU,” “CNTQ,” and “CNTQW,” respectively.</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Each of the shares of common stock and warrants may trade separately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and warrants until we file an audited balance sheet reflecting our receipt of the gross proceeds of this offering.</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separately trading shares of common stock and warrants.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Current Report on Form 8-K or a new Current Report on Form 8-K to provide updated financial information to reflect the exercise of the over-allotment option. We will also include in the Current Report on Form 8-K, or amendment thereto, or in a subsequent Current Report on Form 8-K, information indicating if Chardan has allowed separate trading of the shares of common stock and warrants prior to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w:t>
      </w:r>
    </w:p>
    <w:p>
      <w:pPr>
        <w:spacing w:after="0" w:line="200" w:lineRule="exact"/>
        <w:rPr>
          <w:sz w:val="20"/>
          <w:szCs w:val="20"/>
          <w:color w:val="auto"/>
        </w:rPr>
      </w:pPr>
    </w:p>
    <w:p>
      <w:pPr>
        <w:sectPr>
          <w:pgSz w:w="11900" w:h="16838" w:orient="portrait"/>
          <w:cols w:equalWidth="0" w:num="2">
            <w:col w:w="2920" w:space="580"/>
            <w:col w:w="7740"/>
          </w:cols>
          <w:pgMar w:left="320" w:top="1120" w:right="339" w:bottom="1440" w:gutter="0" w:footer="0" w:header="0"/>
          <w:type w:val="continuous"/>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18"/>
          <w:szCs w:val="18"/>
          <w:b w:val="1"/>
          <w:bCs w:val="1"/>
          <w:color w:val="auto"/>
        </w:rPr>
        <w:t>Shares of common stock:</w:t>
      </w:r>
    </w:p>
    <w:p>
      <w:pPr>
        <w:spacing w:after="0" w:line="306" w:lineRule="exact"/>
        <w:rPr>
          <w:sz w:val="20"/>
          <w:szCs w:val="20"/>
          <w:color w:val="auto"/>
        </w:rPr>
      </w:pPr>
    </w:p>
    <w:p>
      <w:pPr>
        <w:ind w:left="260" w:hanging="215"/>
        <w:spacing w:after="0" w:line="282" w:lineRule="auto"/>
        <w:rPr>
          <w:sz w:val="20"/>
          <w:szCs w:val="20"/>
          <w:color w:val="auto"/>
        </w:rPr>
      </w:pPr>
      <w:r>
        <w:rPr>
          <w:rFonts w:ascii="Arial" w:cs="Arial" w:eastAsia="Arial" w:hAnsi="Arial"/>
          <w:sz w:val="18"/>
          <w:szCs w:val="18"/>
          <w:b w:val="1"/>
          <w:bCs w:val="1"/>
          <w:color w:val="auto"/>
        </w:rPr>
        <w:t>Number issued and outstanding before this offering</w:t>
      </w:r>
    </w:p>
    <w:p>
      <w:pPr>
        <w:spacing w:after="0" w:line="243" w:lineRule="exact"/>
        <w:rPr>
          <w:sz w:val="20"/>
          <w:szCs w:val="20"/>
          <w:color w:val="auto"/>
        </w:rPr>
      </w:pPr>
    </w:p>
    <w:p>
      <w:pPr>
        <w:ind w:left="260" w:right="20" w:hanging="215"/>
        <w:spacing w:after="0" w:line="282" w:lineRule="auto"/>
        <w:rPr>
          <w:sz w:val="20"/>
          <w:szCs w:val="20"/>
          <w:color w:val="auto"/>
        </w:rPr>
      </w:pPr>
      <w:r>
        <w:rPr>
          <w:rFonts w:ascii="Arial" w:cs="Arial" w:eastAsia="Arial" w:hAnsi="Arial"/>
          <w:sz w:val="18"/>
          <w:szCs w:val="18"/>
          <w:b w:val="1"/>
          <w:bCs w:val="1"/>
          <w:color w:val="auto"/>
        </w:rPr>
        <w:t>Number to be issued and outstanding after this offering</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Redeemable Warrants:</w:t>
      </w:r>
    </w:p>
    <w:p>
      <w:pPr>
        <w:spacing w:after="0" w:line="306" w:lineRule="exact"/>
        <w:rPr>
          <w:sz w:val="20"/>
          <w:szCs w:val="20"/>
          <w:color w:val="auto"/>
        </w:rPr>
      </w:pPr>
    </w:p>
    <w:p>
      <w:pPr>
        <w:ind w:left="260" w:hanging="215"/>
        <w:spacing w:after="0" w:line="282" w:lineRule="auto"/>
        <w:rPr>
          <w:sz w:val="20"/>
          <w:szCs w:val="20"/>
          <w:color w:val="auto"/>
        </w:rPr>
      </w:pPr>
      <w:r>
        <w:rPr>
          <w:rFonts w:ascii="Arial" w:cs="Arial" w:eastAsia="Arial" w:hAnsi="Arial"/>
          <w:sz w:val="18"/>
          <w:szCs w:val="18"/>
          <w:b w:val="1"/>
          <w:bCs w:val="1"/>
          <w:color w:val="auto"/>
        </w:rPr>
        <w:t>Number issued and outstanding before this offering</w:t>
      </w:r>
    </w:p>
    <w:p>
      <w:pPr>
        <w:spacing w:after="0" w:line="243" w:lineRule="exact"/>
        <w:rPr>
          <w:sz w:val="20"/>
          <w:szCs w:val="20"/>
          <w:color w:val="auto"/>
        </w:rPr>
      </w:pPr>
    </w:p>
    <w:p>
      <w:pPr>
        <w:ind w:left="260" w:right="20" w:hanging="215"/>
        <w:spacing w:after="0" w:line="266" w:lineRule="auto"/>
        <w:rPr>
          <w:sz w:val="20"/>
          <w:szCs w:val="20"/>
          <w:color w:val="auto"/>
        </w:rPr>
      </w:pPr>
      <w:r>
        <w:rPr>
          <w:rFonts w:ascii="Arial" w:cs="Arial" w:eastAsia="Arial" w:hAnsi="Arial"/>
          <w:sz w:val="18"/>
          <w:szCs w:val="18"/>
          <w:b w:val="1"/>
          <w:bCs w:val="1"/>
          <w:color w:val="auto"/>
        </w:rPr>
        <w:t>Number to be issued and outstanding after this offering and sale of private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2,875,000 shares</w:t>
      </w:r>
      <w:r>
        <w:rPr>
          <w:rFonts w:ascii="Arial" w:cs="Arial" w:eastAsia="Arial" w:hAnsi="Arial"/>
          <w:sz w:val="29"/>
          <w:szCs w:val="29"/>
          <w:color w:val="auto"/>
          <w:vertAlign w:val="superscript"/>
        </w:rPr>
        <w:t>(1)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12,500,000 shares</w:t>
      </w:r>
      <w:r>
        <w:rPr>
          <w:rFonts w:ascii="Arial" w:cs="Arial" w:eastAsia="Arial" w:hAnsi="Arial"/>
          <w:sz w:val="29"/>
          <w:szCs w:val="29"/>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5,000,000 public warrants and 5,238,461 private warrants</w:t>
      </w:r>
      <w:r>
        <w:rPr>
          <w:rFonts w:ascii="Arial" w:cs="Arial" w:eastAsia="Arial" w:hAnsi="Arial"/>
          <w:sz w:val="26"/>
          <w:szCs w:val="26"/>
          <w:color w:val="auto"/>
          <w:vertAlign w:val="superscript"/>
        </w:rPr>
        <w:t>(3)</w:t>
      </w:r>
    </w:p>
    <w:p>
      <w:pPr>
        <w:spacing w:after="0" w:line="581" w:lineRule="exact"/>
        <w:rPr>
          <w:sz w:val="20"/>
          <w:szCs w:val="20"/>
          <w:color w:val="auto"/>
        </w:rPr>
      </w:pPr>
    </w:p>
    <w:p>
      <w:pPr>
        <w:sectPr>
          <w:pgSz w:w="11900" w:h="16838" w:orient="portrait"/>
          <w:cols w:equalWidth="0" w:num="2">
            <w:col w:w="3340" w:space="160"/>
            <w:col w:w="7740"/>
          </w:cols>
          <w:pgMar w:left="320" w:top="904" w:right="339" w:bottom="1440" w:gutter="0" w:footer="0" w:header="0"/>
        </w:sectPr>
      </w:pPr>
    </w:p>
    <w:p>
      <w:pPr>
        <w:spacing w:after="0" w:line="57" w:lineRule="exact"/>
        <w:rPr>
          <w:sz w:val="20"/>
          <w:szCs w:val="20"/>
          <w:color w:val="auto"/>
        </w:rPr>
      </w:pPr>
    </w:p>
    <w:p>
      <w:pPr>
        <w:ind w:left="260"/>
        <w:spacing w:after="0"/>
        <w:tabs>
          <w:tab w:leader="none" w:pos="3480" w:val="left"/>
        </w:tabs>
        <w:rPr>
          <w:sz w:val="20"/>
          <w:szCs w:val="20"/>
          <w:color w:val="auto"/>
        </w:rPr>
      </w:pPr>
      <w:r>
        <w:rPr>
          <w:rFonts w:ascii="Arial" w:cs="Arial" w:eastAsia="Arial" w:hAnsi="Arial"/>
          <w:sz w:val="17"/>
          <w:szCs w:val="17"/>
          <w:b w:val="1"/>
          <w:bCs w:val="1"/>
          <w:color w:val="auto"/>
        </w:rPr>
        <w:t>Exercisability</w:t>
      </w:r>
      <w:r>
        <w:rPr>
          <w:sz w:val="20"/>
          <w:szCs w:val="20"/>
          <w:color w:val="auto"/>
        </w:rPr>
        <w:tab/>
      </w:r>
      <w:r>
        <w:rPr>
          <w:rFonts w:ascii="Arial" w:cs="Arial" w:eastAsia="Arial" w:hAnsi="Arial"/>
          <w:sz w:val="17"/>
          <w:szCs w:val="17"/>
          <w:color w:val="auto"/>
        </w:rPr>
        <w:t>Each unit contains one-half of one redeemable public warrant. Each whole redeemable public warrant</w:t>
      </w:r>
    </w:p>
    <w:p>
      <w:pPr>
        <w:spacing w:after="0" w:line="39"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entitles the holder thereof to purchase one share of common stock, and each private warrant entitles the</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holder thereof to purchase one share of common stock. Only whole warrants are exercisable. No fractional</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warrants will be issued upon separation of the units and only whole warrants will trade. Accordingly,</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unless you purchase a multiple of two units, the number of warrants issuable to you upon separation of the</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units will be rounded down to the nearest whole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78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58" w:lineRule="exact"/>
        <w:rPr>
          <w:sz w:val="20"/>
          <w:szCs w:val="20"/>
          <w:color w:val="auto"/>
        </w:rPr>
      </w:pPr>
    </w:p>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number includes an aggregate of up to 375,000 founder shares held by our initial stockholders that are subject to forfeiture if the over-allotment option is not fully exercised by the underwriters.</w:t>
      </w:r>
    </w:p>
    <w:p>
      <w:pPr>
        <w:spacing w:after="0" w:line="1"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founder shares held by our initial stockholders have been forfeited. If the over-allotment option is exercised in full, there will be a total of 14,375,000 shares of common stock issued and outstanding.</w:t>
      </w:r>
    </w:p>
    <w:p>
      <w:pPr>
        <w:ind w:left="34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If the over-allotment option is exercised in full, there will be a total of 5,750,000 public warrants and 5,469,230 private warrants issued and outstanding.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9" w:name="page20"/>
    <w:bookmarkEnd w:id="19"/>
    <w:p>
      <w:pPr>
        <w:spacing w:after="0"/>
        <w:tabs>
          <w:tab w:leader="none" w:pos="3460" w:val="left"/>
        </w:tabs>
        <w:rPr>
          <w:sz w:val="20"/>
          <w:szCs w:val="20"/>
          <w:color w:val="auto"/>
        </w:rPr>
      </w:pPr>
      <w:r>
        <w:rPr>
          <w:rFonts w:ascii="Arial" w:cs="Arial" w:eastAsia="Arial" w:hAnsi="Arial"/>
          <w:sz w:val="18"/>
          <w:szCs w:val="18"/>
          <w:b w:val="1"/>
          <w:bCs w:val="1"/>
          <w:color w:val="auto"/>
        </w:rPr>
        <w:t>Exercise price</w:t>
      </w:r>
      <w:r>
        <w:rPr>
          <w:sz w:val="20"/>
          <w:szCs w:val="20"/>
          <w:color w:val="auto"/>
        </w:rPr>
        <w:tab/>
      </w:r>
      <w:r>
        <w:rPr>
          <w:rFonts w:ascii="Arial" w:cs="Arial" w:eastAsia="Arial" w:hAnsi="Arial"/>
          <w:sz w:val="15"/>
          <w:szCs w:val="15"/>
          <w:color w:val="auto"/>
        </w:rPr>
        <w:t>$11.50 per share</w:t>
      </w:r>
    </w:p>
    <w:p>
      <w:pPr>
        <w:spacing w:after="0" w:line="229" w:lineRule="exact"/>
        <w:rPr>
          <w:sz w:val="20"/>
          <w:szCs w:val="20"/>
          <w:color w:val="auto"/>
        </w:rPr>
      </w:pPr>
    </w:p>
    <w:p>
      <w:pPr>
        <w:jc w:val="both"/>
        <w:ind w:left="3480"/>
        <w:spacing w:after="0" w:line="285" w:lineRule="auto"/>
        <w:rPr>
          <w:sz w:val="20"/>
          <w:szCs w:val="20"/>
          <w:color w:val="auto"/>
        </w:rPr>
      </w:pPr>
      <w:r>
        <w:rPr>
          <w:rFonts w:ascii="Arial" w:cs="Arial" w:eastAsia="Arial" w:hAnsi="Arial"/>
          <w:sz w:val="16"/>
          <w:szCs w:val="16"/>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shares during the 20 trading day period starting on the trading day prior to the day on which we consummate our initial business combination (such price, the “Market Value”) is below $9.20 per share, the exercise price of each warrant will be adjusted (to the nearest cent) such that the effective exercise price per full share will be equal to 115% of the higher of (i) the Market Value and (ii) the Newly Issued Price, and the $16.00 per share redemption trigger price described below under “Redemption” will be adjusted (to the nearest cent) to be equal to 160% of the higher of (i) the Market Value and (ii) the Newly Issued Price.</w:t>
      </w:r>
    </w:p>
    <w:p>
      <w:pPr>
        <w:spacing w:after="0" w:line="174" w:lineRule="exact"/>
        <w:rPr>
          <w:sz w:val="20"/>
          <w:szCs w:val="20"/>
          <w:color w:val="auto"/>
        </w:rPr>
      </w:pPr>
    </w:p>
    <w:p>
      <w:pPr>
        <w:jc w:val="both"/>
        <w:ind w:left="3480"/>
        <w:spacing w:after="0" w:line="285" w:lineRule="auto"/>
        <w:rPr>
          <w:sz w:val="20"/>
          <w:szCs w:val="20"/>
          <w:color w:val="auto"/>
        </w:rPr>
      </w:pPr>
      <w:r>
        <w:rPr>
          <w:rFonts w:ascii="Arial" w:cs="Arial" w:eastAsia="Arial" w:hAnsi="Arial"/>
          <w:sz w:val="16"/>
          <w:szCs w:val="16"/>
          <w:color w:val="auto"/>
        </w:rPr>
        <w:t>No public warrants will be exercisable for cash unless we have an effective and current registration statement covering the shares of common stock issuable upon exercise of the public warrants and a current prospectus relating to such shares of common stock. It is our current intention to have an effective and current registration statement covering the shares of common stock issuable upon exercise of the public warrants and a current prospectus relating to such shares of common stock in effect promptly following consummation of an initial business combination. Notwithstanding the foregoing, if a registration statement covering the shares of common stock issuable upon exercise of the public warrants is not effective within 120 days following the consummation of our initial business combination, public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In such event, each holder would pay the exercise price by surrendering the whole public warrants for that number of shares of common stock equal to the quotient obtained by dividing (x) the product of the number of shares of common stock underlying the public warrants, multiplied by the difference between the exercise price of the public warrants and the “fair market value” (defined below) by (y) the fair market value. The “fair market value” shall mean the average last reported sale price of the shares of common stock for the 10 trading days ending on the day prior to the date of exercise. For example, if a holder held 300 warrants to purchase 300 shares and the fair market value on the date prior to exercise was $15.00, that holder would receive 70 shares without the payment of any additional cash consideration.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0"/>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Exercise period</w:t>
            </w: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The warrants will become exercisable 30 days after the consummation of an initial business combination.</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The warrants will expire at 5:00 p.m., New York City time, on the fifth anniversary of our completion of an</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6"/>
              </w:rPr>
              <w:t>initial business combination, or earlier upon redemption. The private warrants purchased by Chardan</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3"/>
              </w:rPr>
              <w:t>NexTech 2 Warrant Holdings LLC will not be exercisable more than five years from the effective date of</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the registration statement, of which this prospectus forms a part, in accordance with FINRA Rule 5110(g),</w:t>
            </w:r>
          </w:p>
        </w:tc>
      </w:tr>
      <w:tr>
        <w:trPr>
          <w:trHeight w:val="230"/>
        </w:trPr>
        <w:tc>
          <w:tcPr>
            <w:tcW w:w="2340" w:type="dxa"/>
            <w:vAlign w:val="bottom"/>
          </w:tcPr>
          <w:p>
            <w:pPr>
              <w:spacing w:after="0"/>
              <w:rPr>
                <w:sz w:val="20"/>
                <w:szCs w:val="20"/>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rPr>
              <w:t>as long as Chardan or any of its related persons beneficially own these private warrants.</w:t>
            </w:r>
          </w:p>
        </w:tc>
      </w:tr>
      <w:tr>
        <w:trPr>
          <w:trHeight w:val="688"/>
        </w:trPr>
        <w:tc>
          <w:tcPr>
            <w:tcW w:w="234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Redemption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We may redeem the outstanding warrants (excluding the private warrants), in whole and not in part, at a price of $0.01 per warrant:</w:t>
      </w:r>
    </w:p>
    <w:p>
      <w:pPr>
        <w:spacing w:after="0" w:line="170" w:lineRule="exact"/>
        <w:rPr>
          <w:sz w:val="20"/>
          <w:szCs w:val="20"/>
          <w:color w:val="auto"/>
        </w:rPr>
      </w:pPr>
    </w:p>
    <w:p>
      <w:pPr>
        <w:sectPr>
          <w:pgSz w:w="11900" w:h="16838" w:orient="portrait"/>
          <w:cols w:equalWidth="0" w:num="2">
            <w:col w:w="2760" w:space="720"/>
            <w:col w:w="7740"/>
          </w:cols>
          <w:pgMar w:left="340" w:top="904" w:right="339" w:bottom="1440" w:gutter="0" w:footer="0" w:header="0"/>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any time while the warrants are exercisable;</w:t>
      </w:r>
    </w:p>
    <w:p>
      <w:pPr>
        <w:spacing w:after="0" w:line="211" w:lineRule="exact"/>
        <w:rPr>
          <w:sz w:val="20"/>
          <w:szCs w:val="20"/>
          <w:color w:val="auto"/>
        </w:rPr>
      </w:pPr>
    </w:p>
    <w:p>
      <w:pPr>
        <w:sectPr>
          <w:pgSz w:w="11900" w:h="16838" w:orient="portrait"/>
          <w:cols w:equalWidth="0" w:num="2">
            <w:col w:w="3860" w:space="280"/>
            <w:col w:w="708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upon a minimum of 30 days’ prior written notice of redemption;</w:t>
      </w:r>
    </w:p>
    <w:p>
      <w:pPr>
        <w:spacing w:after="0" w:line="211" w:lineRule="exact"/>
        <w:rPr>
          <w:sz w:val="20"/>
          <w:szCs w:val="20"/>
          <w:color w:val="auto"/>
        </w:rPr>
      </w:pPr>
    </w:p>
    <w:p>
      <w:pPr>
        <w:sectPr>
          <w:pgSz w:w="11900" w:h="16838" w:orient="portrait"/>
          <w:cols w:equalWidth="0" w:num="2">
            <w:col w:w="3860" w:space="280"/>
            <w:col w:w="708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firstLine="9"/>
        <w:spacing w:after="0" w:line="263" w:lineRule="auto"/>
        <w:rPr>
          <w:sz w:val="20"/>
          <w:szCs w:val="20"/>
          <w:color w:val="auto"/>
        </w:rPr>
      </w:pPr>
      <w:r>
        <w:rPr>
          <w:rFonts w:ascii="Arial" w:cs="Arial" w:eastAsia="Arial" w:hAnsi="Arial"/>
          <w:sz w:val="18"/>
          <w:szCs w:val="18"/>
          <w:color w:val="auto"/>
        </w:rPr>
        <w:t>if, and only if, the last sales price of our common stock equals or exceeds $16.00 per share for any 10 trading days within a 30-trading day period ending three business days before we send the notice of redemption; and</w:t>
      </w:r>
    </w:p>
    <w:p>
      <w:pPr>
        <w:spacing w:after="0" w:line="184"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if, and only if, there is a current registration statement in effect with respect to the offer and sale</w:t>
      </w:r>
    </w:p>
    <w:p>
      <w:pPr>
        <w:spacing w:after="0" w:line="46" w:lineRule="exact"/>
        <w:rPr>
          <w:sz w:val="20"/>
          <w:szCs w:val="20"/>
          <w:color w:val="auto"/>
        </w:rPr>
      </w:pPr>
    </w:p>
    <w:p>
      <w:pPr>
        <w:sectPr>
          <w:pgSz w:w="11900" w:h="16838" w:orient="portrait"/>
          <w:cols w:equalWidth="0" w:num="2">
            <w:col w:w="3860" w:space="320"/>
            <w:col w:w="7040"/>
          </w:cols>
          <w:pgMar w:left="340" w:top="904" w:right="339" w:bottom="1440" w:gutter="0" w:footer="0" w:header="0"/>
          <w:type w:val="continuous"/>
        </w:sectPr>
      </w:pPr>
    </w:p>
    <w:p>
      <w:pPr>
        <w:jc w:val="both"/>
        <w:ind w:left="4120" w:right="20"/>
        <w:spacing w:after="0" w:line="255" w:lineRule="auto"/>
        <w:rPr>
          <w:sz w:val="20"/>
          <w:szCs w:val="20"/>
          <w:color w:val="auto"/>
        </w:rPr>
      </w:pPr>
      <w:r>
        <w:rPr>
          <w:rFonts w:ascii="Arial" w:cs="Arial" w:eastAsia="Arial" w:hAnsi="Arial"/>
          <w:sz w:val="18"/>
          <w:szCs w:val="18"/>
          <w:color w:val="auto"/>
        </w:rPr>
        <w:t>of the shares of common stock underlying such warrants at the time of redemption and for the entire 30-day trading period referred to above and continuing each day thereafter until the date of redemption.</w:t>
      </w:r>
    </w:p>
    <w:p>
      <w:pPr>
        <w:spacing w:after="0" w:line="190" w:lineRule="exact"/>
        <w:rPr>
          <w:sz w:val="20"/>
          <w:szCs w:val="20"/>
          <w:color w:val="auto"/>
        </w:rPr>
      </w:pPr>
    </w:p>
    <w:p>
      <w:pPr>
        <w:jc w:val="both"/>
        <w:ind w:left="3480"/>
        <w:spacing w:after="0" w:line="259" w:lineRule="auto"/>
        <w:rPr>
          <w:sz w:val="20"/>
          <w:szCs w:val="20"/>
          <w:color w:val="auto"/>
        </w:rPr>
      </w:pPr>
      <w:r>
        <w:rPr>
          <w:rFonts w:ascii="Arial" w:cs="Arial" w:eastAsia="Arial" w:hAnsi="Arial"/>
          <w:sz w:val="18"/>
          <w:szCs w:val="18"/>
          <w:color w:val="auto"/>
        </w:rPr>
        <w:t>If the foregoing conditions are satisfied and we issue a notice of redemption, each warrant holder can exercise his, her or its warrant prior to the scheduled redemption date. However, the price of our common stock may fall below the $16.00 trigger price, as well as the $11.50 warrant exercise price after the redemption notice is issued.</w:t>
      </w:r>
    </w:p>
    <w:p>
      <w:pPr>
        <w:spacing w:after="0" w:line="187" w:lineRule="exact"/>
        <w:rPr>
          <w:sz w:val="20"/>
          <w:szCs w:val="20"/>
          <w:color w:val="auto"/>
        </w:rPr>
      </w:pPr>
    </w:p>
    <w:p>
      <w:pPr>
        <w:jc w:val="both"/>
        <w:ind w:left="3480"/>
        <w:spacing w:after="0" w:line="257" w:lineRule="auto"/>
        <w:rPr>
          <w:sz w:val="20"/>
          <w:szCs w:val="20"/>
          <w:color w:val="auto"/>
        </w:rPr>
      </w:pPr>
      <w:r>
        <w:rPr>
          <w:rFonts w:ascii="Arial" w:cs="Arial" w:eastAsia="Arial" w:hAnsi="Arial"/>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88" w:lineRule="exact"/>
        <w:rPr>
          <w:sz w:val="20"/>
          <w:szCs w:val="20"/>
          <w:color w:val="auto"/>
        </w:rPr>
      </w:pPr>
    </w:p>
    <w:p>
      <w:pPr>
        <w:jc w:val="both"/>
        <w:ind w:left="3480"/>
        <w:spacing w:after="0" w:line="287"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all holders that wish to exercise warrants to do so on a “cashless basis.” In such event, each holder would pay the exercise price by surrendering the whole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last reported sale price of the shares of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20"/>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w w:val="99"/>
              </w:rPr>
              <w:t>Offering proceeds to be held in trust</w:t>
            </w: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$101,000,000 of the net proceeds of this offering and the private placement (or $116,150,000 if the over-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allotment option is exercised in full), will be placed in a trust account at Morgan Stanley, maintained by</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Continental Stock Transfer &amp; Trust Company, acting as trustee pursuant to an agreement to be signed on</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the date of this prospectus.</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Except as set forth below, the proceeds in the trust account will not be released until the earlier of: (1)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7"/>
              </w:rPr>
              <w:t>completion of an initial business combination within the required time period or (2) the redemption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100% of the outstanding public shares if we have not completed a business combination in the required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time period. Therefore, unless and until our initial business combination is consummated, the proceeds</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held in the trust account will not be available for our use for any expenses related to this offering 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9"/>
              </w:rPr>
              <w:t>expenses that we may incur related to the investigation and selection of a target business and the</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negotiation of an agreement to acquire a target business.</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Notwithstanding the foregoing, there can be released to us, from time to time, any interest earned on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funds in the trust account that we may need to pay our tax obligations. Unless and until we complete our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initial business combination, no proceeds held in the trust account will be available for our use.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proceeds held in the trust account will be invested only in U.S. government securities with a maturity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185 days or less or in money market funds meeting certain conditions under Rule 2a-7 under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9"/>
              </w:rPr>
              <w:t>Investment Company Act which invest only in direct U.S. government treasury obligations. We will</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5"/>
              </w:rPr>
              <w:t>disclose in each quarterly and annual report filed with the SEC prior to our initial business combination</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0"/>
              </w:rPr>
              <w:t>whether the proceeds deposited in the trust account are invested in U.S. government treasury obligations 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6"/>
              </w:rPr>
              <w:t>money market funds or a combination thereof. Based upon current interest rates, we expect the trust</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account to generate approximately $100,000 of interest annually assuming an interest rate of 0.1% per</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year; however, we can provide no assurances regarding this amount.</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Unless and until we complete our initial business combination, expenses incurred by us may be paid prior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7"/>
              </w:rPr>
              <w:t>to a business combination only from the net proceeds of this offering not held in the trust account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 xml:space="preserve">approximately $1,330,000; </w:t>
            </w:r>
            <w:r>
              <w:rPr>
                <w:rFonts w:ascii="Arial" w:cs="Arial" w:eastAsia="Arial" w:hAnsi="Arial"/>
                <w:sz w:val="18"/>
                <w:szCs w:val="18"/>
                <w:i w:val="1"/>
                <w:iCs w:val="1"/>
                <w:color w:val="auto"/>
                <w:w w:val="98"/>
              </w:rPr>
              <w:t>provided, however</w:t>
            </w:r>
            <w:r>
              <w:rPr>
                <w:rFonts w:ascii="Arial" w:cs="Arial" w:eastAsia="Arial" w:hAnsi="Arial"/>
                <w:sz w:val="18"/>
                <w:szCs w:val="18"/>
                <w:color w:val="auto"/>
                <w:w w:val="98"/>
              </w:rPr>
              <w:t>, that to meet our working capital needs following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consummation of this offering, if the funds not held in the trust account are insufficient, our initial</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stockholders, officers and directors or their affiliates may, but are not obligated to, loan us funds, from time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to time or at any time, in whatever amount they deem reasonable in their sole discretion. Each loan would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be evidenced by a promissory note. The notes would be paid upon consummation of our initial business</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combination, without interest.</w:t>
            </w:r>
          </w:p>
        </w:tc>
      </w:tr>
      <w:tr>
        <w:trPr>
          <w:trHeight w:val="688"/>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04" w:right="339" w:bottom="1440" w:gutter="0" w:footer="0" w:header="0"/>
        </w:sectPr>
      </w:pPr>
    </w:p>
    <w:bookmarkStart w:id="23" w:name="page24"/>
    <w:bookmarkEnd w:id="23"/>
    <w:p>
      <w:pPr>
        <w:spacing w:after="0" w:line="347" w:lineRule="auto"/>
        <w:rPr>
          <w:sz w:val="20"/>
          <w:szCs w:val="20"/>
          <w:color w:val="auto"/>
        </w:rPr>
      </w:pPr>
      <w:r>
        <w:rPr>
          <w:rFonts w:ascii="Arial" w:cs="Arial" w:eastAsia="Arial" w:hAnsi="Arial"/>
          <w:sz w:val="16"/>
          <w:szCs w:val="16"/>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On the completion of our initial business combination, the funds held in the trust account will be used to pay amounts due to any public stockholders who exercise their redemption rights. We will use the remaining funds to pay all or a portion of the consideration payable to the target or owners of the target of our initial business combination and to pay other expenses associated with our initial business combination, including the fee payable to Chardan pursuant to the Business Combination Marketing Agreement described under “</w:t>
      </w:r>
      <w:r>
        <w:rPr>
          <w:rFonts w:ascii="Arial" w:cs="Arial" w:eastAsia="Arial" w:hAnsi="Arial"/>
          <w:sz w:val="16"/>
          <w:szCs w:val="16"/>
          <w:i w:val="1"/>
          <w:iCs w:val="1"/>
          <w:color w:val="auto"/>
        </w:rPr>
        <w:t>Underwriting (Conflicts of Interest) — Business Combination Marketing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which fee we refer to throughout this prospectus as the Marketing Fee. If our initial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is paid for using equity or debt securities, or not all of the funds released from the trust account are used for payment of the consideration in connection with our initial business combination or used for redemptions of our common stock, we may apply the balance of the cash released to us from the trust account, as well as the proceeds from the sale of the private warrants described elsewhere in this prospectus,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300" w:space="180"/>
            <w:col w:w="7740"/>
          </w:cols>
          <w:pgMar w:left="340" w:top="904"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Limited payments to insiders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87" w:lineRule="exact"/>
        <w:rPr>
          <w:sz w:val="20"/>
          <w:szCs w:val="20"/>
          <w:color w:val="auto"/>
        </w:rPr>
      </w:pPr>
    </w:p>
    <w:p>
      <w:pPr>
        <w:sectPr>
          <w:pgSz w:w="11900" w:h="16838" w:orient="portrait"/>
          <w:cols w:equalWidth="0" w:num="2">
            <w:col w:w="2760" w:space="720"/>
            <w:col w:w="7740"/>
          </w:cols>
          <w:pgMar w:left="340" w:top="904" w:right="339" w:bottom="1440" w:gutter="0" w:footer="0" w:header="0"/>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hanging="24"/>
        <w:spacing w:after="0" w:line="277" w:lineRule="auto"/>
        <w:rPr>
          <w:sz w:val="20"/>
          <w:szCs w:val="20"/>
          <w:color w:val="auto"/>
        </w:rPr>
      </w:pPr>
      <w:r>
        <w:rPr>
          <w:rFonts w:ascii="Arial" w:cs="Arial" w:eastAsia="Arial" w:hAnsi="Arial"/>
          <w:sz w:val="18"/>
          <w:szCs w:val="18"/>
          <w:color w:val="auto"/>
        </w:rPr>
        <w:t>repayment of loans of up to $250,000 advanced to us by our sponsor to cover offering-related and organizational expenses;</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
        <w:spacing w:after="0" w:line="277" w:lineRule="auto"/>
        <w:rPr>
          <w:sz w:val="20"/>
          <w:szCs w:val="20"/>
          <w:color w:val="auto"/>
        </w:rPr>
      </w:pPr>
      <w:r>
        <w:rPr>
          <w:rFonts w:ascii="Arial" w:cs="Arial" w:eastAsia="Arial" w:hAnsi="Arial"/>
          <w:sz w:val="18"/>
          <w:szCs w:val="18"/>
          <w:color w:val="auto"/>
        </w:rPr>
        <w:t>payment of $10,000 per month to an affiliate of our sponsor for office space and related services, subject to deferral as described herein;</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firstLine="16"/>
        <w:spacing w:after="0" w:line="263" w:lineRule="auto"/>
        <w:rPr>
          <w:sz w:val="20"/>
          <w:szCs w:val="20"/>
          <w:color w:val="auto"/>
        </w:rPr>
      </w:pPr>
      <w:r>
        <w:rPr>
          <w:rFonts w:ascii="Arial" w:cs="Arial" w:eastAsia="Arial" w:hAnsi="Arial"/>
          <w:sz w:val="18"/>
          <w:szCs w:val="18"/>
          <w:color w:val="auto"/>
        </w:rPr>
        <w:t>repayment of loans that may be made by our insiders, officers, directors or any of its or their respective affiliates to finance transaction costs in connection with an initial business combination, the terms of which have not been determined;</w:t>
      </w:r>
    </w:p>
    <w:p>
      <w:pPr>
        <w:spacing w:after="0" w:line="184"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hanging="13"/>
        <w:spacing w:after="0" w:line="286" w:lineRule="auto"/>
        <w:rPr>
          <w:sz w:val="20"/>
          <w:szCs w:val="20"/>
          <w:color w:val="auto"/>
        </w:rPr>
      </w:pPr>
      <w:r>
        <w:rPr>
          <w:rFonts w:ascii="Arial" w:cs="Arial" w:eastAsia="Arial" w:hAnsi="Arial"/>
          <w:sz w:val="17"/>
          <w:szCs w:val="17"/>
          <w:color w:val="auto"/>
        </w:rPr>
        <w:t>reimbursement of out-of-pocket expenses incurred by our insiders, officers, directors or any of its or their respective affiliates in connection with certain activities on our behalf, such as identifying and investigating possible business targets and business combinations;</w:t>
      </w:r>
    </w:p>
    <w:p>
      <w:pPr>
        <w:spacing w:after="0" w:line="165"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sponsor will transfer up to 20,000 founder shares to each of our independent directors; and</w:t>
      </w:r>
    </w:p>
    <w:p>
      <w:pPr>
        <w:spacing w:after="0" w:line="211" w:lineRule="exact"/>
        <w:rPr>
          <w:sz w:val="20"/>
          <w:szCs w:val="20"/>
          <w:color w:val="auto"/>
        </w:rPr>
      </w:pPr>
    </w:p>
    <w:p>
      <w:pPr>
        <w:sectPr>
          <w:pgSz w:w="11900" w:h="16838" w:orient="portrait"/>
          <w:cols w:equalWidth="0" w:num="2">
            <w:col w:w="3860" w:space="220"/>
            <w:col w:w="714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firstLine="113"/>
        <w:spacing w:after="0" w:line="257" w:lineRule="auto"/>
        <w:rPr>
          <w:sz w:val="20"/>
          <w:szCs w:val="20"/>
          <w:color w:val="auto"/>
        </w:rPr>
      </w:pPr>
      <w:r>
        <w:rPr>
          <w:rFonts w:ascii="Arial" w:cs="Arial" w:eastAsia="Arial" w:hAnsi="Arial"/>
          <w:sz w:val="18"/>
          <w:szCs w:val="18"/>
          <w:color w:val="auto"/>
        </w:rPr>
        <w:t>payment to Chardan of the underwriting discount and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20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spacing w:after="0" w:line="28" w:lineRule="exact"/>
        <w:rPr>
          <w:sz w:val="20"/>
          <w:szCs w:val="20"/>
          <w:color w:val="auto"/>
        </w:rPr>
      </w:pPr>
    </w:p>
    <w:p>
      <w:pPr>
        <w:jc w:val="both"/>
        <w:ind w:left="3480"/>
        <w:spacing w:after="0" w:line="271" w:lineRule="auto"/>
        <w:rPr>
          <w:sz w:val="20"/>
          <w:szCs w:val="20"/>
          <w:color w:val="auto"/>
        </w:rPr>
      </w:pPr>
      <w:r>
        <w:rPr>
          <w:rFonts w:ascii="Arial" w:cs="Arial" w:eastAsia="Arial" w:hAnsi="Arial"/>
          <w:sz w:val="17"/>
          <w:szCs w:val="17"/>
          <w:color w:val="auto"/>
        </w:rPr>
        <w:t xml:space="preserve">There is no limit on the amount of out-of-pocket expenses reimbursable by us; </w:t>
      </w:r>
      <w:r>
        <w:rPr>
          <w:rFonts w:ascii="Arial" w:cs="Arial" w:eastAsia="Arial" w:hAnsi="Arial"/>
          <w:sz w:val="17"/>
          <w:szCs w:val="17"/>
          <w:i w:val="1"/>
          <w:iCs w:val="1"/>
          <w:color w:val="auto"/>
        </w:rPr>
        <w:t>provided, however</w:t>
      </w:r>
      <w:r>
        <w:rPr>
          <w:rFonts w:ascii="Arial" w:cs="Arial" w:eastAsia="Arial" w:hAnsi="Arial"/>
          <w:sz w:val="17"/>
          <w:szCs w:val="17"/>
          <w:color w:val="auto"/>
        </w:rPr>
        <w:t>,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any of their respective affiliates, and any reimbursements and payments made to members of our audit committee will be reviewed and approved by our board of directors, with any interested director abstaining from such review and approval.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5" w:name="page26"/>
    <w:bookmarkEnd w:id="25"/>
    <w:p>
      <w:pPr>
        <w:spacing w:after="0" w:line="266" w:lineRule="auto"/>
        <w:rPr>
          <w:sz w:val="20"/>
          <w:szCs w:val="20"/>
          <w:color w:val="auto"/>
        </w:rPr>
      </w:pPr>
      <w:r>
        <w:rPr>
          <w:rFonts w:ascii="Arial" w:cs="Arial" w:eastAsia="Arial" w:hAnsi="Arial"/>
          <w:sz w:val="18"/>
          <w:szCs w:val="18"/>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such business combination.</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determined not to consummate any business combination unless we have net tangible assets of at least $5,000,001 either immediately prior to or upon such consummation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200" w:lineRule="exact"/>
        <w:rPr>
          <w:sz w:val="20"/>
          <w:szCs w:val="20"/>
          <w:color w:val="auto"/>
        </w:rPr>
      </w:pPr>
    </w:p>
    <w:p>
      <w:pPr>
        <w:sectPr>
          <w:pgSz w:w="11900" w:h="16838" w:orient="portrait"/>
          <w:cols w:equalWidth="0" w:num="2">
            <w:col w:w="3260" w:space="220"/>
            <w:col w:w="7740"/>
          </w:cols>
          <w:pgMar w:left="340" w:top="90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6" w:name="page27"/>
    <w:bookmarkEnd w:id="26"/>
    <w:p>
      <w:pPr>
        <w:jc w:val="both"/>
        <w:ind w:left="2380"/>
        <w:spacing w:after="0" w:line="284" w:lineRule="auto"/>
        <w:rPr>
          <w:sz w:val="20"/>
          <w:szCs w:val="20"/>
          <w:color w:val="auto"/>
        </w:rPr>
      </w:pPr>
      <w:r>
        <w:rPr>
          <w:rFonts w:ascii="Arial" w:cs="Arial" w:eastAsia="Arial" w:hAnsi="Arial"/>
          <w:sz w:val="16"/>
          <w:szCs w:val="16"/>
          <w:color w:val="auto"/>
        </w:rPr>
        <w:t>Our initial stockholders have agreed (A) to vote their founder shares and any public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15 months (or up to 21 months, as applicable) unless we provide public stockholder an opportunity to redeem their public shares in conjunction with any such amendment, (C) not to redeem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 public units in this offering or any units or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Securities and Exchange Act of 1940, which we refer to as the Exchange Act, which are rules designed to stop potential manipulation of a company’s stock or purchasing shares when the buyer is in possession of material non-public information about the Company.</w:t>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0"/>
        </w:trPr>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Redemption rights</w:t>
            </w: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In connection with any stockholder meeting called to approve a proposed initial business combination,</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each public stockholder will have the right, regardless of whether he, she or it is voting for or against such</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89"/>
              </w:rPr>
              <w:t xml:space="preserve">proposed business combination, to demand that we redeem his, her or its public shares into a </w:t>
            </w:r>
            <w:r>
              <w:rPr>
                <w:rFonts w:ascii="Arial" w:cs="Arial" w:eastAsia="Arial" w:hAnsi="Arial"/>
                <w:sz w:val="18"/>
                <w:szCs w:val="18"/>
                <w:i w:val="1"/>
                <w:iCs w:val="1"/>
                <w:color w:val="auto"/>
                <w:w w:val="89"/>
              </w:rPr>
              <w:t>pro rata</w:t>
            </w:r>
            <w:r>
              <w:rPr>
                <w:rFonts w:ascii="Arial" w:cs="Arial" w:eastAsia="Arial" w:hAnsi="Arial"/>
                <w:sz w:val="18"/>
                <w:szCs w:val="18"/>
                <w:color w:val="auto"/>
                <w:w w:val="89"/>
              </w:rPr>
              <w:t xml:space="preserve"> share</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of the trust account upon consummation of the business combination.</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We may require public stockholders wishing to exercise redemption rights, whether they are a record</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holder or hold their shares in “street name,” to either tender the certificates they are seeking to redeem to</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3"/>
              </w:rPr>
              <w:t>our transfer agent or to deliver the shares they are seeking to redeem to the transfer agent electronically</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using Depository Trust Company’s Deposit/Withdrawal At Custodian System, or DWAC System, at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holder’s option, at any time at or prior to the vote on the business combination. There is a nominal cost</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associated with this tendering process and the act of certificating the shares or delivering them through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DWAC System. The transfer agent will typically charge the tendering broker $45 and it would be up to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89"/>
              </w:rPr>
              <w:t>broker whether to pass this cost on to the redeeming holder. However, this fee would be incurred regardless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of whether we require holders to deliver their shares prior to the vote on the business combination in order</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0"/>
              </w:rPr>
              <w:t>to exercise redemption rights, because a holder would need to deliver shares to exercise redemption rights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regardless of the timing of when such delivery must be effectuated. However, in the event we require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8"/>
              </w:rPr>
              <w:t>stockholders to deliver their shares prior to the vote on the proposed business combination and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proposed business combination is not consummated, this may result in an increased cost to stockholders.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The redemption rights will include the requirement that a beneficial holder must identify itself in order to</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validly redeem its shares.</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Under Delaware law, we may be required to give a minimum of only 10 days’ notice for each general</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meeting. As a result, if we require public stockholders who wish to redeem their shares of common stock</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 xml:space="preserve">into the right to receive a </w:t>
            </w:r>
            <w:r>
              <w:rPr>
                <w:rFonts w:ascii="Arial" w:cs="Arial" w:eastAsia="Arial" w:hAnsi="Arial"/>
                <w:sz w:val="18"/>
                <w:szCs w:val="18"/>
                <w:i w:val="1"/>
                <w:iCs w:val="1"/>
                <w:color w:val="auto"/>
                <w:w w:val="95"/>
              </w:rPr>
              <w:t>pro rata</w:t>
            </w:r>
            <w:r>
              <w:rPr>
                <w:rFonts w:ascii="Arial" w:cs="Arial" w:eastAsia="Arial" w:hAnsi="Arial"/>
                <w:sz w:val="18"/>
                <w:szCs w:val="18"/>
                <w:color w:val="auto"/>
                <w:w w:val="95"/>
              </w:rPr>
              <w:t xml:space="preserve"> portion of the funds in the trust account to comply with the foregoing</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3"/>
              </w:rPr>
              <w:t>delivery requirements, holders may not have sufficient time to receive the notice and deliver their shares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for redemption. Accordingly, investors may not be able to exercise their redemption rights and may be</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forced to retain our securities when they otherwise would not want to.</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8"/>
              </w:rPr>
              <w:t>If we require public stockholders who wish to redeem their shares of common stock to comply with</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0"/>
              </w:rPr>
              <w:t>specific delivery requirements for redemption described above and such proposed business combination is</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not consummated, we will promptly return such certificates to the tendering public stockholders.</w:t>
            </w:r>
          </w:p>
        </w:tc>
      </w:tr>
      <w:tr>
        <w:trPr>
          <w:trHeight w:val="688"/>
        </w:trPr>
        <w:tc>
          <w:tcPr>
            <w:tcW w:w="24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306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904" w:right="339" w:bottom="1440" w:gutter="0" w:footer="0" w:header="0"/>
        </w:sectPr>
      </w:pPr>
    </w:p>
    <w:bookmarkStart w:id="28" w:name="page29"/>
    <w:bookmarkEnd w:id="28"/>
    <w:p>
      <w:pPr>
        <w:ind w:right="1300"/>
        <w:spacing w:after="0" w:line="282" w:lineRule="auto"/>
        <w:rPr>
          <w:sz w:val="20"/>
          <w:szCs w:val="20"/>
          <w:color w:val="auto"/>
        </w:rPr>
      </w:pPr>
      <w:r>
        <w:rPr>
          <w:rFonts w:ascii="Arial" w:cs="Arial" w:eastAsia="Arial" w:hAnsi="Arial"/>
          <w:sz w:val="18"/>
          <w:szCs w:val="18"/>
          <w:b w:val="1"/>
          <w:bCs w:val="1"/>
          <w:color w:val="auto"/>
        </w:rPr>
        <w:t>Liquidation if no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Ability to extend time to complete business combination</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If we are unable to complete our initial business combination within 15 months (or up to 21 months, as applicable)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 (iii) above) to our obligations to provide for claims of creditors and the requirements of applicable law.</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connection with our redemption of 100% of our outstanding public shares for a portion of the funds held in the trust account, each holder will receive a full pro rata portion of the amount then in the trust account, plus any pro rata interest earned on the funds held in the trust account and not necessary to pay our taxes payable on such funds. Holders of warrants will receive no proceeds in connection with the liquidation with respect to such warrants, which will expire worthless.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the founder shares and private warrants will not participate in any redemption distribution with respect to their founder shares and private warrants, but may have any public shares held by them redeemed upon liquidation.</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$10.10. The proceeds deposited in the trust account could, however, become subject to claims of our creditors that are in preference to the claims of our stockholders. Furthermore, our underwriters may seek recourse against the proceeds in the trust account relating to any future claims they may have against us.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approximately $10.10. We will pay the costs of any subsequent liquidation from our remaining assets outside of the trust account. If such funds are insufficient, our sponsor has agreed to pay the funds necessary to complete such liquidation and has agreed not to seek repayment for such expenses. We currently do not anticipate that such funds will be insufficient.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have filed a preliminary proxy statement with the SEC seeking stockholder approval of an initial business combination within 15 months of this offering, the period of time we have to consummate an initial business combination shall be automatically extended by an additional three months for an aggregate of 18 months.</w:t>
      </w:r>
    </w:p>
    <w:p>
      <w:pPr>
        <w:spacing w:after="0" w:line="18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If we anticipate that we may not be able to consummate our initial business combination within 15 months (or 18 months if we have executed a definitive agreement and filed a proxy statement for an initial business combination within 15 months from the closing of this offering), we may, by resolution of our board if requested by our sponsor, extend the period of time to consummate a business combination up to two times, each by an additional three months (for a total of up to 21 months to complete a business combination), subject to the sponsor depositing additional funds into the trust account as set out below. Pursuant to the terms of our amended and restated certificate of incorporation and the trust agreement to be entered into between us and Continental Stock Transfer &amp; Trust Company on the date of this prospectus, in order for the time available for us to consummate our initial business combination to be extended, our sponsor or its affiliates or designees, upon five days advance notice prior to the applicable deadline, must deposit into the trust account $1,000,000, or $1,150,000 if the underwriters’ over-allotment option is exercised in full ($0.10 per share in either case), on or prior to the date of the applicable deadline, for each of the available three month extensions providing a total possible business combination period of 21 months at a total payment value of $2,000,000, or $2,300,000 if the underwriters’ over-allotment option is exercised in full. Any such payments would be made in the form of non-interest bearing loans, evidenced by an unsecured promissory note equal to the amount of any such deposit, which will not be repaid in the event that we are unable to close a business combination unless there are funds available outside the trust account to do so. Our sponsor and its affiliates or designees are not obligated to fund the trust account to extend the time for us to complete our initial business combination. Our public stockholders will not be entitled to vote or redeem their shares in connection with any such extension. As a result, we may conduct such an extension even though a majority of our public stockholders do not support such an extension and will not be able to redeem their shares in connection therewith.</w:t>
      </w:r>
    </w:p>
    <w:p>
      <w:pPr>
        <w:sectPr>
          <w:pgSz w:w="11900" w:h="16838" w:orient="portrait"/>
          <w:cols w:equalWidth="0" w:num="2">
            <w:col w:w="3280" w:space="200"/>
            <w:col w:w="7740"/>
          </w:cols>
          <w:pgMar w:left="340" w:top="904" w:right="339" w:bottom="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0"/>
        </w:trPr>
        <w:tc>
          <w:tcPr>
            <w:tcW w:w="2500" w:type="dxa"/>
            <w:vAlign w:val="bottom"/>
          </w:tcPr>
          <w:p>
            <w:pPr>
              <w:ind w:left="60"/>
              <w:spacing w:after="0"/>
              <w:rPr>
                <w:sz w:val="20"/>
                <w:szCs w:val="20"/>
                <w:color w:val="auto"/>
              </w:rPr>
            </w:pPr>
            <w:r>
              <w:rPr>
                <w:rFonts w:ascii="Arial" w:cs="Arial" w:eastAsia="Arial" w:hAnsi="Arial"/>
                <w:sz w:val="18"/>
                <w:szCs w:val="18"/>
                <w:b w:val="1"/>
                <w:bCs w:val="1"/>
                <w:color w:val="auto"/>
              </w:rPr>
              <w:t>Conflict of Interest</w:t>
            </w:r>
          </w:p>
        </w:tc>
        <w:tc>
          <w:tcPr>
            <w:tcW w:w="8740" w:type="dxa"/>
            <w:vAlign w:val="bottom"/>
          </w:tcPr>
          <w:p>
            <w:pPr>
              <w:ind w:left="1040"/>
              <w:spacing w:after="0"/>
              <w:rPr>
                <w:sz w:val="20"/>
                <w:szCs w:val="20"/>
                <w:color w:val="auto"/>
              </w:rPr>
            </w:pPr>
            <w:r>
              <w:rPr>
                <w:rFonts w:ascii="Arial" w:cs="Arial" w:eastAsia="Arial" w:hAnsi="Arial"/>
                <w:sz w:val="18"/>
                <w:szCs w:val="18"/>
                <w:color w:val="auto"/>
                <w:w w:val="92"/>
              </w:rPr>
              <w:t>Both we and our sponsor are affiliates of Chardan, the representative of the underwriters in this offering,</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0"/>
              </w:rPr>
              <w:t>and certain of our officers and directors are affiliated with Chardan. As a result, Chardan is deemed to have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8"/>
              </w:rPr>
              <w:t>a “conflict of interest” within the meaning of FINRA Rule 5121(f)(5), or Rule 5121. Accordingly, this</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offering is being made in compliance with the applicable requirements of Rule 5121.</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Rule 5121 requires that a “qualified independent underwriter,” as defined in Rule 5121, participate in the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preparation of the registration statement and prospectus and exercise the usual standards of due diligence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with respect thereto. B. Riley Securities, Inc. has agreed to act as a “qualified independent underwriter” for</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this offering. B. Riley Securities, Inc. will receive $100,000 from the total underwriting discount, acting as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a qualified independent underwriter. We have agreed to indemnify B. Riley Securities, Inc. against certain</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4"/>
              </w:rPr>
              <w:t>liabilities incurred in connection with acting as a “qualified independent underwriter,” including liabilities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6"/>
              </w:rPr>
              <w:t>under the Securities Act. In addition, no underwriter with a conflict of interest will confirm sales to any</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account over which it exercises discretionary authority without the specific prior written approval of the</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account holder.</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8"/>
              </w:rPr>
              <w:t>All of our officers are employed by Chardan or its affiliates. Chardan is continuously made aware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potential business opportunities, one or more of which we may desire to pursue for an initial business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combination. While Chardan will not have any duty to offer acquisition opportunities to us, Chardan may</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become aware of a potential transaction that is an attractive opportunity for us, which Chardan may decide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to share with us. In addition, our officers and directors may have a duty to offer acquisition opportunities to</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other entities to which they owe duties or clients of affiliates of our sponsor.</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7"/>
              </w:rPr>
              <w:t>As a result, affiliates of our sponsor and their respective clients may compete with us for acquisition</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opportunities in the same industries and sectors as we may target for our initial business combination. If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any of them decide to pursue any such opportunity, we may be precluded from procuring such</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opportunities. In addition, investment ideas generated within Chardan, including by any of our officers and</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other persons who may make decisions for the company, may be suitable both for us and for affiliates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0"/>
              </w:rPr>
              <w:t>our sponsor or any of their respective clients, and will be directed initially to such persons rather than to us.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None of Chardan nor members of our management team who are also employed by Chardan or any of its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affiliates have any obligation to present us with any opportunity for a potential business combination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which they become aware unless it is offered to them solely in their capacity as a director or officer of the</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Company and after they have satisfied their contractual and fiduciary obligations to other parties.</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Our sponsor, officers, directors, Chardan and their respective affiliates may participate in the formation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8"/>
              </w:rPr>
              <w:t>or become an officer or director of, any other blank check company prior to completion of our initial</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business combination. In particular, certain of our executive officers and directors also serve as executive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officers or directors of an Affiliated SPAC, which is focused on searching for businesses that may provide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significant opportunities for attractive investor returns in industries similar to the industries in which our</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search is focused. As a result, our sponsor, officers or directors could have conflicts of interest in</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6"/>
              </w:rPr>
              <w:t>determining whether to present business combination opportunities to us or to any other blank check</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company with which they may become involved.</w:t>
            </w:r>
          </w:p>
        </w:tc>
      </w:tr>
      <w:tr>
        <w:trPr>
          <w:trHeight w:val="688"/>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4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904" w:right="339" w:bottom="1440" w:gutter="0" w:footer="0" w:header="0"/>
        </w:sectPr>
      </w:pPr>
    </w:p>
    <w:bookmarkStart w:id="31" w:name="page32"/>
    <w:bookmarkEnd w:id="31"/>
    <w:p>
      <w:pPr>
        <w:jc w:val="both"/>
        <w:ind w:left="3500"/>
        <w:spacing w:after="0" w:line="288" w:lineRule="auto"/>
        <w:rPr>
          <w:sz w:val="20"/>
          <w:szCs w:val="20"/>
          <w:color w:val="auto"/>
        </w:rPr>
      </w:pPr>
      <w:r>
        <w:rPr>
          <w:rFonts w:ascii="Arial" w:cs="Arial" w:eastAsia="Arial" w:hAnsi="Arial"/>
          <w:sz w:val="16"/>
          <w:szCs w:val="16"/>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168" w:lineRule="exact"/>
        <w:rPr>
          <w:sz w:val="20"/>
          <w:szCs w:val="20"/>
          <w:color w:val="auto"/>
        </w:rPr>
      </w:pPr>
    </w:p>
    <w:p>
      <w:pPr>
        <w:jc w:val="both"/>
        <w:ind w:left="3500"/>
        <w:spacing w:after="0" w:line="289" w:lineRule="auto"/>
        <w:rPr>
          <w:sz w:val="20"/>
          <w:szCs w:val="20"/>
          <w:color w:val="auto"/>
        </w:rPr>
      </w:pPr>
      <w:r>
        <w:rPr>
          <w:rFonts w:ascii="Arial" w:cs="Arial" w:eastAsia="Arial" w:hAnsi="Arial"/>
          <w:sz w:val="16"/>
          <w:szCs w:val="16"/>
          <w:color w:val="auto"/>
        </w:rPr>
        <w:t>In addition, we may, at our option, pursue an Affiliated Joint Acquisition. We do not expect that we would pursue any such opportunity with an Affiliated SPAC. This would only occur, though,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w:t>
      </w:r>
    </w:p>
    <w:p>
      <w:pPr>
        <w:spacing w:after="0" w:line="166" w:lineRule="exact"/>
        <w:rPr>
          <w:sz w:val="20"/>
          <w:szCs w:val="20"/>
          <w:color w:val="auto"/>
        </w:rPr>
      </w:pPr>
    </w:p>
    <w:p>
      <w:pPr>
        <w:jc w:val="both"/>
        <w:ind w:left="3500"/>
        <w:spacing w:after="0" w:line="259"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our offering, please see “</w:t>
      </w:r>
      <w:r>
        <w:rPr>
          <w:rFonts w:ascii="Arial" w:cs="Arial" w:eastAsia="Arial" w:hAnsi="Arial"/>
          <w:sz w:val="17"/>
          <w:szCs w:val="17"/>
          <w:i w:val="1"/>
          <w:iCs w:val="1"/>
          <w:color w:val="auto"/>
        </w:rPr>
        <w:t>Proposed Business — Comparison to offerings of blank check companies subject to Rule 419</w:t>
      </w:r>
      <w:r>
        <w:rPr>
          <w:rFonts w:ascii="Arial" w:cs="Arial" w:eastAsia="Arial" w:hAnsi="Arial"/>
          <w:sz w:val="17"/>
          <w:szCs w:val="17"/>
          <w:color w:val="auto"/>
        </w:rPr>
        <w:t>.” You should carefully consider these and the other risks set forth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ind w:left="520"/>
              <w:spacing w:after="0"/>
              <w:rPr>
                <w:sz w:val="20"/>
                <w:szCs w:val="20"/>
                <w:color w:val="auto"/>
              </w:rPr>
            </w:pPr>
            <w:r>
              <w:rPr>
                <w:rFonts w:ascii="Arial" w:cs="Arial" w:eastAsia="Arial" w:hAnsi="Arial"/>
                <w:sz w:val="18"/>
                <w:szCs w:val="18"/>
                <w:b w:val="1"/>
                <w:bCs w:val="1"/>
                <w:color w:val="auto"/>
              </w:rPr>
              <w:t>March 31, 2021</w:t>
            </w:r>
          </w:p>
        </w:tc>
      </w:tr>
      <w:tr>
        <w:trPr>
          <w:trHeight w:val="250"/>
        </w:trPr>
        <w:tc>
          <w:tcPr>
            <w:tcW w:w="68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Actual</w:t>
            </w:r>
          </w:p>
        </w:tc>
        <w:tc>
          <w:tcPr>
            <w:tcW w:w="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b w:val="1"/>
                <w:bCs w:val="1"/>
                <w:color w:val="auto"/>
                <w:w w:val="95"/>
                <w:vertAlign w:val="superscript"/>
              </w:rPr>
              <w:t>(1)</w:t>
            </w:r>
          </w:p>
        </w:tc>
        <w:tc>
          <w:tcPr>
            <w:tcW w:w="100" w:type="dxa"/>
            <w:vAlign w:val="bottom"/>
          </w:tcPr>
          <w:p>
            <w:pPr>
              <w:spacing w:after="0"/>
              <w:rPr>
                <w:sz w:val="21"/>
                <w:szCs w:val="2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Working capital</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(53,118)</w:t>
            </w:r>
          </w:p>
        </w:tc>
        <w:tc>
          <w:tcPr>
            <w:tcW w:w="3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98,687,077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w:t>
            </w:r>
          </w:p>
        </w:tc>
        <w:tc>
          <w:tcPr>
            <w:tcW w:w="3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102,354,000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Total liabilities</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126,000</w:t>
            </w:r>
          </w:p>
        </w:tc>
        <w:tc>
          <w:tcPr>
            <w:tcW w:w="3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3,666,923</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Value of shares of common stock subject to possible redemption/tender</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93,687,070</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Stockholder’s equity</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24,000</w:t>
            </w:r>
          </w:p>
        </w:tc>
        <w:tc>
          <w:tcPr>
            <w:tcW w:w="3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 adjusted” working capital and total assets amounts include the $3,405,000 we will receive from the sale of the private warrants, and the “as adjusted” total liabilities of $3,666,923 relates to the warrant liability.</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6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“as adjusted” working capital and total assets amounts include the $101,000,000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a majority of the outstanding shares of common stock voted are voted in favor of the business combination (if a vote is required or being obtained).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CAUTIONARY NOTE REGARDING FORWARD-LOOKING STATEMENTS AND RISK FACTOR SUMMARY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Some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These risks and uncertainties include, but are not limited to the following risks, uncertainties and other factors:</w:t>
      </w:r>
    </w:p>
    <w:p>
      <w:pPr>
        <w:spacing w:after="0" w:line="17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even if an appropriate target business is selected;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pool of prospective target businesses in the disruptive 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acquiring an operating company in the disruptive 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delisting of our securities from the Nasdaq or an inability to have our securities listed on Nasdaq following a business combination;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 account being subject to the claims of third parties;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ind w:left="980" w:hanging="648"/>
        <w:spacing w:after="0" w:line="282" w:lineRule="auto"/>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Search for, Consummation of, or Inability to Consummate, a Business Combination and Post-Business Combination Risks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 Our initial stockholders and their permitted transferees will own shares representing 20% of our outstanding shares of common stock immediately following the completion of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 In addition, we have agreed not to enter into a definitive agreement regarding an initial business combination without the prior consent of our sponsor.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seek to enter into an initial business combination agreement with a prospective target that requires as a closing condition that we have a minimum net worth or a certain amount of cash. While we will have access to the proceeds from the $3,405,000 (or up to $3,555,000 depending on the extent to which the underwriters’ over-allotment option is exercised) private placement from our sponsor, if too many public stockholders exercise their redemption rights, we would not be able to meet such closing condition and, as a result, would not be able to proceed with the initial business combination. If too many public stockholders exercise their redemption rights, we would not be able to meet such closing condition and, as a result, would not be able to proceed with the initial business combination. Furthermore,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 The ability of a large number of our stockholders to exercise redemption rights may not allow us to consummate the most desirable business combination or optimize our capital structure.</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Any potential target business with which we enter into negotiations concerning an initial business combination will be aware that we must complete our initial business combination within 15 months (or up to 21 months, as applicable)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$10.10 per share, or less than such amount in certain circumstances, and our warrants will expire worthless.</w:t>
      </w:r>
    </w:p>
    <w:p>
      <w:pPr>
        <w:spacing w:after="0" w:line="14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sponsor, officers and directors have agreed that we must complete our initial business combination within 15 months from the closing of this offering (or up to 18 months from the closing of this offering if we have executed a definitive agreement and filed a proxy statement for an initial business combination within 15 months from the closing of this offering) to consummate an initial business combination. In addition,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as described in more detail in this prospectus.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the outbreak of COVID-19 continues to grow both in the United States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continued outbreak of COVID-19 may negatively impact businesses we may seek to acquire. If we have not completed our initial business combination within such 15-month (or up to 21-month) period,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which case, our public stockholders may only receive $10.10 per share, or less than such amount in certain circumstances, and our warrants will expire worthless. See “— If third parties bring claims against us, the proceeds held in the trust account could be reduced and the per-share redemption amount received by stockholders may be less than $10.10 per share” and other risk factors herein.</w:t>
      </w:r>
    </w:p>
    <w:p>
      <w:pPr>
        <w:spacing w:after="0" w:line="3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March 2020, the World Health Organization declared novel coronavirus disease 2019 (COVID-19) a global pandemic. The COVID-19 pandemic has negatively impacted the global economy, disrupted global supply chains, lowered equity market valuations, created significant volatility and disruption in financial markets, and increased unemployment levels, all of which may become heightened concerns upon a second wave of infection or future developments. In addition, the pandemic has resulted in temporary closures of many businesses and the institution of social distancing and sheltering in place requirements in many states and communities. The COVID-19 pandemic has and a significant outbreak of other infectious diseases could result in a widespread health crisis that could adversely affect the economies and financial markets worldwide, and the business of any potential partner business with which we consummate a business combination could be materially and adversely affected.</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partner business with which we ultimately consummate a business combination, may be materially adversely affected.</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officers, advisors or any of their respective affiliates may elect to purchase shares or warrants from public stockholders, which may influence a vote on a proposed initial business combination and reduce the public “float” of our common stock or warrants.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any of their respective affiliates purchase shares in privately negotiated transactions from public stockholders who have already elected to exercise their redemption rights, such selling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or public warrants and the number of beneficial holders of our securities may be reduced, possibly making it difficult to obtain or maintain the quotation, listing or trading of our securities on a national securities exchange.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See the section of this prospectus entitled “Proposed Business — Redemption Rights for Public Stockholders upon Completion of our Initial Business Combination — Redemption/Tender Rights.”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 (B) with respect to any other provision relating to stockholders’ rights or pre-initial business combination activity and (iii) the redemption of our public shares if we are unable to complete an initial business combination within 15 months (or up to 21 months, as applicable)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the net proceeds of this offering and the sale of the private warrants are intended to be used to complete an initial business combination with a target business that has not been identified, we may be deemed to be a “blank check” company under the United States securities laws. However, because we will have net tangible assets in excess of $5,000,000 either immediately prior to or upon the successful completion of this offering and the sale of the private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the section of this prospectus entitled “Proposed Business — Comparison to Offerings of Blank Check Companies Subject to Rule 419.”</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$10.10 per share on our redemption of our public shares, or less than such amount in certain circumstances, and our warrants will expire worthless.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including affiliates of our sponsor.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 initial business combination. If we are unable to complete our initial business combination, our public stockholders may receive only approximately $10.10 per share, or less in certain circumstances, on the liquidation of our trust account and our warrants will expire worthless. In certain circumstances, our public stockholders may receive less than $10.10 per share upon our liquidation. See “— If third parties bring claims against us, the proceeds held in the trust account could be reduced and the per-share redemption amount received by stockholders may be less than $10.10 per share” and other risk factors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b w:val="1"/>
          <w:bCs w:val="1"/>
          <w:i w:val="1"/>
          <w:iCs w:val="1"/>
          <w:color w:val="auto"/>
        </w:rPr>
        <w:t>If the net proceeds of this offering, the sale of the private warrants not being held in the trust account and the loan committed by our sponsor for working capital are insufficient to allow us to operate for at least the next 15 months (or up to 21 months, as applicable), we may be unable to complete our initial business combination, in which case our public stockholders may only receive $10.10 per share, or less than such amount in certain circumstances, and our warrants will expire worthless.</w:t>
      </w:r>
    </w:p>
    <w:p>
      <w:pPr>
        <w:spacing w:after="0" w:line="18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funds available to us outside of the trust account, together with the loan committed by our sponsor for working capital, may not be sufficient to allow us to operate for at least the next 15 months (or up to 21 months, as applicable), assuming that our initial business combination is not completed during that time.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We believe that, upon closing of this offering, the funds available to us outside of the trust account, together with funds available from loans from our sponsor will be sufficient to allow us to operate for at least the next 15 months (or up to 21 months, as applicable);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$10.10 per share, or less in certain circumstances, on the liquidation of our trust account and our warrants will expire worthless. In certain circumstances, our public stockholders may receive less than $10.10 per share upon our liquidation. See “— If third parties bring claims against us, the proceeds held in the trust account could be reduced and the per-share redemption amount received by stockholders may be less than $10.10 per share” and other risk factors below.</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the net proceeds from this offering and the sale of the private warrants, not being held in the trust account, and the loan committed by our sponsor for working capital are insufficient, it could limit the amount available to fund our search for a target business or businesses and complete our initial business combination and we will depend on additional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8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Of the net proceeds of this offering and the sale of the private warrants, only approximately $1,330,000 will be available to us initially outside the trust account to fund our working capital requirements. In the event that our offering expenses exceed our estimate of $575,000,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$575,000,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In order to finance transaction costs in connection with an intended initial business combination, our sponsor has committed up to $250,000 to be provided to us to fund our expenses relating to investigating and selecting a target business and other working capital requirements after this offering and prior to our initial business combination. None of our sponsor, members of our management team nor any of their affiliates is under any obligation to advance additional funds to us in such circumstances. Any such advances would be repaid only from funds held outside the trust account or from funds released to us upon completion of our initial business combination.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$10.10 per share on our redemption of our public shares, and our warrants will expire worthless. In certain circumstances, our public stockholders may receive less than $10.10 per share on the redemption of their shares. See “— If third parties bring claims against us, the proceeds held in the trust account could be reduced and the per-share redemption amount received by stockholders may be less than $10.10 per share” and other risk factors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b w:val="1"/>
          <w:bCs w:val="1"/>
          <w:i w:val="1"/>
          <w:i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security holders who choose to remain security holders following the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$10.10 per share.</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WithumSmith+Brown, PC, our independent registered public accounting firm, and the underwriters of the offering, will not execute agreements with us waiving such claims to the monies held in the trust account.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324"/>
        <w:spacing w:after="0" w:line="285"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$10.10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(other than our independent registered public accounting firm)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$10.10 per public share and (ii) the actual amount per public share held in the trust account as of the date of the liquidation of the trust account, if less than $10.10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3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$10.10 per share and (ii) the actual amount per share held in the trust account as of the date of the liquidation of the trust account if less than $10.10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$10.10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jc w:val="both"/>
        <w:ind w:firstLine="8"/>
        <w:spacing w:after="0" w:line="253" w:lineRule="auto"/>
        <w:tabs>
          <w:tab w:leader="none" w:pos="2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15 months (or up to 21 months, as applicable)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15th month (or up to the 21st month, as applicable) from the closing of this offering in the event we do not complete our initial business combination and, therefore, we do not intend to comply with the foregoing procedures.</w:t>
      </w:r>
    </w:p>
    <w:p>
      <w:pPr>
        <w:spacing w:after="0" w:line="18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15 months (or up to 21 months, as applicable)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381" w:lineRule="auto"/>
        <w:rPr>
          <w:sz w:val="20"/>
          <w:szCs w:val="20"/>
          <w:color w:val="auto"/>
        </w:rPr>
      </w:pPr>
      <w:r>
        <w:rPr>
          <w:rFonts w:ascii="Arial" w:cs="Arial" w:eastAsia="Arial" w:hAnsi="Arial"/>
          <w:sz w:val="15"/>
          <w:szCs w:val="15"/>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0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will seek to complete an initial business combination with an operating company in any industry or sector, though we intend to focus on the financial services, healthcare, real estate services, technology and software industries,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security holders who choose to remain security holders following our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seek business combination opportunities in industries or sectors which may or may not be outside of our management’s area of expertise.</w:t>
      </w:r>
    </w:p>
    <w:p>
      <w:pPr>
        <w:spacing w:after="0" w:line="24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security holders who choose to remain security holders following our initial business combination could suffer a reduction in the value of their securities. Such security holders are unlikely to have a remedy for such reduction in value.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$10.10 per share, or less in certain circumstances, on the liquidation of our trust account and our warrants will expire worthless. In certain circumstances, our public stockholders may receive less than $10.10 per share on the redemption of their shares. See “-— If third parties bring claims against us, the proceeds held in the trust account could be reduced and the per-share redemption amount received by stockholders may be less than $10.10 per share” and other risk factors below.</w:t>
      </w:r>
    </w:p>
    <w:p>
      <w:pPr>
        <w:spacing w:after="0" w:line="16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may seek business combination opportunities with an early stage company, a financially unstable business or an entity lacking an established record of revenue, cash flow or earnings, which could subject us to volatile revenues, cash flows or earnings or difficulty in retaining key personnel.</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firm that commonly renders valuation opinions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amended and restated certificate of incorporation will not provide a specified maximum redemption threshold, except that we may only redeem our public shares so long as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common stock submitted for redemption will be returned to the holders thereof, and we instead may search for an alternate business combination.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7"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a majority of our common stock, and amending our warrant agreement will require a vote of holders of at least a majority of the public warrants.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w:t>
      </w:r>
    </w:p>
    <w:p>
      <w:pPr>
        <w:spacing w:after="0" w:line="6" w:lineRule="exact"/>
        <w:rPr>
          <w:sz w:val="20"/>
          <w:szCs w:val="20"/>
          <w:color w:val="auto"/>
        </w:rPr>
      </w:pPr>
    </w:p>
    <w:p>
      <w:pPr>
        <w:jc w:val="both"/>
        <w:ind w:firstLine="8"/>
        <w:spacing w:after="0" w:line="273" w:lineRule="auto"/>
        <w:tabs>
          <w:tab w:leader="none" w:pos="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93" w:lineRule="auto"/>
        <w:rPr>
          <w:sz w:val="20"/>
          <w:szCs w:val="20"/>
          <w:color w:val="auto"/>
        </w:rPr>
      </w:pPr>
      <w:r>
        <w:rPr>
          <w:rFonts w:ascii="Arial" w:cs="Arial" w:eastAsia="Arial" w:hAnsi="Arial"/>
          <w:sz w:val="16"/>
          <w:szCs w:val="16"/>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majority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will provide that any of its provisions may be amended if approved by holders of majority of our common stock entitled to vote thereon, and corresponding provisions of the trust agreement governing the release of funds from our trust account may be amended if approved by holders of majority of our common stock entitled to vote thereon, subject to applicable provisions of the DGCL or applicable stock exchange rules. We may not issue additional securities that can vote with common stockholders on matters related to our pre-initial business combination activity, on any amendment to certain provisions of our amended and restated certificate of incorporation or on our initial business combination. Our initial stockholders, who will collectively beneficially own up to 20% of our common stock upon the closing of this offering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private warrants.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$10.10 per share, or less in certain circumstances,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$10.10 per share,” under certain circumstances our public stockholders may receive less than $10.10 per share upon the liquidation of the trust account.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stockholders will hold a substantial interest in us. As a result, they may exert a substantial influence on actions requiring a stockholder vote, potentially in a manner that you do not support.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Upon the closing of this offering, our initial stockholders will own shares representing 20% of our issued and outstanding shares of common stock (including the shares of common stock underlying the private warrants and assuming they do not purchase any units in this offering).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units in this offering or any additional shares of common stock in the aftermarket or in privately negotiated transactions, this would increase their influence over these actions. In addition, our board of directors, whose members were elected by our initial stockholders, is and will be divided into two classes, each of which will generally serve for a term of 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portion of the board of directors will be considered for election. Accordingly, our initial stockholders will exert significant influence over actions requiring a stockholder vote. Please see “Proposed Business — Stockholders May Not Have the Ability to Approve an Initial Business Combination.”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$10.10 per share, or less than such amount in certain circumstances, on the liquidation of our trust account and our warrants will expire worthless.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$10.10 per share, or less in certain circumstances, on the liquidation of our trust account and our warrants will expire worthless. In certain circumstances, our public stockholders may receive less than $10.10 per share on the redemption of their shares. See “— If third parties bring claims against us, the proceeds held in the trust account could be reduced and the per-share redemption amount received by stockholders may be less than $10.10 per share” and other risk factors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spacing w:after="0" w:line="286"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security holders who choose to remain security holders following the initial business combination could suffer a reduction in the value of their securities. Such securities are unlikely to have a remedy for such reduction in value.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Unlike other blank check companies, we may extend the time to complete a business combination by up to six months without a stockholder vote or your ability to redeem your shares</w:t>
      </w:r>
      <w:r>
        <w:rPr>
          <w:rFonts w:ascii="Arial" w:cs="Arial" w:eastAsia="Arial" w:hAnsi="Arial"/>
          <w:sz w:val="18"/>
          <w:szCs w:val="18"/>
          <w:color w:val="auto"/>
        </w:rPr>
        <w:t>.</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will have until 15 months from the closing of this offering to consummate an initial business combination. However, unlike other similarly structured blank check companies,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w:t>
      </w:r>
      <w:r>
        <w:rPr>
          <w:rFonts w:ascii="Arial" w:cs="Arial" w:eastAsia="Arial" w:hAnsi="Arial"/>
          <w:sz w:val="17"/>
          <w:szCs w:val="17"/>
          <w:i w:val="1"/>
          <w:iCs w:val="1"/>
          <w:color w:val="auto"/>
        </w:rPr>
        <w:t>provided that</w:t>
      </w:r>
      <w:r>
        <w:rPr>
          <w:rFonts w:ascii="Arial" w:cs="Arial" w:eastAsia="Arial" w:hAnsi="Arial"/>
          <w:sz w:val="17"/>
          <w:szCs w:val="17"/>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 redeem their shares in connection with any such extension.</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increases,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recent years, the number of special purpose acquisition companies that have been formed has increased substantially. Many companies have entered into business combinations with special purpose acquisition companies, and there are still many special purpose acquisition companies seeking targets for their initial business combination, as well as many additional special purpose acquisition companies currently in registration. As a result, at times, fewer attractive targets may be available, and it may require more time, effort and resources to identify a suitable target for an initial business combination.</w:t>
      </w:r>
    </w:p>
    <w:p>
      <w:pPr>
        <w:spacing w:after="0" w:line="15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 suitable target for and/or complete our initial business combination.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recent months, the market for directors and officers liability insurance for special purpose acquisition companies has changed. Fewer insurance companies are offering quotes for directors and officers liability coverage, the premiums charged for such policies have generally increased and the terms of such policies have generally become less favorable. There can be no assurance that these trends will not continue.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324"/>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324"/>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warrants, which will cause us to be solely dependent on a single business which may have a limited number of services and limited operating activities. This lack of diversification may negatively impact our operating results and profitability.</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net proceeds from this offering and the sale of the private warrants, $101,000,000 (or $116,150,000 if the underwriters’ over-allotment option is exercised in full) will be available to complete our initial business combination and pay related fees and expenses.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our initial business combination, we may issue shares to investors in private placement transactions (so-called PIPE transactions) at a price of $10.10 per share or which approximates the per-share amounts in our trust account at such time, which is generally approximately $10.10.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left="980" w:hanging="648"/>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Chardan, our Sponsor and Management Team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We do not have an employment agreement with, or key-man insurance on the life of, any of our directors or officers. The unexpected loss of the services of one or more of our directors or officers could have a detrimental effect on us.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u w:val="single" w:color="auto"/>
          <w:color w:val="auto"/>
        </w:rPr>
        <w:t>On July 23, 2020, our sponsor purchased 1,000,000 shares of common stock for an aggregate purchase price of $25,000. On March 4, 2021, we effected a 2.875-for-1 stock split, resulting in 2,875,000 shares of common stock being held by our sponsor. Such founder shares include an aggregate of up to 375,000 shares that are subject to forfeiture to the extent that the underwriters’ over-allotment option is not exercised in full or in part. The number of founder shares issued was determined based on the expectation that such founder shares would represent 20% of the outstanding shares after this offering. The founder shares will be worthless if we do not complete an initial business combination. In addition Chardan NexTech 2 Warrant Holdings LLC, an affiliate of our sponsor, has committed to purchase 5,238,461 (or up to 5,469,230 depending on the extent to which the underwriters’ over-allotment option is exercised) warrants at a price of $0.65 per warrant ($3,405,000 (or up to $3,555,000 depending on the extent to which the underwriters’ over-allotment option is exercised)) that will also be worthless if we do not consummate our initial business combination. Holders of founder shares and private warrants have agreed (A) to vote any shares owned by them in favor of any proposed initial business combination and (B) not to redeem any founder shares in connection with a stockholder vote to approve a proposed initial business combination. In addition, any loans from our sponsor will not be repaid if our business combination is not consummated.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18"/>
          <w:szCs w:val="18"/>
          <w:b w:val="1"/>
          <w:bCs w:val="1"/>
          <w:i w:val="1"/>
          <w:iCs w:val="1"/>
          <w:color w:val="auto"/>
        </w:rPr>
        <w:t>Since our officers and directors will not be eligible to be reimbursed for their out-of-pocket expenses, and our sponsor will not be eligible to be repaid for loans our sponsor has provided to us, if our business combination is not completed, a conflict of interest may arise in determining whether a particular business combination target is appropriate for our initial business combination.</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officers and directors, or any of their respective affiliates, will be reimbursed for any out-of-pocket expenses incurred in connection with activities on our behalf such as identifying potential target businesses and performing due diligence on suitable business combinations. Reimbursement for such expenses will be paid by us out of loans by our sponsor and interest earned on the trust account. There is no cap or ceiling on the reimbursement of out-of-pocket expenses incurred in connection with activities on our behalf. In addition, at the closing of our initial business combination, our sponsor will be repaid an aggregate of up to $250,000 in loans, which our sponsor has committed to cover working capital costs and to finance transaction costs in connection with an intended initial business combination following this offering, in addition to any additional loans our sponsor chooses to make. These financial interests of our sponsor, officers and directors may influence their motivation in identifying and selecting a target business combination and completing an initial business combination.</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our officers and non-independent directors are employed by Chardan and/or certain of its affiliates and our other directors are employees of other companies. Our directors and officers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 — Directors and Officers.”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All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or other transaction should be presented.</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officers and directors are, and may in the future become, affiliated with entities (such as operating companies or investment vehicles) that are engaged in a similar business, including an Affiliated SPAC. In order to minimize potential conflicts of interest which may arise from multiple affiliations, our officers who are also officers of any Affiliated SPAC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have employment contracts with our officers and directors that will limit their ability to work at other businesses. In addition, our officers and directors may become an officer or director of any other special purpose acquisition company with a class of securities registered under the Exchange Act even if we have not yet entered into a definitive agreement regarding our initial business combination. As a result, our officers or directors could have conflicts of interest in determining whether to present business combination opportunities to us or to any other blank check company with which they may become involved.</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Our officers and directors also may become aware of business opportunities which may be appropriate for presentation to us and the other entities to which they owe certain fiduciary, contractual or other duties.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324"/>
        <w:spacing w:after="0" w:line="284" w:lineRule="auto"/>
        <w:rPr>
          <w:sz w:val="20"/>
          <w:szCs w:val="20"/>
          <w:color w:val="auto"/>
        </w:rPr>
      </w:pPr>
      <w:r>
        <w:rPr>
          <w:rFonts w:ascii="Arial" w:cs="Arial" w:eastAsia="Arial" w:hAnsi="Arial"/>
          <w:sz w:val="16"/>
          <w:szCs w:val="16"/>
          <w:color w:val="auto"/>
        </w:rPr>
        <w:t>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w:t>
      </w:r>
    </w:p>
    <w:p>
      <w:pPr>
        <w:spacing w:after="0" w:line="4" w:lineRule="exact"/>
        <w:rPr>
          <w:sz w:val="20"/>
          <w:szCs w:val="20"/>
          <w:color w:val="auto"/>
        </w:rPr>
      </w:pPr>
    </w:p>
    <w:p>
      <w:pPr>
        <w:ind w:firstLine="8"/>
        <w:spacing w:after="0" w:line="260" w:lineRule="auto"/>
        <w:tabs>
          <w:tab w:leader="none" w:pos="2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or we may acquire a target business through an Affiliated Joint Acquisition with one or more affiliates of Chardan.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particular, Chardan, its respective affiliates, our directors and our officers have invested, and may in the future invest, in a broad array of sectors, including those in which our company may invest, and are also focused on acquisitions and investments in industries in which we may search for a target business. As a result, there may be substantial overlap between companies that would be a suitable business combination for us and companies that would make an attractive target for such other affiliates.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light of the involvement of our sponsor, officers and directors with other businesses, we may decide to acquire one or more businesses affiliated or competitive with our sponsor, officers or directors or their respective affiliates. Our officers and directors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Effecting a Business Combination — Selection of a Target Business and Structuring of a Business Combination” and such transaction was approved by a majority of our independent and disinterested directors. Despite our agreement to obtain an opinion from an independent investment banking firm or another independent firm that commonly renders valuation opinions regarding the fairness to our stockholders from a financial point of view of an initial business combination with one or more domestic or international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 In order to satisfy applicable regulatory or other legal requirements applicable to an Affiliated Joint Acquisition, our initial business combination may be effected on less favorable terms than otherwise would apply if the initial business combination were not an Affiliated Joint Acquisition.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a target business through an Affiliated Joint Acquisition with one or more affiliates of Chardan. This may result in conflicts of interest as well as dilutive issuances of our securities.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Accordingly, such persons or entities may have a conflict between their interests and ours.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compete with other affiliates of Chardan for acquisition opportunities for our company, which could negatively impact our ability to locate a suitable business combination.</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business strategy may overlap with some of the strategies of Chardan and certain of its other affiliates. 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In addition, Chardan and its affiliates specialize in financial services and real estate services and finance for institutional customers operating in the global financial and commercial real estate markets. Acquisition opportunities that may be of interest to us may come to those other affiliates instead of us or may be pursued by those affiliates. Our affiliates are not restricted from competing with our business and none of our affiliates are required to refer any such opportunities to us. Our sponsor and its affiliates face conflicts of interest relating to performing services on our behalf and allocating investment opportunities to us, and such conflicts may not be resolved in our favor, meaning we could find less suitable acquisition opportunities which could limit our ability to find a business combination that we find attractive.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980" w:hanging="648"/>
        <w:spacing w:after="0"/>
        <w:tabs>
          <w:tab w:leader="none" w:pos="9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proceeds held in the trust account could bear a negative rate of interest, which could reduce the interest income available for payment of taxes or reduce the value of the assets held in trust such that the per-share redemption amount received by stockholders may be less than $10.10 per share.</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net proceeds of this offering and certain proceeds from the sale of the private placement warrants, in the amount of $101,000,000 (or $116,150,000 if the over-allotment option is exercised in full), will be held in an interest-bearing trust account. The proceeds held in the trust account may only be invested only in U.S. government treasury bills with a maturity of 185 days or less or in money market funds meeting certain conditions under Rule 2a-7 under the Investment Company Act which invest only in direct U.S. government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use to pay our taxes, if any) would be reduced. In the event that we are unable to complete our initial business combination, our public stockholders are entitled to receive their pro-rata share of the proceeds then held in the trust account, plus any interest income (less up to $100,000 of interest to pay dissolution expenses). If the balance of the trust account is reduced below $101,000,000 (or $116,150,000 if the over-allotment option is exercised in full) as a result of negative interest rates, the amount of funds in the trust account available for distribution to our public stockholders may be reduced below $10.10 per share.</w:t>
      </w:r>
    </w:p>
    <w:p>
      <w:pPr>
        <w:spacing w:after="0" w:line="17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right="1000" w:hanging="4"/>
        <w:spacing w:after="0" w:line="500" w:lineRule="auto"/>
        <w:tabs>
          <w:tab w:leader="none" w:pos="9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not currently subject to.</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firstLine="324"/>
        <w:spacing w:after="0" w:line="291" w:lineRule="auto"/>
        <w:rPr>
          <w:sz w:val="20"/>
          <w:szCs w:val="20"/>
          <w:color w:val="auto"/>
        </w:rPr>
      </w:pPr>
      <w:r>
        <w:rPr>
          <w:rFonts w:ascii="Arial" w:cs="Arial" w:eastAsia="Arial" w:hAnsi="Arial"/>
          <w:sz w:val="16"/>
          <w:szCs w:val="16"/>
          <w:color w:val="auto"/>
        </w:rPr>
        <w:t>The trust account is intended as a holding place for funds pending the earliest to occur of: (i) the completion of our initial business combination; (ii) the redemption of any public shares properly submitted in connection with a stockholder vote to amend our amended and restated certificate of incorporation</w:t>
      </w:r>
    </w:p>
    <w:p>
      <w:pPr>
        <w:jc w:val="both"/>
        <w:ind w:firstLine="8"/>
        <w:spacing w:after="0" w:line="286" w:lineRule="auto"/>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 (B) with respect to any other provision relating to stockholders’ rights or pre-initial business combination activity; or (iii) absent an initial business combination within 15 months (or up to 21 months, as applicable)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$10.10 per share, or less in certain circumstances, on the liquidation of our trust account and our warrants will expire worthless.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common stock, you will lose the ability to redeem all such shares in excess of 15% of our common stock.</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applied to have our units listed on Nasdaq. We expect that our units will be listed on Nasdaq on or promptly after the date of this prospectus. Following the date the shares of our common stock and warrants are eligible to trade separately, we anticipate that the shares of our common stock and warrants will be separately listed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8" w:name="page59"/>
    <w:bookmarkEnd w:id="58"/>
    <w:p>
      <w:pPr>
        <w:jc w:val="both"/>
        <w:ind w:firstLine="324"/>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18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common stock and warrants will be listed on Nasdaq, our units,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sponsor paid an aggregate of $25,000, or approximately $0.01 per founder share, and, accordingly, you will experience immediate and substantial dilution from the purchase of the founder shares.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common stock and none to the warrant included in the unit) and the pro forma net tangible book value per share of our common stock after this offering constitutes the dilution to you and the other investors in this offering. Our initial stockholders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84.5% (or $8.45 per share, assuming no exercise of the underwriters’ over-allotment option), the difference between the pro forma net tangible book value per share of $1.55 and the initial offering price of $10.00 per unit. In addition, because of the anti-dilution rights of the founder shares, any equity or equity-linked securities issued or deemed issued in connection with our initial business combination would be disproportionately dilutive to our common stock.</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issue additional common stock or preferred stock to complete our initial business combination or under an employee incentive plan after completion of our initial business combination. Any such issuances would dilute the interest of our stockholders and likely present other risks.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amended and restated certificate of incorporation will authorize the issuance of up to 50,000,000 shares of common stock, par value $0.0001 per share, and 1,000,000 shares of preferred stock, par value $0.0001 per share. Immediately after this offering, there will be 27,261,539 (assuming, in each case, that the underwriters have not exercised their over-allotment option) authorized but unissued shares of common stock, which amount takes into account the shares of common stock reserved for issuance upon exercise of outstanding warrants. Immediately after the consummation of this offering, there will be no shares of preferred stock issued and outstanding.</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issue a substantial number of additional shares of common or preferred stock to complete our initial business combination (including pursuant to a specified future issuance) or under an employee incentive plan after completion of our initial business combination (although our amended and restated certificate of incorporation will provide that we may not issue securities that can vote with common stockholders on matters related to our pre-initial business combination activity, on any amendment to certain provisions of our amended and restated certificate of incorporation or on our initial business combination). However, our amended and restated certificate of incorporation will provide, among other things, that prior to our initial business combination, we may not issue additional shares of capital stock that would entitle the holders thereof to (i) receive funds from the trust account or (ii) vote on any initial business combination.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324"/>
        <w:spacing w:after="0" w:line="290" w:lineRule="auto"/>
        <w:rPr>
          <w:sz w:val="20"/>
          <w:szCs w:val="20"/>
          <w:color w:val="auto"/>
        </w:rPr>
      </w:pPr>
      <w:r>
        <w:rPr>
          <w:rFonts w:ascii="Arial" w:cs="Arial" w:eastAsia="Arial" w:hAnsi="Arial"/>
          <w:sz w:val="16"/>
          <w:szCs w:val="16"/>
          <w:u w:val="single" w:color="auto"/>
          <w:color w:val="auto"/>
        </w:rPr>
        <w:t>These provisions of our amended and restated certificate of incorporation, like all provisions of our amended and restated certificate of incorporation, may be amended with the approval of our stockholders. However, our officers, directors and director nominees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registering the offer and sale of the shares of common stock underlying the public warrants under the Securities Act, however we cannot assure you that such registration will be in place when an investor desires to exercise warrants, thus precluding such investor from being able to exercise its warrants except on a cashless basis and potentially causing such warrants to expire worthless.</w:t>
      </w:r>
    </w:p>
    <w:p>
      <w:pPr>
        <w:spacing w:after="0" w:line="16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Under the terms of the warrant agreement, we have agreed that as soon as practicable, but in no event later than 15 business days after the closing of our initial business combination, we will use our commercially reasonable best efforts to file with the SEC a registration statement for the registration under the Securities Act of the offer and sale of the shares of common stock issuable upon exercise of the warrants and thereafter will use our commercially reasonable best efforts to cause the same to become effective within 60 business days following our initial business combination and to maintain a current prospectus relating to the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However, there may be instances in which holders of our public warrants may be unable to exercise such public warrants but holders of our private warrants may be able to exercise such private warrants.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b w:val="1"/>
          <w:bCs w:val="1"/>
          <w:i w:val="1"/>
          <w:iCs w:val="1"/>
          <w:color w:val="auto"/>
        </w:rPr>
        <w:t>If you exercise your public warrants on a “cashless basis,” you will receive fewer shares of common stock from such exercise than if you were to exercise such warrants for cash.</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There are circumstances in which the exercise of the public warrants may be required or permitted to be made on a cashless basis. First,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exercise warrants on a cashless basis in accordance with Section 3(a)(9) of the Securities Act or another exemption. Second, if our common stock is at any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defined in the next sentence)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Since our sponsor paid only approximately $0.01 per share for the founder shares, certain of our officers and directors could potentially make a substantial profit even if we acquire a target business that subsequently declines in value.</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July 2020, we issued 1,000,000 founder shares to our sponsor in exchange for a capital contribution of $25,000. In March 2021, we effected a 2.875-for-1 stock split, resulting in 2,875,000 shares of common stock being held by our sponsor, resulting in a purchase price of approximately $0.01 per share. Certain of our officers and directors have a significant economic interest in our sponsor. As a result, the low acquisition cost of the founder shares creates an economic incentive whereby our officers and directors could potentially make a substantial profit even if we complete a business combination with a target business that subsequently declines in value and is unprofitable for public investors.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nominal purchase price paid by our sponsor for the founder shares may result in significant dilution to the implied value of your public shares upon the consummation of our initial business combination.</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offering our units at an offering price of $10.00 per unit, implying an initial value of $10.00 per public share. However, prior to this offering, our sponsor paid a nominal aggregate purchase price of $25,000 for the founder shares, or approximately $0.003 per share. As a result, the value of your public shares may be significantly diluted upon the consummation of our initial business combination, when the founder shares are converted into public shares. For example, the following table shows the dilutive effect of the founder shares on the implied value of the public shares upon the consummation of our initial business combination, assuming that our equity value at that time is $97,500,000, which is the amount we would have for our initial business combination in the trust account after payment of $3,500,000 pursuant to the business combination marketing agreement, assuming the underwriters’ over-allotment option is not exercised, no interest is earned on the funds held in the trust account, and no public shares are redeemed in connection with our initial business combination, and without taking into account any other potential impacts on our valuation at such time, such as the trading price of our public shares, the business combination transaction costs, any equity issued or cash paid to the target’s sellers or other third parties, or the target’s business itself, including its assets, liabilities, management and prospects, as well as the value of our public and private warrants. At such valuation, each of our shares of common stock would have an implied value of $7.80 per share upon consummation of our initial business combination, which would be a 22.0% decrease as compared to the initial implied value per public share of $10.00 (the price per unit in this offering, assuming no value to the public warrants).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Public shares</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r>
      <w:tr>
        <w:trPr>
          <w:trHeight w:val="270"/>
        </w:trPr>
        <w:tc>
          <w:tcPr>
            <w:tcW w:w="8940" w:type="dxa"/>
            <w:vAlign w:val="bottom"/>
          </w:tcPr>
          <w:p>
            <w:pPr>
              <w:spacing w:after="0" w:line="270" w:lineRule="exact"/>
              <w:rPr>
                <w:sz w:val="20"/>
                <w:szCs w:val="20"/>
                <w:color w:val="auto"/>
              </w:rPr>
            </w:pPr>
            <w:r>
              <w:rPr>
                <w:rFonts w:ascii="Arial" w:cs="Arial" w:eastAsia="Arial" w:hAnsi="Arial"/>
                <w:sz w:val="18"/>
                <w:szCs w:val="18"/>
                <w:color w:val="auto"/>
              </w:rPr>
              <w:t>Founder shares</w:t>
            </w:r>
            <w:r>
              <w:rPr>
                <w:rFonts w:ascii="Arial" w:cs="Arial" w:eastAsia="Arial" w:hAnsi="Arial"/>
                <w:sz w:val="29"/>
                <w:szCs w:val="29"/>
                <w:color w:val="auto"/>
                <w:vertAlign w:val="superscript"/>
              </w:rPr>
              <w:t>(1)</w:t>
            </w: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r>
      <w:tr>
        <w:trPr>
          <w:trHeight w:val="196"/>
        </w:trPr>
        <w:tc>
          <w:tcPr>
            <w:tcW w:w="89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Total shares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12,500,000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funds in trust available for initial business combination (less business combination marketing agreement)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97,500,000</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Initial implied value per public share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Implied value per share upon consummation of initial business combination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r>
    </w:tbl>
    <w:p>
      <w:pPr>
        <w:spacing w:after="0" w:line="202"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Assumes the full forfeiture of 375,000 founder shares that are subject to forfeiture by our sponsor depending on the extent to which the underwriters’ over-allotment option is exercised.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value of the founder shares following completion of our initial business combination is likely to be substantially higher than the nominal price paid for them, even if the trading price of our common stock at such time is substantially less than $10.00 per share.</w:t>
      </w:r>
    </w:p>
    <w:p>
      <w:pPr>
        <w:spacing w:after="0" w:line="1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Upon the closing of this offering, assuming no exercise of the underwriters’ over-allotment option, our sponsor and its affiliates will have invested in us an aggregate of $3,430,000, comprised of the $25,000 purchase price for the founder shares and the $3,405,000 purchase price for the private placement warrants. Assuming a trading price of $10.00 per share upon consummation of our initial business combination, the 2,500,000 founder shares (assuming the underwriters’ option to purchase additional units is not exercised) would have an aggregate implied value of $25,000,000. Even if the trading price of our common stock was as low as $1.38 per share, and the private placement warrants were worthless, the value of the founder shares would be equal to the sponsor’s initial investment in us. As a result, our sponsor is likely to be able to recoup its investment in us and make a substantial profit on that investment, even if our public shares have lost significant value. Accordingly, our management team, which owns interests in our sponsor, may have an economic incentive that differs from that of the public stockholders to pursue and consummate an initial business combination rather than to liquidate and to return all of the cash in the trust to the public stockholders, even if that business combination were with a riskier or less-established target business. For the foregoing reasons, you should consider our management team’s financial incentive to complete an initial business combination when evaluating whether to redeem your shares prior to or in connection with the initial business combination.</w:t>
      </w:r>
    </w:p>
    <w:p>
      <w:pPr>
        <w:sectPr>
          <w:pgSz w:w="11900" w:h="16838" w:orient="portrait"/>
          <w:cols w:equalWidth="0" w:num="1">
            <w:col w:w="11240"/>
          </w:cols>
          <w:pgMar w:left="320" w:top="908" w:right="339" w:bottom="157" w:gutter="0" w:footer="0" w:header="0"/>
        </w:sectPr>
      </w:pPr>
    </w:p>
    <w:bookmarkStart w:id="61" w:name="page62"/>
    <w:bookmarkEnd w:id="61"/>
    <w:p>
      <w:pPr>
        <w:jc w:val="both"/>
        <w:spacing w:after="0" w:line="263" w:lineRule="auto"/>
        <w:rPr>
          <w:sz w:val="20"/>
          <w:szCs w:val="20"/>
          <w:color w:val="auto"/>
        </w:rPr>
      </w:pPr>
      <w:r>
        <w:rPr>
          <w:rFonts w:ascii="Arial" w:cs="Arial" w:eastAsia="Arial" w:hAnsi="Arial"/>
          <w:sz w:val="18"/>
          <w:szCs w:val="18"/>
          <w:b w:val="1"/>
          <w:bCs w:val="1"/>
          <w:i w:val="1"/>
          <w:iCs w:val="1"/>
          <w:color w:val="auto"/>
        </w:rPr>
        <w:t>Our private placement warrants are expected to be accounted for as a warrant liability and will be recorded at fair value upon issuance with any changes in fair value each period reported in earnings, which may have an adverse effect on the market price of our securities or may make it more difficult for us to consummate an initial business combination.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consummation of this offering and the concurrent private placement of warrants, we will have 5,238,461 private placement warrants outstanding, assuming the underwriters’ option to purchase additional units is not exercised. We currently expect to account for these private placement warrants as a warrant liability, which means that we will record them at fair value upon issuance with any changes in fair value each period reported in earnings. The impact of changes in fair value on earnings may have an adverse effect on the market price of our securities. In addition, potential targets may seek a business combination partner that does not have warrants that are accounted for as a warrant liability, which may make it more difficult for us to consummate an initial business combination with a target business.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 majority of the then outstanding public warrants. As a result, the exercise price of your warrants could be increased, the warrants could be redeemed for cash or stock (at a ratio different than initially provided), the exercise period could be shortened and the number of shares of our common stock purchasable upon exercise of a warrant could be decreased, all without your approval.</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 Accordingly, we may amend the terms of the public warrants in a manner adverse to a holder if holders of a majority of the then outstanding public warrants approve of such amendment. Although our ability to amend the terms of the public warrants with the consent of a majority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both"/>
        <w:ind w:firstLine="324"/>
        <w:spacing w:after="0" w:line="254" w:lineRule="auto"/>
        <w:rPr>
          <w:sz w:val="20"/>
          <w:szCs w:val="20"/>
          <w:color w:val="auto"/>
        </w:rPr>
      </w:pPr>
      <w:r>
        <w:rPr>
          <w:rFonts w:ascii="Arial" w:cs="Arial" w:eastAsia="Arial" w:hAnsi="Arial"/>
          <w:sz w:val="18"/>
          <w:szCs w:val="18"/>
          <w:color w:val="auto"/>
        </w:rPr>
        <w:t>Our initial stockholders may purchase public warrants with the intention of reducing the number of public warrants outstanding or to vote such warrants on any matters submitted to warrant 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warrant agreement will designate the courts of the State of New York located in the in the Borough of Manhattan or the United States District Court for the Southern District of New York as the exclusive forums for certain types of actions and proceedings that may be initiated by holders of our warrants, which could limit the ability of warrant holders to obtain a favorable judicial forum for disputes with our company.</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located in the Borough of Manhattan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in the name of any holder of our warrants, such holder shall be deemed to have consented to: (x) the personal jurisdiction of the state and federal courts located in the State of New York in connection with any action brought in any such court to enforce the forum provisions, or an enforcement action, and (y) having service of process made upon such warrant holder in any such enforcement action by service upon such warrantholder’s counsel in such action as agent for such warrantholder.</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choice-of-forum provision in our warrant agreement may (1) result in increased costs for investors to bring a claim or (2) limit a warrantholder’s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We note that there is uncertainty as to whether a court would enforce this provision and that investors cannot waive compliance with the federal securities laws and the rules and regulations thereunder.</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Section 22 of the Securities Act creates concurrent jurisdiction for state and federal courts over all suits brought to enforce any duty or liability created by the Securities Act or the rules and regulations thereunder. Section 27 of the Exchange Act creates exclusive federal jurisdiction over all suits brought to enforce any duty or liability created by the Exchange Act or the rules and regulations thereunder.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34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26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common stock equals or exceeds $16.00 per share (as adjusted for stock splits, stock dividends, reorganizations, recapitalizations and the like) for any 10 trading days within a 30 trading-day period commencing once the warrants become exercisable and ending on the third trading day prior to the date on which we give proper notice of such redemption and provided certain other conditions are met.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will be redeemable by us so long as they are held by our sponsor or its permitted transferees.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common stock and make it more difficult to effectuate our initial business combination.</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will be issuing warrants to purchase 5,000,000 shares of our common stock (or up to 5,750,000 shares of common stock if the underwriters’ over-allotment option is exercised in full) as part of the units offered by this prospectus and, simultaneously with the closing of this offering, we will be issuing, in a private placement, an aggregate of 5,238,461 (or up to 5,469,230 depending on the extent to which the underwriters’ over-allotment option is exercised) warrants at a price of $0.65 per warrant ($3,405,000 (or up to $3,555,000 depending on the extent to which the underwriters’ over-allotment option is exercised)), with each warrant exercisable for one share of common stock at an exercise price of $11.50. Our initial stockholders currently own an aggregate of 2,875,000 founder shares. Such founder shares include an aggregate of up to 375,000 shares that are subject to forfeiture to the extent that the underwriters’ over-allotment option is not exercised in full or in part.</w:t>
      </w:r>
    </w:p>
    <w:p>
      <w:pPr>
        <w:spacing w:after="0" w:line="17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the extent we issue shares of common stock to effectuate an initial business combination, the potential for the issuance of a substantial number of additional shares of common stock upon exercise of these warrants and redemption rights could make us a less attractive business combination vehicle to a target business. Any such issuance will increase the number of issued and outstanding shares of our common stock and reduce the value of the shares of common stock issued to complete the initial business combination. Therefore, our warrants and founder shares may make it more difficult to effectuate an initial business combination or increase the cost of acquiring the target business.</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warrants and warrants underlying the units issuable pursuant to the forward purchase contract are identical to the warrants sold as part of the units in this offering except that, so long as they are held by our sponsor or its permitted transferees, (i) they will not be redeemable by us, (ii) they (including the common stock issuable upon exercise of these warrants) may not, subject to certain limited exceptions, be transferred, assigned or sold by our sponsor until 30 days after the completion of our initial business combination, (iii) they may be exercised by the holders on a cashless basis, (iv) will be entitled to registration rights and (v) for so long as they are held by our sponsor, will not be exercisable more than five years from the effective date of the registration statement of which this prospectus forms a part in accordance with FINRA Rule 5110(g).</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each unit contains one-half of one redeemable warrant and only a whole warrant may be exercised, the units may be worth less than units of other blank check companies.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Each unit contains one-half of one redeemable warrant.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one-half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jc w:val="both"/>
        <w:ind w:left="660" w:hanging="328"/>
        <w:spacing w:after="0" w:line="29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reorganizations, recapitalizations and the like),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Market Value is below $9.20 per share (as adjusted for stock splits, stock dividends, reorganizations, recapitalizations and the like),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the exercise price of each warrant will be adjusted such that the effective exercise price per full share will be equal to 115% of the higher of the Market Value and the Newly Issued Price, and the $16.00 per share redemption trigger price will be adjusted (to the nearest cent) to be equal to 160% of the higher of the Market Value and the Newly Issued Price. This may make it more difficult for us to consummate an initial business combination with a target business.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common stock.</w:t>
      </w:r>
    </w:p>
    <w:p>
      <w:pPr>
        <w:spacing w:after="0" w:line="1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an agreement to be entered into concurrently with the issuance and sale of the securities in this offering, our initial stockholders and their permitted transferees can demand that we register the private warrants and the founder shares held, or to be held, by them, and may demand that we register such warrants or the common stock issuable upon exercise of such warrants. We will bear the cost of registering these securities. The registration and availability of such a significant number of securities for trading in the public market may have an adverse effect on the market price of our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common stock that is expected when the securities owned by our initial stockholders or their respective permitted transferees are registered.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18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right="20" w:firstLine="324"/>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common stock and could entrench management.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 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share of common stock and the one-half of one warrant to purchase common stock included in each unit could be challenged by the IRS or the courts. Furthermore, the U.S. federal income tax consequences of a cashless exercise of warrants included in the units we are issuing in this offering is unclear under current law. It is also unclear whether the redemption rights with respect to our shares of common stock suspend the running of a U.S. holder’s holding period for purposes of determining whether any gain or loss realized by such holder on the sale or exchange of common stock is long-term capital gain or loss and for determining whether any dividend we pay would be considered “qualified dividends” for federal income tax purposes. See the section titled “U.S. Federal Income Tax Considerations” for a summary of certain material U.S. federal income tax consequences of an investment in our securities. Prospective investors are urged to consult their tax advisors with respect to these and other tax consequences when purchasing, holding or disposing of our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have the effect of discouraging lawsuits against our directors and officers.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amended and restated and restated certificate of incorporation will require, subject to certain exceptions, unless we consent in writing to the selection of an alternative forum, the sole and exclusive forum for (a) any derivative action or proceeding brought on our behalf, (b) any action asserting a claim of breach of a fiduciary duty owed by any current or former director, officer, employee, agent to us or our stockholders, (c) any action asserting a claim arising pursuant to any provision of the DGCL, the amended and restated certificate of incorporation or bylaws, or (d) any action asserting a claim governed by the internal affairs doctrine shall be the Court of Chancery of the State of Delaware (or, if the Court of Chancery of the State of Delaware lacks jurisdiction over such action or proceeding, then another court of the State of Delaware or, if no court of the State of Delaware has jurisdiction, then the United States District Court for the District of Delaware).</w:t>
      </w:r>
    </w:p>
    <w:p>
      <w:pPr>
        <w:spacing w:after="0" w:line="17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Although we believe this forum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 Further, if any action, the subject matter of which is within the scope the forum provisions of our amended and restated certificate of incorporation, is filed in a court other than a court of the State of Delaware, such action we refer to as a foreign action, in the name of any stockholder, such stockholder shall be deemed to have consented to (i) the personal jurisdiction of the state and federal courts located within the State of Delaware in connection with any action brought in such court to enforce the forum provisions, such action we refer to as an enforcement action, and (ii) having service of process made upon such stockholder in any such enforcement action by service upon such stockholder’s counsel in the foreign action as agent for such stockholder. In addition, our amended and restated certificate of incorporation, will state that unless we consent in writing to the selection of an alternative forum, the federal district courts of the United States of America shall be the exclusive forum for the resolution of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However, our amended and restated certificate of incorporation does not purport to require suits brought to enforce a duty or liability created by the Exchange Act to be brought in the Court of Chancery of the State of Delaware or another court of the State of Delaware. Section 27 of the Exchange Act creates exclusive federal jurisdiction over all claims brought to enforce any duty or liability created by the Exchange Act or the rules and regulations thereunder.</w:t>
      </w:r>
    </w:p>
    <w:p>
      <w:pPr>
        <w:spacing w:after="0" w:line="18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company with no operating history and no revenues, and you have no basis on which to evaluate our ability to achieve our business objective.</w:t>
      </w:r>
    </w:p>
    <w:p>
      <w:pPr>
        <w:spacing w:after="0" w:line="2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Past performance by Chardan, its affiliates and members of our management team may not be indicative of future performance of an investment in the Company.</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Information regarding performance by, or businesses associated with, Chardan, its affiliates and members of our management team is presented for informational purposes only. Any past experience and performance, including related to acquisitions, of Chardan, its affiliates and members of our management team is not a guarantee either (i) that we will be able to locate a suitable candidate for our initial business combination or (ii) of success with respect to any business combination we may consummate. You should not rely on the historical record or performance of Chardan, its affiliates and members of our management team as indicative of the future performance of us or an investment in the Company or the returns the Company will, or is likely to, generate going forward. An investment in us is not an investment in Chardan or any of its affiliates.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23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the software and technology industries to which we may be subject.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Business combinations with companies with operations in the software and technology industries entail special considerations and risks. If we are successful in completing a business combination with a target business with operations in the software and technology industries, we will be subject to, and possibly adversely affected by, the following risks, including but not limited to:</w:t>
      </w:r>
    </w:p>
    <w:p>
      <w:pPr>
        <w:spacing w:after="0" w:line="18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do not develop successful new products or improve existing ones, our business will suffer;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invest in new lines of business that could fail to attract or retain users or generate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face significant competition and if we are not able to maintain or improve our market share, our business could suffer;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 or failure of our networks, systems, platform or technology that frustrate or thwart our users’ ability to access our products and services, may cause our users, advertisers, and partners to cut back on or stop using our products and services altogether, which could seriously harm our business;</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mobile malware, viruses, hacking and phishing attacks, spamming, and improper or illegal use of our products could seriously harm our business and reputation;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are unable to successfully grow our user base and further monetize our products, our business will suffer;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 and other intangible assets may be diminished, and our business may be seriously harmed;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proceedings in the future, which could cause us to incur substantial costs or require us to change our business practices in a way that could seriously harm our business;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components used in our products may fail as a result of a manufacturing, design, or other defect over which we have no control, and render our devices inoperable.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324"/>
        <w:spacing w:after="0" w:line="259" w:lineRule="auto"/>
        <w:rPr>
          <w:sz w:val="20"/>
          <w:szCs w:val="20"/>
          <w:color w:val="auto"/>
        </w:rPr>
      </w:pPr>
      <w:r>
        <w:rPr>
          <w:rFonts w:ascii="Arial" w:cs="Arial" w:eastAsia="Arial" w:hAnsi="Arial"/>
          <w:sz w:val="18"/>
          <w:szCs w:val="18"/>
          <w:color w:val="auto"/>
        </w:rPr>
        <w:t>Any of the foregoing could have an adverse impact on our operations following a business combination. However, our efforts in identifying prospective target businesses will not be limited to the software and technology industries. Accordingly, if we acquire a target business in another industry, these risks will likely not affect us and we will be subject to other risks attendant with the specific industry in which we operate or target business which we acquire, none of which can be presently ascertained.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prior year’s second quarter, in which case we would no longer be an emerging growth company as of the following fiscal year end.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the end of that year’s second fiscal quarter, or (2) our annual revenues exceeded $100 million during such completed fiscal year and the market value of our common stock held by non-affiliates exceeds $700 million as of the that year’s second fiscal quarter. To the extent we take advantage of such reduced disclosure obligations, it may also make comparison of our financial statements with other public companies difficult or impossible.</w:t>
      </w:r>
    </w:p>
    <w:p>
      <w:pPr>
        <w:spacing w:after="0" w:line="160" w:lineRule="exact"/>
        <w:rPr>
          <w:sz w:val="20"/>
          <w:szCs w:val="20"/>
          <w:color w:val="auto"/>
        </w:rPr>
      </w:pPr>
    </w:p>
    <w:p>
      <w:pPr>
        <w:ind w:left="980" w:hanging="648"/>
        <w:spacing w:after="0"/>
        <w:tabs>
          <w:tab w:leader="none" w:pos="9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Risks Associated with Acquiring and Operating a Business outside of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effect our initial business combination with a company located outside of the United States.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70" w:lineRule="exact"/>
        <w:rPr>
          <w:sz w:val="20"/>
          <w:szCs w:val="20"/>
          <w:color w:val="auto"/>
        </w:rPr>
      </w:pPr>
    </w:p>
    <w:p>
      <w:pPr>
        <w:ind w:left="5540" w:right="3660" w:hanging="4884"/>
        <w:spacing w:after="0" w:line="778" w:lineRule="auto"/>
        <w:tabs>
          <w:tab w:leader="none" w:pos="9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costs and difficulties inherent in managing cross-border business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countries have difficult and unpredictable legal systems and underdeveloped laws and regulations that are unclear and subject to corruption and inexperience.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b w:val="1"/>
          <w:bCs w:val="1"/>
          <w:i w:val="1"/>
          <w:iCs w:val="1"/>
          <w:color w:val="auto"/>
        </w:rPr>
        <w:t>If relations between the United States and foreign governments deteriorate, it could cause potential target businesses or their goods and services to become less attractive.</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United States securities laws, they may have to expend time and resources becoming familiar with such laws.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policies may cause a target business’ ability to succeed in the international markets to be diminished.</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foreign law could govern our material agreements, we may not be able to enforce our rights within such jurisdiction or elsewhere.</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Foreign law could govern our material agreements. The target business may not be able to enforce any of its material agreements or that remedies will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are offering 10,000,000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proceeds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 offering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From sale of private warrants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gross proceeds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Without</w:t>
            </w:r>
          </w:p>
        </w:tc>
        <w:tc>
          <w:tcPr>
            <w:tcW w:w="10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Over-Allotment</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Over-Allotment</w:t>
            </w:r>
          </w:p>
        </w:tc>
        <w:tc>
          <w:tcPr>
            <w:tcW w:w="10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Option</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Option</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Exercised</w:t>
            </w:r>
          </w:p>
        </w:tc>
      </w:tr>
      <w:tr>
        <w:trPr>
          <w:trHeight w:val="425"/>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115,000,000</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3,405,000</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3,555,000</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103,405,000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118,555,000</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-5036185</wp:posOffset>
            </wp:positionH>
            <wp:positionV relativeFrom="paragraph">
              <wp:posOffset>-607695</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-325120</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20" w:space="720"/>
            <w:col w:w="330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840" w:type="dxa"/>
            <w:vAlign w:val="bottom"/>
          </w:tcPr>
          <w:p>
            <w:pPr>
              <w:spacing w:after="0" w:line="256" w:lineRule="exact"/>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9"/>
                <w:szCs w:val="29"/>
                <w:i w:val="1"/>
                <w:iCs w:val="1"/>
                <w:color w:val="auto"/>
                <w:vertAlign w:val="superscript"/>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qualified independent underwriter fees</w:t>
            </w: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Initial Trustees’ fee</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Company legal fees and expenses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Transfer agent fees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27,669</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27,669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19,761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96,570</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96,570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offering expenses (excluding underwriter commissions)</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i w:val="1"/>
                <w:iCs w:val="1"/>
                <w:color w:val="auto"/>
              </w:rPr>
              <w:t>Net proceeds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Held in trust</w:t>
            </w:r>
            <w:r>
              <w:rPr>
                <w:rFonts w:ascii="Arial" w:cs="Arial" w:eastAsia="Arial" w:hAnsi="Arial"/>
                <w:sz w:val="29"/>
                <w:szCs w:val="29"/>
                <w:color w:val="auto"/>
                <w:vertAlign w:val="superscript"/>
              </w:rPr>
              <w:t>(2)</w:t>
            </w: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101,000,000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116,150,000</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Not held in trust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1,330,000</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1,330,000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proceeds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102,330,000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117,480,000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line="250" w:lineRule="exact"/>
              <w:rPr>
                <w:sz w:val="20"/>
                <w:szCs w:val="20"/>
                <w:color w:val="auto"/>
              </w:rPr>
            </w:pPr>
            <w:r>
              <w:rPr>
                <w:rFonts w:ascii="Arial" w:cs="Arial" w:eastAsia="Arial" w:hAnsi="Arial"/>
                <w:sz w:val="17"/>
                <w:szCs w:val="17"/>
                <w:color w:val="auto"/>
              </w:rPr>
              <w:t>Use of net proceeds not held in the trust account</w:t>
            </w:r>
            <w:r>
              <w:rPr>
                <w:rFonts w:ascii="Arial" w:cs="Arial" w:eastAsia="Arial" w:hAnsi="Arial"/>
                <w:sz w:val="28"/>
                <w:szCs w:val="28"/>
                <w:color w:val="auto"/>
                <w:vertAlign w:val="superscript"/>
              </w:rPr>
              <w:t>(3) (4)</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Legal, accounting and other third party expenses attendant to the search for target businesses and to the due</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diligence investigation, structuring and negotiation of a business combination</w:t>
            </w: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Due diligence of prospective target businesses by officers, directors and initial stockholders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Nasdaq continued listing fees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3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Payment of administrative fee to an affiliate of our sponsor</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3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Director and officer liability insurance premiums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375,000</w:t>
            </w:r>
          </w:p>
        </w:tc>
        <w:tc>
          <w:tcPr>
            <w:tcW w:w="3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Working capital to cover miscellaneous expenses, general corporate purposes, liquidation obligations and</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reserves</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w:t>
            </w:r>
          </w:p>
        </w:tc>
        <w:tc>
          <w:tcPr>
            <w:tcW w:w="32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1,330,000</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jc w:val="both"/>
        <w:ind w:left="66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borrowed from our sponsor. These funds will be repaid out of the proceeds of this offering available to us.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funds held in the trust account will be used to acquire a target business, to pay holders who wish to redeem or sell their shares for a portion of the funds held in the trust account, to pay the Marketing Fee of $3,500,000 (or $4,025,000 if the underwriters’ over-allotment option is exercised in full), or for general corporate purposes, including payment of principal or interest on indebtedness incurred in connection with our initial business combination, to fund the purchases of other companies or for working capital.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estimated amount of proceeds not held in trust will remain constant at $1,330,000 even if the over-allotment is exercised.</w:t>
      </w:r>
    </w:p>
    <w:p>
      <w:pPr>
        <w:spacing w:after="0" w:line="9"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2" w:name="page73"/>
    <w:bookmarkEnd w:id="72"/>
    <w:p>
      <w:pPr>
        <w:jc w:val="both"/>
        <w:ind w:firstLine="324"/>
        <w:spacing w:after="0" w:line="268" w:lineRule="auto"/>
        <w:rPr>
          <w:sz w:val="20"/>
          <w:szCs w:val="20"/>
          <w:color w:val="auto"/>
        </w:rPr>
      </w:pPr>
      <w:r>
        <w:rPr>
          <w:rFonts w:ascii="Arial" w:cs="Arial" w:eastAsia="Arial" w:hAnsi="Arial"/>
          <w:sz w:val="17"/>
          <w:szCs w:val="17"/>
          <w:color w:val="auto"/>
        </w:rPr>
        <w:t>The payment to an affiliate of our sponsor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an affiliate of our sponsor for our benefit. We believe that the fee charged by the affiliate of our sponsor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A total of $10.10 per share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We estimate that the interest earned on the trust account will be approximately $100,000 per year, assuming an interest rate of 0.1% per year; </w:t>
      </w:r>
      <w:r>
        <w:rPr>
          <w:rFonts w:ascii="Arial" w:cs="Arial" w:eastAsia="Arial" w:hAnsi="Arial"/>
          <w:sz w:val="16"/>
          <w:szCs w:val="16"/>
          <w:i w:val="1"/>
          <w:iCs w:val="1"/>
          <w:color w:val="auto"/>
        </w:rPr>
        <w:t>however</w:t>
      </w:r>
      <w:r>
        <w:rPr>
          <w:rFonts w:ascii="Arial" w:cs="Arial" w:eastAsia="Arial" w:hAnsi="Arial"/>
          <w:sz w:val="16"/>
          <w:szCs w:val="16"/>
          <w:color w:val="auto"/>
        </w:rPr>
        <w:t>, we can provide no assurance regarding this amount. Except for all interest income that may be released to us to pay our tax obligations,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discussed below, none of the funds held in the trust account will be released from the trust account until the earlier of: (i) the consummation of our initial business combination within 15 months (or up to 21 months, as applicable) from the closing of this offering and (ii) a redemption to public stockholders prior to any voluntary winding-up in the event we do not consummate our initial business combination within the applicable period.</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324"/>
        <w:spacing w:after="0" w:line="290" w:lineRule="auto"/>
        <w:rPr>
          <w:sz w:val="20"/>
          <w:szCs w:val="20"/>
          <w:color w:val="auto"/>
        </w:rPr>
      </w:pPr>
      <w:r>
        <w:rPr>
          <w:rFonts w:ascii="Arial" w:cs="Arial" w:eastAsia="Arial" w:hAnsi="Arial"/>
          <w:sz w:val="16"/>
          <w:szCs w:val="16"/>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prospectus, our sponsor has not loaned us any amounts to be used for a portion of the expenses of this offering. Any loans will be non-interest bearing and payable on the date on which we consummate the offering.</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15 months (or up to 21 months, as applicable) following the closing of this offering, subject to applicable law, or (iii) if we seek to amend our certificate of incorporation to affect the substance or timing of our obligation to redeem all public shares if we cannot complete an initial business combination within 15 months (or up to 21 months, as applicable) of the closing of this offering and such amendment is duly approved. In no other circumstances will a public stockholder have any right or interest of any kind to or in the trust account.</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purchase during or after the offering, if any. In addition, our initial stockholders have agreed to waive their rights to liquidating distributions with respect to their founder shares if we fail to consummate our initial business combination within 15 months (or up to 21 months, as applicable)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by this prospectus, and the pro forma net tangible book value per share after this offering constitutes the dilution to investors in this offering. Such calculation does not reflect any dilution associated with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At March 31, 2021, our net tangible book deficit was $(53,118) or approximately $(0.02) per share. After giving effect to the sale of 10,000,000 shares of common stock included in the units we are offering by this prospectus and the proceeds received from the sale of the private warrants, the deduction of underwriting discounts and estimated expenses of this offering, our pro forma net tangible book value at March 31, 2021 would have been $5,000,007 or $1.55 per share (or $1.38 per share if the underwriters’ over-allotment if the underwriters’ over-allotment option is exercised in full), representing an immediate increase in net tangible book value of $1.57 per share (or $1.40 per share if the underwriters’ over-allotment if the underwriters’ over-allotment option is exercised in full) to the initial stockholders and an immediate dilution of $8.45 per share or 84.5% (or $8.62 per share or 86.2% if the underwriters’ over-allotment if the underwriters’ over-allotment option is exercised in full) to new investors not exercising their redemption/tender rights. For purposes of presentation, our pro forma net tangible book value after this offering is $93,687,070 (or $108,675,530 if the underwriters’ over-allotment if the underwriters’ over-allotment option is exercised in full) less than it otherwise would have been because, if we effect a business combination, the ability of public stockholders to exercise redemption rights or sell their shares to us in any tender offer may result in the redemption or tender of up to 9,275,948 shares (or 10,759,953 if the underwriters’ over-allotment if the underwriters’ over-allotment option is exercised in full) sold in this offering.</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redeemable warrants, including the private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3"/>
          </w:tcPr>
          <w:p>
            <w:pPr>
              <w:jc w:val="right"/>
              <w:ind w:right="427"/>
              <w:spacing w:after="0"/>
              <w:rPr>
                <w:sz w:val="20"/>
                <w:szCs w:val="20"/>
                <w:color w:val="auto"/>
              </w:rPr>
            </w:pPr>
            <w:r>
              <w:rPr>
                <w:rFonts w:ascii="Arial" w:cs="Arial" w:eastAsia="Arial" w:hAnsi="Arial"/>
                <w:sz w:val="18"/>
                <w:szCs w:val="18"/>
                <w:b w:val="1"/>
                <w:bCs w:val="1"/>
                <w:color w:val="auto"/>
              </w:rPr>
              <w:t>Without</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With</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Over-Allotment</w:t>
            </w: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Over-Allotment</w:t>
            </w: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(0.02)</w:t>
            </w:r>
          </w:p>
        </w:tc>
        <w:tc>
          <w:tcPr>
            <w:tcW w:w="62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Increase attributable to new investors, private sales and capital</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w:t>
            </w: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w:t>
            </w:r>
          </w:p>
        </w:tc>
        <w:tc>
          <w:tcPr>
            <w:tcW w:w="6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84.5%</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our initial stockholders and the new investors: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0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Total Consideration</w:t>
            </w:r>
          </w:p>
        </w:tc>
        <w:tc>
          <w:tcPr>
            <w:tcW w:w="12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Average Price</w:t>
            </w:r>
          </w:p>
        </w:tc>
      </w:tr>
      <w:tr>
        <w:trPr>
          <w:trHeight w:val="223"/>
        </w:trPr>
        <w:tc>
          <w:tcPr>
            <w:tcW w:w="358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Per Share</w:t>
            </w:r>
          </w:p>
        </w:tc>
        <w:tc>
          <w:tcPr>
            <w:tcW w:w="100" w:type="dxa"/>
            <w:vAlign w:val="bottom"/>
            <w:tcBorders>
              <w:bottom w:val="single" w:sz="8" w:color="CCEEFF"/>
            </w:tcBorders>
          </w:tcPr>
          <w:p>
            <w:pPr>
              <w:spacing w:after="0"/>
              <w:rPr>
                <w:sz w:val="19"/>
                <w:szCs w:val="19"/>
                <w:color w:val="auto"/>
              </w:rPr>
            </w:pPr>
          </w:p>
        </w:tc>
      </w:tr>
      <w:tr>
        <w:trPr>
          <w:trHeight w:val="236"/>
        </w:trPr>
        <w:tc>
          <w:tcPr>
            <w:tcW w:w="35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Initial stockholders</w:t>
            </w:r>
            <w:r>
              <w:rPr>
                <w:rFonts w:ascii="Arial" w:cs="Arial" w:eastAsia="Arial" w:hAnsi="Arial"/>
                <w:sz w:val="27"/>
                <w:szCs w:val="27"/>
                <w:color w:val="auto"/>
                <w:vertAlign w:val="superscript"/>
              </w:rPr>
              <w:t>(1)(2)</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New investors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100,000,000</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99.98%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as a result thereof.</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May and June 2021, our sponsor transferred 20,000 founder shares to each of Messrs. Biele, Boyle, Hardamon, Thakrar and Thomson and Ms. Jardins.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The pro forma net tangible book value after the offering is calculated as follows: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Without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70"/>
        </w:trPr>
        <w:tc>
          <w:tcPr>
            <w:tcW w:w="80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600" w:type="dxa"/>
            <w:vAlign w:val="bottom"/>
            <w:gridSpan w:val="3"/>
          </w:tcPr>
          <w:p>
            <w:pPr>
              <w:jc w:val="right"/>
              <w:ind w:right="180"/>
              <w:spacing w:after="0" w:line="270" w:lineRule="exact"/>
              <w:rPr>
                <w:sz w:val="20"/>
                <w:szCs w:val="20"/>
                <w:color w:val="auto"/>
              </w:rPr>
            </w:pPr>
            <w:r>
              <w:rPr>
                <w:rFonts w:ascii="Arial" w:cs="Arial" w:eastAsia="Arial" w:hAnsi="Arial"/>
                <w:sz w:val="18"/>
                <w:szCs w:val="18"/>
                <w:b w:val="1"/>
                <w:bCs w:val="1"/>
                <w:color w:val="auto"/>
                <w:w w:val="91"/>
              </w:rPr>
              <w:t>Over-Allotment</w:t>
            </w:r>
            <w:r>
              <w:rPr>
                <w:rFonts w:ascii="Arial" w:cs="Arial" w:eastAsia="Arial" w:hAnsi="Arial"/>
                <w:sz w:val="29"/>
                <w:szCs w:val="29"/>
                <w:b w:val="1"/>
                <w:bCs w:val="1"/>
                <w:color w:val="auto"/>
                <w:w w:val="91"/>
                <w:vertAlign w:val="superscript"/>
              </w:rPr>
              <w:t>(1)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Over-Allotment</w:t>
            </w:r>
          </w:p>
        </w:tc>
        <w:tc>
          <w:tcPr>
            <w:tcW w:w="0" w:type="dxa"/>
            <w:vAlign w:val="bottom"/>
          </w:tcPr>
          <w:p>
            <w:pPr>
              <w:spacing w:after="0"/>
              <w:rPr>
                <w:sz w:val="1"/>
                <w:szCs w:val="1"/>
                <w:color w:val="auto"/>
              </w:rPr>
            </w:pPr>
          </w:p>
        </w:tc>
      </w:tr>
      <w:tr>
        <w:trPr>
          <w:trHeight w:val="210"/>
        </w:trPr>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tangible book deficit before this offering</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Net proceeds from this offering and private placement of private warrants</w:t>
            </w:r>
          </w:p>
        </w:tc>
        <w:tc>
          <w:tcPr>
            <w:tcW w:w="24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102,330,000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117,480,000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Plus: Offering costs paid in advance; excluding from tangible book value before this offering</w:t>
            </w: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77,118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0" w:type="dxa"/>
            <w:vAlign w:val="bottom"/>
            <w:gridSpan w:val="2"/>
          </w:tcPr>
          <w:p>
            <w:pPr>
              <w:spacing w:after="0" w:line="270" w:lineRule="exact"/>
              <w:rPr>
                <w:sz w:val="20"/>
                <w:szCs w:val="20"/>
                <w:color w:val="auto"/>
              </w:rPr>
            </w:pPr>
            <w:r>
              <w:rPr>
                <w:rFonts w:ascii="Arial" w:cs="Arial" w:eastAsia="Arial" w:hAnsi="Arial"/>
                <w:sz w:val="18"/>
                <w:szCs w:val="18"/>
                <w:color w:val="auto"/>
              </w:rPr>
              <w:t>Less: Warrant liabilities</w:t>
            </w:r>
            <w:r>
              <w:rPr>
                <w:rFonts w:ascii="Arial" w:cs="Arial" w:eastAsia="Arial" w:hAnsi="Arial"/>
                <w:sz w:val="29"/>
                <w:szCs w:val="29"/>
                <w:color w:val="auto"/>
                <w:vertAlign w:val="superscript"/>
              </w:rPr>
              <w:t>(2)</w:t>
            </w:r>
          </w:p>
        </w:tc>
        <w:tc>
          <w:tcPr>
            <w:tcW w:w="240" w:type="dxa"/>
            <w:vAlign w:val="bottom"/>
          </w:tcPr>
          <w:p>
            <w:pPr>
              <w:spacing w:after="0"/>
              <w:rPr>
                <w:sz w:val="23"/>
                <w:szCs w:val="2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(3,666,923)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(3,828,461)</w:t>
            </w:r>
          </w:p>
        </w:tc>
        <w:tc>
          <w:tcPr>
            <w:tcW w:w="0" w:type="dxa"/>
            <w:vAlign w:val="bottom"/>
          </w:tcPr>
          <w:p>
            <w:pPr>
              <w:spacing w:after="0"/>
              <w:rPr>
                <w:sz w:val="1"/>
                <w:szCs w:val="1"/>
                <w:color w:val="auto"/>
              </w:rPr>
            </w:pPr>
          </w:p>
        </w:tc>
      </w:tr>
      <w:tr>
        <w:trPr>
          <w:trHeight w:val="20"/>
        </w:trPr>
        <w:tc>
          <w:tcPr>
            <w:tcW w:w="8000" w:type="dxa"/>
            <w:vAlign w:val="bottom"/>
            <w:gridSpan w:val="2"/>
            <w:vMerge w:val="restart"/>
            <w:shd w:val="clear" w:color="auto" w:fill="CCEEFF"/>
          </w:tcPr>
          <w:p>
            <w:pPr>
              <w:spacing w:after="0" w:line="270" w:lineRule="exact"/>
              <w:rPr>
                <w:sz w:val="20"/>
                <w:szCs w:val="20"/>
                <w:color w:val="auto"/>
              </w:rPr>
            </w:pPr>
            <w:r>
              <w:rPr>
                <w:rFonts w:ascii="Arial" w:cs="Arial" w:eastAsia="Arial" w:hAnsi="Arial"/>
                <w:sz w:val="18"/>
                <w:szCs w:val="18"/>
                <w:color w:val="auto"/>
                <w:w w:val="98"/>
              </w:rPr>
              <w:t>Less: Proceeds held in trust subject to redemption to maintain net tangible assets of $5,000,001</w:t>
            </w:r>
            <w:r>
              <w:rPr>
                <w:rFonts w:ascii="Arial" w:cs="Arial" w:eastAsia="Arial" w:hAnsi="Arial"/>
                <w:sz w:val="29"/>
                <w:szCs w:val="29"/>
                <w:color w:val="auto"/>
                <w:w w:val="98"/>
                <w:vertAlign w:val="superscript"/>
              </w:rPr>
              <w:t>(3)(4)</w:t>
            </w: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(93,687,070)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(108,675,530)</w:t>
            </w:r>
          </w:p>
        </w:tc>
        <w:tc>
          <w:tcPr>
            <w:tcW w:w="0" w:type="dxa"/>
            <w:vAlign w:val="bottom"/>
          </w:tcPr>
          <w:p>
            <w:pPr>
              <w:spacing w:after="0"/>
              <w:rPr>
                <w:sz w:val="1"/>
                <w:szCs w:val="1"/>
                <w:color w:val="auto"/>
              </w:rPr>
            </w:pPr>
          </w:p>
        </w:tc>
      </w:tr>
      <w:tr>
        <w:trPr>
          <w:trHeight w:val="263"/>
        </w:trPr>
        <w:tc>
          <w:tcPr>
            <w:tcW w:w="7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5,000,007</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common stock issued and outstanding prior to this offering</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Shares of common stock to be sold in this offering</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11,500,000</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Shares subject to redemption/tender</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(9,275,948)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(10,759,953)</w:t>
            </w:r>
          </w:p>
        </w:tc>
        <w:tc>
          <w:tcPr>
            <w:tcW w:w="0" w:type="dxa"/>
            <w:vAlign w:val="bottom"/>
          </w:tcPr>
          <w:p>
            <w:pPr>
              <w:spacing w:after="0"/>
              <w:rPr>
                <w:sz w:val="1"/>
                <w:szCs w:val="1"/>
                <w:color w:val="auto"/>
              </w:rPr>
            </w:pPr>
          </w:p>
        </w:tc>
      </w:tr>
      <w:tr>
        <w:trPr>
          <w:trHeight w:val="223"/>
        </w:trPr>
        <w:tc>
          <w:tcPr>
            <w:tcW w:w="7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3,224,052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3,615,047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by us as a result thereof.</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private placement warrants are expected to be accounted for as warrant liabilities and will be recorded at fair value upon issuance with changes in fair value each reporting period included in earnings as determined by the Company based upon a valuation report obtained from its independent third-party valuation firm.</w:t>
      </w:r>
    </w:p>
    <w:p>
      <w:pPr>
        <w:spacing w:after="0" w:line="183"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initial stockholders,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common stock subject to redemption will be reduced by the amount of any such purchases, increasing the pro forma net tangible book value per share.</w:t>
      </w:r>
    </w:p>
    <w:p>
      <w:pPr>
        <w:spacing w:after="0" w:line="16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actual number of shares subject to redemption may exceed this amount so long as we have at least $5,000,001 immediately prior to or upon consummation of our initial business combination.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our capitalization at March 31, 2021, and as adjusted to give effect to the sale of our units and the private warrants and the application of the estimated net proceeds derived from the sale of such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7"/>
          </w:tcPr>
          <w:p>
            <w:pPr>
              <w:jc w:val="right"/>
              <w:ind w:right="1080"/>
              <w:spacing w:after="0"/>
              <w:rPr>
                <w:sz w:val="20"/>
                <w:szCs w:val="20"/>
                <w:color w:val="auto"/>
              </w:rPr>
            </w:pPr>
            <w:r>
              <w:rPr>
                <w:rFonts w:ascii="Arial" w:cs="Arial" w:eastAsia="Arial" w:hAnsi="Arial"/>
                <w:sz w:val="18"/>
                <w:szCs w:val="18"/>
                <w:b w:val="1"/>
                <w:bCs w:val="1"/>
                <w:color w:val="auto"/>
              </w:rPr>
              <w:t>March 31, 2021</w:t>
            </w:r>
          </w:p>
        </w:tc>
      </w:tr>
      <w:tr>
        <w:trPr>
          <w:trHeight w:val="250"/>
        </w:trPr>
        <w:tc>
          <w:tcPr>
            <w:tcW w:w="80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Actual</w:t>
            </w:r>
          </w:p>
        </w:tc>
        <w:tc>
          <w:tcPr>
            <w:tcW w:w="20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90"/>
              <w:spacing w:after="0" w:line="250" w:lineRule="exact"/>
              <w:rPr>
                <w:sz w:val="20"/>
                <w:szCs w:val="20"/>
                <w:color w:val="auto"/>
              </w:rPr>
            </w:pPr>
            <w:r>
              <w:rPr>
                <w:rFonts w:ascii="Arial" w:cs="Arial" w:eastAsia="Arial" w:hAnsi="Arial"/>
                <w:sz w:val="17"/>
                <w:szCs w:val="17"/>
                <w:b w:val="1"/>
                <w:bCs w:val="1"/>
                <w:color w:val="auto"/>
                <w:w w:val="91"/>
              </w:rPr>
              <w:t>As Adjusted</w:t>
            </w:r>
            <w:r>
              <w:rPr>
                <w:rFonts w:ascii="Arial" w:cs="Arial" w:eastAsia="Arial" w:hAnsi="Arial"/>
                <w:sz w:val="28"/>
                <w:szCs w:val="28"/>
                <w:b w:val="1"/>
                <w:bCs w:val="1"/>
                <w:color w:val="auto"/>
                <w:w w:val="91"/>
                <w:vertAlign w:val="superscript"/>
              </w:rPr>
              <w:t>(1)</w:t>
            </w:r>
          </w:p>
        </w:tc>
        <w:tc>
          <w:tcPr>
            <w:tcW w:w="100" w:type="dxa"/>
            <w:vAlign w:val="bottom"/>
            <w:tcBorders>
              <w:bottom w:val="single" w:sz="8" w:color="CCEEFF"/>
            </w:tcBorders>
            <w:gridSpan w:val="2"/>
          </w:tcPr>
          <w:p>
            <w:pPr>
              <w:spacing w:after="0"/>
              <w:rPr>
                <w:sz w:val="21"/>
                <w:szCs w:val="21"/>
                <w:color w:val="auto"/>
              </w:rPr>
            </w:pPr>
          </w:p>
        </w:tc>
      </w:tr>
      <w:tr>
        <w:trPr>
          <w:trHeight w:val="250"/>
        </w:trPr>
        <w:tc>
          <w:tcPr>
            <w:tcW w:w="80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Promissory note – related party</w:t>
            </w:r>
            <w:r>
              <w:rPr>
                <w:rFonts w:ascii="Arial" w:cs="Arial" w:eastAsia="Arial" w:hAnsi="Arial"/>
                <w:sz w:val="28"/>
                <w:szCs w:val="28"/>
                <w:color w:val="auto"/>
                <w:vertAlign w:val="superscript"/>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000" w:type="dxa"/>
            <w:vAlign w:val="bottom"/>
            <w:tcBorders>
              <w:bottom w:val="single" w:sz="8" w:color="CCEEFF"/>
            </w:tcBorders>
          </w:tcPr>
          <w:p>
            <w:pPr>
              <w:spacing w:after="0" w:line="250" w:lineRule="exact"/>
              <w:rPr>
                <w:sz w:val="20"/>
                <w:szCs w:val="20"/>
                <w:color w:val="auto"/>
              </w:rPr>
            </w:pPr>
            <w:r>
              <w:rPr>
                <w:rFonts w:ascii="Arial" w:cs="Arial" w:eastAsia="Arial" w:hAnsi="Arial"/>
                <w:sz w:val="17"/>
                <w:szCs w:val="17"/>
                <w:color w:val="auto"/>
              </w:rPr>
              <w:t>Warrant liabilities</w:t>
            </w:r>
            <w:r>
              <w:rPr>
                <w:rFonts w:ascii="Arial" w:cs="Arial" w:eastAsia="Arial" w:hAnsi="Arial"/>
                <w:sz w:val="28"/>
                <w:szCs w:val="28"/>
                <w:color w:val="auto"/>
                <w:vertAlign w:val="superscript"/>
              </w:rPr>
              <w:t>(3)</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3,666,923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82"/>
        </w:trPr>
        <w:tc>
          <w:tcPr>
            <w:tcW w:w="8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Shares of common stock, $0.0001 par value, none and 9,275,948 shares are subject to possible</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44"/>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redemption/tender, respectively</w:t>
            </w: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93,687,070</w:t>
            </w:r>
          </w:p>
        </w:tc>
      </w:tr>
      <w:tr>
        <w:trPr>
          <w:trHeight w:val="185"/>
        </w:trPr>
        <w:tc>
          <w:tcPr>
            <w:tcW w:w="8000" w:type="dxa"/>
            <w:vAlign w:val="bottom"/>
          </w:tcPr>
          <w:p>
            <w:pPr>
              <w:spacing w:after="0" w:line="185" w:lineRule="exact"/>
              <w:rPr>
                <w:sz w:val="20"/>
                <w:szCs w:val="20"/>
                <w:color w:val="auto"/>
              </w:rPr>
            </w:pPr>
            <w:r>
              <w:rPr>
                <w:rFonts w:ascii="Arial" w:cs="Arial" w:eastAsia="Arial" w:hAnsi="Arial"/>
                <w:sz w:val="18"/>
                <w:szCs w:val="18"/>
                <w:color w:val="auto"/>
                <w:w w:val="94"/>
              </w:rPr>
              <w:t>Shares of common stock, $0.0001 par value, 50,000,000 shares authorized, 2,875,000 shares issued and</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7"/>
        </w:trPr>
        <w:tc>
          <w:tcPr>
            <w:tcW w:w="8000" w:type="dxa"/>
            <w:vAlign w:val="bottom"/>
          </w:tcPr>
          <w:p>
            <w:pPr>
              <w:ind w:left="180"/>
              <w:spacing w:after="0" w:line="256" w:lineRule="exact"/>
              <w:rPr>
                <w:sz w:val="20"/>
                <w:szCs w:val="20"/>
                <w:color w:val="auto"/>
              </w:rPr>
            </w:pPr>
            <w:r>
              <w:rPr>
                <w:rFonts w:ascii="Arial" w:cs="Arial" w:eastAsia="Arial" w:hAnsi="Arial"/>
                <w:sz w:val="18"/>
                <w:szCs w:val="18"/>
                <w:color w:val="auto"/>
              </w:rPr>
              <w:t>outstanding, actual; 50,000,000 shares authorized</w:t>
            </w:r>
            <w:r>
              <w:rPr>
                <w:rFonts w:ascii="Arial" w:cs="Arial" w:eastAsia="Arial" w:hAnsi="Arial"/>
                <w:sz w:val="29"/>
                <w:szCs w:val="29"/>
                <w:color w:val="auto"/>
                <w:vertAlign w:val="superscript"/>
              </w:rPr>
              <w:t>(6)</w:t>
            </w:r>
            <w:r>
              <w:rPr>
                <w:rFonts w:ascii="Arial" w:cs="Arial" w:eastAsia="Arial" w:hAnsi="Arial"/>
                <w:sz w:val="18"/>
                <w:szCs w:val="18"/>
                <w:color w:val="auto"/>
              </w:rPr>
              <w:t>, 3,224,052 shares</w:t>
            </w: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3"/>
        </w:trPr>
        <w:tc>
          <w:tcPr>
            <w:tcW w:w="8000" w:type="dxa"/>
            <w:vAlign w:val="bottom"/>
          </w:tcPr>
          <w:p>
            <w:pPr>
              <w:ind w:left="180"/>
              <w:spacing w:after="0" w:line="252" w:lineRule="exact"/>
              <w:rPr>
                <w:sz w:val="20"/>
                <w:szCs w:val="20"/>
                <w:color w:val="auto"/>
              </w:rPr>
            </w:pPr>
            <w:r>
              <w:rPr>
                <w:rFonts w:ascii="Arial" w:cs="Arial" w:eastAsia="Arial" w:hAnsi="Arial"/>
                <w:sz w:val="18"/>
                <w:szCs w:val="18"/>
                <w:color w:val="auto"/>
                <w:w w:val="96"/>
              </w:rPr>
              <w:t>issued and outstanding</w:t>
            </w:r>
            <w:r>
              <w:rPr>
                <w:rFonts w:ascii="Arial" w:cs="Arial" w:eastAsia="Arial" w:hAnsi="Arial"/>
                <w:sz w:val="29"/>
                <w:szCs w:val="29"/>
                <w:color w:val="auto"/>
                <w:w w:val="96"/>
                <w:vertAlign w:val="superscript"/>
              </w:rPr>
              <w:t>(4) (5)</w:t>
            </w:r>
            <w:r>
              <w:rPr>
                <w:rFonts w:ascii="Arial" w:cs="Arial" w:eastAsia="Arial" w:hAnsi="Arial"/>
                <w:sz w:val="18"/>
                <w:szCs w:val="18"/>
                <w:color w:val="auto"/>
                <w:w w:val="96"/>
              </w:rPr>
              <w:t xml:space="preserve"> (excluding 9,275,948 shares subject to possible redemption/tender), as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8000" w:type="dxa"/>
            <w:vAlign w:val="bottom"/>
          </w:tcPr>
          <w:p>
            <w:pPr>
              <w:ind w:left="180"/>
              <w:spacing w:after="0"/>
              <w:rPr>
                <w:sz w:val="20"/>
                <w:szCs w:val="20"/>
                <w:color w:val="auto"/>
              </w:rPr>
            </w:pPr>
            <w:r>
              <w:rPr>
                <w:rFonts w:ascii="Arial" w:cs="Arial" w:eastAsia="Arial" w:hAnsi="Arial"/>
                <w:sz w:val="18"/>
                <w:szCs w:val="18"/>
                <w:color w:val="auto"/>
              </w:rPr>
              <w:t>adjusted</w:t>
            </w:r>
          </w:p>
        </w:tc>
        <w:tc>
          <w:tcPr>
            <w:tcW w:w="280" w:type="dxa"/>
            <w:vAlign w:val="bottom"/>
          </w:tcPr>
          <w:p>
            <w:pPr>
              <w:spacing w:after="0"/>
              <w:rPr>
                <w:sz w:val="21"/>
                <w:szCs w:val="21"/>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322</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5,017,608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Total capitalization</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102,354,000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the $3,405,000 we will receive from the sale of the private warrants (assuming no exercise of the over-allotment option).</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sponsor has agreed to loan us an aggregate of $250,000 to be used to pay formation and a portion of the expenses of this offering. The loan is non-interest bearing and payable on the date on which we consummate the offering.</w:t>
      </w:r>
    </w:p>
    <w:p>
      <w:pPr>
        <w:jc w:val="both"/>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private placement warrants are expected to be accounted for as warrant liabilities and will be recorded at fair value upon issuance with changes in fair value each reporting period included in earnings as determined by the Company based upon a valuation report obtained from its independent third-party valuation firm.</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as a result thereof.</w:t>
      </w:r>
    </w:p>
    <w:p>
      <w:pPr>
        <w:jc w:val="both"/>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completion of our initial business combination, we will provide our stockholders with the opportunity to redeem their public shares for cash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our net tangible assets will be maintained at a minimum of $5,000,001 and any limitations (including, but not limited to, cash requirements) created by the terms of the proposed initial business combination. The actual number of shares subject to redemption may exceed this amount so long as we have at least $5,000,001 immediately prior to or upon consummation of our initial business combination.</w:t>
      </w:r>
    </w:p>
    <w:p>
      <w:pPr>
        <w:spacing w:after="0" w:line="2"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incorporated on June 23, 2020, as a Delaware corporation, and we were formed to serve as a vehicle to effect a merger, share exchange, asset acquisition, share purchase, recapitalization, reorganization or similar business combination with one or more target businesses. We have not selected any specific business combination target and we have not, nor has anyone on our behalf, initiated any substantive discussions, directly or indirectly, with any business combination target regarding an initial business combination with our company. We intend to effectuate our initial business combination using cash from the proceeds of this offering and the private placement of the private warrants, the proceeds of the sale of our securities in connection with our initial business combination, shares issued to the owners of the target, debt issued to bank or other lenders or the owners of the target, or a combination of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in connection with our business combination to the owners of the target or other investors:</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securities.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Similarly, if we issue debt securities, or otherwise incur significant debt to bank or other lenders or the owners of a target, it could result in:</w:t>
      </w:r>
    </w:p>
    <w:p>
      <w:pPr>
        <w:spacing w:after="0" w:line="248"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additional financing while such security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9" w:name="page80"/>
    <w:bookmarkEnd w:id="79"/>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the accompanying financial statements, at March 31, 2021, we had $72,882 in cash and $77,118 in deferred offering costs. Further, we expect to continue to incur significant costs in the pursuit of our acquisition plans. We cannot assure you that our plans to raise capital or to complete our initial business combination will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the accompanying financial statements, at March 31, 2021, we had $72,882 in cash and a working capital deficit of $(53,118). Further, we have incurred and expect to continue to incur significant costs in pursuit of our financing and acquisition plans. Management’s plans to address this uncertainty through this offering are discussed above.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liquidity needs have been satisfied to date through receipt of $25,000 from the sale of the founder shares and loans from our sponsor in an aggregate amount of $250,000. We estimate that the net proceeds from (1) the sale of the units in this offering, after deducting offering expenses of approximately $575,000 and underwriting discounts and commissions of $500,000 and (2) the sale of the private warrants for a purchase price of $3,405,000 (or up to $3,555,000 depending on the extent to which the underwriters’ over-allotment option is exercised) will be $102,330,000 (or $117,480,000 if the over-allotment option is exercised in full). Of this amount, $101,000,000 (or $116,150,000 if the over-allotment option is exercised in full) will be held in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$1,330,000 (whether or not the over-allotment option is exercised in full) will not be held in the trust account.</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48"/>
        <w:spacing w:after="0" w:line="275" w:lineRule="auto"/>
        <w:rPr>
          <w:sz w:val="20"/>
          <w:szCs w:val="20"/>
          <w:color w:val="auto"/>
        </w:rPr>
      </w:pPr>
      <w:r>
        <w:rPr>
          <w:rFonts w:ascii="Arial" w:cs="Arial" w:eastAsia="Arial" w:hAnsi="Arial"/>
          <w:sz w:val="17"/>
          <w:szCs w:val="17"/>
          <w:color w:val="auto"/>
        </w:rPr>
        <w:t>Over the next 15 months (or up to 21 months, as applicable),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76" w:lineRule="exact"/>
        <w:rPr>
          <w:sz w:val="20"/>
          <w:szCs w:val="20"/>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$250,000 of expenses for the search for target businesses and for the legal, accounting and other third-party expenses attendant to the due diligence investigations, structuring and negotiating of a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$250,000 of expenses for the due diligence and investigation of a target business by our officers, directors and initial stockholders;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$50,000 of expenses in legal and accounting fees relating to our SEC reporting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$75,000 of expenses in Nasdaq continued listing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$150,000 for the payment of the administrative fee to an affiliate of our sponsor (of $10,000 per month for up to 15 months);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$375,000 for director and officer liability insurance premiums;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$180,000 for general working capital that will be used for miscellaneous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Commencing on the date that our securities are first listed on the NASDAQ through the earlier of consummation of our initial business combination and our liquidation, we will pay our sponsor a total of $10,000 per month for office space, administrative and shared personnel support services. Upon completion of our initial business combination or our liquidation, we will cease paying these monthly fees.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sponsor intends to allocate up to 20,000 founder shares to each of our independent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sponsor has agreed to loan us an aggregate of $250,000 on a non-interest bearing basis, for payment of offering expenses on our behalf.</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from us an aggregate of 5,238,461 (or up to 5,469,230 depending on the extent to which the underwriters’ over-allotment option is exercised) warrants at a price of $0.65 per warrant ($3,405,000 (or up to $3,555,000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48"/>
        <w:spacing w:after="0" w:line="271"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for sale under the Securities Act. These holders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 holders have certain “piggy-back” registration rights on registration statements filed after the consummation of our initial business combination. We will bear the costs and expenses of filing any such registration statements. See the section of this prospectus entitled “Certain Relationships and Related Party Transactions.” Notwithstanding the foregoing, our sponsor may not exercise its demand and “piggyback” registration rights after five and seven years, respectively, after the effective date of the registration statement of which this prospectus forms a part and may not exercise its demand rights on more than one occasion.</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described under “Underwriting (Conflicts of Interest) —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needed to finance transaction costs in connection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be repaid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92"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648"/>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prospectus, we did not have any off-balance sheet arrangements as defined in Item 303(a)(4)(ii) of Regulation S-K promulgated by the SEC and did not have any commitments or contractual obligations. No unaudited quarterly operating data is included in this prospectus as we have conducted no operations to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SPAC and investment banking marketplaces.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SPACs as has been demonstrated within the last several months. In the second half of 2020, SPACs accounted for ~56% of all capital raised in the IPO market, and have had record issuances in the first month of 2021, raising nearly $24 billion, almost two times U.S. initial public offerings during the same period.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SPAC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Kerry Propper </w:t>
      </w:r>
      <w:r>
        <w:rPr>
          <w:rFonts w:ascii="Arial" w:cs="Arial" w:eastAsia="Arial" w:hAnsi="Arial"/>
          <w:sz w:val="16"/>
          <w:szCs w:val="16"/>
          <w:color w:val="auto"/>
        </w:rPr>
        <w:t>is our co-founder and will serve as our Chairman of the board of directors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co-founder and managing partner of ATW Partners, a growth-focused investment firm. Mr. Propper also sits on the board of 340 Basics, Credit Sesame, and PierianDx among other boards.</w:t>
      </w:r>
    </w:p>
    <w:p>
      <w:pPr>
        <w:spacing w:after="0" w:line="16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Jonas Grossman </w:t>
      </w:r>
      <w:r>
        <w:rPr>
          <w:rFonts w:ascii="Arial" w:cs="Arial" w:eastAsia="Arial" w:hAnsi="Arial"/>
          <w:sz w:val="16"/>
          <w:szCs w:val="16"/>
          <w:color w:val="auto"/>
        </w:rPr>
        <w:t>is our co-founder and has been our Chief Executive Officer and a member of our board of directors since June 2020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and Treasurer since July 2020. Mr. Grossman has nearly two decades of special purpose acquisition company expertise. He has provided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Alex Weil </w:t>
      </w:r>
      <w:r>
        <w:rPr>
          <w:rFonts w:ascii="Arial" w:cs="Arial" w:eastAsia="Arial" w:hAnsi="Arial"/>
          <w:sz w:val="16"/>
          <w:szCs w:val="16"/>
          <w:color w:val="auto"/>
        </w:rPr>
        <w:t>has served as our Chief Financial Officer since April 2021 and will serve as a member of our board of directors upon the effective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registration statement of which this prospectus is a part. Mr. Weil has spent over two decades on Wall Street providing strategic advisory services to global companies, senior executives, boards of directors, and investors. Since March 2021, he has served as chief financial officer and director of Chardan NexTech Acquisition Corp., and he has agreed to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w:t>
      </w:r>
      <w:r>
        <w:rPr>
          <w:rFonts w:ascii="Arial" w:cs="Arial" w:eastAsia="Arial" w:hAnsi="Arial"/>
          <w:sz w:val="16"/>
          <w:szCs w:val="16"/>
          <w:i w:val="1"/>
          <w:iCs w:val="1"/>
          <w:color w:val="auto"/>
        </w:rPr>
        <w:t>e.g.</w:t>
      </w:r>
      <w:r>
        <w:rPr>
          <w:rFonts w:ascii="Arial" w:cs="Arial" w:eastAsia="Arial" w:hAnsi="Arial"/>
          <w:sz w:val="16"/>
          <w:szCs w:val="16"/>
          <w:color w:val="auto"/>
        </w:rPr>
        <w:t xml:space="preserve">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Chardan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Chardan has an extensive track record in the special purpose acquisition company market as underwriter, sponsor and advisor. Since 2004, Chardan has been lead or co-lead underwriter on 82 special purpose acquisition company initial public offerings. Since 2018, Chardan has been a mergers and acquisition advisor to 12 special purpose acquisition companies, helping them close transactions valued at approximately $5.7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eight special purpose acquisition companies, five of which have closed successful business combinations, one of which has announced a business combination and two of which are currently seeking acquisitions.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Biele has over 28 years of investment banking experience serving in a variety of roles. He recently joined PREEM Inc.,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will serve as a member of our board of directors upon the effective date of the registration statement of which this prospectus is a part.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 registration statement of which this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Jory Des Jardins </w:t>
      </w:r>
      <w:r>
        <w:rPr>
          <w:rFonts w:ascii="Arial" w:cs="Arial" w:eastAsia="Arial" w:hAnsi="Arial"/>
          <w:sz w:val="17"/>
          <w:szCs w:val="17"/>
          <w:color w:val="auto"/>
        </w:rPr>
        <w:t>will serve as a member of our board of directors upon the effective date of the registration statement of which this prospectus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Hitesh Thakrar </w:t>
      </w:r>
      <w:r>
        <w:rPr>
          <w:rFonts w:ascii="Arial" w:cs="Arial" w:eastAsia="Arial" w:hAnsi="Arial"/>
          <w:sz w:val="17"/>
          <w:szCs w:val="17"/>
          <w:color w:val="auto"/>
        </w:rPr>
        <w:t>will serve as a member of our board of directors upon the effective date of the registration statement of which this prospectus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Mr. Thakrar is an experienced investor in the technology sector, having spent over 20 years investing in public equities in the life sciences, information technology and innovation sectors. Since 2015, he has been active in early stage venture investing. Mr. Thakrar is currently a Venture Partner at Syncona Limited, a Wellcome Trust backed early stage venture fund. He is also a Governance Board Member of KQ Labs at the Francis Crick Institute, an accelerator supporting next generation businesses in data science and life sciences. He is the main Board Trustee of the Alan Turing Institute which is the UK National Institute for Artificial Intelligence and Data Science research. Additionally, Mr. Thakrar is the Chair of the Investment Committee for Newable Ventures, a pre-Series A fund focused on deep technology. He is also an advisor to UKRI’s Science and Technology Funding Council (SFTC) which helps early stage companies spin out from UK universities. He has previously served as a non-executive director for Desktop Genetics and Tropic Biosciences, both of which specialize in the use of CRISPR technology in gene editing. Prior to 2015, Mr. Thakrar worked at various public market institutions in global equity research and fund management including at ADIA (Abu Dhabi’s sovereign wealth fund),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Todd Thomson </w:t>
      </w:r>
      <w:r>
        <w:rPr>
          <w:rFonts w:ascii="Arial" w:cs="Arial" w:eastAsia="Arial" w:hAnsi="Arial"/>
          <w:sz w:val="16"/>
          <w:szCs w:val="16"/>
          <w:color w:val="auto"/>
        </w:rPr>
        <w:t>will serve as a member of our board of directors upon the effective date of the registration statement of which this prospectus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Mr. Thomson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management team’s operating, SPAC,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38" w:gutter="0" w:footer="0" w:header="0"/>
        </w:sectPr>
      </w:pPr>
    </w:p>
    <w:bookmarkStart w:id="87" w:name="page88"/>
    <w:bookmarkEnd w:id="87"/>
    <w:p>
      <w:pPr>
        <w:jc w:val="both"/>
        <w:ind w:firstLine="648"/>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Certain of our executive officers and directors also serve as executive officers and directors of Chardan NexTech Acquisition Corp., or Chardan NexTech 1, a blank check company that is expected to consummate its initial public offering before the consummation of this offering.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the foregoing descriptions, the past performance of Chardan and its affiliates and our management team is not a guarantee either</w:t>
      </w:r>
    </w:p>
    <w:p>
      <w:pPr>
        <w:spacing w:after="0" w:line="46" w:lineRule="exact"/>
        <w:rPr>
          <w:sz w:val="20"/>
          <w:szCs w:val="20"/>
          <w:color w:val="auto"/>
        </w:rPr>
      </w:pPr>
    </w:p>
    <w:p>
      <w:pPr>
        <w:jc w:val="both"/>
        <w:ind w:firstLine="8"/>
        <w:spacing w:after="0" w:line="267" w:lineRule="auto"/>
        <w:tabs>
          <w:tab w:leader="none" w:pos="2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that we will be able to identify a suitable candidate for our initial business combination or (ii) of success with respect to any business combination we may consummate. As described in this prospectus, Messrs. Propper, Grossman, Weil, and Boyle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jc w:val="center"/>
        <w:ind w:left="5540" w:right="1320" w:hanging="4884"/>
        <w:spacing w:after="0" w:line="778" w:lineRule="auto"/>
        <w:tabs>
          <w:tab w:leader="none" w:pos="9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sponsoring, underwriting and mergers and acquisitions advisory;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980" w:right="360" w:hanging="324"/>
        <w:spacing w:after="0" w:line="34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6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Chardan will be the beneficial owner of founder shares or private warrants following this offering by virtue of its ownership of our sponsor and members of our management team may indirectly own such securities. Our sponsor intends to allocate up to 20,000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48"/>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Chardan Health SPAC 2.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Chardan Health SPAC 2,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We will have 15 months from the closing of this offering (or up to 18 months from the closing of this offering if we have executed a definitive agreement and filed a proxy statement for an initial business combination within 18 months from the closing of this offering) to consummate an initial business combination. In addition,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the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business that is affiliated with Chardan or its affiliates or our sponsor, officers or directors, including an Affiliated Joint Acquisition. In the event we seek to complete our initial business combination with an initial business combination target that is affiliated with our sponsor, officers or directors, we, or a committee of independent directors, would obtain an opinion from an independent investment banking firm or another independent firm that commonly renders valuation opinions that such an initial business combination is fair to our stockholders from a financial point of view. We are not required to obtain such an opinion in any other context.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68"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Chardan Healthcare Acquisition 2 Corp., Ventoux CCM Acquisition Corp. and Chardan NexTech Acquisition Corp. Our officers and directors also may become aware of business opportunities which may be appropriate for presentation to us and the other entities to which they owe certain fiduciary, contractual or other duties. Accordingly, if any of our officers or directors becomes aware of a business combination opportunity which is suitable for one or more entities to which he or she has fiduciary, contractual or other obligations or duties, including Chardan Healthcare Acquisition 2 Corp., Ventoux CCM Acquisition Corp. and Chardan NexTech Acquisition Corp.,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Any such Affiliated Joint Acquisition or specified future issuance would be in addition to, and would not include, the forward purchase securities issued pursuant to the forward purchase contract.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So long as we obtain and maintain a listing for our securities on Nasdaq,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mergers and acquisitions transactions of comparable businesses. If our board of directors is not able to independently determine the fair market value of our initial business combination, we will obtain an opinion from an independent investment banking firm or another independent firm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We have also agreed not to enter into a definitive agreement regarding an initial business combination without the prior consent of our sponsor.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in this offering to evaluate the possible merits or risks of any target business with which we may ultimately complete our initial business combination.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71" w:lineRule="exact"/>
        <w:rPr>
          <w:sz w:val="20"/>
          <w:szCs w:val="20"/>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stockholder may tender any or all of his, her or its public shares rather than some pro rata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55" w:lineRule="auto"/>
        <w:rPr>
          <w:sz w:val="20"/>
          <w:szCs w:val="20"/>
          <w:color w:val="auto"/>
        </w:rPr>
      </w:pPr>
      <w:r>
        <w:rPr>
          <w:rFonts w:ascii="Arial" w:cs="Arial" w:eastAsia="Arial" w:hAnsi="Arial"/>
          <w:sz w:val="18"/>
          <w:szCs w:val="18"/>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15 months (or up to 21 months, as applicable) from the closing of this offering in order to be able to receive a pro rata share of the trust account.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initial stockholders and our officers and directors have agreed (1) to vote any shares of common stock owned by them in favor of any proposed business combination, (2) not to redeem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None of our officers, directors, initial stockholders or their affiliates has indicated any intention to purchase units or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initial stockholders, directors, officers, advisors or any their respective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any of their respective affiliates may purchase in such transactions, subject to compliance with applicable law and Nasdaq rules. However, they have no current commitments, plans or intentions to engage in such transactions and have not formulated any terms or conditions for any such transactions.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48"/>
        <w:spacing w:after="0" w:line="269" w:lineRule="auto"/>
        <w:rPr>
          <w:sz w:val="20"/>
          <w:szCs w:val="20"/>
          <w:color w:val="auto"/>
        </w:rPr>
      </w:pPr>
      <w:r>
        <w:rPr>
          <w:rFonts w:ascii="Arial" w:cs="Arial" w:eastAsia="Arial" w:hAnsi="Arial"/>
          <w:sz w:val="17"/>
          <w:szCs w:val="17"/>
          <w:color w:val="auto"/>
        </w:rPr>
        <w:t>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If they engage in such transactions, they will be restricted from making any such purchases when they are in possession of any material non-public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 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Any purchases by our sponsor, officers, directors and/or any of their respective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advisors and/or any of their respective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Redemption/Tender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meeting called to approve an initial business combination, public stockholders may seek to redeem their public shares, regardless of whether they vote for or against the proposed business combination, into their pro rata share of the aggregate amount then on deposit in the trust account, less any taxes then due but not yet paid. Notwithstanding the foregoing, our initial stockholders have agreed, pursuant to written letter agreements with us, not to redeem any public shares held by them into their pro rata share of the aggregate amount then on deposit in the trust account. If we hold a meeting to approve an initial business combination, a holder will always have the ability to vote against a proposed business combination and not seek redemption of his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311" w:lineRule="auto"/>
        <w:rPr>
          <w:sz w:val="20"/>
          <w:szCs w:val="20"/>
          <w:color w:val="auto"/>
        </w:rPr>
      </w:pPr>
      <w:r>
        <w:rPr>
          <w:rFonts w:ascii="Arial" w:cs="Arial" w:eastAsia="Arial" w:hAnsi="Arial"/>
          <w:sz w:val="16"/>
          <w:szCs w:val="16"/>
          <w:color w:val="auto"/>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initial stockholders, officers and directors will not have redemption rights with respect to any shares of common stock owned by them, directly or indirectly, whether acquired prior to this offering or purchased by them in this offering or in the aftermarket.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redemption rights. Under Delaware law and our bylaws, we are required to provide at least 10 days’ advance notice of any stockholder meeting, which would be the minimum amount of time a stockholder would have to determine whether to exercise redemption rights. As a result, if we require public stockholders who wish to redeem their shares of common stock into the right to receive a pro rata portion of the funds in the trust account to comply with the foregoing delivery requirements, holders may not have sufficient time to receive the notice and deliver their shares for redemption. Accordingly, investors may not be able to exercise their redemption rights and may be forced to retain our securities when they otherwise would not want to. The redemption rights will include the requirement that a beneficial holder must identify itself in order to validly redeem its shares.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redeeming holder. However, this fee would be incurred regardless of whether or not we require holders seeking to exercise redemption rights. The need to deliver shares is a requirement of exercising redemption rights regardless of the timing of when such delivery must be effectuated. However, in the event we require stockholders seeking to exercise redemption rights to deliver their shares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to redeem or tender such shares once made, may be withdrawn at any time up to the vote on the proposed business combination or expiration of the tender offer. Furthermore, if a holder of a public share delivered his certificate in connection with an election of their redemption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common stock submitted for redemption will be returned to the holders thereof.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spacing w:after="0" w:line="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management at a premium to the then-current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or tender rights would not be entitled to redeem their shares for the applicable pro rata share of the trust account. In such case, we will promptly return any shares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If we do not complete a business combination within 15 months from the closing of this offering (or up to 18 months from the closing of this offering if we have executed a definitive agreement and filed a proxy statement for an initial business combination within 15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Public stockholders will not be offered the opportunity to vote on or redeem their shares in connection with any such extension.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15 months (or up to 21 months, as applicable)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the allotted time period.</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u w:val="single" w:color="auto"/>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8" w:orient="portrait"/>
          <w:cols w:equalWidth="0" w:num="1">
            <w:col w:w="11240"/>
          </w:cols>
          <w:pgMar w:left="320" w:top="1124" w:right="339" w:bottom="0" w:gutter="0" w:footer="0" w:header="0"/>
        </w:sectPr>
      </w:pPr>
    </w:p>
    <w:bookmarkStart w:id="99" w:name="page100"/>
    <w:bookmarkEnd w:id="99"/>
    <w:p>
      <w:pPr>
        <w:jc w:val="both"/>
        <w:ind w:firstLine="648"/>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15th month (or up to 21st month, as applicable) from the closing of this offering, but not more than five business days thereafter,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independent public registered accounting firm,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$10.10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$10.10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648"/>
        <w:spacing w:after="0" w:line="270"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5 business days to effectuate the redemption of our public shares. Our insiders have waived their rights to participate in any redemption with respect to their founder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8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redeem their respective shares of common stock upon a business combination which is actually completed by us. In no other circumstances shall a stockholder have any right or interest of any kind to or in the trust account.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redemption amount received by public stockholders may be less than $10.10.</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amended and restated certificate of incorporation will contain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redemption rights with respect to any founder shares and any public shares they may hold in connection with any vote to amend our certificate of incorporation. Specifically, our certificate of incorporation provides, among other things, that:</w:t>
      </w:r>
    </w:p>
    <w:p>
      <w:pPr>
        <w:spacing w:after="0" w:line="165" w:lineRule="exact"/>
        <w:rPr>
          <w:sz w:val="20"/>
          <w:szCs w:val="20"/>
          <w:color w:val="auto"/>
        </w:rPr>
      </w:pPr>
    </w:p>
    <w:p>
      <w:pPr>
        <w:jc w:val="both"/>
        <w:ind w:left="980" w:hanging="324"/>
        <w:spacing w:after="0" w:line="255"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the consummation of our initial business combination, we shall either (1) seek stockholder approval of our initial business combination at a meeting called for such purpose at which public stockholders may seek to redeem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left="980" w:hanging="324"/>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redemption rights in an amount that would cause our net tangible assets to be less than $5,000,001 and a majority of the outstanding shares of common stock voted are voted in favor of the business combination;</w:t>
      </w:r>
    </w:p>
    <w:p>
      <w:pPr>
        <w:spacing w:after="0" w:line="183" w:lineRule="exact"/>
        <w:rPr>
          <w:rFonts w:ascii="Arial" w:cs="Arial" w:eastAsia="Arial" w:hAnsi="Arial"/>
          <w:sz w:val="18"/>
          <w:szCs w:val="18"/>
          <w:color w:val="auto"/>
        </w:rPr>
      </w:pPr>
    </w:p>
    <w:p>
      <w:pPr>
        <w:jc w:val="both"/>
        <w:ind w:left="980" w:hanging="324"/>
        <w:spacing w:after="0" w:line="342"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our initial business combination is not consummated within 15 months (or up to 21 months, as applicable) of the closing of this offering, then our existence will terminate and we will distribute all amounts in the trust account to all of our public holders of shares of common stock;</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consummation of this offering, $101,000,000, or $116,150,000 if the over-allotment option is exercised in full, shall be placed into the trust account;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receive funds from the trust account or (ii) vote on any initial business combination.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84" w:lineRule="exact"/>
        <w:rPr>
          <w:sz w:val="20"/>
          <w:szCs w:val="20"/>
          <w:color w:val="auto"/>
        </w:rPr>
      </w:pPr>
    </w:p>
    <w:p>
      <w:pPr>
        <w:ind w:left="980" w:hanging="324"/>
        <w:spacing w:after="0" w:line="30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requirement to obtain a valuation for any target business affiliated with our insiders, in the event it was too expensive to do so.</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6"/>
          <w:szCs w:val="16"/>
          <w:color w:val="auto"/>
        </w:rPr>
        <w:t>Except as specified above, stockholders would not be required to be given the opportunity to redeem their shares in connection with such changes.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changes could result in:</w:t>
      </w:r>
    </w:p>
    <w:p>
      <w:pPr>
        <w:spacing w:after="0" w:line="211" w:lineRule="exact"/>
        <w:rPr>
          <w:sz w:val="20"/>
          <w:szCs w:val="20"/>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3" w:lineRule="exact"/>
        <w:rPr>
          <w:sz w:val="20"/>
          <w:szCs w:val="20"/>
          <w:color w:val="auto"/>
        </w:rPr>
      </w:pPr>
    </w:p>
    <w:p>
      <w:pPr>
        <w:jc w:val="both"/>
        <w:ind w:right="20" w:firstLine="648"/>
        <w:spacing w:after="0" w:line="214" w:lineRule="auto"/>
        <w:rPr>
          <w:sz w:val="20"/>
          <w:szCs w:val="20"/>
          <w:color w:val="auto"/>
        </w:rPr>
      </w:pPr>
      <w:r>
        <w:rPr>
          <w:rFonts w:ascii="Arial" w:cs="Arial" w:eastAsia="Arial" w:hAnsi="Arial"/>
          <w:sz w:val="18"/>
          <w:szCs w:val="18"/>
          <w:color w:val="auto"/>
        </w:rPr>
        <w:t>We currently maintain our executive offices at 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10004. Our sponsor is making this space available to us for a fee of $10,000 per month. We consider our current office space adequate for our current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currently have two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With funds available for an initial business combination initially in the amount of $97,500,000, after payment of the Marketing Fee of $3,500,000 (or $112,125,000 after payment of the Marketing Fee of up to $4,025,000 if the underwriters’ over-allotment option is exercised in full),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registered the offer and sale of our units, shares of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7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will be required to comply with the internal control requirements of the Sarbanes-Oxley Act beginning for the fiscal year ending December 31, 2022.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15 months (or up to 21 months, as applicable) from the closing of this offering.</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Redemptions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Other Permitted</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Redemptions if we</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 Connection with our</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Purchases of Public</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fail to Complete an</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Initial Business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by us or our</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Initial Business</w:t>
            </w:r>
          </w:p>
        </w:tc>
      </w:tr>
      <w:tr>
        <w:trPr>
          <w:trHeight w:val="234"/>
        </w:trPr>
        <w:tc>
          <w:tcPr>
            <w:tcW w:w="20" w:type="dxa"/>
            <w:vAlign w:val="bottom"/>
          </w:tcPr>
          <w:p>
            <w:pPr>
              <w:spacing w:after="0"/>
              <w:rPr>
                <w:sz w:val="20"/>
                <w:szCs w:val="20"/>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Combination</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Affiliates</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Combination</w:t>
            </w:r>
          </w:p>
        </w:tc>
      </w:tr>
      <w:tr>
        <w:trPr>
          <w:trHeight w:val="195"/>
        </w:trPr>
        <w:tc>
          <w:tcPr>
            <w:tcW w:w="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Redemptions  at  the  time  of  our  initial</w:t>
            </w:r>
          </w:p>
        </w:tc>
        <w:tc>
          <w:tcPr>
            <w:tcW w:w="12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If we seek stockholder approval of our</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If we are unable to complete our initial</w:t>
            </w:r>
          </w:p>
        </w:tc>
        <w:tc>
          <w:tcPr>
            <w:tcW w:w="20" w:type="dxa"/>
            <w:vAlign w:val="bottom"/>
          </w:tcPr>
          <w:p>
            <w:pPr>
              <w:spacing w:after="0"/>
              <w:rPr>
                <w:sz w:val="16"/>
                <w:szCs w:val="16"/>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business combination may be made pursuant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initial business combination, our sponsor,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business combination within 15 months (or</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to a tender offer or in connection with a</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directors,  officers,  advisors  or  their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up to 21 months, as applicable) from the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stockholder vote. The redemption price will</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affiliates may purchase shares in privately</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closing of this offering, we will redeem all</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be   the   same   whether   we   conduct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negotiated  transactions  or  in  the  open</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public shares at a per-share price, payable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redemptions pursuant to a tender offer or in</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market prior to or following completion of</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8"/>
              </w:rPr>
              <w:t>in cash, equal to the aggregate amount,</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connection with a stockholder vote. In either</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our initial business combination. There is</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then on deposit in the trust account (which</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case, our public stockholders may redeem</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no limit to the prices that our sponsor,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rPr>
              <w:t>is initially anticipated to be $10.10 per</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rPr>
              <w:t>their public shares for cash equal to the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directors,  officers,  advisors  or  their</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public share) including interest earned on</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aggregate amount then on deposit in the trust</w:t>
            </w:r>
          </w:p>
        </w:tc>
        <w:tc>
          <w:tcPr>
            <w:tcW w:w="3240" w:type="dxa"/>
            <w:vAlign w:val="bottom"/>
            <w:gridSpan w:val="2"/>
          </w:tcPr>
          <w:p>
            <w:pPr>
              <w:spacing w:after="0"/>
              <w:rPr>
                <w:sz w:val="20"/>
                <w:szCs w:val="20"/>
                <w:color w:val="auto"/>
              </w:rPr>
            </w:pPr>
            <w:r>
              <w:rPr>
                <w:rFonts w:ascii="Arial" w:cs="Arial" w:eastAsia="Arial" w:hAnsi="Arial"/>
                <w:sz w:val="18"/>
                <w:szCs w:val="18"/>
                <w:color w:val="auto"/>
              </w:rPr>
              <w:t>affiliates may pay in these transactions.</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the funds held in the trust account and not</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account as of two business days prior to the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previously released to us to pay our taxes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consummation  of  the  initial  business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rPr>
              <w:t>(less up to $100,000 of interest to pay</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combination (which is initially anticipated to</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dissolution  expenses),  divided  by  the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be  $10.10  per  public  share),  including</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3"/>
              </w:rPr>
              <w:t>number of then outstanding public shares.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interest earned on the funds held in the trust</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account and not previously released to us to</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pay our taxes divided by the number of then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outstanding  public  shares,  subject  to  the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limitation that we may only redeem our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public shares so long as our net tangible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assets  are  at  least  $5,000,001  either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immediately prior to or upon consummation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of our initial business combination and any</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limitations (including but not limited to cash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requirements) agreed to in connection with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the negotiation of terms of a proposed initial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3"/>
          </w:tcPr>
          <w:p>
            <w:pPr>
              <w:spacing w:after="0"/>
              <w:rPr>
                <w:sz w:val="20"/>
                <w:szCs w:val="20"/>
                <w:color w:val="auto"/>
              </w:rPr>
            </w:pPr>
            <w:r>
              <w:rPr>
                <w:rFonts w:ascii="Arial" w:cs="Arial" w:eastAsia="Arial" w:hAnsi="Arial"/>
                <w:sz w:val="18"/>
                <w:szCs w:val="18"/>
                <w:color w:val="auto"/>
              </w:rPr>
              <w:t>business combination.</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1100" w:space="280"/>
            <w:col w:w="986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343" w:lineRule="auto"/>
        <w:rPr>
          <w:sz w:val="20"/>
          <w:szCs w:val="20"/>
          <w:color w:val="auto"/>
        </w:rPr>
      </w:pPr>
      <w:r>
        <w:rPr>
          <w:rFonts w:ascii="Arial" w:cs="Arial" w:eastAsia="Arial" w:hAnsi="Arial"/>
          <w:sz w:val="15"/>
          <w:szCs w:val="15"/>
          <w:b w:val="1"/>
          <w:bCs w:val="1"/>
          <w:color w:val="auto"/>
        </w:rPr>
        <w:t>Impact to remaining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Redemptions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Other Permitted</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Redemptions if we</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 Connection with our</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Purchases of Public</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fail to Complete an</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Initial Business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by us or our</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Initial Business</w:t>
            </w:r>
          </w:p>
        </w:tc>
      </w:tr>
      <w:tr>
        <w:trPr>
          <w:trHeight w:val="234"/>
        </w:trPr>
        <w:tc>
          <w:tcPr>
            <w:tcW w:w="20" w:type="dxa"/>
            <w:vAlign w:val="bottom"/>
          </w:tcPr>
          <w:p>
            <w:pPr>
              <w:spacing w:after="0"/>
              <w:rPr>
                <w:sz w:val="20"/>
                <w:szCs w:val="20"/>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Combination</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Affiliates</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2"/>
              </w:rPr>
              <w:t>Combination</w:t>
            </w:r>
          </w:p>
        </w:tc>
      </w:tr>
      <w:tr>
        <w:trPr>
          <w:trHeight w:val="195"/>
        </w:trPr>
        <w:tc>
          <w:tcPr>
            <w:tcW w:w="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redemptions  in  connection  with  our</w:t>
            </w:r>
          </w:p>
        </w:tc>
        <w:tc>
          <w:tcPr>
            <w:tcW w:w="12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If the permitted purchases described above</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redemption of our public shares if we</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initial business combination will reduce the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are made there would be no impact to our</w:t>
            </w:r>
          </w:p>
        </w:tc>
        <w:tc>
          <w:tcPr>
            <w:tcW w:w="3140" w:type="dxa"/>
            <w:vAlign w:val="bottom"/>
          </w:tcPr>
          <w:p>
            <w:pPr>
              <w:jc w:val="center"/>
              <w:spacing w:after="0"/>
              <w:rPr>
                <w:sz w:val="20"/>
                <w:szCs w:val="20"/>
                <w:color w:val="auto"/>
              </w:rPr>
            </w:pPr>
            <w:r>
              <w:rPr>
                <w:rFonts w:ascii="Arial" w:cs="Arial" w:eastAsia="Arial" w:hAnsi="Arial"/>
                <w:sz w:val="18"/>
                <w:szCs w:val="18"/>
                <w:color w:val="auto"/>
              </w:rPr>
              <w:t>fail  to  complete  our  initial  business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book  value  per  share  for  our  remaining</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remaining   stockholders   because   the</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combination will reduce the book value per</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stockholders, who will bear the burden of the</w:t>
            </w:r>
          </w:p>
        </w:tc>
        <w:tc>
          <w:tcPr>
            <w:tcW w:w="3240" w:type="dxa"/>
            <w:vAlign w:val="bottom"/>
            <w:gridSpan w:val="2"/>
          </w:tcPr>
          <w:p>
            <w:pPr>
              <w:spacing w:after="0"/>
              <w:rPr>
                <w:sz w:val="20"/>
                <w:szCs w:val="20"/>
                <w:color w:val="auto"/>
              </w:rPr>
            </w:pPr>
            <w:r>
              <w:rPr>
                <w:rFonts w:ascii="Arial" w:cs="Arial" w:eastAsia="Arial" w:hAnsi="Arial"/>
                <w:sz w:val="18"/>
                <w:szCs w:val="18"/>
                <w:color w:val="auto"/>
              </w:rPr>
              <w:t>purchase price would not be paid by us.</w:t>
            </w:r>
          </w:p>
        </w:tc>
        <w:tc>
          <w:tcPr>
            <w:tcW w:w="3140" w:type="dxa"/>
            <w:vAlign w:val="bottom"/>
          </w:tcPr>
          <w:p>
            <w:pPr>
              <w:jc w:val="center"/>
              <w:spacing w:after="0"/>
              <w:rPr>
                <w:sz w:val="20"/>
                <w:szCs w:val="20"/>
                <w:color w:val="auto"/>
              </w:rPr>
            </w:pPr>
            <w:r>
              <w:rPr>
                <w:rFonts w:ascii="Arial" w:cs="Arial" w:eastAsia="Arial" w:hAnsi="Arial"/>
                <w:sz w:val="18"/>
                <w:szCs w:val="18"/>
                <w:color w:val="auto"/>
              </w:rPr>
              <w:t>share for the shares held by our initial</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Marketing Fee, taxes payable.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rPr>
              <w:t>stockholders,  who  will  be  our  only</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rPr>
              <w:t>remaining   stockholders   after   such</w:t>
            </w: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redemptions.</w:t>
            </w:r>
          </w:p>
        </w:tc>
      </w:tr>
    </w:tbl>
    <w:p>
      <w:pPr>
        <w:spacing w:after="0" w:line="198" w:lineRule="exact"/>
        <w:rPr>
          <w:sz w:val="20"/>
          <w:szCs w:val="20"/>
          <w:color w:val="auto"/>
        </w:rPr>
      </w:pPr>
    </w:p>
    <w:p>
      <w:pPr>
        <w:sectPr>
          <w:pgSz w:w="11900" w:h="16838" w:orient="portrait"/>
          <w:cols w:equalWidth="0" w:num="2">
            <w:col w:w="980" w:space="400"/>
            <w:col w:w="986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either immediately prior to or upon the successful consummation of this offering and will file a Current Report on Form 8-K, including an audited balance sheet demonstrating this fact.</w:t>
      </w:r>
    </w:p>
    <w:p>
      <w:pPr>
        <w:sectPr>
          <w:pgSz w:w="11900" w:h="16838" w:orient="portrait"/>
          <w:cols w:equalWidth="0" w:num="1">
            <w:col w:w="11240"/>
          </w:cols>
          <w:pgMar w:left="320" w:top="904" w:right="339" w:bottom="1440" w:gutter="0" w:footer="0" w:header="0"/>
          <w:type w:val="continuous"/>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89"/>
              </w:rPr>
              <w:t>$101,000,000 of the net offering proceeds and proceeds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from the sale of the private warrants will be deposited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into a trust account in the United States, maintained by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Continental Stock Transfer &amp; Trust Company, acting as</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634"/>
        </w:trPr>
        <w:tc>
          <w:tcPr>
            <w:tcW w:w="3060" w:type="dxa"/>
            <w:vAlign w:val="bottom"/>
          </w:tcPr>
          <w:p>
            <w:pPr>
              <w:spacing w:after="0"/>
              <w:rPr>
                <w:sz w:val="20"/>
                <w:szCs w:val="20"/>
                <w:color w:val="auto"/>
              </w:rPr>
            </w:pPr>
            <w:r>
              <w:rPr>
                <w:rFonts w:ascii="Arial" w:cs="Arial" w:eastAsia="Arial" w:hAnsi="Arial"/>
                <w:sz w:val="18"/>
                <w:szCs w:val="18"/>
                <w:b w:val="1"/>
                <w:bCs w:val="1"/>
                <w:color w:val="auto"/>
              </w:rPr>
              <w:t>Investment of net proceeds</w:t>
            </w:r>
          </w:p>
        </w:tc>
        <w:tc>
          <w:tcPr>
            <w:tcW w:w="4040" w:type="dxa"/>
            <w:vAlign w:val="bottom"/>
          </w:tcPr>
          <w:p>
            <w:pPr>
              <w:spacing w:after="0"/>
              <w:rPr>
                <w:sz w:val="20"/>
                <w:szCs w:val="20"/>
                <w:color w:val="auto"/>
              </w:rPr>
            </w:pPr>
            <w:r>
              <w:rPr>
                <w:rFonts w:ascii="Arial" w:cs="Arial" w:eastAsia="Arial" w:hAnsi="Arial"/>
                <w:sz w:val="18"/>
                <w:szCs w:val="18"/>
                <w:color w:val="auto"/>
                <w:w w:val="99"/>
              </w:rPr>
              <w:t>The $101,000,000 of the net offering proceeds and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proceeds from the sale of the private warrants held in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trust will only be invested in United States government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treasury bills, bonds or notes with a maturity of 185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days or less or in money market funds meeting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applicable conditions under Rule 2a-7 promulgated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under the Investment Company Act and that invest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solely in United States government treasuries.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$90,450,000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807" w:lineRule="exact"/>
        <w:rPr>
          <w:sz w:val="20"/>
          <w:szCs w:val="20"/>
          <w:color w:val="auto"/>
        </w:rPr>
      </w:pPr>
    </w:p>
    <w:p>
      <w:pPr>
        <w:sectPr>
          <w:pgSz w:w="11900" w:h="16838" w:orient="portrait"/>
          <w:cols w:equalWidth="0" w:num="2">
            <w:col w:w="7100" w:space="220"/>
            <w:col w:w="392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6" w:name="page107"/>
    <w:bookmarkEnd w:id="106"/>
    <w:p>
      <w:pPr>
        <w:spacing w:after="0" w:line="216" w:lineRule="exact"/>
        <w:rPr>
          <w:sz w:val="20"/>
          <w:szCs w:val="20"/>
          <w:color w:val="auto"/>
        </w:rPr>
      </w:pPr>
    </w:p>
    <w:p>
      <w:pPr>
        <w:ind w:left="180" w:hanging="161"/>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on proceeds from the trust account to be paid to stockholders is reduced by (i) any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834" w:lineRule="exact"/>
        <w:rPr>
          <w:sz w:val="20"/>
          <w:szCs w:val="20"/>
          <w:color w:val="auto"/>
        </w:rPr>
      </w:pPr>
    </w:p>
    <w:p>
      <w:pPr>
        <w:sectPr>
          <w:pgSz w:w="11900" w:h="16838" w:orient="portrait"/>
          <w:cols w:equalWidth="0" w:num="3">
            <w:col w:w="2380" w:space="680"/>
            <w:col w:w="4040" w:space="220"/>
            <w:col w:w="3920"/>
          </w:cols>
          <w:pgMar w:left="320" w:top="904" w:right="339" w:bottom="1440" w:gutter="0" w:footer="0" w:header="0"/>
        </w:sectPr>
      </w:pPr>
    </w:p>
    <w:p>
      <w:pPr>
        <w:spacing w:after="0"/>
        <w:tabs>
          <w:tab w:leader="none" w:pos="3040" w:val="left"/>
        </w:tabs>
        <w:rPr>
          <w:sz w:val="20"/>
          <w:szCs w:val="20"/>
          <w:color w:val="auto"/>
        </w:rPr>
      </w:pPr>
      <w:r>
        <w:rPr>
          <w:rFonts w:ascii="Arial" w:cs="Arial" w:eastAsia="Arial" w:hAnsi="Arial"/>
          <w:sz w:val="18"/>
          <w:szCs w:val="18"/>
          <w:b w:val="1"/>
          <w:bCs w:val="1"/>
          <w:color w:val="auto"/>
        </w:rPr>
        <w:t>Limitation on fair value or net assets</w:t>
      </w:r>
      <w:r>
        <w:rPr>
          <w:sz w:val="20"/>
          <w:szCs w:val="20"/>
          <w:color w:val="auto"/>
        </w:rPr>
        <w:tab/>
      </w:r>
      <w:r>
        <w:rPr>
          <w:rFonts w:ascii="Arial" w:cs="Arial" w:eastAsia="Arial" w:hAnsi="Arial"/>
          <w:sz w:val="16"/>
          <w:szCs w:val="16"/>
          <w:color w:val="auto"/>
        </w:rPr>
        <w:t>The initial target business that we acquire must have a</w:t>
      </w:r>
    </w:p>
    <w:p>
      <w:pPr>
        <w:spacing w:after="0" w:line="27" w:lineRule="exact"/>
        <w:rPr>
          <w:sz w:val="20"/>
          <w:szCs w:val="20"/>
          <w:color w:val="auto"/>
        </w:rPr>
      </w:pPr>
    </w:p>
    <w:p>
      <w:pPr>
        <w:ind w:left="180"/>
        <w:spacing w:after="0"/>
        <w:tabs>
          <w:tab w:leader="none" w:pos="3040" w:val="left"/>
        </w:tabs>
        <w:rPr>
          <w:sz w:val="20"/>
          <w:szCs w:val="20"/>
          <w:color w:val="auto"/>
        </w:rPr>
      </w:pPr>
      <w:r>
        <w:rPr>
          <w:rFonts w:ascii="Arial" w:cs="Arial" w:eastAsia="Arial" w:hAnsi="Arial"/>
          <w:sz w:val="18"/>
          <w:szCs w:val="18"/>
          <w:b w:val="1"/>
          <w:bCs w:val="1"/>
          <w:color w:val="auto"/>
        </w:rPr>
        <w:t>of target business</w:t>
      </w:r>
      <w:r>
        <w:rPr>
          <w:sz w:val="20"/>
          <w:szCs w:val="20"/>
          <w:color w:val="auto"/>
        </w:rPr>
        <w:tab/>
      </w:r>
      <w:r>
        <w:rPr>
          <w:rFonts w:ascii="Arial" w:cs="Arial" w:eastAsia="Arial" w:hAnsi="Arial"/>
          <w:sz w:val="16"/>
          <w:szCs w:val="16"/>
          <w:color w:val="auto"/>
        </w:rPr>
        <w:t>fair market value equal to at least 80% of the balance in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our trust account net of taxes payable at the time of the</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execution of a definitive agreement for our initial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business combination.</w:t>
      </w:r>
    </w:p>
    <w:p>
      <w:pPr>
        <w:spacing w:after="0" w:line="20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Trading of securities issued</w:t>
      </w:r>
      <w:r>
        <w:rPr>
          <w:sz w:val="20"/>
          <w:szCs w:val="20"/>
          <w:color w:val="auto"/>
        </w:rPr>
        <w:tab/>
      </w:r>
      <w:r>
        <w:rPr>
          <w:rFonts w:ascii="Arial" w:cs="Arial" w:eastAsia="Arial" w:hAnsi="Arial"/>
          <w:sz w:val="16"/>
          <w:szCs w:val="16"/>
          <w:color w:val="auto"/>
        </w:rPr>
        <w:t>The units may commence trading on or promptly after</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the date of this prospectus. The shares of common</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stock and warrants comprising the units will begin to</w:t>
      </w:r>
    </w:p>
    <w:p>
      <w:pPr>
        <w:ind w:left="3060"/>
        <w:spacing w:after="0" w:line="207" w:lineRule="auto"/>
        <w:rPr>
          <w:sz w:val="20"/>
          <w:szCs w:val="20"/>
          <w:color w:val="auto"/>
        </w:rPr>
      </w:pPr>
      <w:r>
        <w:rPr>
          <w:rFonts w:ascii="Arial" w:cs="Arial" w:eastAsia="Arial" w:hAnsi="Arial"/>
          <w:sz w:val="17"/>
          <w:szCs w:val="17"/>
          <w:color w:val="auto"/>
        </w:rPr>
        <w:t>trade separately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unless Chardan informs us of its decision to</w:t>
      </w:r>
    </w:p>
    <w:p>
      <w:pPr>
        <w:spacing w:after="0" w:line="7" w:lineRule="exact"/>
        <w:rPr>
          <w:sz w:val="20"/>
          <w:szCs w:val="20"/>
          <w:color w:val="auto"/>
        </w:rPr>
      </w:pPr>
    </w:p>
    <w:p>
      <w:pPr>
        <w:ind w:left="3060"/>
        <w:spacing w:after="0"/>
        <w:tabs>
          <w:tab w:leader="none" w:pos="3620" w:val="left"/>
          <w:tab w:leader="none" w:pos="4260" w:val="left"/>
          <w:tab w:leader="none" w:pos="5020" w:val="left"/>
          <w:tab w:leader="none" w:pos="5700" w:val="left"/>
          <w:tab w:leader="none" w:pos="6360" w:val="left"/>
          <w:tab w:leader="none" w:pos="6900" w:val="left"/>
        </w:tabs>
        <w:rPr>
          <w:sz w:val="20"/>
          <w:szCs w:val="20"/>
          <w:color w:val="auto"/>
        </w:rPr>
      </w:pPr>
      <w:r>
        <w:rPr>
          <w:rFonts w:ascii="Arial" w:cs="Arial" w:eastAsia="Arial" w:hAnsi="Arial"/>
          <w:sz w:val="18"/>
          <w:szCs w:val="18"/>
          <w:color w:val="auto"/>
        </w:rPr>
        <w:t>allow</w:t>
        <w:tab/>
        <w:t>earlier</w:t>
        <w:tab/>
        <w:t>separate</w:t>
        <w:tab/>
        <w:t>trading</w:t>
        <w:tab/>
        <w:t>(based</w:t>
        <w:tab/>
        <w:t>upon</w:t>
      </w:r>
      <w:r>
        <w:rPr>
          <w:sz w:val="20"/>
          <w:szCs w:val="20"/>
          <w:color w:val="auto"/>
        </w:rPr>
        <w:tab/>
      </w:r>
      <w:r>
        <w:rPr>
          <w:rFonts w:ascii="Arial" w:cs="Arial" w:eastAsia="Arial" w:hAnsi="Arial"/>
          <w:sz w:val="16"/>
          <w:szCs w:val="16"/>
          <w:color w:val="auto"/>
        </w:rPr>
        <w:t>its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assessment of the relative strengths of the securities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markets  and  small  capitalization  and  blank  check</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companies in general, and the trading pattern of, and</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demand for, our securities in particular), provided we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have filed with the SEC a Current Report on Form 8-K,</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which includes an audited balance sheet reflecting our</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receipt of the proceeds of this offering.</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would be restricted from acquiring a target business unless the fair value of such business or net assets to be acquired represent at least 80% of the maximum offering proceeds.</w:t>
      </w:r>
    </w:p>
    <w:p>
      <w:pPr>
        <w:spacing w:after="0" w:line="200" w:lineRule="exact"/>
        <w:rPr>
          <w:sz w:val="20"/>
          <w:szCs w:val="20"/>
          <w:color w:val="auto"/>
        </w:rPr>
      </w:pP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 trading of the units or the underlying securities would be permitted until the completion of a business combination. During this period, the securities would be held in the escrow or trust account.</w:t>
      </w:r>
    </w:p>
    <w:p>
      <w:pPr>
        <w:spacing w:after="0" w:line="2130" w:lineRule="exact"/>
        <w:rPr>
          <w:sz w:val="20"/>
          <w:szCs w:val="20"/>
          <w:color w:val="auto"/>
        </w:rPr>
      </w:pPr>
    </w:p>
    <w:p>
      <w:pPr>
        <w:sectPr>
          <w:pgSz w:w="11900" w:h="16838" w:orient="portrait"/>
          <w:cols w:equalWidth="0" w:num="2">
            <w:col w:w="7100" w:space="220"/>
            <w:col w:w="3920"/>
          </w:cols>
          <w:pgMar w:left="320" w:top="904" w:right="339" w:bottom="1440" w:gutter="0" w:footer="0" w:header="0"/>
          <w:type w:val="continuous"/>
        </w:sectPr>
      </w:pPr>
    </w:p>
    <w:p>
      <w:pPr>
        <w:spacing w:after="0" w:line="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Exercise of the warrants</w:t>
      </w:r>
      <w:r>
        <w:rPr>
          <w:sz w:val="20"/>
          <w:szCs w:val="20"/>
          <w:color w:val="auto"/>
        </w:rPr>
        <w:tab/>
      </w:r>
      <w:r>
        <w:rPr>
          <w:rFonts w:ascii="Arial" w:cs="Arial" w:eastAsia="Arial" w:hAnsi="Arial"/>
          <w:sz w:val="16"/>
          <w:szCs w:val="16"/>
          <w:color w:val="auto"/>
        </w:rPr>
        <w:t>The warrants cannot be exercised until the completion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a business combination and, accordingly, will be</w:t>
      </w:r>
    </w:p>
    <w:p>
      <w:pPr>
        <w:spacing w:after="0" w:line="9" w:lineRule="exact"/>
        <w:rPr>
          <w:sz w:val="20"/>
          <w:szCs w:val="20"/>
          <w:color w:val="auto"/>
        </w:rPr>
      </w:pPr>
    </w:p>
    <w:p>
      <w:pPr>
        <w:ind w:left="3060"/>
        <w:spacing w:after="0"/>
        <w:tabs>
          <w:tab w:leader="none" w:pos="3860" w:val="left"/>
          <w:tab w:leader="none" w:pos="4320" w:val="left"/>
          <w:tab w:leader="none" w:pos="4800" w:val="left"/>
          <w:tab w:leader="none" w:pos="5160" w:val="left"/>
          <w:tab w:leader="none" w:pos="5640" w:val="left"/>
          <w:tab w:leader="none" w:pos="6340" w:val="left"/>
          <w:tab w:leader="none" w:pos="6720" w:val="left"/>
        </w:tabs>
        <w:rPr>
          <w:sz w:val="20"/>
          <w:szCs w:val="20"/>
          <w:color w:val="auto"/>
        </w:rPr>
      </w:pPr>
      <w:r>
        <w:rPr>
          <w:rFonts w:ascii="Arial" w:cs="Arial" w:eastAsia="Arial" w:hAnsi="Arial"/>
          <w:sz w:val="18"/>
          <w:szCs w:val="18"/>
          <w:color w:val="auto"/>
        </w:rPr>
        <w:t>exercised</w:t>
        <w:tab/>
        <w:t>only</w:t>
        <w:tab/>
        <w:t>after</w:t>
        <w:tab/>
        <w:t>the</w:t>
        <w:tab/>
        <w:t>trust</w:t>
        <w:tab/>
        <w:t>account</w:t>
        <w:tab/>
        <w:t>has</w:t>
      </w:r>
      <w:r>
        <w:rPr>
          <w:sz w:val="20"/>
          <w:szCs w:val="20"/>
          <w:color w:val="auto"/>
        </w:rPr>
        <w:tab/>
      </w:r>
      <w:r>
        <w:rPr>
          <w:rFonts w:ascii="Arial" w:cs="Arial" w:eastAsia="Arial" w:hAnsi="Arial"/>
          <w:sz w:val="15"/>
          <w:szCs w:val="15"/>
          <w:color w:val="auto"/>
        </w:rPr>
        <w:t>been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terminated and distributed.</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ectPr>
          <w:pgSz w:w="11900" w:h="16838" w:orient="portrait"/>
          <w:cols w:equalWidth="0" w:num="2">
            <w:col w:w="7080" w:space="240"/>
            <w:col w:w="3920"/>
          </w:cols>
          <w:pgMar w:left="320" w:top="904" w:right="33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Election to remain an investor</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2"/>
              </w:rPr>
              <w:t>We will either (1) give our stockholders the opportunity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to vote on the business combination or (2) provide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public stockholders with the opportunity to sell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public shares to us in a tender offer for cash equal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 xml:space="preserve">their </w:t>
            </w:r>
            <w:r>
              <w:rPr>
                <w:rFonts w:ascii="Arial" w:cs="Arial" w:eastAsia="Arial" w:hAnsi="Arial"/>
                <w:sz w:val="18"/>
                <w:szCs w:val="18"/>
                <w:i w:val="1"/>
                <w:iCs w:val="1"/>
                <w:color w:val="auto"/>
                <w:w w:val="96"/>
              </w:rPr>
              <w:t>pro rata</w:t>
            </w:r>
            <w:r>
              <w:rPr>
                <w:rFonts w:ascii="Arial" w:cs="Arial" w:eastAsia="Arial" w:hAnsi="Arial"/>
                <w:sz w:val="18"/>
                <w:szCs w:val="18"/>
                <w:color w:val="auto"/>
                <w:w w:val="96"/>
              </w:rPr>
              <w:t xml:space="preserve"> share of the aggregate amount then 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deposit in the trust account, less taxes. If we hold a</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meeting to approve a proposed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we  will  send  each  stockholder  a  proxy  statement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containing information required by the SEC. Under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certificate of incorporation, we must provide at least 10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days advance notice of any meeting of stockholders.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Accordingly, this is the minimum amount of time we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would need to provide holders to determine whether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exercise their rights to redeem their shares into cash at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such  a  meeting  or  to  remain  an  investor  in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company. Alternatively, if we do not hold a meeting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and instead conduct a tender offer, we will conduct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such tender offer in accordance with the tender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rules of the SEC and file tender offer documents with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the SEC which will contain substantially the same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and  other  information  about  the  initial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business combination as we would have included in a</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proxy statement.</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The tender offer rules require us to hold the tender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open for at least 20 business days. Accordingly, this is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the minimum amount of time we would need to provide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holders to determine whether they want to sell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shares to us in the tender offer or remain an investor in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our company.</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b w:val="1"/>
                <w:bCs w:val="1"/>
                <w:color w:val="auto"/>
              </w:rPr>
              <w:t>Business combination deadline</w:t>
            </w:r>
          </w:p>
        </w:tc>
        <w:tc>
          <w:tcPr>
            <w:tcW w:w="4040" w:type="dxa"/>
            <w:vAlign w:val="bottom"/>
          </w:tcPr>
          <w:p>
            <w:pPr>
              <w:spacing w:after="0"/>
              <w:rPr>
                <w:sz w:val="20"/>
                <w:szCs w:val="20"/>
                <w:color w:val="auto"/>
              </w:rPr>
            </w:pPr>
            <w:r>
              <w:rPr>
                <w:rFonts w:ascii="Arial" w:cs="Arial" w:eastAsia="Arial" w:hAnsi="Arial"/>
                <w:sz w:val="18"/>
                <w:szCs w:val="18"/>
                <w:color w:val="auto"/>
                <w:w w:val="92"/>
              </w:rPr>
              <w:t>Pursuant to our certificate of incorporation, if we do not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complete an initial business combination within 15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months (or up to 21 months, as applicable) from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consummation of  this  offering,  it  will  trigger  our</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automatic winding up, dissolution and liquidation.</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4040" w:type="dxa"/>
            <w:vAlign w:val="bottom"/>
          </w:tcPr>
          <w:p>
            <w:pPr>
              <w:ind w:left="24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 prospectus containing information required by the SEC would be sent to each investor. Each investor would be given the opportunity to notify the company, in writing, within a period of no less than 20 business days and no more than 45 business days from the effective date of the post-effective amendment, to decide whether he or she elects to remain a stockholder of the company or require the return of his or her investment. If the company has not received</w:t>
      </w:r>
    </w:p>
    <w:p>
      <w:pPr>
        <w:spacing w:after="0" w:line="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notification by the end of the 45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business day, funds and interest or dividends, if any, held in the trust or escrow account would automatically be returned to the stockholder. Unless a sufficient number of investors elect to remain investors, all of the deposited funds in the escrow account must be returned to all investors and none of the securities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 acquisition has not been consummated within 18 months after the effective date of the initial registration statement, funds held in the trust or escrow account would be returned to investors.</w:t>
      </w:r>
    </w:p>
    <w:p>
      <w:pPr>
        <w:sectPr>
          <w:pgSz w:w="11900" w:h="16838" w:orient="portrait"/>
          <w:cols w:equalWidth="0" w:num="2">
            <w:col w:w="7100" w:space="220"/>
            <w:col w:w="3920"/>
          </w:cols>
          <w:pgMar w:left="320" w:top="904" w:right="339" w:bottom="1440" w:gutter="0" w:footer="0" w:header="0"/>
        </w:sectPr>
      </w:pPr>
    </w:p>
    <w:bookmarkStart w:id="108" w:name="page109"/>
    <w:bookmarkEnd w:id="108"/>
    <w:p>
      <w:pPr>
        <w:spacing w:after="0" w:line="216" w:lineRule="exact"/>
        <w:rPr>
          <w:sz w:val="20"/>
          <w:szCs w:val="20"/>
          <w:color w:val="auto"/>
        </w:rPr>
      </w:pPr>
    </w:p>
    <w:p>
      <w:pPr>
        <w:ind w:hanging="161"/>
        <w:spacing w:after="0" w:line="277" w:lineRule="auto"/>
        <w:rPr>
          <w:sz w:val="20"/>
          <w:szCs w:val="20"/>
          <w:color w:val="auto"/>
        </w:rPr>
      </w:pPr>
      <w:r>
        <w:rPr>
          <w:rFonts w:ascii="Arial" w:cs="Arial" w:eastAsia="Arial" w:hAnsi="Arial"/>
          <w:sz w:val="17"/>
          <w:szCs w:val="17"/>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0" w:lineRule="exact"/>
        <w:rPr>
          <w:sz w:val="20"/>
          <w:szCs w:val="20"/>
          <w:color w:val="auto"/>
        </w:rPr>
      </w:pPr>
    </w:p>
    <w:p>
      <w:pPr>
        <w:spacing w:after="0" w:line="20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blank check companies provide no restrictions on the ability of stockholders to redeem shares based on the number of shares held by such stockholders in connection with an initial business combination</w:t>
      </w:r>
    </w:p>
    <w:p>
      <w:pPr>
        <w:sectPr>
          <w:pgSz w:w="11900" w:h="16838" w:orient="portrait"/>
          <w:cols w:equalWidth="0" w:num="3">
            <w:col w:w="2500" w:space="380"/>
            <w:col w:w="4040" w:space="220"/>
            <w:col w:w="3900"/>
          </w:cols>
          <w:pgMar w:left="500" w:top="904" w:right="359" w:bottom="1440" w:gutter="0" w:footer="0" w:header="0"/>
        </w:sectPr>
      </w:pPr>
    </w:p>
    <w:bookmarkStart w:id="109" w:name="page110"/>
    <w:bookmarkEnd w:id="109"/>
    <w:p>
      <w:pPr>
        <w:spacing w:after="0" w:line="216" w:lineRule="exact"/>
        <w:rPr>
          <w:sz w:val="20"/>
          <w:szCs w:val="20"/>
          <w:color w:val="auto"/>
        </w:rPr>
      </w:pPr>
    </w:p>
    <w:p>
      <w:pPr>
        <w:ind w:hanging="161"/>
        <w:spacing w:after="0" w:line="266" w:lineRule="auto"/>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using The Depository Trust Company’s DWAC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Accordingly, a public stockholder would have from the time we send out our tender offer materials until the close of the tender offer period, or up to two business days prior to the vote on the initial business combination if we distribute proxy materials, as applicable, to tender its shares if it wishes to seek to exercise its redemption rights.</w:t>
      </w:r>
    </w:p>
    <w:p>
      <w:pPr>
        <w:spacing w:after="0" w:line="39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ectPr>
          <w:pgSz w:w="11900" w:h="16838" w:orient="portrait"/>
          <w:cols w:equalWidth="0" w:num="3">
            <w:col w:w="2520" w:space="360"/>
            <w:col w:w="4040" w:space="220"/>
            <w:col w:w="3920"/>
          </w:cols>
          <w:pgMar w:left="500" w:top="904"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1"/>
              </w:rPr>
              <w:t>Except for interest earned on the funds held in the trust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 that may be released to us to pay our tax</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obligations, the proceeds from this offering and the sale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of the private warrants held in the trust account will not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be  released  until  the  earliest  to  occur  of:  (i)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completion of our initial business combination, (ii)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redemption of any public shares properly submitted in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connection  with  a  stockholder  vote  to  amend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(A)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modify the substance or timing of our obligation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allow  redemption  in  connection  with  our  initial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business combination or to redeem 100% of our public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shares if we do not complete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combination within 15 months (or up to 21 months, as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applicable) from the closing of this offering or (B) with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respect to any other provision relating to stockholders’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rights or pre-business combination activity and (iii)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redemption of 100% of our public shares if we are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unable to complete an initial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within  the  required  time  frame  (subject  to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requirements of applicable law). On the completion of</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our initial business combination, all amounts held in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trust account will be released to us, less amounts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released to a separate account controlled by the trustee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for disbursal to redeeming stockholders. We will use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these  funds  to  pay  amounts  due  to  any  public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stockholders who exercise their redemption rights as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described above under “Redemption rights for public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stockholders upon completion of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combination,”  to  pay  all  or  a  portion  of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consideration payable to the target or owners of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target of our initial business combination and to pay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other expenses associated with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combination, including the Marketing Fee pursuant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the  Business  Combination  Marketing  Agreement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described under “</w:t>
            </w:r>
            <w:r>
              <w:rPr>
                <w:rFonts w:ascii="Arial" w:cs="Arial" w:eastAsia="Arial" w:hAnsi="Arial"/>
                <w:sz w:val="18"/>
                <w:szCs w:val="18"/>
                <w:i w:val="1"/>
                <w:iCs w:val="1"/>
                <w:color w:val="auto"/>
                <w:w w:val="97"/>
              </w:rPr>
              <w:t>Underwriting (Conflicts of Interest)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 Business Combination Marketing 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4040" w:type="dxa"/>
            <w:vAlign w:val="bottom"/>
          </w:tcPr>
          <w:p>
            <w:pPr>
              <w:ind w:left="24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proceeds held in the escrow account would not be released until the earlier of the completion of a business combination or the failure to effect a business combination within the allotted time.</w:t>
      </w:r>
    </w:p>
    <w:p>
      <w:pPr>
        <w:sectPr>
          <w:pgSz w:w="11900" w:h="16838" w:orient="portrait"/>
          <w:cols w:equalWidth="0" w:num="2">
            <w:col w:w="7100" w:space="220"/>
            <w:col w:w="3920"/>
          </w:cols>
          <w:pgMar w:left="320" w:top="904"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8200" w:type="dxa"/>
            <w:vAlign w:val="bottom"/>
            <w:tcBorders>
              <w:bottom w:val="single" w:sz="8" w:color="auto"/>
            </w:tcBorders>
          </w:tcPr>
          <w:p>
            <w:pPr>
              <w:ind w:left="380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Kerry Propper</w:t>
            </w:r>
          </w:p>
        </w:tc>
        <w:tc>
          <w:tcPr>
            <w:tcW w:w="10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Co-Founder and Director Nominee (Chairman)</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Jonas Grossman</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Co-Founder, Chief Executive Officer, President, Secretary, Treasurer and Director</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Alex Weil</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 and 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Jonathan Biele</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Perry Boyle</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Roderick Hardamon</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Jory Des Jardins</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Hitesh Thakrar</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Todd Thomson</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Kerry Propper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46</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our co-founder and will serve as our Chairman of the board of directors upon the effectiveness of the registration statement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been the chairman of Chardan’s board of directors and the co-founder and managing partner of ATW Partners, a growth-focused investment firm. Mr. Propper also sits on the board of 340Basics, Credit Sesame, PierianDx, and China Networks. Mr. Propper dedicates much of his time to philanthropy and is a founding member of Nadia’s Initiative. He also serves on the board of trustees of the International Crisis Group and sits on the executive boards of Keep A Child Alive, Voices of Rwanda, Yazda and Digital Citizens Fund. Mr. Propper earned his B.A. in Economics and International Studies from Colby College. We believe Mr. Propper is qualified to serve on our board of directors because of his extensive industry and transaction expertise and wide network of relationships with industry participants.</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Jonas Grossman</w:t>
      </w:r>
      <w:r>
        <w:rPr>
          <w:rFonts w:ascii="Arial" w:cs="Arial" w:eastAsia="Arial" w:hAnsi="Arial"/>
          <w:sz w:val="16"/>
          <w:szCs w:val="16"/>
          <w:color w:val="auto"/>
        </w:rPr>
        <w:t>, 47, is our co-founder and has been our Chief Executive Officer and a member of our board of directors since June 2020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and Treasurer since July 2020. Since July 2020, Mr. Grossman has served as Chief Executive Officer and director of Chardan NexTech Acquisition Corp. Since April 2020, Mr. Grossman has been the Chief Executive Officer and president of Chardan Healthcare Acquisition 2 Corp., a special purpose acquisition company, which announced its merger with Renovacor, Inc in March 2021. He was the Chief Executive officer and President of Chardan Healthcare Acquisition Corp. from March 2018 until its merger in October 2019 with BiomX (NYSE: PHGE). Mr. Grossman is currently a director of BiomX. He was a co-founder and director for LifeSci Acquisition Corp., a special purpose acquisition company from March 2020 until its merger with Vincera Pharma, Inc. in December of 2020. Since December 2020, Mr. Grossman has served as a director of Ventoux CCM Acquisition Corp., a special purpose acquisition company. Since May 2021, Mr. Grossman has served as a director of CleanTech Acquisition Corp., a special purpose acquisition company. He has served as managing partner and head of capital markets for Chardan, a New York headquartered broker/dealer, since December 2003, and has additionally served as president of Chardan since September 2015. Since 2003, Mr. Grossman has overseen the Chardan’s investment banking and capital markets activities and initiatives. He has extensive transactional experience having led or managed more than 500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Mr. Grossman has served on the board of directors for UNICEF since December 2016. We believe Mr. Grossman is qualified to serve on our board of directors because of his long-running capital markets experience as well as his previous company board positions.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Alex Weil</w:t>
      </w:r>
      <w:r>
        <w:rPr>
          <w:rFonts w:ascii="Arial" w:cs="Arial" w:eastAsia="Arial" w:hAnsi="Arial"/>
          <w:sz w:val="17"/>
          <w:szCs w:val="17"/>
          <w:color w:val="auto"/>
        </w:rPr>
        <w:t>, 49, has served as our Chief Financial Officer since April 2021 and will serve as a member of our board of directors upon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of the registration statement of which this prospectus is a part. Since March 2021, Mr. Weil has served as chief financial officer of Chardan NexTech Acquisition Corp., and he has agreed to serve on the board of directors. Mr. Weil has served as managing director and co-head of FinTech investment banking at Chardan, a New York headquartered broker/dealer, since March 2020 and as a director of Ventoux CCM Acquisition Corp., a special purpose acquisition company, since December 2020. From January 2018 to March 2020, he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extensive capital markets and transaction management experience and network of relationships.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Jonathan C. “Jon” Biele</w:t>
      </w:r>
      <w:r>
        <w:rPr>
          <w:rFonts w:ascii="Arial" w:cs="Arial" w:eastAsia="Arial" w:hAnsi="Arial"/>
          <w:sz w:val="17"/>
          <w:szCs w:val="17"/>
          <w:color w:val="auto"/>
        </w:rPr>
        <w:t>, 51, has agreed to become a member of our board of directors as of the effective date of the registration statement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this prospectus is a part. Mr. Biele recently joined PREEM Inc., a vertical technology platform, as head of business and corporate development after a 28-year career in investment banking serving in a variety of leadership roles. Most recently, Mr. Biele served as head of technology and services investment banking after rejuvenating the equity capital markets practice at SunTrust Robinson Humphrey, where he worked from July 2013 to February 2020. During his career, Mr. Biele focused on providing capital markets, strategic and tactical advice to companies, boards of directors, private equity and venture capitalists. In addition to his tenure at SunTrust Robinson Humphrey, Mr. Biele served as head of equity capital markets for Citadel Securities from 2010 to 2013, for Cowen and Co. from 2007 to 2010, and for Lazard Freres from 2005 to 2007,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a premier ski academy in the United States, and remains the lead investor and advisor to the chief executive officer of inGamba Tours, a luxury cyclo-tourism business. Mr. Biele earned a B.A. in History in 1992 from St. Lawrence University. We believe that Mr. Biele’s vast experience in corporate finance and strategy, in addition to his vast network of relationships, will be an extremely valuable contribution to our board of directors.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spacing w:after="0" w:line="9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Perry Boyle</w:t>
      </w:r>
      <w:r>
        <w:rPr>
          <w:rFonts w:ascii="Arial" w:cs="Arial" w:eastAsia="Arial" w:hAnsi="Arial"/>
          <w:sz w:val="16"/>
          <w:szCs w:val="16"/>
          <w:color w:val="auto"/>
        </w:rPr>
        <w:t>, 57, will serve as a member of our board of directors upon the effective date of the registration statement of which this prospectus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Mr. Boyle was with Point72 Asset Management, L.P., or Point 72, and Point 72 affiliates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Point72, overseeing offices in London, Hong Kong, Tokyo and Singapore. Prior to joining S.A.C., Mr. Boyle was a founding partner of Thomas Weisel Partners from 2000 until 2004, and a managing director at Alex. Brown &amp; Sons from 1992-2000.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 He received his B.A. in Economics from Stanford University, his M.B.A. from Dartmouth College and a M.A. from the Fletcher School at Tufts University. He has lectured on investing at Brown, Yale, Dartmouth, Harvard, Cambridge and UNC, and delivered testimony to Congress on financial regulation. We believe Mr. Boyle is qualified to serve on our board of directors because of industry leadership and capital markets experience from research to fundraising.</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Roderick Hardamon</w:t>
      </w:r>
      <w:r>
        <w:rPr>
          <w:rFonts w:ascii="Arial" w:cs="Arial" w:eastAsia="Arial" w:hAnsi="Arial"/>
          <w:sz w:val="17"/>
          <w:szCs w:val="17"/>
          <w:color w:val="auto"/>
        </w:rPr>
        <w:t>, 44, 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Hardamon has served as chief executive officer of URGE Imprint LLC, a boutique management consulting firm headquartered in Detroit, Michigan, and URGE Development Group, a real estate development firm headquartered in Detroit, Michigan, since May 2016. From July 1998 to March 2016, Mr. Hardamon held various positions at Citigroup, a leading global bank, finally serving as managing director and North American head of Citigroup’s alternative investor services business. From March 2016 to April 2016, Mr. Hardamon briefly served as a managing director at SS&amp;C Technologies, a global provider of services and software for the financial services and healthcare industries. Mr. Hardamon graduated from Morehouse College with B.A.s in accounting and Philosophy in 1998. We believe Mr. Hardamon is qualified to serve on our board of directors because of his extensive experience in business innovation, mergers and acquisitions, and senior executive leadership.</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Jory Des Jardins</w:t>
      </w:r>
      <w:r>
        <w:rPr>
          <w:rFonts w:ascii="Arial" w:cs="Arial" w:eastAsia="Arial" w:hAnsi="Arial"/>
          <w:sz w:val="16"/>
          <w:szCs w:val="16"/>
          <w:color w:val="auto"/>
        </w:rPr>
        <w:t>, 49, will serve as a member of our board of directors upon the effective date of the registration statement of which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is a part. Ms. Jardins is the chief marketing officer of The @ Company, a position she has held since 2020. She has also served as VC-in-Residence at the W Fund since 2020. Ms. Jardins recently served as the head of global startup marketing at Amazon Web Services from 2019 to 2020. Before her time at Amazon Web Services, she served as the global head of community at ConsenSys from 2018 to 2019. Ms. Jardins served as an advisor at Tribal Advisors from 2016 to 2018. In 2005, she co-founded BlogHer and served as the company’s president until its acquisition in 2015. Ms. Jardins graduated from the University of Illinois at Urbana-Champaign in 1993 where she studied history, literature, and psychology. We believe that Ms. Jardins is qualified to serve on our board of directors given her exposure to dozens of scaling startups as well as her experience with disruptiv</w:t>
      </w:r>
      <w:r>
        <w:rPr>
          <w:rFonts w:ascii="Arial" w:cs="Arial" w:eastAsia="Arial" w:hAnsi="Arial"/>
          <w:sz w:val="16"/>
          <w:szCs w:val="16"/>
          <w:b w:val="1"/>
          <w:bCs w:val="1"/>
          <w:color w:val="auto"/>
        </w:rPr>
        <w:t>e</w:t>
      </w:r>
      <w:r>
        <w:rPr>
          <w:rFonts w:ascii="Arial" w:cs="Arial" w:eastAsia="Arial" w:hAnsi="Arial"/>
          <w:sz w:val="16"/>
          <w:szCs w:val="16"/>
          <w:color w:val="auto"/>
        </w:rPr>
        <w:t xml:space="preserve"> technology</w:t>
      </w:r>
      <w:r>
        <w:rPr>
          <w:rFonts w:ascii="Arial" w:cs="Arial" w:eastAsia="Arial" w:hAnsi="Arial"/>
          <w:sz w:val="16"/>
          <w:szCs w:val="16"/>
          <w:b w:val="1"/>
          <w:bCs w:val="1"/>
          <w:color w:val="auto"/>
        </w:rPr>
        <w:t>.</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Hitesh Thakrar</w:t>
      </w:r>
      <w:r>
        <w:rPr>
          <w:rFonts w:ascii="Arial" w:cs="Arial" w:eastAsia="Arial" w:hAnsi="Arial"/>
          <w:sz w:val="16"/>
          <w:szCs w:val="16"/>
          <w:color w:val="auto"/>
        </w:rPr>
        <w:t>, 59, will serve as a member of our board of directors upon the effective date of the registration statement of which this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part. Mr. Thakrar is an experienced investor in the technology sector, having spent over 20 years investing in public equities in the life sciences, information technology and innovation sectors. Since 2015, he has been active in early stage venture investing. Mr. Thakrar is currently a Venture Partner at Syncona Limited, a Wellcome Trust backed early stage venture fund, a position he has held since February 2016. He has also served as a Governance Board Member of KQ Labs at the Francis Crick Institute since December 2018. Since August 2020, he has been the main Board Trustee of the Alan Turing Institute which is the UK National Institute for Artificial Intelligence and Data Science research. Additionally, since November 2016, Mr. Thakrar has been the Chair of the Investment Committee for Newable Ventures, a pre-Series A fund focused on deep technology. He has also served as an advisor to UKRI’s Science and Technology Funding Council (SFTC), which helps early stage companies spin out from UK universities, since July 2020. He has previously served as a non-executive director for Desktop Genetics and Tropic Biosciences since 2015 and 2017 respectively, both of which specialize in the use of CRISPR technology in gene editing. Previously, Mr. Thakrar held the position of Portfolio Manager, Global Innovation Fund with the Abu Dhabi Investment Authority (ADIA), from 2009 until 2015. He has worked at several other public market institutions in global equity research and fund management including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 We believe Mr. Thakrar is qualified to serve as a member of our board of directors given his decades of technology investing and public company expertise.</w:t>
      </w:r>
    </w:p>
    <w:p>
      <w:pPr>
        <w:spacing w:after="0" w:line="3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Todd Thomson</w:t>
      </w:r>
      <w:r>
        <w:rPr>
          <w:rFonts w:ascii="Arial" w:cs="Arial" w:eastAsia="Arial" w:hAnsi="Arial"/>
          <w:sz w:val="16"/>
          <w:szCs w:val="16"/>
          <w:color w:val="auto"/>
        </w:rPr>
        <w:t>, 60, will serve as a member of our board of directors upon the effective date of the registration statement of which this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part. He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 We believe Mr. Thomson is qualified to serve on our board of directors because experience in public company corporate finance and early-stage investing.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So long as we obtain and maintain a listing for our securities on Nasdaq, a majority of our board of directors generally must be independent, subject to certain limited exceptions and phase-in period set forth under the rules of Nasdaq.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w:t>
      </w:r>
    </w:p>
    <w:p>
      <w:pPr>
        <w:sectPr>
          <w:pgSz w:w="11900" w:h="16936" w:orient="portrait"/>
          <w:cols w:equalWidth="0" w:num="1">
            <w:col w:w="11240"/>
          </w:cols>
          <w:pgMar w:left="320" w:top="908" w:right="339" w:bottom="0" w:gutter="0" w:footer="0" w:header="0"/>
        </w:sectPr>
      </w:pPr>
    </w:p>
    <w:bookmarkStart w:id="114" w:name="page115"/>
    <w:bookmarkEnd w:id="114"/>
    <w:p>
      <w:pPr>
        <w:jc w:val="both"/>
        <w:spacing w:after="0" w:line="259" w:lineRule="auto"/>
        <w:rPr>
          <w:sz w:val="20"/>
          <w:szCs w:val="20"/>
          <w:color w:val="auto"/>
        </w:rPr>
      </w:pPr>
      <w:r>
        <w:rPr>
          <w:rFonts w:ascii="Arial" w:cs="Arial" w:eastAsia="Arial" w:hAnsi="Arial"/>
          <w:sz w:val="18"/>
          <w:szCs w:val="18"/>
          <w:color w:val="auto"/>
        </w:rPr>
        <w:t>directors has determined that each of Messrs. Biele, Boyle, Hardamon, Thakrar and Thomson and Ms. Jardins, is an “independent director” as defined in the Nasdaq listing standards and applicable SEC rules. We expect a majority of our board of directors to be comprised of independent directors within 12 months from the date of listing to comply with the majority independent board requirement in Rule 5605(b) of the Nasdaq listing rules. Our independent directors will have regularly scheduled meetings at which only independent directors are present.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will have eight directors upon completion of this offering. Our board of directors will be divided into two classes with only one class of directors being elected in each year and each class (except for those directors appointed prior to our first annual meeting of stockholders) serving a 2-year term. In accordance with Nasdaq corporate governance requirements, we are not required to hold an annual meeting until one year after our first fiscal year end following our listing on Nasdaq. The term of office of the first class of directors, consisting of Messrs. Biele, Boyle, Hardamon, Thakrar and Thomson and Ms. Jardins will expire at our first annual meeting of stockholders. The term of office of the second class of directors, consisting of Messrs. Grossman, Propper, and Weil, will expire at our second annual meeting of stockholders. We may not hold an annual meeting of stockholders until after we consummate our initial business combination.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Subject to any other special rights applicable to the stockholders, including holders of preferred stock, whenever any director shall have been elected by the holders of any class of stock voting separately as a class, such director may be removed and the vacancy filled only by the holders of that class of stock voting separately as a class. Vacancies caused by any such removal and not filled by the stockholders at the meeting at which such removal shall have been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although less than a quorum, and any director so elected to fill any such vacancy or newly created directorship shall hold office until his or her successor is elected and qualified or until his or her earlier resignation or removal.</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Chairmen of the Board, President, Vice Presidents, Secretary, Treasurer, Assistant Secretaries, Assistant Treasurers, and such other offices as may be determined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None of our officers or directors has received any cash compensation for services rendered to us. Except as described below, to date, no compensation of any kind, including any finder’s fee, reimbursement, consulting fee or monies in respect of any payment of a loan, will be paid by us to our officers and directors, or, other than as described herein, to our sponsor or any affiliate of our sponsor or officers, prior to, or in connection with any services rendered in order to effectuate, the consummation of our initial business combination (regardless of the type of transaction that it is). However, in May and June 2021, our sponsor transferred 20,000 founder shares to each of Messrs. Biele, Boyle, Hardamon, Thakrar and Thomson and Ms. Jardins. In addition, commencing on the date our securities are first listed on Nasdaq, we will pay an amount equal to $10,000 per month to our sponsor for office space, administrative and shared personnel support services. Also, our officers and directors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officers for their out-of-pocket expenses incurred in connection with identifying and consummating an initial business combination.</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will have two standing committees: an audit committee and a compensation committee. Subject to phase-in rules and certain limited exceptions, Nasdaq rules and Rule 10A-3 of the Exchange Act require that the audit committee of a listed company be comprised solely of independent directors. In addition, Nasdaq rules generally require that the compensation committee of a listed company be comprised solely of independent directors, subject to certain limited exceptions set forth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consummation of this offering, we will establish an audit committee of the board of directors. Messrs. Hardamon, Boyle and Grossman will serve as members of our audit committee, and Mr. Hardamon will chair the audit committee. Under the Nasdaq listing standards and applicable SEC rules, we are required to have at least three members of the audit committee, all of whom must be independent, subject to certain phase-in provisions. Mr. Hardamon and Mr. Boyle meet the independent director standard under Nasdaq listing standards and under Rule 10-A-3(b) (1) of the Exchange Act but Mr. Grossman does not meet such standards.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Hardamon qualifies as an “audit committee financial expert” as defined in applicable SEC rules.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25" w:lineRule="exact"/>
        <w:rPr>
          <w:sz w:val="20"/>
          <w:szCs w:val="20"/>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ind w:left="980" w:right="2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Prior to the consummation of this offering, we will establish a compensation committee of the board of directors. Ms. Jardins, Mr. Biele and Mr. Thomson will serve as members of our compensation committee. Under the Nasdaq listing standards and applicable SEC rules, we generally would be required to have at least two members of the compensation committee, all of whom must be independent, subject to certain limited exceptions set forth under the rules of Nasdaq. Ms. Jardins, Mr. Biele and Mr. Thomson are independent, and Ms. Jardins will chair the compensation committee.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25" w:lineRule="exact"/>
        <w:rPr>
          <w:sz w:val="20"/>
          <w:szCs w:val="20"/>
          <w:color w:val="auto"/>
        </w:rPr>
      </w:pPr>
    </w:p>
    <w:p>
      <w:pPr>
        <w:jc w:val="both"/>
        <w:ind w:left="98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have a standing nominating committee, although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All of our independent directors who will participate in the consideration and recommendation of director nominees. In accordance with Rule 5605 of the Nasdaq rules, each of Messrs. Biele, Boyle, Hardamon, Thakrar and Thomson and Ms. Jardins is independent. As there is no standing nominating committee, we do not have a nominating committee charter in place.</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 However, prior to our initial business combination, holders of our public shares will not have the right to recommend director candidates for nomination to our board of directors.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the consummation of this offering, we will adopt a Code of Ethics applicable to our directors, officers and employees. We will file a copy of our Code of Ethics and our audit and compensation committee charters as exhibits to the registration statement of which this prospectus is a part. You will be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 See the section of this prospectus entitled “</w:t>
      </w:r>
      <w:r>
        <w:rPr>
          <w:rFonts w:ascii="Arial" w:cs="Arial" w:eastAsia="Arial" w:hAnsi="Arial"/>
          <w:sz w:val="16"/>
          <w:szCs w:val="16"/>
          <w:i w:val="1"/>
          <w:iCs w:val="1"/>
          <w:color w:val="auto"/>
        </w:rPr>
        <w:t>Where You Can Find Additional Information</w:t>
      </w:r>
      <w:r>
        <w:rPr>
          <w:rFonts w:ascii="Arial" w:cs="Arial" w:eastAsia="Arial" w:hAnsi="Arial"/>
          <w:sz w:val="16"/>
          <w:szCs w:val="16"/>
          <w:color w:val="auto"/>
        </w:rPr>
        <w:t>” 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 opportunities to other entities to which they owe duties or clients of affiliates of our sponsor.</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directors, Chardan and their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foregoing, we may, at our option, pursue an Affiliated Joint Acquisition. We do not expect that we would pursue any such opportunity with an Affiliated SPAC. This would only occur, though,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 Any such Affiliated Joint Acquisition or specified future issuance would be in addition to, and would not include, the forward purchase securities issued pursuant to the forward purchase contract.</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be aware of the additional following potential conflicts of interest:</w:t>
      </w:r>
    </w:p>
    <w:p>
      <w:pPr>
        <w:spacing w:after="0" w:line="225" w:lineRule="exact"/>
        <w:rPr>
          <w:sz w:val="20"/>
          <w:szCs w:val="20"/>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70"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management has pre-existing fiduciary duties and contractual obligations and if there is a conflict of interest in determining to which entity a particular business opportunity should be presented, any pre-existing fiduciary obligation will be presented the opportunity before we are presented with it.</w:t>
      </w:r>
    </w:p>
    <w:p>
      <w:pPr>
        <w:spacing w:after="0" w:line="157"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70"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founder shares owned by our officers and directors will be released from escrow only if a business combination is successfully completed and subject to certain other limitations. Additionally, our officers and directors will not receive distributions from the trust account with respect to any of their founder shares if we do not complete a business combination. In addition, our officers and directors may loan funds to us after this offering and may be owed reimbursement for expenses incurred in connection with certain activities on our behalf which would only be repaid if we complete an initial business combination. For the foregoing reasons, the personal and financial interests of our directors and executive officers may influence their motivation in identifying and selecting a target business, completing a business combination in a timely manner and securing the release of their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left="980" w:hanging="324"/>
        <w:spacing w:after="0" w:line="26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completion window.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179" w:lineRule="exact"/>
        <w:rPr>
          <w:rFonts w:ascii="Arial" w:cs="Arial" w:eastAsia="Arial" w:hAnsi="Arial"/>
          <w:sz w:val="17"/>
          <w:szCs w:val="17"/>
          <w:color w:val="auto"/>
        </w:rPr>
      </w:pPr>
    </w:p>
    <w:p>
      <w:pPr>
        <w:jc w:val="both"/>
        <w:ind w:left="980" w:right="2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8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sponsor intends to allocate up to 20,000 founder shares to each of our independent directors. Such securities will be worthless if we do not complete an initial business combination.</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w:t>
      </w:r>
    </w:p>
    <w:p>
      <w:pPr>
        <w:spacing w:after="0" w:line="183"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648"/>
        <w:spacing w:after="0" w:line="284"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w:t>
      </w:r>
    </w:p>
    <w:p>
      <w:pPr>
        <w:spacing w:after="0" w:line="4" w:lineRule="exact"/>
        <w:rPr>
          <w:sz w:val="20"/>
          <w:szCs w:val="20"/>
          <w:color w:val="auto"/>
        </w:rPr>
      </w:pPr>
    </w:p>
    <w:p>
      <w:pPr>
        <w:jc w:val="both"/>
        <w:ind w:firstLine="8"/>
        <w:spacing w:after="0" w:line="269" w:lineRule="auto"/>
        <w:tabs>
          <w:tab w:leader="none" w:pos="266" w:val="left"/>
        </w:tabs>
        <w:numPr>
          <w:ilvl w:val="0"/>
          <w:numId w:val="52"/>
        </w:numPr>
        <w:rPr>
          <w:rFonts w:ascii="Arial" w:cs="Arial" w:eastAsia="Arial" w:hAnsi="Arial"/>
          <w:sz w:val="17"/>
          <w:szCs w:val="17"/>
          <w:color w:val="auto"/>
        </w:rPr>
      </w:pPr>
      <w:r>
        <w:rPr>
          <w:rFonts w:ascii="Arial" w:cs="Arial" w:eastAsia="Arial" w:hAnsi="Arial"/>
          <w:sz w:val="17"/>
          <w:szCs w:val="17"/>
          <w:color w:val="auto"/>
        </w:rPr>
        <w:t>15 months (or up to 21 months, as applicable)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other relevant pre-existing fiduciary or contractual obligations of our officers and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580" w:type="dxa"/>
            <w:vAlign w:val="bottom"/>
          </w:tcPr>
          <w:p>
            <w:pPr>
              <w:ind w:left="1720"/>
              <w:spacing w:after="0"/>
              <w:rPr>
                <w:sz w:val="20"/>
                <w:szCs w:val="20"/>
                <w:color w:val="auto"/>
              </w:rPr>
            </w:pPr>
            <w:r>
              <w:rPr>
                <w:rFonts w:ascii="Arial" w:cs="Arial" w:eastAsia="Arial" w:hAnsi="Arial"/>
                <w:sz w:val="18"/>
                <w:szCs w:val="18"/>
                <w:b w:val="1"/>
                <w:bCs w:val="1"/>
                <w:color w:val="auto"/>
              </w:rPr>
              <w:t>Priority/Preference relative to</w:t>
            </w:r>
          </w:p>
        </w:tc>
        <w:tc>
          <w:tcPr>
            <w:tcW w:w="0" w:type="dxa"/>
            <w:vAlign w:val="bottom"/>
          </w:tcPr>
          <w:p>
            <w:pPr>
              <w:spacing w:after="0"/>
              <w:rPr>
                <w:sz w:val="1"/>
                <w:szCs w:val="1"/>
                <w:color w:val="auto"/>
              </w:rPr>
            </w:pPr>
          </w:p>
        </w:tc>
      </w:tr>
      <w:tr>
        <w:trPr>
          <w:trHeight w:val="2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Affiliated Company</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2"/>
              </w:rPr>
              <w:t>Name of Individual</w:t>
            </w:r>
          </w:p>
        </w:tc>
        <w:tc>
          <w:tcPr>
            <w:tcW w:w="558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Chardan NexTech Acquisition 2 Corp.</w:t>
            </w:r>
          </w:p>
        </w:tc>
        <w:tc>
          <w:tcPr>
            <w:tcW w:w="0" w:type="dxa"/>
            <w:vAlign w:val="bottom"/>
          </w:tcPr>
          <w:p>
            <w:pPr>
              <w:spacing w:after="0"/>
              <w:rPr>
                <w:sz w:val="1"/>
                <w:szCs w:val="1"/>
                <w:color w:val="auto"/>
              </w:rPr>
            </w:pPr>
          </w:p>
        </w:tc>
      </w:tr>
      <w:tr>
        <w:trPr>
          <w:trHeight w:val="195"/>
        </w:trPr>
        <w:tc>
          <w:tcPr>
            <w:tcW w:w="3600" w:type="dxa"/>
            <w:vAlign w:val="bottom"/>
          </w:tcPr>
          <w:p>
            <w:pPr>
              <w:spacing w:after="0" w:line="195" w:lineRule="exact"/>
              <w:rPr>
                <w:sz w:val="20"/>
                <w:szCs w:val="20"/>
                <w:color w:val="auto"/>
              </w:rPr>
            </w:pPr>
            <w:r>
              <w:rPr>
                <w:rFonts w:ascii="Arial" w:cs="Arial" w:eastAsia="Arial" w:hAnsi="Arial"/>
                <w:sz w:val="18"/>
                <w:szCs w:val="18"/>
                <w:color w:val="auto"/>
              </w:rPr>
              <w:t>340Basics d/b/a Nuvem</w:t>
            </w:r>
          </w:p>
        </w:tc>
        <w:tc>
          <w:tcPr>
            <w:tcW w:w="20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ATW Partners</w:t>
            </w:r>
          </w:p>
        </w:tc>
        <w:tc>
          <w:tcPr>
            <w:tcW w:w="2060" w:type="dxa"/>
            <w:vAlign w:val="bottom"/>
          </w:tcPr>
          <w:p>
            <w:pPr>
              <w:spacing w:after="0"/>
              <w:rPr>
                <w:sz w:val="18"/>
                <w:szCs w:val="18"/>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5"/>
              </w:rPr>
              <w:t>340Basics d/b/a Nuvem, ATW Partners, and Chardan Capital Markets,</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Capital Markets, LLC</w:t>
            </w:r>
          </w:p>
        </w:tc>
        <w:tc>
          <w:tcPr>
            <w:tcW w:w="206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3"/>
              </w:rPr>
              <w:t>LLC, Chardan NexTech Acquisition Corp., China Networks International</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Kerry Propper</w:t>
            </w: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6"/>
              </w:rPr>
              <w:t>Holdings Ltd., Credit Sesame, Inc., and PierianDx, Inc. will each have</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China Networks International Holdings Ltd.</w:t>
            </w:r>
          </w:p>
        </w:tc>
        <w:tc>
          <w:tcPr>
            <w:tcW w:w="206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Credit Sesame, Inc.</w:t>
            </w:r>
          </w:p>
        </w:tc>
        <w:tc>
          <w:tcPr>
            <w:tcW w:w="2060" w:type="dxa"/>
            <w:vAlign w:val="bottom"/>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PierianDx, Inc.</w:t>
            </w:r>
          </w:p>
        </w:tc>
        <w:tc>
          <w:tcPr>
            <w:tcW w:w="20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0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Chardan Healthcare Acquisition 2 Corp.</w:t>
            </w:r>
          </w:p>
        </w:tc>
        <w:tc>
          <w:tcPr>
            <w:tcW w:w="20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w w:val="93"/>
              </w:rPr>
              <w:t>Chardan Capital Markets, LLC, Chardan Healthcare Acquisition 2 Corp.,</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Chardan NexTech Investments LLC</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85"/>
              </w:rPr>
              <w:t>Jonas Grossman</w:t>
            </w:r>
          </w:p>
        </w:tc>
        <w:tc>
          <w:tcPr>
            <w:tcW w:w="5580" w:type="dxa"/>
            <w:vAlign w:val="bottom"/>
          </w:tcPr>
          <w:p>
            <w:pPr>
              <w:ind w:left="200"/>
              <w:spacing w:after="0"/>
              <w:rPr>
                <w:sz w:val="20"/>
                <w:szCs w:val="20"/>
                <w:color w:val="auto"/>
              </w:rPr>
            </w:pPr>
            <w:r>
              <w:rPr>
                <w:rFonts w:ascii="Arial" w:cs="Arial" w:eastAsia="Arial" w:hAnsi="Arial"/>
                <w:sz w:val="18"/>
                <w:szCs w:val="18"/>
                <w:color w:val="auto"/>
                <w:w w:val="91"/>
              </w:rPr>
              <w:t>Chardan NexTech Acquisition Corp., Chardan NexTech Investments LLC,</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CleanTech Acquisition Corp.</w:t>
            </w:r>
          </w:p>
        </w:tc>
        <w:tc>
          <w:tcPr>
            <w:tcW w:w="2060" w:type="dxa"/>
            <w:vAlign w:val="bottom"/>
            <w:vMerge w:val="continue"/>
          </w:tcPr>
          <w:p>
            <w:pPr>
              <w:spacing w:after="0"/>
              <w:rPr>
                <w:sz w:val="10"/>
                <w:szCs w:val="10"/>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4"/>
              </w:rPr>
              <w:t>Cornix Advisers, LLC, BiomX, Inc. and Ventoux CCM Acquisition Corp.</w:t>
            </w: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5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Cornix Advisers, LLC</w:t>
            </w:r>
          </w:p>
        </w:tc>
        <w:tc>
          <w:tcPr>
            <w:tcW w:w="206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will each have priority over us.</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BiomX, Inc.</w:t>
            </w:r>
          </w:p>
        </w:tc>
        <w:tc>
          <w:tcPr>
            <w:tcW w:w="20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Ventoux CCM Acquisition Corp.</w:t>
            </w:r>
          </w:p>
        </w:tc>
        <w:tc>
          <w:tcPr>
            <w:tcW w:w="20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060" w:type="dxa"/>
            <w:vAlign w:val="bottom"/>
          </w:tcPr>
          <w:p>
            <w:pPr>
              <w:spacing w:after="0"/>
              <w:rPr>
                <w:sz w:val="24"/>
                <w:szCs w:val="24"/>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3"/>
              </w:rPr>
              <w:t>Chardan Capital Markets, LLC, Chardan NexTech Acquisition Corp. and</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5"/>
              </w:rPr>
              <w:t>Alex Weil</w:t>
            </w: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Ventoux CCM Acquisition Corp. 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Ventoux CCM Acquisition Corp.</w:t>
            </w:r>
          </w:p>
        </w:tc>
        <w:tc>
          <w:tcPr>
            <w:tcW w:w="2060" w:type="dxa"/>
            <w:vAlign w:val="bottom"/>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PREEM Inc.</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0"/>
              </w:rPr>
              <w:t>Jonathan Biele</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PREEM Inc. will have priority over us.</w:t>
            </w:r>
          </w:p>
        </w:tc>
        <w:tc>
          <w:tcPr>
            <w:tcW w:w="0" w:type="dxa"/>
            <w:vAlign w:val="bottom"/>
          </w:tcPr>
          <w:p>
            <w:pPr>
              <w:spacing w:after="0"/>
              <w:rPr>
                <w:sz w:val="1"/>
                <w:szCs w:val="1"/>
                <w:color w:val="auto"/>
              </w:rPr>
            </w:pPr>
          </w:p>
        </w:tc>
      </w:tr>
      <w:tr>
        <w:trPr>
          <w:trHeight w:val="42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4"/>
              </w:rPr>
              <w:t>Perry Boyle</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Chardan NexTech Acquisition Corp. will have priority over us.</w:t>
            </w: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URGE Development Group</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Roderick Hardamon</w:t>
            </w:r>
          </w:p>
        </w:tc>
        <w:tc>
          <w:tcPr>
            <w:tcW w:w="5580" w:type="dxa"/>
            <w:vAlign w:val="bottom"/>
          </w:tcPr>
          <w:p>
            <w:pPr>
              <w:ind w:left="200"/>
              <w:spacing w:after="0"/>
              <w:rPr>
                <w:sz w:val="20"/>
                <w:szCs w:val="20"/>
                <w:color w:val="auto"/>
              </w:rPr>
            </w:pPr>
            <w:r>
              <w:rPr>
                <w:rFonts w:ascii="Arial" w:cs="Arial" w:eastAsia="Arial" w:hAnsi="Arial"/>
                <w:sz w:val="18"/>
                <w:szCs w:val="18"/>
                <w:color w:val="auto"/>
              </w:rPr>
              <w:t>URGE Development Group and URGE Imprint LLC will each have</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URGE Imprint LLC</w:t>
            </w:r>
          </w:p>
        </w:tc>
        <w:tc>
          <w:tcPr>
            <w:tcW w:w="2060" w:type="dxa"/>
            <w:vAlign w:val="bottom"/>
            <w:vMerge w:val="continue"/>
          </w:tcPr>
          <w:p>
            <w:pPr>
              <w:spacing w:after="0"/>
              <w:rPr>
                <w:sz w:val="10"/>
                <w:szCs w:val="10"/>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priority over us.</w:t>
            </w: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The @ Company</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89"/>
              </w:rPr>
              <w:t>Jory Des Jardins</w:t>
            </w: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The @ Company and W Fund 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W Fund</w:t>
            </w:r>
          </w:p>
        </w:tc>
        <w:tc>
          <w:tcPr>
            <w:tcW w:w="2060" w:type="dxa"/>
            <w:vAlign w:val="bottom"/>
            <w:vMerge w:val="continue"/>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Syncona Limited</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1"/>
              </w:rPr>
              <w:t>Hitesh Thakrar</w:t>
            </w: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Syncona Limited and KQ Labs 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KQ Labs</w:t>
            </w:r>
          </w:p>
        </w:tc>
        <w:tc>
          <w:tcPr>
            <w:tcW w:w="2060" w:type="dxa"/>
            <w:vAlign w:val="bottom"/>
            <w:vMerge w:val="continue"/>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Kairos Ventures Investments, LLC</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89"/>
              </w:rPr>
              <w:t>Todd Thomson</w:t>
            </w:r>
          </w:p>
        </w:tc>
        <w:tc>
          <w:tcPr>
            <w:tcW w:w="5580" w:type="dxa"/>
            <w:vAlign w:val="bottom"/>
          </w:tcPr>
          <w:p>
            <w:pPr>
              <w:ind w:left="200"/>
              <w:spacing w:after="0"/>
              <w:rPr>
                <w:sz w:val="20"/>
                <w:szCs w:val="20"/>
                <w:color w:val="auto"/>
              </w:rPr>
            </w:pPr>
            <w:r>
              <w:rPr>
                <w:rFonts w:ascii="Arial" w:cs="Arial" w:eastAsia="Arial" w:hAnsi="Arial"/>
                <w:sz w:val="18"/>
                <w:szCs w:val="18"/>
                <w:color w:val="auto"/>
                <w:w w:val="97"/>
              </w:rPr>
              <w:t>Kairos Ventures Investments, LLC and Chardan NexTech Acquisition</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vMerge w:val="continue"/>
          </w:tcPr>
          <w:p>
            <w:pPr>
              <w:spacing w:after="0"/>
              <w:rPr>
                <w:sz w:val="10"/>
                <w:szCs w:val="10"/>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Corp. will each have priority over us.</w:t>
            </w: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noted above, some of our officers and directors are affiliated with Chardan, which is also our sponsor and the underwriter in this offering. Such officers and directors owe a pre-existing fiduciary duty to Chardan, meaning that they will present opportunities to Chardan prior to presenting them to us, if, for example, a potential target company is open to either raising funds in an offering or engaging in a transaction with a SPAC. This may limit the number of potential targets they present to us for purposes of completing a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both"/>
        <w:ind w:firstLine="648"/>
        <w:spacing w:after="0" w:line="273" w:lineRule="auto"/>
        <w:rPr>
          <w:sz w:val="20"/>
          <w:szCs w:val="20"/>
          <w:color w:val="auto"/>
        </w:rPr>
      </w:pPr>
      <w:r>
        <w:rPr>
          <w:rFonts w:ascii="Arial" w:cs="Arial" w:eastAsia="Arial" w:hAnsi="Arial"/>
          <w:sz w:val="17"/>
          <w:szCs w:val="17"/>
          <w:color w:val="auto"/>
        </w:rPr>
        <w:t>In connection with the vote required for any business combination, all of our existing stockholders, including all of our officers and directors, have agreed to vote their respective founder shares in favor of any proposed business combination. In addition, they have agreed to waive their respective rights to participate in any liquidation distribution with respect to those shares of common stock acquired by them prior to this offering. If they purchase shares of common stock in this offering or in the open market, however, they would be entitled to participate in any liquidation distribution in respect of such shares but have agreed not to redeem such shares (or sell their shares in any tender offer) in connection with the consummation of our initial business combination or an amendment to our certificate of incorporation relating to pre-business combination activity.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initial stockholders,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any of our initial stockholders, officers, directors, special advisors or their respective affiliates be paid any finder’s fee, consulting fee or other similar compensation prior to, or for any services they render in order to effectuate, the consummation of our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184"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that beneficially owns shares of our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warrants, as such warrants are not exercisable within 60 days of the date of this prospectus.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July 23, 2020, our sponsor purchased 1,000,000 shares of common stock for an aggregate purchase price of $25,000. On March 4, 2021, we effected a 2.875-for-1 stock split, resulting in 2,875,000 shares of common stock being held by our sponsor (up to 375,000 of which are subject to forfeiture if the underwriters’ over-allotment option is not exercised in full). In May and June 2021, our sponsor transferred 20,000 founder shares to each of Messrs. Biele, Boyle, Hardamon, Thakrar and Thomson and Ms. Jardins. In addition, Chardan NexTech 2 Warrant Holdings LLC, an affiliate of our sponsor, has committed, pursuant to a written agreement, to purchase an aggregate of 5,238,461 (or up to 5,469,230 depending on the extent to which the underwriters’ over-allotment option is exercised) private warrants for a purchase price of $0.65 per private warrant in a private placement that will occur simultaneously with the closing of this offering. The following table presents the number of shares and percentage of our common stock owned by our initial stockholders before and after this offering. The post-offering numbers and percentages presented assume that the underwriters do not exercise their over-allotment option, that our initial stockholders forfeit 375,000 founder shares on a pro rata basis, and that there are an aggregate of 12,500,000 shares of common stock, consisting of issued and outstanding after this offering.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Prior to Offering</w:t>
            </w:r>
          </w:p>
        </w:tc>
        <w:tc>
          <w:tcPr>
            <w:tcW w:w="29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After Offering</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Approximate</w:t>
            </w:r>
          </w:p>
        </w:tc>
        <w:tc>
          <w:tcPr>
            <w:tcW w:w="3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Percentage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0" w:type="dxa"/>
            <w:vAlign w:val="bottom"/>
            <w:gridSpan w:val="2"/>
          </w:tcPr>
          <w:p>
            <w:pPr>
              <w:jc w:val="center"/>
              <w:ind w:right="44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154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1"/>
              </w:rPr>
              <w:t>Number of</w:t>
            </w:r>
          </w:p>
        </w:tc>
        <w:tc>
          <w:tcPr>
            <w:tcW w:w="140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Shares of</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Shares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0" w:type="dxa"/>
            <w:vAlign w:val="bottom"/>
          </w:tcPr>
          <w:p>
            <w:pPr>
              <w:spacing w:after="0"/>
              <w:rPr>
                <w:sz w:val="1"/>
                <w:szCs w:val="1"/>
                <w:color w:val="auto"/>
              </w:rPr>
            </w:pPr>
          </w:p>
        </w:tc>
      </w:tr>
      <w:tr>
        <w:trPr>
          <w:trHeight w:val="216"/>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220" w:type="dxa"/>
            <w:vAlign w:val="bottom"/>
            <w:vMerge w:val="restart"/>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Beneficially</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Common</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auto"/>
            </w:tcBorders>
            <w:vMerge w:val="continue"/>
          </w:tcPr>
          <w:p>
            <w:pPr>
              <w:spacing w:after="0"/>
              <w:rPr>
                <w:sz w:val="23"/>
                <w:szCs w:val="23"/>
                <w:color w:val="auto"/>
              </w:rPr>
            </w:pPr>
          </w:p>
        </w:tc>
        <w:tc>
          <w:tcPr>
            <w:tcW w:w="220" w:type="dxa"/>
            <w:vAlign w:val="bottom"/>
            <w:tcBorders>
              <w:bottom w:val="single" w:sz="8" w:color="CCEEFF"/>
            </w:tcBorders>
            <w:vMerge w:val="continue"/>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8"/>
              </w:rPr>
              <w:t>Owned</w:t>
            </w:r>
            <w:r>
              <w:rPr>
                <w:rFonts w:ascii="Arial" w:cs="Arial" w:eastAsia="Arial" w:hAnsi="Arial"/>
                <w:sz w:val="29"/>
                <w:szCs w:val="29"/>
                <w:b w:val="1"/>
                <w:bCs w:val="1"/>
                <w:color w:val="auto"/>
                <w:w w:val="88"/>
                <w:vertAlign w:val="superscript"/>
              </w:rPr>
              <w:t>(2)</w:t>
            </w:r>
          </w:p>
        </w:tc>
        <w:tc>
          <w:tcPr>
            <w:tcW w:w="3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38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3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Chardan NexTech Investments 2 LLC</w:t>
            </w:r>
            <w:r>
              <w:rPr>
                <w:rFonts w:ascii="Arial" w:cs="Arial" w:eastAsia="Arial" w:hAnsi="Arial"/>
                <w:sz w:val="28"/>
                <w:szCs w:val="28"/>
                <w:color w:val="auto"/>
                <w:vertAlign w:val="superscript"/>
              </w:rPr>
              <w:t>(3)</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Kerry Propper</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Jonas Grossman</w:t>
            </w:r>
            <w:r>
              <w:rPr>
                <w:rFonts w:ascii="Arial" w:cs="Arial" w:eastAsia="Arial" w:hAnsi="Arial"/>
                <w:sz w:val="29"/>
                <w:szCs w:val="29"/>
                <w:color w:val="auto"/>
                <w:vertAlign w:val="superscript"/>
              </w:rPr>
              <w:t>(3)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Alex Weil</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Biele</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Roderick Hardamon</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Jory Des Jardins</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Hitesh Thakrar</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Todd Thomson</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 (8 individuals)</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340" w:hanging="332"/>
        <w:spacing w:after="0" w:line="193" w:lineRule="auto"/>
        <w:tabs>
          <w:tab w:leader="none" w:pos="340" w:val="left"/>
        </w:tabs>
        <w:numPr>
          <w:ilvl w:val="0"/>
          <w:numId w:val="54"/>
        </w:numPr>
        <w:rPr>
          <w:rFonts w:ascii="Arial" w:cs="Arial" w:eastAsia="Arial" w:hAnsi="Arial"/>
          <w:sz w:val="34"/>
          <w:szCs w:val="34"/>
          <w:color w:val="auto"/>
          <w:vertAlign w:val="superscript"/>
        </w:rPr>
      </w:pPr>
      <w:r>
        <w:rPr>
          <w:rFonts w:ascii="Arial" w:cs="Arial" w:eastAsia="Arial" w:hAnsi="Arial"/>
          <w:sz w:val="17"/>
          <w:szCs w:val="17"/>
          <w:color w:val="auto"/>
        </w:rPr>
        <w:t>Unless otherwise indicated, the business address of each of the individuals is c/o Chardan NexTech Acquisition 2 Corp., 17 State Street, 21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Floor, New York, NY 10004.</w:t>
      </w: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Interests shown consist of founder shares.</w:t>
      </w:r>
    </w:p>
    <w:p>
      <w:pPr>
        <w:spacing w:after="0" w:line="9"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sponsor is the record holder of such shares. Jonas Grossman is the sole member of our sponsor. As such, Mr. Grossman may be deemed to have beneficial ownership of the common stock held directly by our sponsor. Mr. Grossman disclaims any beneficial ownership of the reported shares other than to the extent of any pecuniary interest they may have therein, directly or indirectly. Certain other employees of Chardan or its affiliates, including each of our executive officers, have direct or indirect membership interests in our sponsor, and thus have pecuniary interests in certain of the reported shares.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57" w:lineRule="auto"/>
        <w:rPr>
          <w:sz w:val="20"/>
          <w:szCs w:val="20"/>
          <w:color w:val="auto"/>
        </w:rPr>
      </w:pPr>
      <w:r>
        <w:rPr>
          <w:rFonts w:ascii="Arial" w:cs="Arial" w:eastAsia="Arial" w:hAnsi="Arial"/>
          <w:sz w:val="18"/>
          <w:szCs w:val="18"/>
          <w:color w:val="auto"/>
        </w:rPr>
        <w:t>Immediately after this offering, our initial stockholders will beneficially own 20% of the then issued and outstanding shares of common stock (assuming none of them purchase any units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the underwriters do not exercise all or a portion of the over-allotment option, our initial stockholders will have up to an aggregate 375,000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from us an aggregate of 5,238,461 (or up to 5,469,230 depending on the extent to which the underwriters’ over-allotment option is exercised) warrants at a price of $0.65 per warrant ($3,405,000 (or up to $3,555,000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15 months (or up to 21 months, as applicable), the proceeds from the sale of the private warrants will be included in the liquidating distribution to the holders of our public shares.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our sponsor, officers and directors is our “promoter,” as that term is defined under the federal securities 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 of Founder Shares and Private Warrants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the founder shares issued and outstanding prior to the date of this prospectus will be placed in escrow with Continental Stock Transfer &amp; Trust Company, as escrow agent, until (1) with respect to 50% of the founder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10 trading days within any 30-trading day period commencing after our initial business combination and (2) with respect to the remaining 50% of the founder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375,000 of the founder shares may also be released from escrow earlier than this date for forfeiture and cancellation if the over-allotment option is not exercised in full as described above.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ind w:firstLine="648"/>
        <w:spacing w:after="0" w:line="269" w:lineRule="auto"/>
        <w:rPr>
          <w:sz w:val="20"/>
          <w:szCs w:val="20"/>
          <w:color w:val="auto"/>
        </w:rPr>
      </w:pPr>
      <w:r>
        <w:rPr>
          <w:rFonts w:ascii="Arial" w:cs="Arial" w:eastAsia="Arial" w:hAnsi="Arial"/>
          <w:sz w:val="17"/>
          <w:szCs w:val="17"/>
          <w:color w:val="auto"/>
        </w:rPr>
        <w:t>During the escrow period, the holders of the founder shares will not be able to sell or transfer their securities except (1) to any parties (including their respective affiliates and stockholders) participating in the private placement of the private warrants, officers, directors, stockholders, employees and members of our sponsor and its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(9) in the event of our liquidation prior to our completion of our initial business combination, (10) by virtue of the laws of the State of Delaware or our sponsor’s operating agreement upon dissolution of our sponsor or the organizational documents of Chardan upon dissolution of Chardan; or (11) for the cancellation of up to 375,000 founder shares subject to forfeiture to the extent that the underwriters’ over-allotment is not exercised in full or in part or in connection with the consummation of our initial business combination, in each case (except for clause 11 or with our prior consent) where the transferee agrees to the terms of the escrow agreement and the insider letter.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In May and June 2021, our sponsor transferred 20,000 founder shares to each of Messrs. Biele, Boyle, Hardamon, Thakrar and Thomson and Ms. Jardins. If the underwriters do not exercise all or a portion of their over-allotment option, our initial stockholders have agreed to forfeit and immediately cancel up to an aggregate of 375,000 founder shares in proportion to the portion of the over-allotment option that was not exercised.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capitalization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Chardan NexTech 2 Warrant Holdings LLC, an affiliate of our sponsor, has committed to purchase from us an aggregate of 5,238,461 (or up to 5,469,230 depending on the extent to which the underwriters’ over-allotment option is exercised) warrants at a price of $0.65 per warrant ($3,405,000 (or up to $3,555,000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 If we do not complete our initial business combination within 15 months from the closing of this offering (or up to 21 months from the closing of this offering if we extend the period of time to consummate a business combination by the maximum amount as described in more detail in this prospectus), the proceeds from the sale of the private warrants will be included in the liquidating distribution to the holders of our public shares. 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Chardan NexTech 2 Warrant Holdings LLC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7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Our initial stockholders, holders of the private warrants (and all underlying securities) and holders of the warrants (and all underlying securities) issuable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or warrants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 (i) have more than one demand registration right at our expense,</w:t>
      </w:r>
    </w:p>
    <w:p>
      <w:pPr>
        <w:spacing w:after="0" w:line="6" w:lineRule="exact"/>
        <w:rPr>
          <w:sz w:val="20"/>
          <w:szCs w:val="20"/>
          <w:color w:val="auto"/>
        </w:rPr>
      </w:pPr>
    </w:p>
    <w:p>
      <w:pPr>
        <w:jc w:val="both"/>
        <w:ind w:firstLine="8"/>
        <w:spacing w:after="0" w:line="255" w:lineRule="auto"/>
        <w:tabs>
          <w:tab w:leader="none" w:pos="2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9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We will have 15 months from the closing of this offering (or up to 18 months from the closing of this offering if we have executed a definitive agreement and filed a proxy statement for an initial business combination within 18 months from the closing of this offering) to consummate an initial business combination. In addition,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7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are not prohibited from pursuing an initial business combination with a business that is affiliated with our sponsor, its affiliates, or our officers or directors, including an Affiliated Joint Acquisition. In the event we seek to complete our initial business combination with a business that is affiliated with our sponsor, its affiliates or our officers or directors, we, or a committee of independent directors, will obtain an opinion from an independent</w:t>
      </w:r>
    </w:p>
    <w:p>
      <w:pPr>
        <w:sectPr>
          <w:pgSz w:w="11900" w:h="16944" w:orient="portrait"/>
          <w:cols w:equalWidth="0" w:num="1">
            <w:col w:w="11240"/>
          </w:cols>
          <w:pgMar w:left="320" w:top="904" w:right="339" w:bottom="0" w:gutter="0" w:footer="0" w:header="0"/>
        </w:sectPr>
      </w:pPr>
    </w:p>
    <w:bookmarkStart w:id="127" w:name="page128"/>
    <w:bookmarkEnd w:id="127"/>
    <w:p>
      <w:pPr>
        <w:jc w:val="both"/>
        <w:spacing w:after="0" w:line="263" w:lineRule="auto"/>
        <w:rPr>
          <w:sz w:val="20"/>
          <w:szCs w:val="20"/>
          <w:color w:val="auto"/>
        </w:rPr>
      </w:pPr>
      <w:r>
        <w:rPr>
          <w:rFonts w:ascii="Arial" w:cs="Arial" w:eastAsia="Arial" w:hAnsi="Arial"/>
          <w:sz w:val="18"/>
          <w:szCs w:val="18"/>
          <w:color w:val="auto"/>
        </w:rPr>
        <w:t>investment banking firm or another independent firm that commonly renders valuation opinions that our initial business combination is fair to our stockholders from a financial point of view. Any such Affiliated Joint Acquisition or specified future issuance would be in addition to, and would not include, the forward purchase securities issued pursuant to the forward purchase contract.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jc w:val="both"/>
        <w:ind w:firstLine="648"/>
        <w:spacing w:after="0" w:line="272" w:lineRule="auto"/>
        <w:rPr>
          <w:sz w:val="20"/>
          <w:szCs w:val="20"/>
          <w:color w:val="auto"/>
        </w:rPr>
      </w:pPr>
      <w:r>
        <w:rPr>
          <w:rFonts w:ascii="Arial" w:cs="Arial" w:eastAsia="Arial" w:hAnsi="Arial"/>
          <w:sz w:val="17"/>
          <w:szCs w:val="17"/>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Commencing on the date our securities are first listed on Nasdaq, we will pay an amount equal to $10,000 per month to our sponsor for office space, administrative and shared personnel support services. Upon completion of our initial business combination or our liquidation, we will cease paying these monthly fees. Accordingly, in the event the consummation of our initial business combination takes 15 months, our sponsor will be paid a total of $150,000 ($10,000 per month) and will be entitled to be reimbursed for any out-of-pocket expenses.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 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described under “</w:t>
      </w:r>
      <w:r>
        <w:rPr>
          <w:rFonts w:ascii="Arial" w:cs="Arial" w:eastAsia="Arial" w:hAnsi="Arial"/>
          <w:sz w:val="17"/>
          <w:szCs w:val="17"/>
          <w:i w:val="1"/>
          <w:iCs w:val="1"/>
          <w:color w:val="auto"/>
        </w:rPr>
        <w:t>Underwriting (Conflicts of Interest) — Business Combination Marketing Agreement</w:t>
      </w:r>
      <w:r>
        <w:rPr>
          <w:rFonts w:ascii="Arial" w:cs="Arial" w:eastAsia="Arial" w:hAnsi="Arial"/>
          <w:sz w:val="17"/>
          <w:szCs w:val="17"/>
          <w:color w:val="auto"/>
        </w:rPr>
        <w: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plan to adopt prior to the consummation of this offering is filed as an exhibit to the registration statement of which this prospectus is a part.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648"/>
        <w:spacing w:after="0" w:line="272"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plan to adopt prior to the consummation of this offering is filed as an exhibit to the registration statement of which this prospectus is a part. We also require each of our directors and officers to complete a directors’ and officers’ questionnaire that elicits information about related party transactions.</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firm that commonly renders valuation opinions that our initial business combination is fair to our stockholders from a financial point of view. Furthermore, there will be no finder’s fees, reimbursement, consulting fee, non-cash payments,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other than the following payments, none of which will be made from the proceeds of this offering held in the trust account prior to the completion of our initial business combination:</w:t>
      </w:r>
    </w:p>
    <w:p>
      <w:pPr>
        <w:spacing w:after="0" w:line="192" w:lineRule="exact"/>
        <w:rPr>
          <w:sz w:val="20"/>
          <w:szCs w:val="20"/>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Repayment of up to an aggregate of $250,000 in loans made to us by our sponsor, which our sponsor has committed to cover offering-related and organizational expenses;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Repayment to our sponsor for office space, administrative and shared personnel support services, in an amount equal to $10,000 per month;</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sponsor intends to allocate up to 20,000 founder shares to each of our independent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w:t>
      </w:r>
    </w:p>
    <w:p>
      <w:pPr>
        <w:spacing w:after="0" w:line="236" w:lineRule="exact"/>
        <w:rPr>
          <w:rFonts w:ascii="Arial" w:cs="Arial" w:eastAsia="Arial" w:hAnsi="Arial"/>
          <w:sz w:val="17"/>
          <w:szCs w:val="17"/>
          <w:color w:val="auto"/>
        </w:rPr>
      </w:pPr>
    </w:p>
    <w:p>
      <w:pPr>
        <w:jc w:val="both"/>
        <w:ind w:left="980" w:right="20" w:hanging="324"/>
        <w:spacing w:after="0" w:line="259"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(provided that in no event will any loans provided by our sponsor be convertible into our securities); and</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Payment to Chardan of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audit committee will review on a quarterly basis all payments that were made to our sponsor, officers or directors, or our or their affiliates.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certificate of incorporation will authorize the issuance of 50,000,000 shares of common stock, $0.0001 par value per share, and 1,000,000 shares of preferred stock, $0.0001 par value per share. As of the date of this prospectus, 2,875,000 shares of common stock are issued and outstanding, which are held by our initial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Each unit consists of one share of common stock and one-half of one warrant. Each whole warrant entitles the holder thereof to purchase one share of our common stock at a price of $11.50 per share, subject to adjustment as described in this prospectus. Pursuant to the warrant agreement, a warrant holder may exercise its warrants only for a whole number of shares of common stock. Thus, only a whole warrant may be exercised at any given time by a warrant holder.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expect that the common stock and warrants comprising the units will begin separate trading on the 52nd day following the closing of this offering unless Chardan informs us of its decision to allow earlier separate trading,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securities. Holders will need to have their brokers contact our transfer agent in order to separate the units into shares of common stock and warrants.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no event will the common stock and warrants be traded separately until we have filed with the SEC a Current Report on Form 8-K that includes an audited balance sheet reflecting our receipt of the gross proceeds at the closing of this offering. We will file a Current Report on Form 8-K that includes this audited balance sheet upon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closing of this offering, 12,500,000 shares of our common stock will be outstanding (assuming no exercise of the underwriters’ over-allotment option and the corresponding forfeiture of 375,000 founder shares by our initial stockholders), consisting of:</w:t>
      </w:r>
    </w:p>
    <w:p>
      <w:pPr>
        <w:spacing w:after="0" w:line="170"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10,000,000 shares of common stock underlying the units being offered in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2,500,000 founder shares held by our initial stockholders.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increase or decrease the size of this offering (including pursuant to Rule 462(b) under the Securities Act), a share capitalization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648"/>
        <w:spacing w:after="0" w:line="259" w:lineRule="auto"/>
        <w:rPr>
          <w:sz w:val="20"/>
          <w:szCs w:val="20"/>
          <w:color w:val="auto"/>
        </w:rPr>
      </w:pPr>
      <w:r>
        <w:rPr>
          <w:rFonts w:ascii="Arial" w:cs="Arial" w:eastAsia="Arial" w:hAnsi="Arial"/>
          <w:sz w:val="18"/>
          <w:szCs w:val="18"/>
          <w:color w:val="auto"/>
        </w:rPr>
        <w:t>Because our amended and restated certificate of incorporation will authorize the issuance of up to 50,000,000 shares of common stock, if we were to enter into an initial business combination, we may (depending on the terms of such an initial business combination) be required to increase the number of shares of common stock that we are authorized to issue at the same time as our stockholders vote on the initial business combination to the extent we seek stockholder approval in connection with our initial business combination.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$10.10 per public share.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law,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However, the participation of our sponsor, officers, directors, advisors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spacing w:after="0" w:line="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seek stockholder approval in connection with our initial business combination, 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7,500,001, or 37.5%, of the 20,000,000 public shares sold in this offering to be voted in favor of an initial business combination (assuming all outstanding shares are voted) in order to have our initial business combination approved (assuming the over-allotment option is not exercised). Additionally, each public stockholder may elect to redeem its public shares irrespective of whether they vote for or against the proposed transaction (subject to the limitation described in the preceding paragraph).</w:t>
      </w:r>
    </w:p>
    <w:p>
      <w:pPr>
        <w:spacing w:after="0" w:line="19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Pursuant to our amended and restated certificate of incorporation, if we do not complete a business combination within 15 months from the closing of this offering (or up to 18 months from the closing of this offering if we have executed a definitive agreement and filed a proxy statement for an initial business combination within 15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15 months and we have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our insiders or their affiliates may, but are not obligated to, extend the period of time to consummate a business combination up to two times by an additional three months each time (for a total of up to 21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 Our sponsor,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15 months from the closing of this offering (or up to 21 months from the closing of this offering if we extend the period of time to consummate a business combination by the maximum amount as described in more detail in this prospectus).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The founder shares are identical to the shares of common stock included in the units being sold in this offering, and holders of founder shares have the same stockholder rights as public stockholders, except that (i) the founder shares are subject to certain transfer restrictions, as described in more detail below, (ii) our sponsor, officers and directors have entered into a letter agreement with us, pursuant to which they have agreed (A) to waive their redemption rights with respect to any founder shares and any public shares held by them in connection with the completion of our initial business combination, (B) to waive their redemption rights with respect to their founder shares and public shares in connection with a stockholder vote to approve an amendment to our amended and restated certificate of incorporation (x) to modify the substance or timing of our obligation to allow redemption in connection with our initial business combination or to redeem 100% of our public shares if we do not complete our initial business combination within </w:t>
      </w:r>
      <w:r>
        <w:rPr>
          <w:rFonts w:ascii="Arial" w:cs="Arial" w:eastAsia="Arial" w:hAnsi="Arial"/>
          <w:sz w:val="16"/>
          <w:szCs w:val="16"/>
          <w:u w:val="single" w:color="auto"/>
          <w:color w:val="auto"/>
        </w:rPr>
        <w:t>15</w:t>
      </w:r>
      <w:r>
        <w:rPr>
          <w:rFonts w:ascii="Arial" w:cs="Arial" w:eastAsia="Arial" w:hAnsi="Arial"/>
          <w:sz w:val="16"/>
          <w:szCs w:val="16"/>
          <w:color w:val="auto"/>
        </w:rPr>
        <w:t xml:space="preserve"> months (or up to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months, as applicable)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w:t>
      </w:r>
      <w:r>
        <w:rPr>
          <w:rFonts w:ascii="Arial" w:cs="Arial" w:eastAsia="Arial" w:hAnsi="Arial"/>
          <w:sz w:val="16"/>
          <w:szCs w:val="16"/>
          <w:u w:val="single" w:color="auto"/>
          <w:color w:val="auto"/>
        </w:rPr>
        <w:t>15</w:t>
      </w:r>
      <w:r>
        <w:rPr>
          <w:rFonts w:ascii="Arial" w:cs="Arial" w:eastAsia="Arial" w:hAnsi="Arial"/>
          <w:sz w:val="16"/>
          <w:szCs w:val="16"/>
          <w:color w:val="auto"/>
        </w:rPr>
        <w:t xml:space="preserve"> months (or up to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months, as applicable) from the closing of this offering,</w:t>
      </w:r>
    </w:p>
    <w:p>
      <w:pPr>
        <w:sectPr>
          <w:pgSz w:w="11900" w:h="16924" w:orient="portrait"/>
          <w:cols w:equalWidth="0" w:num="1">
            <w:col w:w="11240"/>
          </w:cols>
          <w:pgMar w:left="320" w:top="908" w:right="339" w:bottom="0" w:gutter="0" w:footer="0" w:header="0"/>
        </w:sectPr>
      </w:pPr>
    </w:p>
    <w:bookmarkStart w:id="133" w:name="page134"/>
    <w:bookmarkEnd w:id="133"/>
    <w:p>
      <w:pPr>
        <w:jc w:val="both"/>
        <w:spacing w:after="0" w:line="257" w:lineRule="auto"/>
        <w:rPr>
          <w:sz w:val="20"/>
          <w:szCs w:val="20"/>
          <w:color w:val="auto"/>
        </w:rPr>
      </w:pPr>
      <w:r>
        <w:rPr>
          <w:rFonts w:ascii="Arial" w:cs="Arial" w:eastAsia="Arial" w:hAnsi="Arial"/>
          <w:sz w:val="18"/>
          <w:szCs w:val="18"/>
          <w:color w:val="auto"/>
        </w:rPr>
        <w:t>although they will be entitled to liquidating distributions from the trust account with respect to any public shares they hold if we fail to complete our initial business combination within such time period, and (iii) are entitled to registration rights. If we submit our initial business combination to our public stockholders for a vote, our sponsor, officers and directors have agreed pursuant to the letter agreement to vote any founder shares held by them and any public shares purchased during or after this offering (including in open market and privately negotiated transactions) in favor of our initial business combination.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jc w:val="both"/>
        <w:ind w:firstLine="648"/>
        <w:spacing w:after="0" w:line="272" w:lineRule="auto"/>
        <w:rPr>
          <w:sz w:val="20"/>
          <w:szCs w:val="20"/>
          <w:color w:val="auto"/>
        </w:rPr>
      </w:pPr>
      <w:r>
        <w:rPr>
          <w:rFonts w:ascii="Arial" w:cs="Arial" w:eastAsia="Arial" w:hAnsi="Arial"/>
          <w:sz w:val="17"/>
          <w:szCs w:val="17"/>
          <w:color w:val="auto"/>
        </w:rPr>
        <w:t>With certain limited exceptions, 50% of the founder shares will not be transferred, assigned, sold or released from escrow until the earlier of (i) six months after the date of the consummation of a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a business combination. The remaining 50% of the founder shares will not be transferred, assigned, sold or released from escrow until 6 months after the date of the consummation of a business combination, or earlier, in either case, if, subsequent to a business combination, we consummate a subsequent liquidation, merger, stock exchange or other similar transaction which results in all of the stockholders having the right to exchange their shares of common stock for cash, securities or other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are no shares of preferred stock outstanding as of the date of this prospectus. Our amended and restated certificate of incorporation to be filed with the State of Delaware will authorize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that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used as a method of discouraging, delaying or preventing a change in control of us. Although we do not currently intend to issue any shares of preferred stock, we reserve the right to do so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whole warrant entitles the registered holder to purchase one share of our common stock at a price of $11.50 per share, subject to adjustment as discussed below, at any time commencing 30 days after the completion of our initial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 The warrants will expire five years after the completion of our initial business combination, at 5:00 p.m., New York City time, or earlier upon redemption or liquidation.</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648"/>
        <w:spacing w:after="0" w:line="286" w:lineRule="auto"/>
        <w:rPr>
          <w:sz w:val="20"/>
          <w:szCs w:val="20"/>
          <w:color w:val="auto"/>
        </w:rPr>
      </w:pPr>
      <w:r>
        <w:rPr>
          <w:rFonts w:ascii="Arial" w:cs="Arial" w:eastAsia="Arial" w:hAnsi="Arial"/>
          <w:sz w:val="16"/>
          <w:szCs w:val="16"/>
          <w:color w:val="auto"/>
        </w:rPr>
        <w:t>We are registering the offer and sale of our common stock underlying the public warrants under the Securities Act. In addition, we have agreed that as soon as practicable, but in no event later than 15 business days after the closing of our initial business combination, we will use our commercially reasonable best efforts to file with the SEC a registration statement covering the shares of common stock issuable upon exercise of the warrants, to cause such registration statement to become effective within 60 business days after the closing of our initial business combination, and to maintain a current prospectus relating to those shares of common stock until the warrants expire or are redeemed, as specified in the warrant agreement.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shares of common stock equals or exceeds $16.00 per share (as adjusted for stock splits, stock dividends, reorganizations, recapitalizations and the like) for any 10 trading days within a 30-day trading period commencing once the warrants become exercisable and ending three trading days before we send the notice of redemption to warrant holders.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common stock may fall below the $16.00 redemption trigger price (as adjusted for stock splits, stock dividends, reorganizations, recapitalizations and the like) as well as the $11.50 warrant exercise price after the redemption notice is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firstLine="648"/>
        <w:spacing w:after="0" w:line="285"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warrants would pay the exercise price by surrendering their warrants for that number of shares of common stock equal to the quotient obtained by dividing</w:t>
      </w:r>
    </w:p>
    <w:p>
      <w:pPr>
        <w:spacing w:after="0" w:line="2" w:lineRule="exact"/>
        <w:rPr>
          <w:sz w:val="20"/>
          <w:szCs w:val="20"/>
          <w:color w:val="auto"/>
        </w:rPr>
      </w:pPr>
    </w:p>
    <w:p>
      <w:pPr>
        <w:jc w:val="both"/>
        <w:ind w:firstLine="8"/>
        <w:spacing w:after="0" w:line="286" w:lineRule="auto"/>
        <w:tabs>
          <w:tab w:leader="none" w:pos="263"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minus the quotient of</w:t>
      </w:r>
    </w:p>
    <w:p>
      <w:pPr>
        <w:spacing w:after="0" w:line="4" w:lineRule="exact"/>
        <w:rPr>
          <w:sz w:val="20"/>
          <w:szCs w:val="20"/>
          <w:color w:val="auto"/>
        </w:rPr>
      </w:pPr>
    </w:p>
    <w:p>
      <w:pPr>
        <w:jc w:val="both"/>
        <w:ind w:firstLine="8"/>
        <w:spacing w:after="0" w:line="271" w:lineRule="auto"/>
        <w:tabs>
          <w:tab w:leader="none" w:pos="261"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redemption and (ii) fair market value means the volume weighted average price of common stock as reported during the 10-trading day period ending on the trading day prior to the first date on which the shares of common stock trade on the applicable exchange or in the applicable market, regular way, without the right to receive such rights.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(b) certain ordinary cash dividends, (c) to satisfy the redemption rights of the holders of common stock in connection with a proposed initial business combination, (d) to satisfy the redemption rights of the holders of common stock in connection with a stockholder vote to amend our amended and restated certificate of incorporation (i) to modify the substance or timing of our obligation to allow redemption in connection with our initial business combination or to redeem 100% of our common stock if we do not complete our initial business combination within 15 months (or up to 21 months, as applicable) from the closing of this offering or (ii) with respect to any other provision relating to stockholders’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both"/>
        <w:ind w:firstLine="648"/>
        <w:spacing w:after="0" w:line="259" w:lineRule="auto"/>
        <w:rPr>
          <w:sz w:val="20"/>
          <w:szCs w:val="20"/>
          <w:color w:val="auto"/>
        </w:rPr>
      </w:pPr>
      <w:r>
        <w:rPr>
          <w:rFonts w:ascii="Arial" w:cs="Arial" w:eastAsia="Arial" w:hAnsi="Arial"/>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rights issuances, subdivisions, reorganizations, recapitalizations and the like), (y) the aggregate gross proceeds from such issuances represent more than 60% of the total equity proceeds, and interest thereon, available for the funding of our initial business combination on the date of the consummation of our initial business combination (net of redemptions), and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This may make it more difficult for us to consummate an initial business combination with a target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648"/>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warrant agreement will be brought and enforced in the courts of the State of New York in the Borough of Manhattan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located in the in the Borough of Manhattan or the United States District Court for the Southern District of New York as the exclusive forums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private warrants (including the common stock issuable upon exercise of the private warrants) will not be transferable, assignable or salable until 30 days after the completion of our initial business combination (except, among other limited exceptions as described under the section of this prospectus entitled “</w:t>
      </w:r>
      <w:r>
        <w:rPr>
          <w:rFonts w:ascii="Arial" w:cs="Arial" w:eastAsia="Arial" w:hAnsi="Arial"/>
          <w:sz w:val="16"/>
          <w:szCs w:val="16"/>
          <w:i w:val="1"/>
          <w:iCs w:val="1"/>
          <w:color w:val="auto"/>
        </w:rPr>
        <w:t>Principal Stockholders — Restrictions on Transfers of Founder Shares and Private Warrants</w:t>
      </w:r>
      <w:r>
        <w:rPr>
          <w:rFonts w:ascii="Arial" w:cs="Arial" w:eastAsia="Arial" w:hAnsi="Arial"/>
          <w:sz w:val="16"/>
          <w:szCs w:val="16"/>
          <w:color w:val="auto"/>
        </w:rPr>
        <w:t>” to our officers and directors and other persons or entities affiliated with our sponsor) and they will not be redeemable by us so long as they are held by our sponsor or its permitted transferees. Our sponsor, or its permitted transferees, has the option to exercise the private warrants on a cashless basis. Except as described below, the private warrants have terms and provisions that are identical to those of the warrants being sold as part of the units in this offering, including as to exercise price, exercisability and exercise period. If the private warrants are held by holders other than our sponsor or its permitted transferees, the private warrants will be redeemable by us and exercisable by the holders on the same basis as the warrants included in the units being sold in this offering.</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or its permitted transferees is because it is not known at this time whether they will be affiliated with us following an initial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holders of our private warrants are entitled to certain registration rights and any private warrants purchased by Chardan NexTech 2 Warrant Holdings LLC will not be exercisable more than five years from the effective date of the registration statement, of which this prospectus forms a part, in accordance with FINRA Rule 5110(g), as long as Chardan or any of its related persons beneficially own these private warrants.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firstLine="648"/>
        <w:spacing w:after="0" w:line="287" w:lineRule="auto"/>
        <w:rPr>
          <w:sz w:val="20"/>
          <w:szCs w:val="20"/>
          <w:color w:val="auto"/>
        </w:rPr>
      </w:pPr>
      <w:r>
        <w:rPr>
          <w:rFonts w:ascii="Arial" w:cs="Arial" w:eastAsia="Arial" w:hAnsi="Arial"/>
          <w:sz w:val="16"/>
          <w:szCs w:val="16"/>
          <w:color w:val="auto"/>
        </w:rPr>
        <w:t>Pursuant to the letter agreement, the private warrants (including the common stock issuable upon exercise of any of the private warrants) are not transferable or salable until 30 days after the completion of our initial business combination, except (a) to our officers or directors, any affiliates or family members of any of our officers or directors, any members of Chardan NexTech 2 Warrant Holdings LLC, our sponsor, or any of their respective affiliates;</w:t>
      </w:r>
    </w:p>
    <w:p>
      <w:pPr>
        <w:spacing w:after="0" w:line="2" w:lineRule="exact"/>
        <w:rPr>
          <w:sz w:val="20"/>
          <w:szCs w:val="20"/>
          <w:color w:val="auto"/>
        </w:rPr>
      </w:pPr>
    </w:p>
    <w:p>
      <w:pPr>
        <w:jc w:val="both"/>
        <w:ind w:firstLine="8"/>
        <w:spacing w:after="0" w:line="268" w:lineRule="auto"/>
        <w:tabs>
          <w:tab w:leader="none" w:pos="2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Chardan NexTech 2 Warrant Holdings LLC,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Chardan NexTech 2 Warrant Holdings LLC, our sponsor, officers, and directors of the Company, as the case may be, with respect to such securities (including provisions relating to voting, the trust account and liquidation distributions described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transfer agent for our shares of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 a majority of our common stock. Our initial stockholders, who will collectively beneficially own 20% of our common stock upon the closing of this offering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92" w:lineRule="exact"/>
        <w:rPr>
          <w:sz w:val="20"/>
          <w:szCs w:val="20"/>
          <w:color w:val="auto"/>
        </w:rPr>
      </w:pPr>
    </w:p>
    <w:p>
      <w:pPr>
        <w:jc w:val="both"/>
        <w:ind w:left="980" w:hanging="324"/>
        <w:spacing w:after="0" w:line="289"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we are unable to complete our initial business combination within 15 months (or up to 21 months, as applicable)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66" w:lineRule="exact"/>
        <w:rPr>
          <w:rFonts w:ascii="Arial" w:cs="Arial" w:eastAsia="Arial" w:hAnsi="Arial"/>
          <w:sz w:val="16"/>
          <w:szCs w:val="16"/>
          <w:color w:val="auto"/>
        </w:rPr>
      </w:pPr>
    </w:p>
    <w:p>
      <w:pPr>
        <w:ind w:left="980" w:hanging="324"/>
        <w:spacing w:after="0"/>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receive funds from the trust account or (ii) vote on any initial business combination;</w:t>
      </w:r>
    </w:p>
    <w:p>
      <w:pPr>
        <w:spacing w:after="0" w:line="210" w:lineRule="exact"/>
        <w:rPr>
          <w:rFonts w:ascii="Arial" w:cs="Arial" w:eastAsia="Arial" w:hAnsi="Arial"/>
          <w:sz w:val="17"/>
          <w:szCs w:val="17"/>
          <w:color w:val="auto"/>
        </w:rPr>
      </w:pPr>
    </w:p>
    <w:p>
      <w:pPr>
        <w:jc w:val="both"/>
        <w:ind w:left="980" w:hanging="324"/>
        <w:spacing w:after="0" w:line="279"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Although we do not intend to enter into an initial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or another independent firm that commonly renders valuation opinions that such an initial business combination is fair to our stockholders from a financial point of view;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left="980" w:hanging="324"/>
        <w:spacing w:after="0" w:line="273"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our Exchange Act or our listing on Nasdaq, we will provide our public stockholders with the opportunity to redeem their public shares by one of the two methods listed above;</w:t>
      </w:r>
    </w:p>
    <w:p>
      <w:pPr>
        <w:spacing w:after="0" w:line="177"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w:t>
      </w:r>
    </w:p>
    <w:p>
      <w:pPr>
        <w:spacing w:after="0" w:line="186"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15 months (or up to 21 months, as applicable) from the closing of this offering or (ii) with respect to any other provision relating to stockholders’ rights or pre-business combination activity, we will provide our public stockholders with the opportunity to redeem all or a portion of their shares of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w:t>
      </w:r>
    </w:p>
    <w:p>
      <w:pPr>
        <w:spacing w:after="0" w:line="177" w:lineRule="exact"/>
        <w:rPr>
          <w:rFonts w:ascii="Arial" w:cs="Arial" w:eastAsia="Arial" w:hAnsi="Arial"/>
          <w:sz w:val="17"/>
          <w:szCs w:val="17"/>
          <w:color w:val="auto"/>
        </w:rPr>
      </w:pPr>
    </w:p>
    <w:p>
      <w:pPr>
        <w:ind w:left="980" w:hanging="324"/>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will not effectuate our initial business combination with another blank check company or a similar company with nominal operations;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not effect our initial business combination unless our sponsor approves of such transaction.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Anti-Takeover Provisions of Delaware Law and our Certificate of Incorporation and By-Laws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classified into two classes of directors. As a result, in most circumstances, a person can gain control of our board only by successfully engaging in a proxy contest at two or more annual meetings.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98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jc w:val="both"/>
        <w:ind w:firstLine="648"/>
        <w:spacing w:after="0" w:line="263"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90th day nor earlier than the opening of business on the 120th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amended and restated certificate of incorporation will require, subject to certain exceptions and unless we consent in writing to the selection of an alternative forum, the sole and exclusive forum for (a) any derivative action or proceeding brought on our behalf, (b) any action asserting a claim of breach of a fiduciary duty owed by any current or former director, officer, employee, agent to us or out stockholders, (c) any action asserting a claim arising pursuant to any provision of the DGCL, the amended and restated certificate of incorporation or bylaws, or (d) any action asserting a claim governed by the internal affairs doctrine shall be the Court of Chancery of the State of Delaware (or, if the Court of Chancery of the State of Delaware lacks jurisdiction over such action or proceeding, then another court of the State of Delaware or, if no court of the State of Delaware has jurisdiction, then the United States District Court for the District of Delaware).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we believe this forum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 If any action, the subject matter of which is within the scope the forum provisions of our amended and restated certificate of incorporation, is filed in a court other than a court of the State of Delaware, such action we refer to as a foreign action, in the name of any stockholder, such stockholder shall be deemed to have consented to (i) the personal jurisdiction of the state and federal courts located within the State of Delaware in connection with any action brought in such court to enforce the forum provisions, such action we refer to as an enforcement action, and (ii) having service of process made upon such stockholder in any such enforcement action by service upon such stockholder’s counsel in the foreign action as agent for such stockholder.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amended and restated certificate of incorporationwill state that unless we consent in writing to the selection of an alternative forum, the federal district courts of the United States of America shall be the exclusive forum for resolution of any complaint asserting a cause of action arising under the Securities Act. Section 22 of the Securities Act creates a concurrent jurisdiction for federal and state courts over all suits brought to enforce any duty or liability created by the Securities Act or the rules and regulations thereunder.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However, our amended and restated certificate of incorporation does not purport to require suits brought to enforce a duty or liability created by the Exchange Act to be brought in the Court of Chancery of the State of Delaware or another court of the State of Delaware. Section 27 of the Exchange Act creates exclusive federal jurisdiction over all claims brought to enforce any duty or liability created by the Exchange Act or the rules and regulations thereunder.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Immediately after this consummation of this offering, we will have 12,500,000 shares of common stock issued and outstanding, or 14,375,000 shares of common stock if the over-allotment option is exercised in full. Of these shares, the 10,000,000 shares sold in this offering, or 11,500,000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2,500,000 (or 2,875,000 if the underwriters’ over-allotment is exercised in full) shares are restricted securities under Rule 144, in that they were issued in private transactions not involving a public offering. All of those shares will not be transferable except in limited circumstances described elsewhere in this prospectus, but these restricted securities will be entitled to registration rights as more fully described below under “—</w:t>
      </w:r>
      <w:r>
        <w:rPr>
          <w:rFonts w:ascii="Arial" w:cs="Arial" w:eastAsia="Arial" w:hAnsi="Arial"/>
          <w:sz w:val="17"/>
          <w:szCs w:val="17"/>
          <w:i w:val="1"/>
          <w:iCs w:val="1"/>
          <w:color w:val="auto"/>
        </w:rPr>
        <w:t>Registration Rights</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144</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144, 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w:t>
      </w:r>
    </w:p>
    <w:p>
      <w:pPr>
        <w:spacing w:after="0" w:line="192" w:lineRule="exact"/>
        <w:rPr>
          <w:sz w:val="20"/>
          <w:szCs w:val="20"/>
          <w:color w:val="auto"/>
        </w:rPr>
      </w:pPr>
    </w:p>
    <w:p>
      <w:pPr>
        <w:ind w:left="9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125,000 shares immediately after this offering (or 143,750 if the over-allotment option is exercised in full);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4"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254" w:gutter="0" w:footer="0" w:header="0"/>
        </w:sectPr>
      </w:pPr>
    </w:p>
    <w:bookmarkStart w:id="143" w:name="page144"/>
    <w:bookmarkEnd w:id="143"/>
    <w:p>
      <w:pPr>
        <w:ind w:left="980" w:hanging="324"/>
        <w:spacing w:after="0" w:line="342"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our initial stockholders will be able to sell their founder shares and private warrants, and the securities underlying the foregoing, as applicable, pursuant to Rule 144 without registration one year after we have completed our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following is a discussion of the material U.S. federal income tax considerations generally applicable to the acquisition, ownership and disposition of our units, shares of common stock and warrants, which we refer to collectively as our securities. Because once the shares of common stock and warrants commence separate trading, the components of a unit are separable at the option of the holder, the holder of a unit generally should be treated, for U.S. federal income tax purposes, as the owner of the underlying common stock and one-half of one redeemable warrant components of the unit, as the case may be. As a result, the discussion below with respect to actual holders of common stock and warrants should also apply to holders of units (as the deemed owners of the underlying common stock and warrants that comprise the units). This discussion applies only to securities that are held as capital assets for U.S. federal income tax purposes and is applicable only to holders who purchased units in this offering.</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84" w:lineRule="exact"/>
        <w:rPr>
          <w:sz w:val="20"/>
          <w:szCs w:val="20"/>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sponsor, officers or directors;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 by vote or value;</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 and</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partnership or other entity or arrangement treated as a partnership for U.S. federal income tax purposes, the U.S. federal income tax treatment of your partners will generally depend on the status of the partners and your activities.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discussion is based on the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5" w:name="page146"/>
    <w:bookmarkEnd w:id="145"/>
    <w:p>
      <w:pPr>
        <w:jc w:val="both"/>
        <w:ind w:firstLine="648"/>
        <w:spacing w:after="0" w:line="259" w:lineRule="auto"/>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WE URGE PROSPECTIVE HOLDERS TO CONSULT THEIR TAX ADVISORS CONCERNING THE U.S. FEDERAL INCOME TAX CONSEQUENCES TO THEM OF ACQUIRING, OWNING AND DISPOSING OF OUR SECURITIES, AS WELL AS THE APPLICATION OF ANY, STATE, LOCAL AND NON-U.S. INCOME, ESTATE AND OTHER TAX CONSIDERATIONS.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Holding Company Status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five or fewer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 statutory, administrative or judicial authority directly addresses the treatment of the unit or instruments similar to the unit for U.S. federal income tax purposes and, therefore, that treatment is not entirely clear. The acquisition of a unit should be treated for U.S. federal income tax purposes as the acquisition of one share of our common stock and one-half of one warrant to acquire one share of our common stock. We intend to treat the acquisition of a unit in this manner and, by purchasing a unit, you agree to adopt such treatment for tax purposes. For U.S. federal income tax purposes, each holder of a unit must allocate the purchase price paid by such holder for such unit between the one share of common stock and the one-half of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common stock and the one-half of one warrant should be the holder’s initial tax basis in such share or one-half of one warrant, as the case may be. Any disposition of a unit should be treated for U.S. federal income tax purposes as a disposition of the share of common stock and one-half of one warrant comprising the unit, and the amount realized on the disposition should be allocated between the common stock and the one-half of one warrant based on their respective relative fair market values (as determined by each such unit holder on all the relevant facts and circumstances) at the time of disposition. The separation of shares of common stock and warrants comprising units should not be a taxable event for U.S. federal income tax purposes.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treatment of the units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units, shares of common stock or warrants who or that is, for U.S. federal income tax purposes:</w:t>
      </w:r>
    </w:p>
    <w:p>
      <w:pPr>
        <w:spacing w:after="0" w:line="170" w:lineRule="exact"/>
        <w:rPr>
          <w:sz w:val="20"/>
          <w:szCs w:val="20"/>
          <w:color w:val="auto"/>
        </w:rPr>
      </w:pPr>
    </w:p>
    <w:p>
      <w:pPr>
        <w:ind w:left="800" w:hanging="441"/>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800" w:hanging="441"/>
        <w:spacing w:after="0" w:line="277"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800" w:hanging="441"/>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5" w:lineRule="exact"/>
        <w:rPr>
          <w:rFonts w:ascii="Arial" w:cs="Arial" w:eastAsia="Arial" w:hAnsi="Arial"/>
          <w:sz w:val="18"/>
          <w:szCs w:val="18"/>
          <w:color w:val="auto"/>
        </w:rPr>
      </w:pPr>
    </w:p>
    <w:p>
      <w:pPr>
        <w:jc w:val="both"/>
        <w:ind w:left="800" w:hanging="441"/>
        <w:spacing w:after="0" w:line="263"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 — Gain or Loss on Sale, Taxable Exchange or Other Taxable Disposition of Common Stock and Warrants” below.</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preferential tax rate accorded to long-term capital gains. It is unclear whether the redemption rights with respect to the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 and Warrants.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Upon a sale or other taxable disposition of our common stock or warrants which, in general, would include a redemption of common stock or warrants that is treated as a sale of such securities as described below, and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common stock or warrants so disposed of. Any such capital gain or loss generally will be long-term capital gain or loss if the U.S. holder’s holding period for the common stock or warrants so disposed of exceeds one year. It is unclear, however, whether the redemption rights with respect to the common stock described in this prospectus may suspend the running of the applicable holding period for this purpose. If the running of the holding period for the common stock is suspended, then non-corporate U.S. holders may not be able to satisfy the one-year holding period requirement for long-term capital gain treatment, in which case any gain on a sale or taxable disposition of the shares or warrants would be subject to short-term capital gain treatment and would be taxed at regular ordinary income tax rates. Long-term capital gains recognized by non-corporate U.S. holders are currently eligible to be taxed at reduced rates. The deductibility of capital losses is subject to limitations.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7" w:name="page148"/>
    <w:bookmarkEnd w:id="147"/>
    <w:p>
      <w:pPr>
        <w:jc w:val="both"/>
        <w:ind w:firstLine="648"/>
        <w:spacing w:after="0" w:line="291" w:lineRule="auto"/>
        <w:rPr>
          <w:sz w:val="20"/>
          <w:szCs w:val="20"/>
          <w:color w:val="auto"/>
        </w:rPr>
      </w:pPr>
      <w:r>
        <w:rPr>
          <w:rFonts w:ascii="Arial" w:cs="Arial" w:eastAsia="Arial" w:hAnsi="Arial"/>
          <w:sz w:val="16"/>
          <w:szCs w:val="16"/>
          <w:color w:val="auto"/>
        </w:rPr>
        <w:t>Generally, the amount of gain or loss recognized by a U.S. holder is equal to the difference between (i) the sum of the amount of cash and the fair market value of any property received in such disposition (or, if the common stock or warrants are held as part of units at the time of the disposition, the portion of the amount realized on such disposition that is allocated to the common stock or the warrants based upon the then fair market values of the common stock and the warrants included in the units) and (ii) the U.S. holder’s adjusted tax basis in its common stock or warrants so disposed of. A U.S. holder’s adjusted tax basis in its common stock or warrants generally will equal the U.S. holder’s acquisition cost (that is, as discussed above, the portion of the purchase price of a unit allocated to a share of common stock or one-half of one warrant or, as discussed below, the U.S. holder’s initial basis for common stock received upon exercise of warrants) less, in the case of a share of common stock, any prior distributions treated as a return of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the event that a U.S. holder’s common stock is redeemed pursuant to the redemption provisions described under the section of this prospectus entitled “Description of Securities </w:t>
      </w:r>
      <w:r>
        <w:rPr>
          <w:rFonts w:ascii="Arial" w:cs="Arial" w:eastAsia="Arial" w:hAnsi="Arial"/>
          <w:sz w:val="16"/>
          <w:szCs w:val="16"/>
          <w:i w:val="1"/>
          <w:iCs w:val="1"/>
          <w:color w:val="auto"/>
        </w:rPr>
        <w:t>—</w:t>
      </w:r>
      <w:r>
        <w:rPr>
          <w:rFonts w:ascii="Arial" w:cs="Arial" w:eastAsia="Arial" w:hAnsi="Arial"/>
          <w:sz w:val="16"/>
          <w:szCs w:val="16"/>
          <w:color w:val="auto"/>
        </w:rPr>
        <w:t xml:space="preserve"> Common Stock” or if we purchase a U.S. holder’s common stock in an open market transaction (each of which we refer to as a “redemption”), the treatment of the transaction for U.S. federal income tax purposes will depend on whether the redemption qualifies as a sale or exchange of the common stock under Section 302 of the Code. If the redemption qualifies as a sale or exchange of common stock, the U.S. holder will be treated as described under “U.S. Holders — Gain or Loss on Sale, Taxable Exchange or Other Taxable Disposition of Common Stock and Warrants” above. If the redemption does not qualify as a sale or exchange of common stock, the U.S. holder will be treated as receiving a corporate distribution with the tax consequences described above under “U.S. Holders — Taxation of Distributions”. Whether a redemption qualifies for sale or exchange treatment will depend largely on the total number of shares of our stock treated as owned by the U.S. holder (including any stock constructively owned by the U.S. holder described in the following paragraph) relative to all of our shares outstanding both before and after the redemption. The redemption of common stock generally will be treated as a sale of the common stock (rather than as a corporate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U.S. holder immediately following the redemption of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common stock will not be essentially equivalent to a dividend with respect to a U.S. holder if the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3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common stock will be added to the U.S. holder’s adjusted tax basis in its remaining shares, or, if it has none, to the U.S. holder’s adjusted tax basis in its warrants or possibly in other stock constructively owned by 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on the acquisition of common stock upon exercise of a warrant for cash. The U.S. holder’s tax basis in the share of our common stock received upon exercise of the warrant generally will be an amount equal to the sum of the U.S. holder’s initial investment in the warrant (i.e., the portion of the U.S. holder’s purchase price for the units that is allocated to the warrant, as described above under “— Allocation of Purchase Price and Characterization of a Unit”) and the exercise price of such warrant.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generally should equal the holder’s tax basis in the warrants exercised therefor. If the cashless exercise were treated as not being a realization event (and not a recapitalization), it is unclear whether a U.S. holder’s holding period for the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stock would include the holding period of the warrants exercised therefor.</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It is also possible that a cashless exercise could be treated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adjusted tax basis in such warrants. Such gain or loss would be long-term or short-term, depending on the U.S. holder’s holding period in the warrants deemed surrendered. In this case, a U.S. holder’s tax basis in the common stock received would equal the sum of the U.S. holder’s tax basis in the warrants exercised (i.e., the portion of the U.S. holder’s purchase price for the units that is allocated to the warrants, as described above under “— Allocation of Purchase Price and Characterization of a Unit”) and the exercise price of such warrants. It is unclear whether a U.S. holder’s holding period for the common stock would commence on the date following the date of exercise or on the date of exercise of the warrants; in either case, the holding period would not include the period during which the U.S. holder held the warrants.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we redeem warrants for cash or if we purchase warrants in an open market transaction, such redemption or purchase generally will be treated as a taxable disposition to the U.S. holder, taxed as described above under “— Gain or Loss on Sale, Taxable Exchange or Other Taxable Disposition of Common Stock and Warrants.” The tax consequences of an exercise of a warrant occurring after our giving notice of an intention to redeem the warrant for $0.01 as described in the section of this prospectus entitled “Description of Securities — Redeemable Warrants — Public Warrants” are unclear under current law. In the case of a cashless exercise, the exercise may be treated either as if we redeemed such warrant for common stock or as an exercise of the warrant. If the cashless exercise of a warrant for common stock is treated as a redemption, then such redemption generally should be treated as a tax-deferred recapitalization for U.S. federal income tax purposes, in which case a U.S. holder should not recognize any gain or loss on such redemption, and accordingly, a U.S. holder’s basis in the common stock received should equal the U.S. holder’s basis in the warrant and the holding period of the shares of common stock would include the holding period of the warrant. If the cashless exercise of a warrant is treated as such, the tax consequences generally should be as described under the heading “U.S. Holders — Exercise, Lapse or Redemption of a Warrant.” In the case of an exercise of a warrant for cash, the tax treatment generally should be as described above under the heading “U.S. Holders — Exercise, Lapse or Redemption of a Warrant.” Due to the lack of clarity under current law regarding the treatment of an exercise of a warrant after our giving notice of an intention to redeem the warrant for $0.01,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U.S. holders of such shares as a distribution (as described under “U.S. Holders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units,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 All U.S. holders should consult their tax advisors regarding the application of information reporting and backup withholding to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common stock or warrants who or that is for U.S. federal income tax purposes a non-resident alien individual (other than certain former citizens and residents of the United States subject to U.S. federal income tax as expatriates), a foreign corporation, or an estate or trust that is not a U.S. holder, 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Common Stock and Warrants” below. In addition, if we determine that we are likely to be classified as a “U.S. real property holding corporation” (see “Non-U.S. Holders — Gain on Sale, Taxable Exchange or Other Taxable Disposition of Common Stock and Warrants” below), we will withhold 15% of any distribution that exceeds our current and accumulated earnings and profits, including a distribution in redemption of shares of our common stock. See also “Non-U.S. Holders — Possible Constructive Distributions” for potential U.S. federal tax consequences with respect to constructive distributions.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such Non-U.S. holder’s conduct of a trade or business within the United States (or, if an income tax treaty applies, are attributable to a U.S. permanent establishment or fixed base maintained by the non-U.S. holder). Instead, the effectively connected dividends will generally be subject to regular U.S. federal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Taxable Exchange or Other Taxable Disposition of Common Stock and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the discussion of FATCA and backup withholding below, a Non-U.S. holder generally will not be subject to U.S. federal income or withholding tax in respect of gain recognized on a sale, taxable exchange or other taxable disposition of our common stock, which would include a dissolution and liquidation in the event we do not complete an initial business combination within the required period of time, or warrants (including an expiration or redemption of our warrants), in each case without regard to whether those securities were held as part of a unit, unless:</w:t>
      </w:r>
    </w:p>
    <w:p>
      <w:pPr>
        <w:spacing w:after="0" w:line="171" w:lineRule="exact"/>
        <w:rPr>
          <w:sz w:val="20"/>
          <w:szCs w:val="20"/>
          <w:color w:val="auto"/>
        </w:rPr>
      </w:pPr>
    </w:p>
    <w:p>
      <w:pPr>
        <w:ind w:left="800" w:hanging="441"/>
        <w:spacing w:after="0" w:line="308" w:lineRule="auto"/>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46" w:lineRule="exact"/>
        <w:rPr>
          <w:rFonts w:ascii="Arial" w:cs="Arial" w:eastAsia="Arial" w:hAnsi="Arial"/>
          <w:sz w:val="17"/>
          <w:szCs w:val="17"/>
          <w:color w:val="auto"/>
        </w:rPr>
      </w:pPr>
    </w:p>
    <w:p>
      <w:pPr>
        <w:jc w:val="both"/>
        <w:ind w:left="800" w:hanging="441"/>
        <w:spacing w:after="0" w:line="273" w:lineRule="auto"/>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(including through ownership of warrants),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an applicable income tax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 We cannot determine whether we will be a U.S. real property holding corporation in the future until we complete an initial business combination. We will be classified as a U.S. real property holding corporation if the fair market value of our “U.S. real property interests” equals or exceeds 50 percent of the sum of the fair market value of our worldwide real property interests plus our other assets used or held for use in a trade or business, as determined for U.S. federal income tax purposes.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characterization for U.S. federal income tax purposes of the redemption of a Non-U.S. holder’s common stock pursuant to the redemption provisions described in the section of this prospectus entitled “Description of Securities — Common Stock” generally will correspond to the U.S. federal income tax characterization of such a redemption of a U.S. holder’s common stock, as described under “U.S. Holders — Redemption of Common Stock” above, and the consequences of the redemption to the Non-U.S. holder will be as described above under “Non-U.S. Holders — Taxation of Distributions” and “Non-U.S. Holders — Gain on Sale, Taxable Exchange or Other Taxable Disposition of Common Stock and Warrants,”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Lapse or Redemption of a Warrant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 exchange, the consequences would be similar to those described above in “Non-U.S. Holders — Gain on Sale, Taxable Exchange or Other Taxable Disposition of Common Stock and Warrants.” The U.S. federal income tax treatment for a Non-U.S. holder of a redemption of warrants for common stock will correspond to the U.S. federal income tax treatment for a U.S. holder of a redemption of warrants for common stock, as described above in “U.S. Holders — Exercise, Lapse or Redemption of a Warrant.” The U.S. federal income tax treatment for a Non-U.S. holder of a redemption of warrants for cash (or if we purchase warrants in an open market transaction) would be similar to that described above in “Non-U.S. Holders — Gain on Sale, Taxable Exchange or Other Taxable Disposition of Common Stock and Warrants.”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Nevertheless, the Non-U.S. holders of the warrants would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(as described under “Non-U.S. Holders — Taxation of Distributions” above). Such constructive distribution would be subject to tax in the same manner as if the Non-U.S. holders of the warrants received a cash distribution from us equal to the fair market value of such increased interest resulting from the adjustment.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our units,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All Non-U.S. holders should consult their tax advisors regarding the application of information reporting and backup withholding to them.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i w:val="1"/>
          <w:iCs w:val="1"/>
          <w:color w:val="auto"/>
        </w:rPr>
        <w:t>FATCA Withholding Taxes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Provisions commonly referred to as “FATCA” impose withholding of 30% on payments of dividends (including constructive dividends) on our common stock or warrants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our securities.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COMMON STOCK AND WARRANTS, INCLUDING THE TAX CONSEQUENCES UNDER STATE, LOCAL, ESTATE, NON-U.S. AND OTHER TAX LAWS AND TAX TREATIES AND THE POSSIBLE EFFECTS OF CHANGES IN U.S. OR OTHER TAX LAWS.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intend to offer our securities described in this prospectus through the underwriters named below. Chardan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18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9900" w:type="dxa"/>
            <w:vAlign w:val="bottom"/>
            <w:gridSpan w:val="2"/>
          </w:tcPr>
          <w:p>
            <w:pPr>
              <w:ind w:left="4420"/>
              <w:spacing w:after="0"/>
              <w:rPr>
                <w:sz w:val="20"/>
                <w:szCs w:val="20"/>
                <w:color w:val="auto"/>
              </w:rPr>
            </w:pPr>
            <w:r>
              <w:rPr>
                <w:rFonts w:ascii="Arial" w:cs="Arial" w:eastAsia="Arial" w:hAnsi="Arial"/>
                <w:sz w:val="18"/>
                <w:szCs w:val="18"/>
                <w:b w:val="1"/>
                <w:bCs w:val="1"/>
                <w:color w:val="auto"/>
              </w:rPr>
              <w:t>Underwriter</w:t>
            </w:r>
          </w:p>
        </w:tc>
        <w:tc>
          <w:tcPr>
            <w:tcW w:w="1340" w:type="dxa"/>
            <w:vAlign w:val="bottom"/>
            <w:gridSpan w:val="3"/>
          </w:tcPr>
          <w:p>
            <w:pPr>
              <w:ind w:left="420"/>
              <w:spacing w:after="0"/>
              <w:rPr>
                <w:sz w:val="20"/>
                <w:szCs w:val="20"/>
                <w:color w:val="auto"/>
              </w:rPr>
            </w:pPr>
            <w:r>
              <w:rPr>
                <w:rFonts w:ascii="Arial" w:cs="Arial" w:eastAsia="Arial" w:hAnsi="Arial"/>
                <w:sz w:val="18"/>
                <w:szCs w:val="18"/>
                <w:b w:val="1"/>
                <w:bCs w:val="1"/>
                <w:color w:val="auto"/>
              </w:rPr>
              <w:t>Units</w:t>
            </w:r>
          </w:p>
        </w:tc>
      </w:tr>
      <w:tr>
        <w:trPr>
          <w:trHeight w:val="209"/>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9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10,000,000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our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granted the underwriters an option to buy up to 1,500,000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Units sold by the underwriters to the public will initially be offered at the offering price set forth on the cover of this prospectus. The underwriters will be entitled to a cash underwriting discount of $500,000. The aggregate amount of the fee paid to the underwriters will remain constant at $500,000, even if the over-allotment option is exercised. B. Riley Securities, Inc. will receive $100,000 from the total underwriting discount for acting as a qualified</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independent underwriter. Any units sold by the underwriters to securities dealers may be sold at a discount of up to $ per unit from the public offering price. Any of these securities dealers may resell any units purchased from the underwriters to other brokers or dealers at a discount of up to</w:t>
      </w:r>
    </w:p>
    <w:p>
      <w:pPr>
        <w:jc w:val="both"/>
        <w:ind w:firstLine="8"/>
        <w:spacing w:after="0" w:line="253"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 unit from the 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1,500,000 units.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Without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1"/>
              <w:spacing w:after="0"/>
              <w:rPr>
                <w:sz w:val="20"/>
                <w:szCs w:val="20"/>
                <w:color w:val="auto"/>
              </w:rPr>
            </w:pPr>
            <w:r>
              <w:rPr>
                <w:rFonts w:ascii="Arial" w:cs="Arial" w:eastAsia="Arial" w:hAnsi="Arial"/>
                <w:sz w:val="18"/>
                <w:szCs w:val="18"/>
                <w:b w:val="1"/>
                <w:bCs w:val="1"/>
                <w:color w:val="auto"/>
              </w:rPr>
              <w:t>Per Unit</w:t>
            </w:r>
          </w:p>
        </w:tc>
        <w:tc>
          <w:tcPr>
            <w:tcW w:w="28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Over-allotment</w:t>
            </w:r>
          </w:p>
        </w:tc>
        <w:tc>
          <w:tcPr>
            <w:tcW w:w="10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Over-allotment</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line="149" w:lineRule="exact"/>
              <w:rPr>
                <w:sz w:val="20"/>
                <w:szCs w:val="20"/>
                <w:color w:val="auto"/>
              </w:rPr>
            </w:pPr>
            <w:r>
              <w:rPr>
                <w:rFonts w:ascii="Arial" w:cs="Arial" w:eastAsia="Arial" w:hAnsi="Arial"/>
                <w:sz w:val="17"/>
                <w:szCs w:val="17"/>
                <w:color w:val="auto"/>
              </w:rPr>
              <w:t>Discount and qualified independent underwriter fees</w:t>
            </w:r>
          </w:p>
        </w:tc>
        <w:tc>
          <w:tcPr>
            <w:tcW w:w="200" w:type="dxa"/>
            <w:vAlign w:val="bottom"/>
          </w:tcPr>
          <w:p>
            <w:pPr>
              <w:jc w:val="right"/>
              <w:ind w:right="12"/>
              <w:spacing w:after="0" w:line="149"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49" w:lineRule="exact"/>
              <w:rPr>
                <w:sz w:val="20"/>
                <w:szCs w:val="20"/>
                <w:color w:val="auto"/>
              </w:rPr>
            </w:pPr>
            <w:r>
              <w:rPr>
                <w:rFonts w:ascii="Arial" w:cs="Arial" w:eastAsia="Arial" w:hAnsi="Arial"/>
                <w:sz w:val="17"/>
                <w:szCs w:val="17"/>
                <w:color w:val="auto"/>
              </w:rPr>
              <w:t>0.005</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(1)</w:t>
            </w:r>
          </w:p>
        </w:tc>
        <w:tc>
          <w:tcPr>
            <w:tcW w:w="180" w:type="dxa"/>
            <w:vAlign w:val="bottom"/>
          </w:tcPr>
          <w:p>
            <w:pPr>
              <w:jc w:val="right"/>
              <w:ind w:right="23"/>
              <w:spacing w:after="0" w:line="149"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7"/>
                <w:szCs w:val="17"/>
                <w:color w:val="auto"/>
              </w:rPr>
              <w:t>500,000</w:t>
            </w:r>
          </w:p>
        </w:tc>
        <w:tc>
          <w:tcPr>
            <w:tcW w:w="320" w:type="dxa"/>
            <w:vAlign w:val="bottom"/>
            <w:gridSpan w:val="2"/>
          </w:tcPr>
          <w:p>
            <w:pPr>
              <w:jc w:val="right"/>
              <w:ind w:right="30"/>
              <w:spacing w:after="0" w:line="14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44"/>
        </w:trPr>
        <w:tc>
          <w:tcPr>
            <w:tcW w:w="6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w:t>
            </w:r>
            <w:r>
              <w:rPr>
                <w:rFonts w:ascii="Arial" w:cs="Arial" w:eastAsia="Arial" w:hAnsi="Arial"/>
                <w:sz w:val="29"/>
                <w:szCs w:val="29"/>
                <w:color w:val="auto"/>
                <w:vertAlign w:val="superscript"/>
              </w:rPr>
              <w:t>(2)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99,500,000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left="340" w:hanging="332"/>
        <w:spacing w:after="0" w:line="258"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amount of the fee paid to the underwriters (including the amount payable to the qualified independent underwriter) remains constant at $500,000, even if the over-allotment option is exercised.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offering expenses are estimated at $575,000.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Pricing of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representative. Factors considered in determining the prices and terms of the units, including the shares of common stock and warrants underlying the units, include:</w:t>
      </w:r>
    </w:p>
    <w:p>
      <w:pPr>
        <w:spacing w:after="0" w:line="184"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Rules of the SEC may limit the ability of the underwriters to bid for or purchase our units before the distribution of the units is completed.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the underwriters may engage in the following activities in accordance with the rules:</w:t>
      </w:r>
    </w:p>
    <w:p>
      <w:pPr>
        <w:spacing w:after="0" w:line="207" w:lineRule="exact"/>
        <w:rPr>
          <w:sz w:val="20"/>
          <w:szCs w:val="20"/>
          <w:color w:val="auto"/>
        </w:rPr>
      </w:pPr>
    </w:p>
    <w:p>
      <w:pPr>
        <w:ind w:left="980" w:hanging="324"/>
        <w:spacing w:after="0" w:line="347"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Stabilizing Transactions</w:t>
      </w:r>
      <w:r>
        <w:rPr>
          <w:rFonts w:ascii="Arial" w:cs="Arial" w:eastAsia="Arial" w:hAnsi="Arial"/>
          <w:sz w:val="16"/>
          <w:szCs w:val="16"/>
          <w:color w:val="auto"/>
        </w:rPr>
        <w:t>. The underwriters may make bids or purchases for the purpose of preventing or retarding a decline in the price of</w:t>
      </w:r>
      <w:r>
        <w:rPr>
          <w:rFonts w:ascii="Arial" w:cs="Arial" w:eastAsia="Arial" w:hAnsi="Arial"/>
          <w:sz w:val="16"/>
          <w:szCs w:val="16"/>
          <w:b w:val="1"/>
          <w:bCs w:val="1"/>
          <w:color w:val="auto"/>
        </w:rPr>
        <w:t xml:space="preserve"> </w:t>
      </w:r>
      <w:r>
        <w:rPr>
          <w:rFonts w:ascii="Arial" w:cs="Arial" w:eastAsia="Arial" w:hAnsi="Arial"/>
          <w:sz w:val="16"/>
          <w:szCs w:val="16"/>
          <w:color w:val="auto"/>
        </w:rPr>
        <w:t>our units, as long as stabilizing bids do not exceed the offering price of $10.00 and the underwriters comply with all other applicable rules.</w:t>
      </w:r>
    </w:p>
    <w:p>
      <w:pPr>
        <w:spacing w:after="0" w:line="115" w:lineRule="exact"/>
        <w:rPr>
          <w:rFonts w:ascii="Arial" w:cs="Arial" w:eastAsia="Arial" w:hAnsi="Arial"/>
          <w:sz w:val="16"/>
          <w:szCs w:val="16"/>
          <w:color w:val="auto"/>
        </w:rPr>
      </w:pPr>
    </w:p>
    <w:p>
      <w:pPr>
        <w:jc w:val="both"/>
        <w:ind w:left="980" w:hanging="324"/>
        <w:spacing w:after="0" w:line="288"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Over-Allotments and Syndicate Coverage Transactions</w:t>
      </w:r>
      <w:r>
        <w:rPr>
          <w:rFonts w:ascii="Arial" w:cs="Arial" w:eastAsia="Arial" w:hAnsi="Arial"/>
          <w:sz w:val="16"/>
          <w:szCs w:val="16"/>
          <w:color w:val="auto"/>
        </w:rPr>
        <w:t>. The underwriters may create a short position in our units by selling more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ind w:left="980" w:hanging="324"/>
        <w:spacing w:after="0" w:line="282"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Penalty Bids</w:t>
      </w:r>
      <w:r>
        <w:rPr>
          <w:rFonts w:ascii="Arial" w:cs="Arial" w:eastAsia="Arial" w:hAnsi="Arial"/>
          <w:sz w:val="18"/>
          <w:szCs w:val="18"/>
          <w:color w:val="auto"/>
        </w:rPr>
        <w:t>. The representative may reclaim a selling concession from a syndicate member when the units originally sold by the syndicate</w:t>
      </w:r>
      <w:r>
        <w:rPr>
          <w:rFonts w:ascii="Arial" w:cs="Arial" w:eastAsia="Arial" w:hAnsi="Arial"/>
          <w:sz w:val="18"/>
          <w:szCs w:val="18"/>
          <w:b w:val="1"/>
          <w:bCs w:val="1"/>
          <w:color w:val="auto"/>
        </w:rPr>
        <w:t xml:space="preserve"> </w:t>
      </w:r>
      <w:r>
        <w:rPr>
          <w:rFonts w:ascii="Arial" w:cs="Arial" w:eastAsia="Arial" w:hAnsi="Arial"/>
          <w:sz w:val="18"/>
          <w:szCs w:val="18"/>
          <w:color w:val="auto"/>
        </w:rPr>
        <w:t>member are purchased in a stabilizing or syndicate covering transaction to cover syndicate short positions.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been advised by the representative of the underwriters that it does not intend to make a market in our public units.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the Nasdaq, in the over-the-counter market or on any trading market. If any of these transactions are commenced, they may be discontinued without notice at any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Chardan NexTech 2 Warrant Holdings LLC, an affiliate of our sponsor, has committed, pursuant to a written agreement, to purchase an aggregate of 5,238,461 (or up to 5,469,230 depending on the extent to which the underwriters’ over-allotment option is exercised) warrants at a price of $0.65 per warrant ($3,405,000 (or up to $3,555,000 depending on the extent to which the underwriters’ over-allotment option is exercised)) in a private placement that will occur simultaneously with the closing of this offering. The private warrants have terms and provisions that are identical to the public warrants sold in this offering except as described under “</w:t>
      </w:r>
      <w:r>
        <w:rPr>
          <w:rFonts w:ascii="Arial" w:cs="Arial" w:eastAsia="Arial" w:hAnsi="Arial"/>
          <w:sz w:val="17"/>
          <w:szCs w:val="17"/>
          <w:i w:val="1"/>
          <w:iCs w:val="1"/>
          <w:color w:val="auto"/>
        </w:rPr>
        <w:t>Description of Securities — Redeemable Warrants — Private Warrants</w:t>
      </w:r>
      <w:r>
        <w:rPr>
          <w:rFonts w:ascii="Arial" w:cs="Arial" w:eastAsia="Arial" w:hAnsi="Arial"/>
          <w:sz w:val="17"/>
          <w:szCs w:val="17"/>
          <w:color w:val="auto"/>
        </w:rPr>
        <w:t>.” The private warrants will be considered underwriting compensation in connection with this offering. Such private warrants will be subject to lock-up restrictions, as required by FINRA Rule 5110(e)(1) and may not be sold during the offering, or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of the registration statement of which this prospectus forms a part or commencement of sales of the offering, except as provided in FINRA Rule 5110(e)(2). We have granted our sponsor the registration rights as described under the section “</w:t>
      </w:r>
      <w:r>
        <w:rPr>
          <w:rFonts w:ascii="Arial" w:cs="Arial" w:eastAsia="Arial" w:hAnsi="Arial"/>
          <w:sz w:val="17"/>
          <w:szCs w:val="17"/>
          <w:i w:val="1"/>
          <w:iCs w:val="1"/>
          <w:color w:val="auto"/>
        </w:rPr>
        <w:t>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our </w:t>
      </w:r>
      <w:r>
        <w:rPr>
          <w:rFonts w:ascii="Arial" w:cs="Arial" w:eastAsia="Arial" w:hAnsi="Arial"/>
          <w:sz w:val="17"/>
          <w:szCs w:val="17"/>
          <w:color w:val="auto"/>
        </w:rPr>
        <w:t>Securities —</w:t>
      </w:r>
      <w:r>
        <w:rPr>
          <w:rFonts w:ascii="Arial" w:cs="Arial" w:eastAsia="Arial" w:hAnsi="Arial"/>
          <w:sz w:val="17"/>
          <w:szCs w:val="17"/>
          <w:i w:val="1"/>
          <w:iCs w:val="1"/>
          <w:color w:val="auto"/>
        </w:rPr>
        <w:t xml:space="preserve"> Registration Rights</w:t>
      </w:r>
      <w:r>
        <w:rPr>
          <w:rFonts w:ascii="Arial" w:cs="Arial" w:eastAsia="Arial" w:hAnsi="Arial"/>
          <w:sz w:val="17"/>
          <w:szCs w:val="17"/>
          <w:color w:val="auto"/>
        </w:rPr>
        <w:t>.” The demand and piggyback registration rights being granted to our sponsor are subject to FINRA Rule 5110(g) and</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in compliance with FINRA Rule 5110.05.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engaged Chardan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assist us in obtaining stockholder approval for the business combination and assist us with our press releases and public filings in connection with the business combination.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agreed to provide Chardan Capital Markets, LLC with a right of first refusal to participate as lead book running manager for any public or private securities offerings for a period of 24 months following the consummation of our initial business combination, with at least 30% of the economics for any such offering. In accordance with FINRA Rule 5110(g)(6), such right of first refusal shall not have a duration of more than three years from the effective date of the registration statement of which this prospectus forms a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sponsor is an affiliate of Chardan, the representative of the underwriters in this offering, and certain of our officers and directors are affiliated with Chardan. As a result, Chardan is deemed to have a “conflict of interest” within the meaning of FINRA Rule 5121.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6" w:name="page157"/>
    <w:bookmarkEnd w:id="156"/>
    <w:p>
      <w:pPr>
        <w:jc w:val="both"/>
        <w:ind w:firstLine="648"/>
        <w:spacing w:after="0" w:line="254" w:lineRule="auto"/>
        <w:rPr>
          <w:sz w:val="20"/>
          <w:szCs w:val="20"/>
          <w:color w:val="auto"/>
        </w:rPr>
      </w:pPr>
      <w:r>
        <w:rPr>
          <w:rFonts w:ascii="Arial" w:cs="Arial" w:eastAsia="Arial" w:hAnsi="Arial"/>
          <w:sz w:val="18"/>
          <w:szCs w:val="18"/>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from the total underwriting discount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225" w:lineRule="exact"/>
        <w:rPr>
          <w:sz w:val="20"/>
          <w:szCs w:val="20"/>
          <w:color w:val="auto"/>
        </w:rPr>
      </w:pPr>
    </w:p>
    <w:p>
      <w:pPr>
        <w:ind w:left="980" w:hanging="324"/>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i w:val="1"/>
          <w:iCs w:val="1"/>
          <w:color w:val="auto"/>
        </w:rPr>
        <w:t>Rights of Action — Ontario Purchasers Only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of Personal Information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Reed Smith LLP, is acting as United States counsel in connection with the registration of the offer and sale of our securities under the Securities Act and will pass on the validity of the securities offered in the prospectus. Greenberg Traurig, LLP, is acting as counsel for the underwriters in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of Chardan NexTech Acquisition 2 Corp. as of December 31, 2020, and for the period from June 23,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which contains the Form S-1 and other reports, proxy and information statements and information regarding issuers that file electronically with the SEC.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gridSpan w:val="9"/>
            <w:shd w:val="clear" w:color="auto" w:fill="CCEEFF"/>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Report of Independent Registered Public Accounting Firm</w:t>
              </w:r>
            </w:hyperlink>
          </w:p>
        </w:tc>
        <w:tc>
          <w:tcPr>
            <w:tcW w:w="1520" w:type="dxa"/>
            <w:vAlign w:val="bottom"/>
            <w:gridSpan w:val="4"/>
            <w:shd w:val="clear" w:color="auto" w:fill="CCEEFF"/>
          </w:tcPr>
          <w:p>
            <w:pPr>
              <w:jc w:val="center"/>
              <w:ind w:right="720"/>
              <w:spacing w:after="0"/>
              <w:rPr>
                <w:rFonts w:ascii="Arial" w:cs="Arial" w:eastAsia="Arial" w:hAnsi="Arial"/>
                <w:sz w:val="18"/>
                <w:szCs w:val="18"/>
                <w:color w:val="0000EE"/>
                <w:w w:val="88"/>
              </w:rPr>
            </w:pPr>
            <w:hyperlink w:anchor="page161">
              <w:r>
                <w:rPr>
                  <w:rFonts w:ascii="Arial" w:cs="Arial" w:eastAsia="Arial" w:hAnsi="Arial"/>
                  <w:sz w:val="18"/>
                  <w:szCs w:val="18"/>
                  <w:color w:val="0000EE"/>
                  <w:w w:val="88"/>
                </w:rPr>
                <w:t>F-2</w:t>
              </w:r>
            </w:hyperlink>
          </w:p>
        </w:tc>
      </w:tr>
      <w:tr>
        <w:trPr>
          <w:trHeight w:val="20"/>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20" w:type="dxa"/>
            <w:vAlign w:val="bottom"/>
            <w:gridSpan w:val="9"/>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Balance Sheets as of March 31, 2021 (unaudited) and December 31, 2020</w:t>
              </w:r>
            </w:hyperlink>
          </w:p>
        </w:tc>
        <w:tc>
          <w:tcPr>
            <w:tcW w:w="1520" w:type="dxa"/>
            <w:vAlign w:val="bottom"/>
            <w:gridSpan w:val="4"/>
          </w:tcPr>
          <w:p>
            <w:pPr>
              <w:jc w:val="center"/>
              <w:ind w:right="720"/>
              <w:spacing w:after="0" w:line="17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F-3</w:t>
              </w:r>
            </w:hyperlink>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5"/>
        </w:trPr>
        <w:tc>
          <w:tcPr>
            <w:tcW w:w="86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163">
              <w:r>
                <w:rPr>
                  <w:rFonts w:ascii="Arial" w:cs="Arial" w:eastAsia="Arial" w:hAnsi="Arial"/>
                  <w:sz w:val="18"/>
                  <w:szCs w:val="18"/>
                  <w:color w:val="0000EE"/>
                  <w:w w:val="90"/>
                </w:rPr>
                <w:t>Statements of Operations for the three months ended March 31, 2021 (unaudited) and for the period from June 23, 2020</w:t>
              </w:r>
            </w:hyperlink>
          </w:p>
        </w:tc>
        <w:tc>
          <w:tcPr>
            <w:tcW w:w="108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6"/>
        </w:trPr>
        <w:tc>
          <w:tcPr>
            <w:tcW w:w="9720" w:type="dxa"/>
            <w:vAlign w:val="bottom"/>
            <w:gridSpan w:val="9"/>
            <w:shd w:val="clear" w:color="auto" w:fill="CCEEFF"/>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(inception) through December 31, 2020</w:t>
              </w:r>
            </w:hyperlink>
          </w:p>
        </w:tc>
        <w:tc>
          <w:tcPr>
            <w:tcW w:w="1520" w:type="dxa"/>
            <w:vAlign w:val="bottom"/>
            <w:gridSpan w:val="4"/>
            <w:shd w:val="clear" w:color="auto" w:fill="CCEEFF"/>
          </w:tcPr>
          <w:p>
            <w:pPr>
              <w:jc w:val="center"/>
              <w:ind w:right="720"/>
              <w:spacing w:after="0" w:line="196"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F-4</w:t>
              </w:r>
            </w:hyperlink>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20" w:type="dxa"/>
            <w:vAlign w:val="bottom"/>
            <w:gridSpan w:val="9"/>
          </w:tcPr>
          <w:p>
            <w:pPr>
              <w:spacing w:after="0" w:line="176" w:lineRule="exact"/>
              <w:rPr>
                <w:rFonts w:ascii="Arial" w:cs="Arial" w:eastAsia="Arial" w:hAnsi="Arial"/>
                <w:sz w:val="18"/>
                <w:szCs w:val="18"/>
                <w:color w:val="0000EE"/>
              </w:rPr>
            </w:pPr>
            <w:hyperlink w:anchor="page164">
              <w:r>
                <w:rPr>
                  <w:rFonts w:ascii="Arial" w:cs="Arial" w:eastAsia="Arial" w:hAnsi="Arial"/>
                  <w:sz w:val="18"/>
                  <w:szCs w:val="18"/>
                  <w:color w:val="0000EE"/>
                </w:rPr>
                <w:t>Statements of Changes in Stockholder’s Equity for the three months ended March 31, 2021 (unaudited) and for the</w:t>
              </w:r>
            </w:hyperlink>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8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period from June 23, 2020 (inception) through December 31, 2020</w:t>
              </w:r>
            </w:hyperlink>
          </w:p>
        </w:tc>
        <w:tc>
          <w:tcPr>
            <w:tcW w:w="1460" w:type="dxa"/>
            <w:vAlign w:val="bottom"/>
            <w:gridSpan w:val="3"/>
          </w:tcPr>
          <w:p>
            <w:pPr>
              <w:spacing w:after="0"/>
              <w:rPr>
                <w:sz w:val="17"/>
                <w:szCs w:val="17"/>
                <w:color w:val="auto"/>
              </w:rPr>
            </w:pPr>
          </w:p>
        </w:tc>
        <w:tc>
          <w:tcPr>
            <w:tcW w:w="1520" w:type="dxa"/>
            <w:vAlign w:val="bottom"/>
            <w:gridSpan w:val="4"/>
          </w:tcPr>
          <w:p>
            <w:pPr>
              <w:jc w:val="center"/>
              <w:ind w:right="720"/>
              <w:spacing w:after="0" w:line="196"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F-5</w:t>
              </w:r>
            </w:hyperlink>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5"/>
        </w:trPr>
        <w:tc>
          <w:tcPr>
            <w:tcW w:w="87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165">
              <w:r>
                <w:rPr>
                  <w:rFonts w:ascii="Arial" w:cs="Arial" w:eastAsia="Arial" w:hAnsi="Arial"/>
                  <w:sz w:val="18"/>
                  <w:szCs w:val="18"/>
                  <w:color w:val="0000EE"/>
                  <w:w w:val="90"/>
                </w:rPr>
                <w:t>Statements of Cash Flows for the three months ended March 31, 2021 (unaudited) and for the period from June 23, 2020</w:t>
              </w:r>
            </w:hyperlink>
          </w:p>
        </w:tc>
        <w:tc>
          <w:tcPr>
            <w:tcW w:w="10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6"/>
        </w:trPr>
        <w:tc>
          <w:tcPr>
            <w:tcW w:w="9720" w:type="dxa"/>
            <w:vAlign w:val="bottom"/>
            <w:gridSpan w:val="9"/>
            <w:shd w:val="clear" w:color="auto" w:fill="CCEEFF"/>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(inception) through December 31, 2020</w:t>
              </w:r>
            </w:hyperlink>
          </w:p>
        </w:tc>
        <w:tc>
          <w:tcPr>
            <w:tcW w:w="1520" w:type="dxa"/>
            <w:vAlign w:val="bottom"/>
            <w:gridSpan w:val="4"/>
            <w:shd w:val="clear" w:color="auto" w:fill="CCEEFF"/>
          </w:tcPr>
          <w:p>
            <w:pPr>
              <w:jc w:val="center"/>
              <w:ind w:right="720"/>
              <w:spacing w:after="0" w:line="196"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F-6</w:t>
              </w:r>
            </w:hyperlink>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860" w:type="dxa"/>
            <w:vAlign w:val="bottom"/>
            <w:gridSpan w:val="2"/>
          </w:tcPr>
          <w:p>
            <w:pPr>
              <w:spacing w:after="0" w:line="176" w:lineRule="exact"/>
              <w:rPr>
                <w:rFonts w:ascii="Arial" w:cs="Arial" w:eastAsia="Arial" w:hAnsi="Arial"/>
                <w:sz w:val="18"/>
                <w:szCs w:val="18"/>
                <w:color w:val="0000EE"/>
              </w:rPr>
            </w:pPr>
            <w:hyperlink w:anchor="page166">
              <w:r>
                <w:rPr>
                  <w:rFonts w:ascii="Arial" w:cs="Arial" w:eastAsia="Arial" w:hAnsi="Arial"/>
                  <w:sz w:val="18"/>
                  <w:szCs w:val="18"/>
                  <w:color w:val="0000EE"/>
                </w:rPr>
                <w:t>Notes to Financial Statements</w:t>
              </w:r>
            </w:hyperlink>
          </w:p>
        </w:tc>
        <w:tc>
          <w:tcPr>
            <w:tcW w:w="6860" w:type="dxa"/>
            <w:vAlign w:val="bottom"/>
            <w:gridSpan w:val="7"/>
          </w:tcPr>
          <w:p>
            <w:pPr>
              <w:spacing w:after="0"/>
              <w:rPr>
                <w:sz w:val="15"/>
                <w:szCs w:val="15"/>
                <w:color w:val="auto"/>
              </w:rPr>
            </w:pPr>
          </w:p>
        </w:tc>
        <w:tc>
          <w:tcPr>
            <w:tcW w:w="1520" w:type="dxa"/>
            <w:vAlign w:val="bottom"/>
            <w:gridSpan w:val="4"/>
          </w:tcPr>
          <w:p>
            <w:pPr>
              <w:jc w:val="center"/>
              <w:ind w:right="760"/>
              <w:spacing w:after="0" w:line="176" w:lineRule="exact"/>
              <w:rPr>
                <w:rFonts w:ascii="Arial" w:cs="Arial" w:eastAsia="Arial" w:hAnsi="Arial"/>
                <w:sz w:val="18"/>
                <w:szCs w:val="18"/>
                <w:color w:val="0000EE"/>
                <w:w w:val="90"/>
              </w:rPr>
            </w:pPr>
            <w:hyperlink w:anchor="page166">
              <w:r>
                <w:rPr>
                  <w:rFonts w:ascii="Arial" w:cs="Arial" w:eastAsia="Arial" w:hAnsi="Arial"/>
                  <w:sz w:val="18"/>
                  <w:szCs w:val="18"/>
                  <w:color w:val="0000EE"/>
                  <w:w w:val="90"/>
                </w:rPr>
                <w:t>F-7 – F-17</w:t>
              </w:r>
            </w:hyperlink>
          </w:p>
        </w:tc>
      </w:tr>
      <w:tr>
        <w:trPr>
          <w:trHeight w:val="668"/>
        </w:trPr>
        <w:tc>
          <w:tcPr>
            <w:tcW w:w="2160" w:type="dxa"/>
            <w:vAlign w:val="bottom"/>
            <w:tcBorders>
              <w:top w:val="single" w:sz="8" w:color="0000EE"/>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F-1</w:t>
            </w:r>
          </w:p>
        </w:tc>
        <w:tc>
          <w:tcPr>
            <w:tcW w:w="2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60" w:name="page161"/>
    <w:bookmarkEnd w:id="160"/>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Chardan NexTech Acquisition 2 Corp. (the “Company”) as of December 31, 2020, the related statements of operations, changes in stockholder’s equity and cash flows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23, 2020 (inception)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4,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center"/>
        <w:ind w:right="-9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ind w:left="4820"/>
              <w:spacing w:after="0"/>
              <w:rPr>
                <w:sz w:val="20"/>
                <w:szCs w:val="20"/>
                <w:color w:val="auto"/>
              </w:rPr>
            </w:pPr>
            <w:r>
              <w:rPr>
                <w:rFonts w:ascii="Arial" w:cs="Arial" w:eastAsia="Arial" w:hAnsi="Arial"/>
                <w:sz w:val="18"/>
                <w:szCs w:val="18"/>
                <w:b w:val="1"/>
                <w:bCs w:val="1"/>
                <w:color w:val="auto"/>
              </w:rPr>
              <w:t>BALANCE SHEETS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5"/>
        </w:trPr>
        <w:tc>
          <w:tcPr>
            <w:tcW w:w="7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7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Current assets – cash</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72,882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29"/>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63"/>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150,000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100" w:type="dxa"/>
            <w:vAlign w:val="bottom"/>
            <w:tcBorders>
              <w:bottom w:val="single" w:sz="8" w:color="CCEEFF"/>
            </w:tcBorders>
          </w:tcPr>
          <w:p>
            <w:pPr>
              <w:spacing w:after="0"/>
              <w:rPr>
                <w:sz w:val="22"/>
                <w:szCs w:val="22"/>
                <w:color w:val="auto"/>
              </w:rPr>
            </w:pPr>
          </w:p>
        </w:tc>
      </w:tr>
      <w:tr>
        <w:trPr>
          <w:trHeight w:val="197"/>
        </w:trPr>
        <w:tc>
          <w:tcPr>
            <w:tcW w:w="7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29"/>
        </w:trPr>
        <w:tc>
          <w:tcPr>
            <w:tcW w:w="7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Promissory note – related party</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9"/>
        </w:trPr>
        <w:tc>
          <w:tcPr>
            <w:tcW w:w="79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9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w w:val="94"/>
              </w:rPr>
              <w:t xml:space="preserve">Common stock, $0.0001 par value; 5,000,000 shares authorized; 2,875,000 issued and outstanding </w:t>
            </w:r>
            <w:r>
              <w:rPr>
                <w:rFonts w:ascii="Arial" w:cs="Arial" w:eastAsia="Arial" w:hAnsi="Arial"/>
                <w:sz w:val="29"/>
                <w:szCs w:val="29"/>
                <w:color w:val="auto"/>
                <w:w w:val="94"/>
                <w:vertAlign w:val="superscript"/>
              </w:rPr>
              <w:t>(1)</w:t>
            </w: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24,712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24,712</w:t>
            </w:r>
          </w:p>
        </w:tc>
      </w:tr>
      <w:tr>
        <w:trPr>
          <w:trHeight w:val="229"/>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0"/>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4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24,000</w:t>
            </w:r>
          </w:p>
        </w:tc>
        <w:tc>
          <w:tcPr>
            <w:tcW w:w="100" w:type="dxa"/>
            <w:vAlign w:val="bottom"/>
            <w:tcBorders>
              <w:bottom w:val="single" w:sz="8" w:color="CCEEFF"/>
            </w:tcBorders>
          </w:tcPr>
          <w:p>
            <w:pPr>
              <w:spacing w:after="0"/>
              <w:rPr>
                <w:sz w:val="18"/>
                <w:szCs w:val="18"/>
                <w:color w:val="auto"/>
              </w:rPr>
            </w:pPr>
          </w:p>
        </w:tc>
      </w:tr>
      <w:tr>
        <w:trPr>
          <w:trHeight w:val="223"/>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55" w:lineRule="auto"/>
        <w:tabs>
          <w:tab w:leader="none" w:pos="229" w:val="left"/>
        </w:tabs>
        <w:numPr>
          <w:ilvl w:val="0"/>
          <w:numId w:val="77"/>
        </w:numPr>
        <w:rPr>
          <w:rFonts w:ascii="Arial" w:cs="Arial" w:eastAsia="Arial" w:hAnsi="Arial"/>
          <w:sz w:val="25"/>
          <w:szCs w:val="25"/>
          <w:color w:val="auto"/>
          <w:vertAlign w:val="superscript"/>
        </w:rPr>
      </w:pPr>
      <w:r>
        <w:rPr>
          <w:rFonts w:ascii="Arial" w:cs="Arial" w:eastAsia="Arial" w:hAnsi="Arial"/>
          <w:sz w:val="15"/>
          <w:szCs w:val="15"/>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2" w:name="page163"/>
    <w:bookmarkEnd w:id="162"/>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For the three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months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88"/>
              </w:rPr>
              <w:t>June 23, 2020</w:t>
            </w: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March 31, 2021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(inception) Through</w:t>
            </w:r>
          </w:p>
        </w:tc>
      </w:tr>
      <w:tr>
        <w:trPr>
          <w:trHeight w:val="234"/>
        </w:trPr>
        <w:tc>
          <w:tcPr>
            <w:tcW w:w="74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8"/>
                <w:szCs w:val="18"/>
                <w:b w:val="1"/>
                <w:bCs w:val="1"/>
                <w:color w:val="auto"/>
                <w:w w:val="90"/>
              </w:rPr>
              <w:t>December 31, 2020</w:t>
            </w:r>
          </w:p>
        </w:tc>
      </w:tr>
      <w:tr>
        <w:trPr>
          <w:trHeight w:val="453"/>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w:t>
            </w:r>
          </w:p>
        </w:tc>
      </w:tr>
      <w:tr>
        <w:trPr>
          <w:trHeight w:val="263"/>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7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748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 (1)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2,500,000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21"/>
              <w:spacing w:after="0"/>
              <w:rPr>
                <w:sz w:val="20"/>
                <w:szCs w:val="20"/>
                <w:color w:val="auto"/>
              </w:rPr>
            </w:pPr>
            <w:r>
              <w:rPr>
                <w:rFonts w:ascii="Arial" w:cs="Arial" w:eastAsia="Arial" w:hAnsi="Arial"/>
                <w:sz w:val="18"/>
                <w:szCs w:val="18"/>
                <w:color w:val="auto"/>
              </w:rPr>
              <w:t>2,500,000</w:t>
            </w:r>
          </w:p>
        </w:tc>
      </w:tr>
      <w:tr>
        <w:trPr>
          <w:trHeight w:val="210"/>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34" w:lineRule="auto"/>
        <w:tabs>
          <w:tab w:leader="none" w:pos="239" w:val="left"/>
        </w:tabs>
        <w:numPr>
          <w:ilvl w:val="0"/>
          <w:numId w:val="78"/>
        </w:numPr>
        <w:rPr>
          <w:rFonts w:ascii="Arial" w:cs="Arial" w:eastAsia="Arial" w:hAnsi="Arial"/>
          <w:sz w:val="27"/>
          <w:szCs w:val="27"/>
          <w:color w:val="auto"/>
          <w:vertAlign w:val="superscript"/>
        </w:rPr>
      </w:pPr>
      <w:r>
        <w:rPr>
          <w:rFonts w:ascii="Arial" w:cs="Arial" w:eastAsia="Arial" w:hAnsi="Arial"/>
          <w:sz w:val="16"/>
          <w:szCs w:val="16"/>
          <w:color w:val="auto"/>
        </w:rPr>
        <w:t>Excludes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ind w:left="376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FOR THE THREE MONTHS ENDED MARCH 31, 2021 (UNAUDITED) AND FOR THE PERIOD FROM JUNE 23, 2020 (INCEPTION)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THROUGH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r>
      <w:tr>
        <w:trPr>
          <w:trHeight w:val="248"/>
        </w:trPr>
        <w:tc>
          <w:tcPr>
            <w:tcW w:w="4080" w:type="dxa"/>
            <w:vAlign w:val="bottom"/>
          </w:tcPr>
          <w:p>
            <w:pPr>
              <w:spacing w:after="0"/>
              <w:rPr>
                <w:sz w:val="21"/>
                <w:szCs w:val="21"/>
                <w:color w:val="auto"/>
              </w:rPr>
            </w:pPr>
          </w:p>
        </w:tc>
        <w:tc>
          <w:tcPr>
            <w:tcW w:w="24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1"/>
                <w:szCs w:val="21"/>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21"/>
                <w:szCs w:val="21"/>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40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9"/>
                <w:szCs w:val="19"/>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23, 2020 (inception)</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Issuance of common stock to Sponsor </w:t>
            </w:r>
            <w:r>
              <w:rPr>
                <w:rFonts w:ascii="Arial" w:cs="Arial" w:eastAsia="Arial" w:hAnsi="Arial"/>
                <w:sz w:val="29"/>
                <w:szCs w:val="29"/>
                <w:color w:val="auto"/>
                <w:vertAlign w:val="superscript"/>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2,875,000</w:t>
            </w:r>
          </w:p>
        </w:tc>
        <w:tc>
          <w:tcPr>
            <w:tcW w:w="9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24,712</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9"/>
        </w:trPr>
        <w:tc>
          <w:tcPr>
            <w:tcW w:w="40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23"/>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2,875,000</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24,712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 (unaudited)</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2,875,000</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288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(1,000)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24,000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55" w:lineRule="auto"/>
        <w:tabs>
          <w:tab w:leader="none" w:pos="229" w:val="left"/>
        </w:tabs>
        <w:numPr>
          <w:ilvl w:val="0"/>
          <w:numId w:val="79"/>
        </w:numPr>
        <w:rPr>
          <w:rFonts w:ascii="Arial" w:cs="Arial" w:eastAsia="Arial" w:hAnsi="Arial"/>
          <w:sz w:val="25"/>
          <w:szCs w:val="25"/>
          <w:color w:val="auto"/>
          <w:vertAlign w:val="superscript"/>
        </w:rPr>
      </w:pPr>
      <w:r>
        <w:rPr>
          <w:rFonts w:ascii="Arial" w:cs="Arial" w:eastAsia="Arial" w:hAnsi="Arial"/>
          <w:sz w:val="15"/>
          <w:szCs w:val="15"/>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jc w:val="right"/>
        <w:ind w:right="1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offering costs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from June 23,</w:t>
            </w:r>
          </w:p>
        </w:tc>
      </w:tr>
      <w:tr>
        <w:trPr>
          <w:trHeight w:val="216"/>
        </w:trPr>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0"/>
              </w:rPr>
              <w:t>For the three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138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87"/>
              </w:rPr>
              <w:t>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Through</w:t>
            </w:r>
          </w:p>
        </w:tc>
      </w:tr>
      <w:tr>
        <w:trPr>
          <w:trHeight w:val="216"/>
        </w:trPr>
        <w:tc>
          <w:tcPr>
            <w:tcW w:w="13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2"/>
              </w:rPr>
              <w:t>March 31, 2021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6"/>
        </w:trPr>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446"/>
        </w:trPr>
        <w:tc>
          <w:tcPr>
            <w:tcW w:w="100" w:type="dxa"/>
            <w:vAlign w:val="bottom"/>
          </w:tcPr>
          <w:p>
            <w:pPr>
              <w:spacing w:after="0"/>
              <w:rPr>
                <w:sz w:val="24"/>
                <w:szCs w:val="24"/>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(77,118)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4"/>
                <w:szCs w:val="24"/>
                <w:color w:val="auto"/>
              </w:rPr>
            </w:pPr>
          </w:p>
        </w:tc>
      </w:tr>
      <w:tr>
        <w:trPr>
          <w:trHeight w:val="223"/>
        </w:trPr>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(77,118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688"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Proceeds from promissory note</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to Sponsor</w:t>
            </w:r>
          </w:p>
        </w:tc>
        <w:tc>
          <w:tcPr>
            <w:tcW w:w="2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r>
      <w:tr>
        <w:trPr>
          <w:trHeight w:val="263"/>
        </w:trPr>
        <w:tc>
          <w:tcPr>
            <w:tcW w:w="6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23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1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47,882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25,000</w:t>
            </w:r>
          </w:p>
        </w:tc>
        <w:tc>
          <w:tcPr>
            <w:tcW w:w="80" w:type="dxa"/>
            <w:vAlign w:val="bottom"/>
          </w:tcPr>
          <w:p>
            <w:pPr>
              <w:spacing w:after="0"/>
              <w:rPr>
                <w:sz w:val="18"/>
                <w:szCs w:val="18"/>
                <w:color w:val="auto"/>
              </w:rPr>
            </w:pP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tcPr>
          <w:p>
            <w:pPr>
              <w:spacing w:after="0"/>
              <w:rPr>
                <w:sz w:val="20"/>
                <w:szCs w:val="20"/>
                <w:color w:val="auto"/>
              </w:rPr>
            </w:pPr>
            <w:r>
              <w:rPr>
                <w:rFonts w:ascii="Arial" w:cs="Arial" w:eastAsia="Arial" w:hAnsi="Arial"/>
                <w:sz w:val="18"/>
                <w:szCs w:val="18"/>
                <w:b w:val="1"/>
                <w:bCs w:val="1"/>
                <w:color w:val="auto"/>
              </w:rPr>
              <w:t>Cash - End of period</w:t>
            </w:r>
          </w:p>
        </w:tc>
        <w:tc>
          <w:tcPr>
            <w:tcW w:w="23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65" w:name="page166"/>
    <w:bookmarkEnd w:id="165"/>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Chardan NexTech Acquisition 2 Corp (the “Company”) is a blank check company incorporated in Delaware on June 23, 2020. The Company was formed for the purpose of effectuating a merger, capital stock exchange, asset acquisition, stock purchase, reorganization or other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the Company had not commenced any operations. All activity for the period from June 23, 2020 (inception) through March 31, 2021 relates to the Company’s formation and the proposed initial public offering (“Proposed Public Offering”). The Company will not generate any operating revenues until after the completion of a Business Combination, at the earliest. The Company will generate non-operating income in the form of interest income from the proceeds derived from the Proposed Public Offering.</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10,000,000 units (the “Units” and, with respect to the shares of common stock included in the Units being offered, the “Public Shares”) at $10.00 per Unit (or 11,500,000 Units if the underwriters’ over-allotment option is exercised in full), which is discussed in Note 3, and the sale of 5,238,461 warrants (or 5,469,230 warrants if the underwriters’ over-allotment option is exercised in full) (the “Private Warrants”), at a price of $0.65 per Private Warrant, in a private placement to Chardan NexTech 2 Warrant Holdings LLC, an affiliate of Chardan NexTech Investments 2 LLC (the “Sponsor”), that will close simultaneously with the Proposed Public Offering.</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There is no assurance that the Company will be able to complete a Business Combination successfully. Nasdaq rules provide that the Business Combination must be with one or more target businesses that together have a fair market value equal to at least 80% of the value of the Trust Account (as defined below) (excluding taxes payable on the income earned on the Trust Account) at the time of the signing of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$10.10 per Unit sold in the Proposed Public Offering, including the proceeds from the sale of the Private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stockholders, as described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$10.10 per Public Share, plus any pro rata interest earned on the funds held in the Trust Account and not previously released to the Company to pay its tax obligations). The Public Shares subject to redemption will be recorded at redemption value and classified as temporary equity upon the completion of the Proposed Public Offering in accordance with the Financial Accounting Standards Board’s (“FASB”) Accounting Standards Codification (“ASC”)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have 15 months from the closing of the initial public offering (or up to 18 months from the closing of the initial public offering if we have executed a definitive agreement and filed a proxy statement for an initial business combination within 15 months from the closing of the initial public offering) to consummate an initial business combination. In addition, if the Company anticipates that it may not be able to consummate an initial business combination within 15 months and the Company has not entered into a definitive agreement and filed a proxy statement for an initial business combination by such date (or 18 months if we have executed a definitive agreement and filed a proxy statement for an initial business combination within 15 months from the closing of this offering), the Company’s insiders or their affiliates may, but are not obligated to, extend the period of time to consummate a business combination up to two times by an additional three months each time (for a total of up to 21 months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21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w:t>
      </w:r>
    </w:p>
    <w:p>
      <w:pPr>
        <w:spacing w:after="0" w:line="2" w:lineRule="exact"/>
        <w:rPr>
          <w:sz w:val="20"/>
          <w:szCs w:val="20"/>
          <w:color w:val="auto"/>
        </w:rPr>
      </w:pPr>
    </w:p>
    <w:p>
      <w:pPr>
        <w:jc w:val="both"/>
        <w:ind w:firstLine="8"/>
        <w:spacing w:after="0" w:line="251" w:lineRule="auto"/>
        <w:tabs>
          <w:tab w:leader="none" w:pos="257"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$10.10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ind w:left="376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w:t>
      </w:r>
      <w:r>
        <w:rPr>
          <w:rFonts w:ascii="Arial" w:cs="Arial" w:eastAsia="Arial" w:hAnsi="Arial"/>
          <w:sz w:val="16"/>
          <w:szCs w:val="16"/>
          <w:i w:val="1"/>
          <w:iCs w:val="1"/>
          <w:color w:val="auto"/>
        </w:rPr>
        <w:t>Disclosures of Uncertainties about an Entity’s Ability to Continue as a Going Concern</w:t>
      </w:r>
      <w:r>
        <w:rPr>
          <w:rFonts w:ascii="Arial" w:cs="Arial" w:eastAsia="Arial" w:hAnsi="Arial"/>
          <w:sz w:val="16"/>
          <w:szCs w:val="16"/>
          <w:color w:val="auto"/>
        </w:rPr>
        <w:t>, management has determined that the Company has access to funds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Sponsor, and the Sponsor has the financial wherewithal to fund the Company, that are sufficient to fund the working capital needs of the Company until the earlier of the consummation of the Proposed Public Offering or one year from the issuance of these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Deferred offering costs consist of legal, accounting and other expenses incurred through the balance sheet date that are directly related to the Proposed Public Offering. The offering costs directly attributable to the issuance of an equity contract to be classified in equity are recorded as a reduction in equity at the time of the Proposed Public Offering. Offering costs for equity contracts that are classified as assets and liabilities are expensed at the time of the Proposed Public Offering. Should the Proposed Public Offering prove to be unsuccessful, all deferred costs, as well as additional expenses incurred, will be charged to operations. The Company had $77,118 and $0 of deferred offering costs at March 31, 2021 and December 31, 2020,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Deferred tax assets were deemed to be de minimis as of March 31, 2021 and December 31, 2020.</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was deemed to be de minimis for the period from June 23, 2020 (inception) through December 31, 2020, and for the three months ended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loss per share of common stock is computed by dividing net loss by the weighted average number of common shares outstanding during the period, excluding shares of common stock subject to forfeiture. Weighted average shares were reduced for the effect of an aggregate of 375,000 shares of common stock that are subject to forfeiture if the over-allotment option is not exercised by the underwriter (see Note 5). At March 31, 2021 and December 31, 2020,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periods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a cash account in a financial institution which, at times may exceed the Federal Depository Insurance Corporation coverage limit of $250,000. At March 31, 2021 and December 31, 2020, the Company had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fair value of the Company’s assets and liabilities, which qualify as financial instruments under FASB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approximates the carrying amounts represented in the accompanying balance sheet, primarily due to their short-term nature.</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will account for the Private Placement Warrants issued concurrently in connection with the Initial Public Offering in accordance with Accounting Standards Codification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xml:space="preserve"> (“ASC 815”), under which the Private Placement Warrants will not meet the criteria for equity classification and must be recorded as liabilities. As the Private Placement Warrants meet the definition of a derivative as contemplated in ASC 815, the Private Placement Warrants will be measured at fair value at inception and at each reporting date in accordance with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with changes in fair value recognized in the statements of operations in the period of change.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Public Warrants are not precluded from equity classification, and will be accounted for as such on the date of issuance, and each balance sheet date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ectPr>
          <w:pgSz w:w="11900" w:h="16864" w:orient="portrait"/>
          <w:cols w:equalWidth="0" w:num="1">
            <w:col w:w="11240"/>
          </w:cols>
          <w:pgMar w:left="320" w:top="688" w:right="339" w:bottom="0" w:gutter="0" w:footer="0" w:header="0"/>
        </w:sectPr>
      </w:pPr>
    </w:p>
    <w:bookmarkStart w:id="171" w:name="page172"/>
    <w:bookmarkEnd w:id="171"/>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Proposed Public Offering, the Company will offer for sale up to 10,000,000 Units (or 11,500,000 Units if the underwriters’ over-allotment option is exercised in full) at a purchase price of $10.00 per Unit. Each Unit will consist of one share of common stock, $0.0001 par value, and one-half of one redeemable warrant (“Public Warrant”). Each whole Public Warrant will entitle the holder to purchase one share of common stock at an exercise price of $11.50 per whole share (see Note 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2" w:name="page173"/>
    <w:bookmarkEnd w:id="172"/>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Chardan NexTech 2 Warrant Holdings LLC has agreed to purchase an aggregate of 5,238,461 (or up to 5,469,230 depending on the extent to which the underwriters’ over-allotment option is exercised) Private Warrants at a price of $0.65 per Private Warrant, for an aggregate purchase price of $3,405,000, (or up to $3,555,000 if the underwrites) in a private placement that will occur simultaneously with the closing of the Proposed Public Offering. Each of the Private Warrants is exercisable to purchase one share of common stock at a price of $11.50 per share, subject to adjustment (see Note 7). The proceeds from the sale of the Private Warrants will be added to the net proceeds from the Proposed Public Offering to be held in the Trust Account.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 Company classifies the outstanding Private Placement Warrants as warrant liabilities on the Balance Sheet in accordance with the guidance contained in ASC 815-40.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warrant liability will be initially measured at fair value upon the closing of the Initial Public Offering and subsequently re-measured at each reporting period using a Monte Carlo Simulation Pricing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(see Note 8). Shares and the associated amounts have been retroactively restated in these financial statements to reflect the stock split. The Founder Shares include an aggregate of up to 375,000 shares of common stock subject to forfeiture by the Sponsor to the extent that the underwriters’ over-allotment is not exercised in full or in part, so that the initial stockholders will collectively own, on an as-converted basis, 20% of the Company’s issued and outstanding shares after the Proposed Public Offering (assuming the Sponsor does not purchase any Public Shares in the Proposed Public Offering).</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With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6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2020, the Sponsor agreed to loan the Company an aggregate of up to $250,000 to cover expenses related to the Proposed Public Offering pursuant to a promissory note (the “Promissory Note”). The Promissory note is non-interest bearing and payable on the earlier of (i) June 30, 2021 or (ii) the consummation of the Proposed Public Offering. As of March 31, 2021 and December 31, 2020, there were $125,000 and $0 of borrowings outstanding under the Promissory Note,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3" w:name="page174"/>
    <w:bookmarkEnd w:id="173"/>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enter into an agreement to the Sponsor, a total of $10,000 per month for office space, administrative, and shared personnel support services. Upon the completion of an initial Business Combination, the Company will cease paying these monthly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March 31, 2021 and December 31, 2020, the Company had no working capital loans outstanding.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grant the underwriter a 45-day option to purchase up to 1,500,000 additional Units to cover over-allotments at the Proposed Public Offering price, less the underwriting discounts and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will be entitled to a cash underwriting discount and qualified independent underwriter fees in the aggregate of $500,000.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4" w:name="page175"/>
    <w:bookmarkEnd w:id="174"/>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Proposed Public Offering. As a result, Chardan Capital Markets, LLC will not be entitled to such fee unless the Company consummates the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31, 2021 and December 31, 2020, there are no warrants outstanding. Each whole Public Warrant will entitle the holder to purchase one share of common stock at an exercise price of $11.50 per whole share. The Sponsor, Chardan NexTech Investments 2 LLC, has agreed to purchase an aggregate of 5,238,461 (or up to 5,469,230 depending on the extent to which the underwriters’ over-allotment option is exercised) Private Warrants at a price of $0.65 per Private Warrant, for an aggregate purchase price of $3,405,000 (or up to $3,555,000 depending on the extent to which the underwriters’ over-allotment option is exercised), in a private placement that will occur simultaneously with the closing of the Proposed Public Offering. Each of the Private Warrants is exercisable to purchase one share of common stock at a price of $11.50 per share, subject to adjustment. The proceeds from the sale of the Private Warrants will be added to the net proceeds from the Proposed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5" w:name="page176"/>
    <w:bookmarkEnd w:id="175"/>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account for the 5,238,461 (or up to 5,469,230 depending on the extent to which the underwriters’ over-allotment option is exercised) private placement warrants to be issued in connection with the Proposed Public Offering (assuming the underwriters’ over-allotment option is not exercised) in accordance with the guidance contained in ASC 815-40. Such guidance provides that because the private placement warrants do not meet the criteria for equity treatment thereunder, each private placement warrant must be recorded as a liability.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Public Warrants are not precluded from equity classification. Equity-classified contracts are initially measured at fair value (or allocated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Subsequent changes in fair value are not recognized as long as the contracts continue to be classified in equity.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accounting treatment of derivative financial instruments requires that the Company record the private placement warrants as derivative liabilities at fair value upon the closing of the Proposed Public Offering. This liability is subject to re-measurement at each balance sheet date. With each such re-measurement, the warrant liability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5,000,000 shares of common stock with a par value of $0.0001 per share. On March 31,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were 2,875,000 shares of common stock issued and outstanding. Of the 2,875,000 shares of common stock outstanding, up to 375,000 shares are subject to forfeiture to the Company by the Sponsor for no consideration to the extent that the underwriters’ over-allotment option is not exercised in full or in part, so that the initial stockholders will collectively own 20% of the Company’s issued and outstanding common stock after a planned public offering.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 and 1,000,000 shares of preferred stock with a par value of $0.0001.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dates up to June 4, 2021, the date that the financial statements were available to be issued. Based 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4, 2021, the Company effected a 2.875-for-1 stock split, resulting in 2,875,000 shares of common stock outstanding (see Note 5). All share and per-share amounts have been retroactively restated to reflect the stock split.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12, 2021, the Staff of the SEC issued a statement with respect to the accounting for warrants issued by special purchase acquisition companies. In light of this statement, the Company has determined that the fair value of the private placement warrants should be classified as a warrant liability on the Company’s balance sheet as of the closing of the Proposed Offering that will be filed on Form 8-K. Subsequent changes to the fair value of the warrants will be recorded in the Company’s statement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and June 2021, our sponsor transferred 20,000 Founder Shares to each of Messrs. Biele, Boyle, Hardamon, Thakrar and Thomson and Ms. Jardins, for an aggregate of 120,000 Founder Shares transferred.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2020, the Company borrowed $125,000 under the Promissory Note.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color w:val="auto"/>
        </w:rPr>
        <w:t>$100,000,000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Chardan NexTech Acquisition 2 Corp.</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Chardan</w:t>
      </w:r>
    </w:p>
    <w:p>
      <w:pPr>
        <w:spacing w:after="0" w:line="207"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Initial Trustees’ fee</w:t>
            </w:r>
          </w:p>
        </w:tc>
        <w:tc>
          <w:tcPr>
            <w:tcW w:w="3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SEC Registration Fee</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19,761</w:t>
            </w:r>
          </w:p>
        </w:tc>
      </w:tr>
      <w:tr>
        <w:trPr>
          <w:trHeight w:val="176"/>
        </w:trPr>
        <w:tc>
          <w:tcPr>
            <w:tcW w:w="6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FINRA filing fee</w:t>
            </w:r>
          </w:p>
        </w:tc>
        <w:tc>
          <w:tcPr>
            <w:tcW w:w="29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27,669</w:t>
            </w:r>
          </w:p>
        </w:tc>
      </w:tr>
      <w:tr>
        <w:trPr>
          <w:trHeight w:val="21"/>
        </w:trPr>
        <w:tc>
          <w:tcPr>
            <w:tcW w:w="694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 (excluding deferred fees)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rPr>
              <w:t>Transfer agent</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4"/>
          </w:tcPr>
          <w:p>
            <w:pPr>
              <w:jc w:val="right"/>
              <w:ind w:right="100"/>
              <w:spacing w:after="0" w:line="201" w:lineRule="exact"/>
              <w:rPr>
                <w:sz w:val="20"/>
                <w:szCs w:val="20"/>
                <w:color w:val="auto"/>
              </w:rPr>
            </w:pPr>
            <w:r>
              <w:rPr>
                <w:rFonts w:ascii="Arial" w:cs="Arial" w:eastAsia="Arial" w:hAnsi="Arial"/>
                <w:sz w:val="18"/>
                <w:szCs w:val="18"/>
                <w:color w:val="auto"/>
              </w:rPr>
              <w:t>35,000</w:t>
            </w:r>
          </w:p>
        </w:tc>
      </w:tr>
      <w:tr>
        <w:trPr>
          <w:trHeight w:val="203"/>
        </w:trPr>
        <w:tc>
          <w:tcPr>
            <w:tcW w:w="6940" w:type="dxa"/>
            <w:vAlign w:val="bottom"/>
          </w:tcPr>
          <w:p>
            <w:pPr>
              <w:spacing w:after="0" w:line="203" w:lineRule="exact"/>
              <w:rPr>
                <w:sz w:val="20"/>
                <w:szCs w:val="20"/>
                <w:color w:val="auto"/>
              </w:rPr>
            </w:pPr>
            <w:r>
              <w:rPr>
                <w:rFonts w:ascii="Arial" w:cs="Arial" w:eastAsia="Arial" w:hAnsi="Arial"/>
                <w:sz w:val="18"/>
                <w:szCs w:val="18"/>
                <w:color w:val="auto"/>
              </w:rPr>
              <w:t>Miscellaneous</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4"/>
          </w:tcPr>
          <w:p>
            <w:pPr>
              <w:jc w:val="right"/>
              <w:ind w:right="100"/>
              <w:spacing w:after="0" w:line="203" w:lineRule="exact"/>
              <w:rPr>
                <w:sz w:val="20"/>
                <w:szCs w:val="20"/>
                <w:color w:val="auto"/>
              </w:rPr>
            </w:pPr>
            <w:r>
              <w:rPr>
                <w:rFonts w:ascii="Arial" w:cs="Arial" w:eastAsia="Arial" w:hAnsi="Arial"/>
                <w:sz w:val="18"/>
                <w:szCs w:val="18"/>
                <w:color w:val="auto"/>
              </w:rPr>
              <w:t>96,570</w:t>
            </w:r>
          </w:p>
        </w:tc>
      </w:tr>
      <w:tr>
        <w:trPr>
          <w:trHeight w:val="21"/>
        </w:trPr>
        <w:tc>
          <w:tcPr>
            <w:tcW w:w="694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23"/>
        </w:trPr>
        <w:tc>
          <w:tcPr>
            <w:tcW w:w="69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29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rPr>
              <w:t>575,000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145 of the Delaware General Corporation Law concerning indemnification of officers, directors, employees and agents is set forth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jc w:val="both"/>
        <w:ind w:left="980" w:hanging="324"/>
        <w:spacing w:after="0" w:line="287" w:lineRule="auto"/>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left="324" w:hanging="324"/>
        <w:spacing w:after="0" w:line="288" w:lineRule="auto"/>
        <w:tabs>
          <w:tab w:leader="none" w:pos="3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rFonts w:ascii="Arial" w:cs="Arial" w:eastAsia="Arial" w:hAnsi="Arial"/>
          <w:sz w:val="16"/>
          <w:szCs w:val="16"/>
          <w:color w:val="auto"/>
        </w:rPr>
      </w:pPr>
    </w:p>
    <w:p>
      <w:pPr>
        <w:jc w:val="both"/>
        <w:ind w:left="324" w:hanging="324"/>
        <w:spacing w:after="0" w:line="311" w:lineRule="auto"/>
        <w:tabs>
          <w:tab w:leader="none" w:pos="3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48" w:lineRule="exact"/>
        <w:rPr>
          <w:rFonts w:ascii="Arial" w:cs="Arial" w:eastAsia="Arial" w:hAnsi="Arial"/>
          <w:sz w:val="16"/>
          <w:szCs w:val="16"/>
          <w:color w:val="auto"/>
        </w:rPr>
      </w:pPr>
    </w:p>
    <w:p>
      <w:pPr>
        <w:jc w:val="both"/>
        <w:ind w:left="324" w:hanging="324"/>
        <w:spacing w:after="0" w:line="272" w:lineRule="auto"/>
        <w:tabs>
          <w:tab w:leader="none" w:pos="324"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77" w:lineRule="exact"/>
        <w:rPr>
          <w:rFonts w:ascii="Arial" w:cs="Arial" w:eastAsia="Arial" w:hAnsi="Arial"/>
          <w:sz w:val="17"/>
          <w:szCs w:val="17"/>
          <w:color w:val="auto"/>
        </w:rPr>
      </w:pPr>
    </w:p>
    <w:p>
      <w:pPr>
        <w:jc w:val="both"/>
        <w:ind w:left="324" w:hanging="324"/>
        <w:spacing w:after="0" w:line="296" w:lineRule="auto"/>
        <w:tabs>
          <w:tab w:leader="none" w:pos="3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61" w:lineRule="exact"/>
        <w:rPr>
          <w:rFonts w:ascii="Arial" w:cs="Arial" w:eastAsia="Arial" w:hAnsi="Arial"/>
          <w:sz w:val="16"/>
          <w:szCs w:val="16"/>
          <w:color w:val="auto"/>
        </w:rPr>
      </w:pPr>
    </w:p>
    <w:p>
      <w:pPr>
        <w:jc w:val="both"/>
        <w:ind w:left="324" w:hanging="324"/>
        <w:spacing w:after="0" w:line="271" w:lineRule="auto"/>
        <w:tabs>
          <w:tab w:leader="none" w:pos="324"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rFonts w:ascii="Arial" w:cs="Arial" w:eastAsia="Arial" w:hAnsi="Arial"/>
          <w:sz w:val="17"/>
          <w:szCs w:val="17"/>
          <w:color w:val="auto"/>
        </w:rPr>
      </w:pPr>
    </w:p>
    <w:p>
      <w:pPr>
        <w:jc w:val="both"/>
        <w:ind w:left="324" w:hanging="324"/>
        <w:spacing w:after="0" w:line="257" w:lineRule="auto"/>
        <w:tabs>
          <w:tab w:leader="none" w:pos="3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80" w:name="page181"/>
    <w:bookmarkEnd w:id="180"/>
    <w:p>
      <w:pPr>
        <w:jc w:val="both"/>
        <w:ind w:left="980" w:hanging="324"/>
        <w:spacing w:after="0" w:line="254"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94" w:lineRule="exact"/>
        <w:rPr>
          <w:rFonts w:ascii="Arial" w:cs="Arial" w:eastAsia="Arial" w:hAnsi="Arial"/>
          <w:sz w:val="18"/>
          <w:szCs w:val="18"/>
          <w:color w:val="auto"/>
        </w:rPr>
      </w:pPr>
    </w:p>
    <w:p>
      <w:pPr>
        <w:jc w:val="both"/>
        <w:ind w:left="980" w:hanging="324"/>
        <w:spacing w:after="0" w:line="293" w:lineRule="auto"/>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4"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firstLine="648"/>
        <w:spacing w:after="0" w:line="271"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jc w:val="both"/>
        <w:ind w:firstLine="648"/>
        <w:spacing w:after="0" w:line="263"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10.5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include an aggregate of up to 375,000 founder shares that are subject to forfeiture to the extent that the underwriters’ over-allotment option is not exercised in full or in part. Because these offers and sales were made to a single purchaser in a transaction not involving a public offering, the shares were issued in reliance on the exemption from registration contained in Section 4(a)(2) of the Securities Act.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Chardan NexTech 2 Warrant Holdings LLC, an affiliate of our sponsor, has committed to purchase from us an aggregate of 5,238,461 warrants (or up to 5,469,230 warrants depending on the extent to which the underwriters’ over-allotment option is exercised) at a price of $0.65 per warrant ($3,405,000 (or up to $3,555,000 depending on the extent to which the underwriters’ over-allotment option is exercised)), with each warrant exercisable for one share of common stock at an exercise price of $11.50 per share. These purchases will take place on a private placement basis simultaneously with the consummation of this offering. Because this offer and sale is being made to a single purchaser, the sale does not involve a public offering and is being made in reliance on the exemption from registration contained in Section 4(a)(2) of the Securities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7"/>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33"/>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420" w:type="dxa"/>
            <w:vAlign w:val="bottom"/>
            <w:tcBorders>
              <w:top w:val="single" w:sz="8" w:color="auto"/>
              <w:bottom w:val="single" w:sz="8" w:color="0000EE"/>
            </w:tcBorders>
            <w:gridSpan w:val="3"/>
            <w:shd w:val="clear" w:color="auto" w:fill="CCEEFF"/>
          </w:tcPr>
          <w:p>
            <w:pPr>
              <w:spacing w:after="0" w:line="169" w:lineRule="exact"/>
              <w:rPr>
                <w:rFonts w:ascii="Arial" w:cs="Arial" w:eastAsia="Arial" w:hAnsi="Arial"/>
                <w:sz w:val="18"/>
                <w:szCs w:val="18"/>
                <w:color w:val="0000EE"/>
              </w:rPr>
            </w:pPr>
            <w:hyperlink w:anchor="page188">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500" w:type="dxa"/>
            <w:vAlign w:val="bottom"/>
            <w:tcBorders>
              <w:top w:val="single" w:sz="8" w:color="auto"/>
              <w:bottom w:val="single" w:sz="8" w:color="0000EE"/>
            </w:tcBorders>
            <w:gridSpan w:val="14"/>
            <w:shd w:val="clear" w:color="auto" w:fill="CCEEFF"/>
          </w:tcPr>
          <w:p>
            <w:pPr>
              <w:ind w:left="20"/>
              <w:spacing w:after="0" w:line="169" w:lineRule="exact"/>
              <w:rPr>
                <w:rFonts w:ascii="Arial" w:cs="Arial" w:eastAsia="Arial" w:hAnsi="Arial"/>
                <w:sz w:val="18"/>
                <w:szCs w:val="18"/>
                <w:color w:val="0000EE"/>
                <w:w w:val="92"/>
              </w:rPr>
            </w:pPr>
            <w:hyperlink w:anchor="page188">
              <w:r>
                <w:rPr>
                  <w:rFonts w:ascii="Arial" w:cs="Arial" w:eastAsia="Arial" w:hAnsi="Arial"/>
                  <w:sz w:val="18"/>
                  <w:szCs w:val="18"/>
                  <w:color w:val="0000EE"/>
                  <w:w w:val="92"/>
                </w:rPr>
                <w:t>Form of Underwriting Agreement.</w:t>
              </w:r>
            </w:hyperlink>
          </w:p>
        </w:tc>
        <w:tc>
          <w:tcPr>
            <w:tcW w:w="7500" w:type="dxa"/>
            <w:vAlign w:val="bottom"/>
            <w:tcBorders>
              <w:top w:val="single" w:sz="8" w:color="auto"/>
              <w:bottom w:val="single" w:sz="8" w:color="CCEEFF"/>
            </w:tcBorders>
            <w:gridSpan w:val="19"/>
            <w:shd w:val="clear" w:color="auto" w:fill="CCEEFF"/>
          </w:tcPr>
          <w:p>
            <w:pPr>
              <w:spacing w:after="0"/>
              <w:rPr>
                <w:sz w:val="16"/>
                <w:szCs w:val="16"/>
                <w:color w:val="auto"/>
              </w:rPr>
            </w:pPr>
          </w:p>
        </w:tc>
      </w:tr>
      <w:tr>
        <w:trPr>
          <w:trHeight w:val="175"/>
        </w:trPr>
        <w:tc>
          <w:tcPr>
            <w:tcW w:w="420" w:type="dxa"/>
            <w:vAlign w:val="bottom"/>
            <w:gridSpan w:val="3"/>
          </w:tcPr>
          <w:p>
            <w:pPr>
              <w:spacing w:after="0" w:line="176" w:lineRule="exact"/>
              <w:rPr>
                <w:rFonts w:ascii="Arial" w:cs="Arial" w:eastAsia="Arial" w:hAnsi="Arial"/>
                <w:sz w:val="18"/>
                <w:szCs w:val="18"/>
                <w:color w:val="0000EE"/>
              </w:rPr>
            </w:pPr>
            <w:hyperlink r:id="rId211">
              <w:r>
                <w:rPr>
                  <w:rFonts w:ascii="Arial" w:cs="Arial" w:eastAsia="Arial" w:hAnsi="Arial"/>
                  <w:sz w:val="18"/>
                  <w:szCs w:val="18"/>
                  <w:color w:val="0000EE"/>
                </w:rPr>
                <w:t>1.</w:t>
              </w:r>
              <w:r>
                <w:rPr>
                  <w:rFonts w:ascii="Arial" w:cs="Arial" w:eastAsia="Arial" w:hAnsi="Arial"/>
                  <w:sz w:val="18"/>
                  <w:szCs w:val="18"/>
                  <w:u w:val="single" w:color="auto"/>
                  <w:color w:val="0000EE"/>
                </w:rPr>
                <w:t>2*</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11">
              <w:r>
                <w:rPr>
                  <w:rFonts w:ascii="Arial" w:cs="Arial" w:eastAsia="Arial" w:hAnsi="Arial"/>
                  <w:sz w:val="18"/>
                  <w:szCs w:val="18"/>
                  <w:color w:val="0000EE"/>
                </w:rPr>
                <w:t>Form of Business Combination Marketing Agreement by and between the Registrant and Chardan Capital Markets LLC.</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212">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12">
              <w:r>
                <w:rPr>
                  <w:rFonts w:ascii="Arial" w:cs="Arial" w:eastAsia="Arial" w:hAnsi="Arial"/>
                  <w:sz w:val="18"/>
                  <w:szCs w:val="18"/>
                  <w:color w:val="0000EE"/>
                </w:rPr>
                <w:t>Certificate of Incorporation.</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rPr>
            </w:pPr>
            <w:hyperlink r:id="rId213">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13">
              <w:r>
                <w:rPr>
                  <w:rFonts w:ascii="Arial" w:cs="Arial" w:eastAsia="Arial" w:hAnsi="Arial"/>
                  <w:sz w:val="18"/>
                  <w:szCs w:val="18"/>
                  <w:color w:val="0000EE"/>
                </w:rPr>
                <w:t>Certificate of Amendment to the Certificate of Incorporation.</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rPr>
            </w:pPr>
            <w:hyperlink w:anchor="page229">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380" w:type="dxa"/>
            <w:vAlign w:val="bottom"/>
            <w:tcBorders>
              <w:bottom w:val="single" w:sz="8" w:color="0000EE"/>
            </w:tcBorders>
            <w:gridSpan w:val="23"/>
            <w:shd w:val="clear" w:color="auto" w:fill="CCEEFF"/>
          </w:tcPr>
          <w:p>
            <w:pPr>
              <w:ind w:left="20"/>
              <w:spacing w:after="0" w:line="176" w:lineRule="exact"/>
              <w:rPr>
                <w:rFonts w:ascii="Arial" w:cs="Arial" w:eastAsia="Arial" w:hAnsi="Arial"/>
                <w:sz w:val="18"/>
                <w:szCs w:val="18"/>
                <w:color w:val="0000EE"/>
                <w:w w:val="90"/>
              </w:rPr>
            </w:pPr>
            <w:hyperlink w:anchor="page229">
              <w:r>
                <w:rPr>
                  <w:rFonts w:ascii="Arial" w:cs="Arial" w:eastAsia="Arial" w:hAnsi="Arial"/>
                  <w:sz w:val="18"/>
                  <w:szCs w:val="18"/>
                  <w:color w:val="0000EE"/>
                  <w:w w:val="90"/>
                </w:rPr>
                <w:t>Form of Amended and Restated Certificate of Incorporation.</w:t>
              </w:r>
            </w:hyperlink>
          </w:p>
        </w:tc>
        <w:tc>
          <w:tcPr>
            <w:tcW w:w="5620" w:type="dxa"/>
            <w:vAlign w:val="bottom"/>
            <w:tcBorders>
              <w:bottom w:val="single" w:sz="8" w:color="CCEEFF"/>
            </w:tcBorders>
            <w:gridSpan w:val="10"/>
            <w:shd w:val="clear" w:color="auto" w:fill="CCEEFF"/>
          </w:tcPr>
          <w:p>
            <w:pPr>
              <w:spacing w:after="0"/>
              <w:rPr>
                <w:sz w:val="17"/>
                <w:szCs w:val="17"/>
                <w:color w:val="auto"/>
              </w:rPr>
            </w:pPr>
          </w:p>
        </w:tc>
      </w:tr>
      <w:tr>
        <w:trPr>
          <w:trHeight w:val="175"/>
        </w:trPr>
        <w:tc>
          <w:tcPr>
            <w:tcW w:w="420" w:type="dxa"/>
            <w:vAlign w:val="bottom"/>
            <w:gridSpan w:val="3"/>
          </w:tcPr>
          <w:p>
            <w:pPr>
              <w:spacing w:after="0" w:line="176" w:lineRule="exact"/>
              <w:rPr>
                <w:rFonts w:ascii="Arial" w:cs="Arial" w:eastAsia="Arial" w:hAnsi="Arial"/>
                <w:sz w:val="18"/>
                <w:szCs w:val="18"/>
                <w:color w:val="0000EE"/>
              </w:rPr>
            </w:pPr>
            <w:hyperlink r:id="rId214">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14">
              <w:r>
                <w:rPr>
                  <w:rFonts w:ascii="Arial" w:cs="Arial" w:eastAsia="Arial" w:hAnsi="Arial"/>
                  <w:sz w:val="18"/>
                  <w:szCs w:val="18"/>
                  <w:color w:val="0000EE"/>
                </w:rPr>
                <w:t>Bylaws.</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215">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15">
              <w:r>
                <w:rPr>
                  <w:rFonts w:ascii="Arial" w:cs="Arial" w:eastAsia="Arial" w:hAnsi="Arial"/>
                  <w:sz w:val="18"/>
                  <w:szCs w:val="18"/>
                  <w:color w:val="0000EE"/>
                </w:rPr>
                <w:t>Specimen Unit Certificate.</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0" w:type="dxa"/>
            <w:vAlign w:val="bottom"/>
            <w:gridSpan w:val="3"/>
          </w:tcPr>
          <w:p>
            <w:pPr>
              <w:spacing w:after="0" w:line="176" w:lineRule="exact"/>
              <w:rPr>
                <w:rFonts w:ascii="Arial" w:cs="Arial" w:eastAsia="Arial" w:hAnsi="Arial"/>
                <w:sz w:val="18"/>
                <w:szCs w:val="18"/>
                <w:color w:val="0000EE"/>
              </w:rPr>
            </w:pPr>
            <w:hyperlink r:id="rId216">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16">
              <w:r>
                <w:rPr>
                  <w:rFonts w:ascii="Arial" w:cs="Arial" w:eastAsia="Arial" w:hAnsi="Arial"/>
                  <w:sz w:val="18"/>
                  <w:szCs w:val="18"/>
                  <w:color w:val="0000EE"/>
                </w:rPr>
                <w:t>Specimen Common Stock Certificate.</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w:anchor="page238">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w:anchor="page238">
              <w:r>
                <w:rPr>
                  <w:rFonts w:ascii="Arial" w:cs="Arial" w:eastAsia="Arial" w:hAnsi="Arial"/>
                  <w:sz w:val="18"/>
                  <w:szCs w:val="18"/>
                  <w:color w:val="0000EE"/>
                </w:rPr>
                <w:t>Specimen Warrant Certificate.</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00" w:type="dxa"/>
            <w:vAlign w:val="bottom"/>
            <w:gridSpan w:val="5"/>
          </w:tcPr>
          <w:p>
            <w:pPr>
              <w:spacing w:after="0" w:line="176" w:lineRule="exact"/>
              <w:rPr>
                <w:rFonts w:ascii="Arial" w:cs="Arial" w:eastAsia="Arial" w:hAnsi="Arial"/>
                <w:sz w:val="18"/>
                <w:szCs w:val="18"/>
                <w:color w:val="0000EE"/>
              </w:rPr>
            </w:pPr>
            <w:hyperlink w:anchor="page242">
              <w:r>
                <w:rPr>
                  <w:rFonts w:ascii="Arial" w:cs="Arial" w:eastAsia="Arial" w:hAnsi="Arial"/>
                  <w:sz w:val="18"/>
                  <w:szCs w:val="18"/>
                  <w:color w:val="0000EE"/>
                </w:rPr>
                <w:t>4.</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w:anchor="page242">
              <w:r>
                <w:rPr>
                  <w:rFonts w:ascii="Arial" w:cs="Arial" w:eastAsia="Arial" w:hAnsi="Arial"/>
                  <w:sz w:val="18"/>
                  <w:szCs w:val="18"/>
                  <w:color w:val="0000EE"/>
                </w:rPr>
                <w:t>Form of Warrant Agreement between Continental Stock Transfer &amp; Trust Company and the Registrant.</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6"/>
        </w:trPr>
        <w:tc>
          <w:tcPr>
            <w:tcW w:w="460" w:type="dxa"/>
            <w:vAlign w:val="bottom"/>
            <w:gridSpan w:val="4"/>
            <w:shd w:val="clear" w:color="auto" w:fill="CCEEFF"/>
          </w:tcPr>
          <w:p>
            <w:pPr>
              <w:spacing w:after="0" w:line="176" w:lineRule="exact"/>
              <w:rPr>
                <w:rFonts w:ascii="Arial" w:cs="Arial" w:eastAsia="Arial" w:hAnsi="Arial"/>
                <w:sz w:val="18"/>
                <w:szCs w:val="18"/>
                <w:color w:val="0000EE"/>
                <w:w w:val="99"/>
              </w:rPr>
            </w:pPr>
            <w:hyperlink w:anchor="page255">
              <w:r>
                <w:rPr>
                  <w:rFonts w:ascii="Arial" w:cs="Arial" w:eastAsia="Arial" w:hAnsi="Arial"/>
                  <w:sz w:val="18"/>
                  <w:szCs w:val="18"/>
                  <w:color w:val="0000EE"/>
                  <w:w w:val="99"/>
                </w:rPr>
                <w:t>5.</w:t>
              </w:r>
              <w:r>
                <w:rPr>
                  <w:rFonts w:ascii="Arial" w:cs="Arial" w:eastAsia="Arial" w:hAnsi="Arial"/>
                  <w:sz w:val="18"/>
                  <w:szCs w:val="18"/>
                  <w:u w:val="single" w:color="auto"/>
                  <w:color w:val="0000EE"/>
                  <w:w w:val="99"/>
                </w:rPr>
                <w:t>1</w:t>
              </w:r>
              <w:r>
                <w:rPr>
                  <w:rFonts w:ascii="Arial" w:cs="Arial" w:eastAsia="Arial" w:hAnsi="Arial"/>
                  <w:sz w:val="18"/>
                  <w:szCs w:val="18"/>
                  <w:color w:val="0000EE"/>
                  <w:w w:val="99"/>
                </w:rPr>
                <w:t xml:space="preserve"> **</w:t>
              </w:r>
            </w:hyperlink>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w:anchor="page255">
              <w:r>
                <w:rPr>
                  <w:rFonts w:ascii="Arial" w:cs="Arial" w:eastAsia="Arial" w:hAnsi="Arial"/>
                  <w:sz w:val="18"/>
                  <w:szCs w:val="18"/>
                  <w:color w:val="0000EE"/>
                </w:rPr>
                <w:t>Form of Opinion of Reed Smith LLP.</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00" w:type="dxa"/>
            <w:vAlign w:val="bottom"/>
            <w:gridSpan w:val="5"/>
          </w:tcPr>
          <w:p>
            <w:pPr>
              <w:spacing w:after="0" w:line="176" w:lineRule="exact"/>
              <w:rPr>
                <w:rFonts w:ascii="Arial" w:cs="Arial" w:eastAsia="Arial" w:hAnsi="Arial"/>
                <w:sz w:val="18"/>
                <w:szCs w:val="18"/>
                <w:color w:val="0000EE"/>
                <w:w w:val="97"/>
              </w:rPr>
            </w:pPr>
            <w:hyperlink w:anchor="page258">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1**</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w:anchor="page258">
              <w:r>
                <w:rPr>
                  <w:rFonts w:ascii="Arial" w:cs="Arial" w:eastAsia="Arial" w:hAnsi="Arial"/>
                  <w:sz w:val="18"/>
                  <w:szCs w:val="18"/>
                  <w:color w:val="0000EE"/>
                </w:rPr>
                <w:t>Form of Letter Agreement among the Registrant and the Company’s officers, directors and securityholders.</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500" w:type="dxa"/>
            <w:vAlign w:val="bottom"/>
            <w:gridSpan w:val="5"/>
            <w:shd w:val="clear" w:color="auto" w:fill="CCEEFF"/>
          </w:tcPr>
          <w:p>
            <w:pPr>
              <w:spacing w:after="0" w:line="176" w:lineRule="exact"/>
              <w:rPr>
                <w:rFonts w:ascii="Arial" w:cs="Arial" w:eastAsia="Arial" w:hAnsi="Arial"/>
                <w:sz w:val="18"/>
                <w:szCs w:val="18"/>
                <w:color w:val="0000EE"/>
                <w:w w:val="97"/>
              </w:rPr>
            </w:pPr>
            <w:hyperlink w:anchor="page265">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2**</w:t>
              </w:r>
            </w:hyperlink>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w w:val="99"/>
              </w:rPr>
            </w:pPr>
            <w:hyperlink w:anchor="page265">
              <w:r>
                <w:rPr>
                  <w:rFonts w:ascii="Arial" w:cs="Arial" w:eastAsia="Arial" w:hAnsi="Arial"/>
                  <w:sz w:val="18"/>
                  <w:szCs w:val="18"/>
                  <w:color w:val="0000EE"/>
                  <w:w w:val="99"/>
                </w:rPr>
                <w:t>Form of Investment Management Trust Agreement between Continental Stock Transfer &amp; Trust Company and the Registrant.</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w w:val="95"/>
              </w:rPr>
            </w:pPr>
            <w:hyperlink r:id="rId217">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w w:val="99"/>
              </w:rPr>
            </w:pPr>
            <w:hyperlink r:id="rId217">
              <w:r>
                <w:rPr>
                  <w:rFonts w:ascii="Arial" w:cs="Arial" w:eastAsia="Arial" w:hAnsi="Arial"/>
                  <w:sz w:val="18"/>
                  <w:szCs w:val="18"/>
                  <w:color w:val="0000EE"/>
                  <w:w w:val="99"/>
                </w:rPr>
                <w:t>Form of Escrow Agreement between the Registrant, Continental Stock Transfer &amp; Trust Company and the Initial Stockholders.</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7"/>
              </w:rPr>
            </w:pPr>
            <w:hyperlink w:anchor="page275">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4**</w:t>
              </w:r>
            </w:hyperlink>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0000EE"/>
            </w:tcBorders>
            <w:gridSpan w:val="27"/>
            <w:shd w:val="clear" w:color="auto" w:fill="CCEEFF"/>
          </w:tcPr>
          <w:p>
            <w:pPr>
              <w:ind w:left="20"/>
              <w:spacing w:after="0" w:line="176" w:lineRule="exact"/>
              <w:rPr>
                <w:rFonts w:ascii="Arial" w:cs="Arial" w:eastAsia="Arial" w:hAnsi="Arial"/>
                <w:sz w:val="18"/>
                <w:szCs w:val="18"/>
                <w:color w:val="0000EE"/>
                <w:w w:val="90"/>
              </w:rPr>
            </w:pPr>
            <w:hyperlink w:anchor="page275">
              <w:r>
                <w:rPr>
                  <w:rFonts w:ascii="Arial" w:cs="Arial" w:eastAsia="Arial" w:hAnsi="Arial"/>
                  <w:sz w:val="18"/>
                  <w:szCs w:val="18"/>
                  <w:color w:val="0000EE"/>
                  <w:w w:val="90"/>
                </w:rPr>
                <w:t>Form of Registration Rights Agreement among the Registrant and the Initial Stockholders.</w:t>
              </w:r>
            </w:hyperlink>
          </w:p>
        </w:tc>
        <w:tc>
          <w:tcPr>
            <w:tcW w:w="3460" w:type="dxa"/>
            <w:vAlign w:val="bottom"/>
            <w:tcBorders>
              <w:bottom w:val="single" w:sz="8" w:color="CCEEFF"/>
            </w:tcBorders>
            <w:gridSpan w:val="6"/>
            <w:shd w:val="clear" w:color="auto" w:fill="CCEEFF"/>
          </w:tcPr>
          <w:p>
            <w:pPr>
              <w:spacing w:after="0"/>
              <w:rPr>
                <w:sz w:val="17"/>
                <w:szCs w:val="17"/>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w w:val="95"/>
              </w:rPr>
            </w:pPr>
            <w:hyperlink r:id="rId218">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5*</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18">
              <w:r>
                <w:rPr>
                  <w:rFonts w:ascii="Arial" w:cs="Arial" w:eastAsia="Arial" w:hAnsi="Arial"/>
                  <w:sz w:val="18"/>
                  <w:szCs w:val="18"/>
                  <w:color w:val="0000EE"/>
                </w:rPr>
                <w:t>Form of Indemnity Agreement.</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r:id="rId219">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6*</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26"/>
            <w:shd w:val="clear" w:color="auto" w:fill="CCEEFF"/>
          </w:tcPr>
          <w:p>
            <w:pPr>
              <w:ind w:left="20"/>
              <w:spacing w:after="0" w:line="176" w:lineRule="exact"/>
              <w:rPr>
                <w:rFonts w:ascii="Arial" w:cs="Arial" w:eastAsia="Arial" w:hAnsi="Arial"/>
                <w:sz w:val="18"/>
                <w:szCs w:val="18"/>
                <w:color w:val="0000EE"/>
                <w:w w:val="89"/>
              </w:rPr>
            </w:pPr>
            <w:hyperlink r:id="rId219">
              <w:r>
                <w:rPr>
                  <w:rFonts w:ascii="Arial" w:cs="Arial" w:eastAsia="Arial" w:hAnsi="Arial"/>
                  <w:sz w:val="18"/>
                  <w:szCs w:val="18"/>
                  <w:color w:val="0000EE"/>
                  <w:w w:val="89"/>
                </w:rPr>
                <w:t>Subscription Agreement dated July 23, 2020, by and between the Registrant and Sponsor.</w:t>
              </w:r>
            </w:hyperlink>
          </w:p>
        </w:tc>
        <w:tc>
          <w:tcPr>
            <w:tcW w:w="3540" w:type="dxa"/>
            <w:vAlign w:val="bottom"/>
            <w:tcBorders>
              <w:bottom w:val="single" w:sz="8" w:color="CCEEFF"/>
            </w:tcBorders>
            <w:gridSpan w:val="7"/>
            <w:shd w:val="clear" w:color="auto" w:fill="CCEEFF"/>
          </w:tcPr>
          <w:p>
            <w:pPr>
              <w:spacing w:after="0"/>
              <w:rPr>
                <w:sz w:val="17"/>
                <w:szCs w:val="17"/>
                <w:color w:val="auto"/>
              </w:rPr>
            </w:pPr>
          </w:p>
        </w:tc>
      </w:tr>
      <w:tr>
        <w:trPr>
          <w:trHeight w:val="175"/>
        </w:trPr>
        <w:tc>
          <w:tcPr>
            <w:tcW w:w="420" w:type="dxa"/>
            <w:vAlign w:val="bottom"/>
            <w:gridSpan w:val="3"/>
          </w:tcPr>
          <w:p>
            <w:pPr>
              <w:spacing w:after="0" w:line="176" w:lineRule="exact"/>
              <w:rPr>
                <w:rFonts w:ascii="Arial" w:cs="Arial" w:eastAsia="Arial" w:hAnsi="Arial"/>
                <w:sz w:val="18"/>
                <w:szCs w:val="18"/>
                <w:color w:val="0000EE"/>
                <w:w w:val="95"/>
              </w:rPr>
            </w:pPr>
            <w:hyperlink r:id="rId220">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7*</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20">
              <w:r>
                <w:rPr>
                  <w:rFonts w:ascii="Arial" w:cs="Arial" w:eastAsia="Arial" w:hAnsi="Arial"/>
                  <w:sz w:val="18"/>
                  <w:szCs w:val="18"/>
                  <w:color w:val="0000EE"/>
                </w:rPr>
                <w:t>Promissory Note, dated July 23, 2020, issued to Sponsor.</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r:id="rId221">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8*</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4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Administrative Services Agreement.</w:t>
              </w:r>
            </w:hyperlink>
          </w:p>
        </w:tc>
        <w:tc>
          <w:tcPr>
            <w:tcW w:w="7360" w:type="dxa"/>
            <w:vAlign w:val="bottom"/>
            <w:tcBorders>
              <w:bottom w:val="single" w:sz="8" w:color="CCEEFF"/>
            </w:tcBorders>
            <w:gridSpan w:val="17"/>
            <w:shd w:val="clear" w:color="auto" w:fill="CCEEFF"/>
          </w:tcPr>
          <w:p>
            <w:pPr>
              <w:spacing w:after="0"/>
              <w:rPr>
                <w:sz w:val="17"/>
                <w:szCs w:val="17"/>
                <w:color w:val="auto"/>
              </w:rPr>
            </w:pPr>
          </w:p>
        </w:tc>
      </w:tr>
      <w:tr>
        <w:trPr>
          <w:trHeight w:val="176"/>
        </w:trPr>
        <w:tc>
          <w:tcPr>
            <w:tcW w:w="500" w:type="dxa"/>
            <w:vAlign w:val="bottom"/>
            <w:gridSpan w:val="5"/>
          </w:tcPr>
          <w:p>
            <w:pPr>
              <w:spacing w:after="0" w:line="176" w:lineRule="exact"/>
              <w:rPr>
                <w:rFonts w:ascii="Arial" w:cs="Arial" w:eastAsia="Arial" w:hAnsi="Arial"/>
                <w:sz w:val="18"/>
                <w:szCs w:val="18"/>
                <w:color w:val="0000EE"/>
                <w:w w:val="97"/>
              </w:rPr>
            </w:pPr>
            <w:hyperlink w:anchor="page289">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9**</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w:anchor="page289">
              <w:r>
                <w:rPr>
                  <w:rFonts w:ascii="Arial" w:cs="Arial" w:eastAsia="Arial" w:hAnsi="Arial"/>
                  <w:sz w:val="18"/>
                  <w:szCs w:val="18"/>
                  <w:color w:val="0000EE"/>
                </w:rPr>
                <w:t>Form of Private Placement Warrant Purchase Agreement.</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6"/>
              </w:rPr>
            </w:pPr>
            <w:hyperlink r:id="rId222">
              <w:r>
                <w:rPr>
                  <w:rFonts w:ascii="Arial" w:cs="Arial" w:eastAsia="Arial" w:hAnsi="Arial"/>
                  <w:sz w:val="18"/>
                  <w:szCs w:val="18"/>
                  <w:color w:val="0000EE"/>
                  <w:w w:val="96"/>
                </w:rPr>
                <w:t>14*</w:t>
              </w:r>
            </w:hyperlink>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0000EE"/>
            </w:tcBorders>
            <w:gridSpan w:val="4"/>
            <w:shd w:val="clear" w:color="auto" w:fill="CCEEFF"/>
          </w:tcPr>
          <w:p>
            <w:pPr>
              <w:ind w:left="20"/>
              <w:spacing w:after="0" w:line="176" w:lineRule="exact"/>
              <w:rPr>
                <w:rFonts w:ascii="Arial" w:cs="Arial" w:eastAsia="Arial" w:hAnsi="Arial"/>
                <w:sz w:val="18"/>
                <w:szCs w:val="18"/>
                <w:color w:val="0000EE"/>
                <w:w w:val="90"/>
              </w:rPr>
            </w:pPr>
            <w:hyperlink r:id="rId222">
              <w:r>
                <w:rPr>
                  <w:rFonts w:ascii="Arial" w:cs="Arial" w:eastAsia="Arial" w:hAnsi="Arial"/>
                  <w:sz w:val="18"/>
                  <w:szCs w:val="18"/>
                  <w:color w:val="0000EE"/>
                  <w:w w:val="90"/>
                </w:rPr>
                <w:t>Form of Code of Ethics.</w:t>
              </w:r>
            </w:hyperlink>
          </w:p>
        </w:tc>
        <w:tc>
          <w:tcPr>
            <w:tcW w:w="8240" w:type="dxa"/>
            <w:vAlign w:val="bottom"/>
            <w:tcBorders>
              <w:bottom w:val="single" w:sz="8" w:color="CCEEFF"/>
            </w:tcBorders>
            <w:gridSpan w:val="29"/>
            <w:shd w:val="clear" w:color="auto" w:fill="CCEEFF"/>
          </w:tcPr>
          <w:p>
            <w:pPr>
              <w:spacing w:after="0"/>
              <w:rPr>
                <w:sz w:val="17"/>
                <w:szCs w:val="17"/>
                <w:color w:val="auto"/>
              </w:rPr>
            </w:pPr>
          </w:p>
        </w:tc>
      </w:tr>
      <w:tr>
        <w:trPr>
          <w:trHeight w:val="176"/>
        </w:trPr>
        <w:tc>
          <w:tcPr>
            <w:tcW w:w="500" w:type="dxa"/>
            <w:vAlign w:val="bottom"/>
            <w:gridSpan w:val="5"/>
          </w:tcPr>
          <w:p>
            <w:pPr>
              <w:spacing w:after="0" w:line="176" w:lineRule="exact"/>
              <w:rPr>
                <w:rFonts w:ascii="Arial" w:cs="Arial" w:eastAsia="Arial" w:hAnsi="Arial"/>
                <w:sz w:val="18"/>
                <w:szCs w:val="18"/>
                <w:color w:val="0000EE"/>
                <w:w w:val="97"/>
              </w:rPr>
            </w:pPr>
            <w:hyperlink w:anchor="page292">
              <w:r>
                <w:rPr>
                  <w:rFonts w:ascii="Arial" w:cs="Arial" w:eastAsia="Arial" w:hAnsi="Arial"/>
                  <w:sz w:val="18"/>
                  <w:szCs w:val="18"/>
                  <w:color w:val="0000EE"/>
                  <w:w w:val="97"/>
                </w:rPr>
                <w:t>23.</w:t>
              </w:r>
              <w:r>
                <w:rPr>
                  <w:rFonts w:ascii="Arial" w:cs="Arial" w:eastAsia="Arial" w:hAnsi="Arial"/>
                  <w:sz w:val="18"/>
                  <w:szCs w:val="18"/>
                  <w:u w:val="single" w:color="auto"/>
                  <w:color w:val="0000EE"/>
                  <w:w w:val="97"/>
                </w:rPr>
                <w:t>1**</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w:anchor="page292">
              <w:r>
                <w:rPr>
                  <w:rFonts w:ascii="Arial" w:cs="Arial" w:eastAsia="Arial" w:hAnsi="Arial"/>
                  <w:sz w:val="18"/>
                  <w:szCs w:val="18"/>
                  <w:color w:val="0000EE"/>
                </w:rPr>
                <w:t>Consent of WithumSmith+Brown, PC.</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500" w:type="dxa"/>
            <w:vAlign w:val="bottom"/>
            <w:gridSpan w:val="5"/>
            <w:shd w:val="clear" w:color="auto" w:fill="CCEEFF"/>
          </w:tcPr>
          <w:p>
            <w:pPr>
              <w:spacing w:after="0" w:line="176" w:lineRule="exact"/>
              <w:rPr>
                <w:rFonts w:ascii="Arial" w:cs="Arial" w:eastAsia="Arial" w:hAnsi="Arial"/>
                <w:sz w:val="18"/>
                <w:szCs w:val="18"/>
                <w:color w:val="0000EE"/>
                <w:w w:val="97"/>
              </w:rPr>
            </w:pPr>
            <w:hyperlink w:anchor="page255">
              <w:r>
                <w:rPr>
                  <w:rFonts w:ascii="Arial" w:cs="Arial" w:eastAsia="Arial" w:hAnsi="Arial"/>
                  <w:sz w:val="18"/>
                  <w:szCs w:val="18"/>
                  <w:color w:val="0000EE"/>
                  <w:w w:val="97"/>
                </w:rPr>
                <w:t>23.</w:t>
              </w:r>
              <w:r>
                <w:rPr>
                  <w:rFonts w:ascii="Arial" w:cs="Arial" w:eastAsia="Arial" w:hAnsi="Arial"/>
                  <w:sz w:val="18"/>
                  <w:szCs w:val="18"/>
                  <w:u w:val="single" w:color="auto"/>
                  <w:color w:val="0000EE"/>
                  <w:w w:val="97"/>
                </w:rPr>
                <w:t>2**</w:t>
              </w:r>
            </w:hyperlink>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w:anchor="page255">
              <w:r>
                <w:rPr>
                  <w:rFonts w:ascii="Arial" w:cs="Arial" w:eastAsia="Arial" w:hAnsi="Arial"/>
                  <w:sz w:val="18"/>
                  <w:szCs w:val="18"/>
                  <w:color w:val="0000EE"/>
                </w:rPr>
                <w:t>Consent of Reed Smith LLP (included in Exhibit 5.1).</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223">
              <w:r>
                <w:rPr>
                  <w:rFonts w:ascii="Arial" w:cs="Arial" w:eastAsia="Arial" w:hAnsi="Arial"/>
                  <w:sz w:val="18"/>
                  <w:szCs w:val="18"/>
                  <w:color w:val="0000EE"/>
                </w:rPr>
                <w:t>24*</w:t>
              </w:r>
            </w:hyperlink>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23">
              <w:r>
                <w:rPr>
                  <w:rFonts w:ascii="Arial" w:cs="Arial" w:eastAsia="Arial" w:hAnsi="Arial"/>
                  <w:sz w:val="18"/>
                  <w:szCs w:val="18"/>
                  <w:color w:val="0000EE"/>
                </w:rPr>
                <w:t>Power of Attorney (included on the signature page of the original filing hereof).</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w w:val="95"/>
              </w:rPr>
            </w:pPr>
            <w:hyperlink r:id="rId224">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1*</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24">
              <w:r>
                <w:rPr>
                  <w:rFonts w:ascii="Arial" w:cs="Arial" w:eastAsia="Arial" w:hAnsi="Arial"/>
                  <w:sz w:val="18"/>
                  <w:szCs w:val="18"/>
                  <w:color w:val="0000EE"/>
                </w:rPr>
                <w:t>Audit Committee Charter.</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0" w:type="dxa"/>
            <w:vAlign w:val="bottom"/>
            <w:gridSpan w:val="3"/>
          </w:tcPr>
          <w:p>
            <w:pPr>
              <w:spacing w:after="0" w:line="176" w:lineRule="exact"/>
              <w:rPr>
                <w:rFonts w:ascii="Arial" w:cs="Arial" w:eastAsia="Arial" w:hAnsi="Arial"/>
                <w:sz w:val="18"/>
                <w:szCs w:val="18"/>
                <w:color w:val="0000EE"/>
                <w:w w:val="95"/>
              </w:rPr>
            </w:pPr>
            <w:hyperlink r:id="rId225">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2*</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gridSpan w:val="33"/>
          </w:tcPr>
          <w:p>
            <w:pPr>
              <w:ind w:left="20"/>
              <w:spacing w:after="0" w:line="176" w:lineRule="exact"/>
              <w:rPr>
                <w:rFonts w:ascii="Arial" w:cs="Arial" w:eastAsia="Arial" w:hAnsi="Arial"/>
                <w:sz w:val="18"/>
                <w:szCs w:val="18"/>
                <w:color w:val="0000EE"/>
              </w:rPr>
            </w:pPr>
            <w:hyperlink r:id="rId225">
              <w:r>
                <w:rPr>
                  <w:rFonts w:ascii="Arial" w:cs="Arial" w:eastAsia="Arial" w:hAnsi="Arial"/>
                  <w:sz w:val="18"/>
                  <w:szCs w:val="18"/>
                  <w:color w:val="0000EE"/>
                </w:rPr>
                <w:t>Compensation Committee Charter.</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20" w:type="dxa"/>
            <w:vAlign w:val="bottom"/>
            <w:gridSpan w:val="3"/>
            <w:shd w:val="clear" w:color="auto" w:fill="CCEEFF"/>
          </w:tcPr>
          <w:p>
            <w:pPr>
              <w:spacing w:after="0" w:line="176" w:lineRule="exact"/>
              <w:rPr>
                <w:rFonts w:ascii="Arial" w:cs="Arial" w:eastAsia="Arial" w:hAnsi="Arial"/>
                <w:sz w:val="18"/>
                <w:szCs w:val="18"/>
                <w:color w:val="0000EE"/>
                <w:w w:val="95"/>
              </w:rPr>
            </w:pPr>
            <w:hyperlink r:id="rId226">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3*</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26">
              <w:r>
                <w:rPr>
                  <w:rFonts w:ascii="Arial" w:cs="Arial" w:eastAsia="Arial" w:hAnsi="Arial"/>
                  <w:sz w:val="18"/>
                  <w:szCs w:val="18"/>
                  <w:color w:val="0000EE"/>
                </w:rPr>
                <w:t>Consent of Jonathan Biele.</w:t>
              </w:r>
            </w:hyperlink>
          </w:p>
        </w:tc>
      </w:tr>
      <w:tr>
        <w:trPr>
          <w:trHeight w:val="175"/>
        </w:trPr>
        <w:tc>
          <w:tcPr>
            <w:tcW w:w="420" w:type="dxa"/>
            <w:vAlign w:val="bottom"/>
            <w:tcBorders>
              <w:top w:val="single" w:sz="8" w:color="0000EE"/>
            </w:tcBorders>
            <w:gridSpan w:val="3"/>
          </w:tcPr>
          <w:p>
            <w:pPr>
              <w:spacing w:after="0" w:line="176" w:lineRule="exact"/>
              <w:rPr>
                <w:rFonts w:ascii="Arial" w:cs="Arial" w:eastAsia="Arial" w:hAnsi="Arial"/>
                <w:sz w:val="18"/>
                <w:szCs w:val="18"/>
                <w:color w:val="0000EE"/>
                <w:w w:val="95"/>
              </w:rPr>
            </w:pPr>
            <w:hyperlink r:id="rId227">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4*</w:t>
              </w:r>
            </w:hyperlink>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940" w:type="dxa"/>
            <w:vAlign w:val="bottom"/>
            <w:tcBorders>
              <w:top w:val="single" w:sz="8" w:color="0000EE"/>
            </w:tcBorders>
            <w:gridSpan w:val="6"/>
          </w:tcPr>
          <w:p>
            <w:pPr>
              <w:ind w:left="20"/>
              <w:spacing w:after="0" w:line="176" w:lineRule="exact"/>
              <w:rPr>
                <w:rFonts w:ascii="Arial" w:cs="Arial" w:eastAsia="Arial" w:hAnsi="Arial"/>
                <w:sz w:val="18"/>
                <w:szCs w:val="18"/>
                <w:color w:val="0000EE"/>
                <w:w w:val="99"/>
              </w:rPr>
            </w:pPr>
            <w:hyperlink r:id="rId227">
              <w:r>
                <w:rPr>
                  <w:rFonts w:ascii="Arial" w:cs="Arial" w:eastAsia="Arial" w:hAnsi="Arial"/>
                  <w:sz w:val="18"/>
                  <w:szCs w:val="18"/>
                  <w:color w:val="0000EE"/>
                  <w:w w:val="99"/>
                </w:rPr>
                <w:t>Consent of Perry Boyle.</w:t>
              </w:r>
            </w:hyperlink>
          </w:p>
        </w:tc>
        <w:tc>
          <w:tcPr>
            <w:tcW w:w="8060" w:type="dxa"/>
            <w:vAlign w:val="bottom"/>
            <w:tcBorders>
              <w:top w:val="single" w:sz="8" w:color="CCEEFF"/>
            </w:tcBorders>
            <w:gridSpan w:val="27"/>
          </w:tcPr>
          <w:p>
            <w:pPr>
              <w:spacing w:after="0"/>
              <w:rPr>
                <w:sz w:val="15"/>
                <w:szCs w:val="15"/>
                <w:color w:val="auto"/>
              </w:rPr>
            </w:pPr>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20" w:type="dxa"/>
            <w:vAlign w:val="bottom"/>
            <w:gridSpan w:val="3"/>
            <w:shd w:val="clear" w:color="auto" w:fill="CCEEFF"/>
          </w:tcPr>
          <w:p>
            <w:pPr>
              <w:spacing w:after="0" w:line="176" w:lineRule="exact"/>
              <w:rPr>
                <w:rFonts w:ascii="Arial" w:cs="Arial" w:eastAsia="Arial" w:hAnsi="Arial"/>
                <w:sz w:val="18"/>
                <w:szCs w:val="18"/>
                <w:color w:val="0000EE"/>
                <w:w w:val="95"/>
              </w:rPr>
            </w:pPr>
            <w:hyperlink r:id="rId228">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5*</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33"/>
            <w:shd w:val="clear" w:color="auto" w:fill="CCEEFF"/>
          </w:tcPr>
          <w:p>
            <w:pPr>
              <w:ind w:left="20"/>
              <w:spacing w:after="0" w:line="176" w:lineRule="exact"/>
              <w:rPr>
                <w:rFonts w:ascii="Arial" w:cs="Arial" w:eastAsia="Arial" w:hAnsi="Arial"/>
                <w:sz w:val="18"/>
                <w:szCs w:val="18"/>
                <w:color w:val="0000EE"/>
              </w:rPr>
            </w:pPr>
            <w:hyperlink r:id="rId228">
              <w:r>
                <w:rPr>
                  <w:rFonts w:ascii="Arial" w:cs="Arial" w:eastAsia="Arial" w:hAnsi="Arial"/>
                  <w:sz w:val="18"/>
                  <w:szCs w:val="18"/>
                  <w:color w:val="0000EE"/>
                </w:rPr>
                <w:t>Consent of Roderick Hardamon.</w:t>
              </w:r>
            </w:hyperlink>
          </w:p>
        </w:tc>
      </w:tr>
      <w:tr>
        <w:trPr>
          <w:trHeight w:val="175"/>
        </w:trPr>
        <w:tc>
          <w:tcPr>
            <w:tcW w:w="420" w:type="dxa"/>
            <w:vAlign w:val="bottom"/>
            <w:tcBorders>
              <w:top w:val="single" w:sz="8" w:color="0000EE"/>
              <w:bottom w:val="single" w:sz="8" w:color="0000EE"/>
            </w:tcBorders>
            <w:gridSpan w:val="3"/>
          </w:tcPr>
          <w:p>
            <w:pPr>
              <w:spacing w:after="0" w:line="176" w:lineRule="exact"/>
              <w:rPr>
                <w:rFonts w:ascii="Arial" w:cs="Arial" w:eastAsia="Arial" w:hAnsi="Arial"/>
                <w:sz w:val="18"/>
                <w:szCs w:val="18"/>
                <w:color w:val="0000EE"/>
                <w:w w:val="95"/>
              </w:rPr>
            </w:pPr>
            <w:hyperlink r:id="rId229">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6*</w:t>
              </w:r>
            </w:hyperlink>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80" w:type="dxa"/>
            <w:vAlign w:val="bottom"/>
            <w:tcBorders>
              <w:top w:val="single" w:sz="8" w:color="0000EE"/>
              <w:bottom w:val="single" w:sz="8" w:color="0000EE"/>
            </w:tcBorders>
            <w:gridSpan w:val="10"/>
          </w:tcPr>
          <w:p>
            <w:pPr>
              <w:ind w:left="20"/>
              <w:spacing w:after="0" w:line="176" w:lineRule="exact"/>
              <w:rPr>
                <w:rFonts w:ascii="Arial" w:cs="Arial" w:eastAsia="Arial" w:hAnsi="Arial"/>
                <w:sz w:val="18"/>
                <w:szCs w:val="18"/>
                <w:color w:val="0000EE"/>
                <w:w w:val="88"/>
              </w:rPr>
            </w:pPr>
            <w:hyperlink r:id="rId229">
              <w:r>
                <w:rPr>
                  <w:rFonts w:ascii="Arial" w:cs="Arial" w:eastAsia="Arial" w:hAnsi="Arial"/>
                  <w:sz w:val="18"/>
                  <w:szCs w:val="18"/>
                  <w:color w:val="0000EE"/>
                  <w:w w:val="88"/>
                </w:rPr>
                <w:t>Consent of Jory Des Jardins.</w:t>
              </w:r>
            </w:hyperlink>
          </w:p>
        </w:tc>
        <w:tc>
          <w:tcPr>
            <w:tcW w:w="260" w:type="dxa"/>
            <w:vAlign w:val="bottom"/>
            <w:tcBorders>
              <w:top w:val="single" w:sz="8" w:color="0000EE"/>
            </w:tcBorders>
            <w:gridSpan w:val="3"/>
          </w:tcPr>
          <w:p>
            <w:pPr>
              <w:spacing w:after="0"/>
              <w:rPr>
                <w:sz w:val="15"/>
                <w:szCs w:val="15"/>
                <w:color w:val="auto"/>
              </w:rPr>
            </w:pPr>
          </w:p>
        </w:tc>
        <w:tc>
          <w:tcPr>
            <w:tcW w:w="7660" w:type="dxa"/>
            <w:vAlign w:val="bottom"/>
            <w:tcBorders>
              <w:top w:val="single" w:sz="8" w:color="CCEEFF"/>
            </w:tcBorders>
            <w:gridSpan w:val="20"/>
          </w:tcPr>
          <w:p>
            <w:pPr>
              <w:spacing w:after="0"/>
              <w:rPr>
                <w:sz w:val="15"/>
                <w:szCs w:val="15"/>
                <w:color w:val="auto"/>
              </w:rPr>
            </w:pPr>
          </w:p>
        </w:tc>
      </w:tr>
      <w:tr>
        <w:trPr>
          <w:trHeight w:val="196"/>
        </w:trPr>
        <w:tc>
          <w:tcPr>
            <w:tcW w:w="50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293">
              <w:r>
                <w:rPr>
                  <w:rFonts w:ascii="Arial" w:cs="Arial" w:eastAsia="Arial" w:hAnsi="Arial"/>
                  <w:sz w:val="18"/>
                  <w:szCs w:val="18"/>
                  <w:color w:val="0000EE"/>
                  <w:w w:val="97"/>
                </w:rPr>
                <w:t>99.</w:t>
              </w:r>
              <w:r>
                <w:rPr>
                  <w:rFonts w:ascii="Arial" w:cs="Arial" w:eastAsia="Arial" w:hAnsi="Arial"/>
                  <w:sz w:val="18"/>
                  <w:szCs w:val="18"/>
                  <w:u w:val="single" w:color="auto"/>
                  <w:color w:val="0000EE"/>
                  <w:w w:val="97"/>
                </w:rPr>
                <w:t>7**</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88"/>
              </w:rPr>
            </w:pPr>
            <w:hyperlink w:anchor="page293">
              <w:r>
                <w:rPr>
                  <w:rFonts w:ascii="Arial" w:cs="Arial" w:eastAsia="Arial" w:hAnsi="Arial"/>
                  <w:sz w:val="18"/>
                  <w:szCs w:val="18"/>
                  <w:color w:val="0000EE"/>
                  <w:w w:val="88"/>
                </w:rPr>
                <w:t>Consent of Todd Thomson.</w:t>
              </w:r>
            </w:hyperlink>
          </w:p>
        </w:tc>
        <w:tc>
          <w:tcPr>
            <w:tcW w:w="8020" w:type="dxa"/>
            <w:vAlign w:val="bottom"/>
            <w:gridSpan w:val="25"/>
          </w:tcPr>
          <w:p>
            <w:pPr>
              <w:spacing w:after="0"/>
              <w:rPr>
                <w:sz w:val="17"/>
                <w:szCs w:val="17"/>
                <w:color w:val="auto"/>
              </w:rPr>
            </w:pPr>
          </w:p>
        </w:tc>
      </w:tr>
      <w:tr>
        <w:trPr>
          <w:trHeight w:val="196"/>
        </w:trPr>
        <w:tc>
          <w:tcPr>
            <w:tcW w:w="500" w:type="dxa"/>
            <w:vAlign w:val="bottom"/>
            <w:gridSpan w:val="5"/>
          </w:tcPr>
          <w:p>
            <w:pPr>
              <w:spacing w:after="0" w:line="196" w:lineRule="exact"/>
              <w:rPr>
                <w:rFonts w:ascii="Arial" w:cs="Arial" w:eastAsia="Arial" w:hAnsi="Arial"/>
                <w:sz w:val="18"/>
                <w:szCs w:val="18"/>
                <w:color w:val="0000EE"/>
                <w:w w:val="97"/>
              </w:rPr>
            </w:pPr>
            <w:hyperlink w:anchor="page294">
              <w:r>
                <w:rPr>
                  <w:rFonts w:ascii="Arial" w:cs="Arial" w:eastAsia="Arial" w:hAnsi="Arial"/>
                  <w:sz w:val="18"/>
                  <w:szCs w:val="18"/>
                  <w:color w:val="0000EE"/>
                  <w:w w:val="97"/>
                </w:rPr>
                <w:t>99.</w:t>
              </w:r>
              <w:r>
                <w:rPr>
                  <w:rFonts w:ascii="Arial" w:cs="Arial" w:eastAsia="Arial" w:hAnsi="Arial"/>
                  <w:sz w:val="18"/>
                  <w:szCs w:val="18"/>
                  <w:u w:val="single" w:color="auto"/>
                  <w:color w:val="0000EE"/>
                  <w:w w:val="97"/>
                </w:rPr>
                <w:t>8**</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rFonts w:ascii="Arial" w:cs="Arial" w:eastAsia="Arial" w:hAnsi="Arial"/>
                <w:sz w:val="18"/>
                <w:szCs w:val="18"/>
                <w:color w:val="0000EE"/>
              </w:rPr>
            </w:pPr>
            <w:hyperlink w:anchor="page294">
              <w:r>
                <w:rPr>
                  <w:rFonts w:ascii="Arial" w:cs="Arial" w:eastAsia="Arial" w:hAnsi="Arial"/>
                  <w:sz w:val="18"/>
                  <w:szCs w:val="18"/>
                  <w:color w:val="0000EE"/>
                </w:rPr>
                <w:t>Consent of Hitesh Thakrar.</w:t>
              </w:r>
            </w:hyperlink>
          </w:p>
        </w:tc>
      </w:tr>
      <w:tr>
        <w:trPr>
          <w:trHeight w:val="290"/>
        </w:trPr>
        <w:tc>
          <w:tcPr>
            <w:tcW w:w="2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69" w:lineRule="exact"/>
        <w:rPr>
          <w:sz w:val="20"/>
          <w:szCs w:val="20"/>
          <w:color w:val="auto"/>
        </w:rPr>
      </w:pPr>
    </w:p>
    <w:p>
      <w:pPr>
        <w:ind w:left="340" w:right="9400" w:hanging="8"/>
        <w:spacing w:after="0" w:line="623" w:lineRule="auto"/>
        <w:tabs>
          <w:tab w:leader="none" w:pos="664"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 included in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980" w:hanging="324"/>
        <w:spacing w:after="0" w:line="342" w:lineRule="auto"/>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23" w:lineRule="exact"/>
        <w:rPr>
          <w:rFonts w:ascii="Arial" w:cs="Arial" w:eastAsia="Arial" w:hAnsi="Arial"/>
          <w:sz w:val="16"/>
          <w:szCs w:val="16"/>
          <w:color w:val="auto"/>
        </w:rPr>
      </w:pPr>
    </w:p>
    <w:p>
      <w:pPr>
        <w:jc w:val="both"/>
        <w:ind w:left="980" w:hanging="324"/>
        <w:spacing w:after="0" w:line="271" w:lineRule="auto"/>
        <w:tabs>
          <w:tab w:leader="none" w:pos="9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jc w:val="both"/>
        <w:ind w:left="1620" w:hanging="316"/>
        <w:spacing w:after="0" w:line="290" w:lineRule="auto"/>
        <w:tabs>
          <w:tab w:leader="none" w:pos="16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5" w:lineRule="exact"/>
        <w:rPr>
          <w:rFonts w:ascii="Arial" w:cs="Arial" w:eastAsia="Arial" w:hAnsi="Arial"/>
          <w:sz w:val="16"/>
          <w:szCs w:val="16"/>
          <w:color w:val="auto"/>
        </w:rPr>
      </w:pPr>
    </w:p>
    <w:p>
      <w:pPr>
        <w:jc w:val="both"/>
        <w:ind w:left="1620" w:hanging="316"/>
        <w:spacing w:after="0" w:line="275" w:lineRule="auto"/>
        <w:tabs>
          <w:tab w:leader="none" w:pos="16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6" w:lineRule="exact"/>
        <w:rPr>
          <w:rFonts w:ascii="Arial" w:cs="Arial" w:eastAsia="Arial" w:hAnsi="Arial"/>
          <w:sz w:val="17"/>
          <w:szCs w:val="17"/>
          <w:color w:val="auto"/>
        </w:rPr>
      </w:pPr>
    </w:p>
    <w:p>
      <w:pPr>
        <w:ind w:left="2280" w:hanging="328"/>
        <w:spacing w:after="0" w:line="277" w:lineRule="auto"/>
        <w:tabs>
          <w:tab w:leader="none" w:pos="22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2280" w:hanging="328"/>
        <w:spacing w:after="0" w:line="277" w:lineRule="auto"/>
        <w:tabs>
          <w:tab w:leader="none" w:pos="22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5" w:name="page186"/>
    <w:bookmarkEnd w:id="185"/>
    <w:p>
      <w:pPr>
        <w:ind w:left="1160" w:hanging="328"/>
        <w:spacing w:after="0" w:line="277" w:lineRule="auto"/>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160" w:hanging="328"/>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July, 2021.</w:t>
      </w:r>
    </w:p>
    <w:p>
      <w:pPr>
        <w:spacing w:after="0" w:line="3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904"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5031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 Jonas Grossman</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31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Alex Weil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31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ind w:left="1420"/>
              <w:spacing w:after="0"/>
              <w:rPr>
                <w:sz w:val="20"/>
                <w:szCs w:val="20"/>
                <w:color w:val="auto"/>
              </w:rPr>
            </w:pPr>
            <w:r>
              <w:rPr>
                <w:rFonts w:ascii="Arial" w:cs="Arial" w:eastAsia="Arial" w:hAnsi="Arial"/>
                <w:sz w:val="18"/>
                <w:szCs w:val="18"/>
                <w:b w:val="1"/>
                <w:bCs w:val="1"/>
                <w:color w:val="auto"/>
              </w:rPr>
              <w:t>Position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
        </w:trPr>
        <w:tc>
          <w:tcPr>
            <w:tcW w:w="34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line="195" w:lineRule="exact"/>
              <w:rPr>
                <w:sz w:val="20"/>
                <w:szCs w:val="20"/>
                <w:color w:val="auto"/>
              </w:rPr>
            </w:pPr>
            <w:r>
              <w:rPr>
                <w:rFonts w:ascii="Arial" w:cs="Arial" w:eastAsia="Arial" w:hAnsi="Arial"/>
                <w:sz w:val="18"/>
                <w:szCs w:val="18"/>
                <w:color w:val="auto"/>
              </w:rPr>
              <w:t>Chief Executive Officer, President,</w:t>
            </w:r>
          </w:p>
        </w:tc>
        <w:tc>
          <w:tcPr>
            <w:tcW w:w="10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July 13, 2021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Secretary, Treasurer and Director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3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July 13, 2021</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471170</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360" w:space="720"/>
            <w:col w:w="7160"/>
          </w:cols>
          <w:pgMar w:left="320" w:top="904" w:right="339" w:bottom="1440" w:gutter="0" w:footer="0" w:header="0"/>
          <w:type w:val="continuous"/>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 Units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Representative of the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undersigned, Chardan NexTech Acquisition 2 Corp.,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with Chardan Capital Markets, LLC (hereinafter referred to as “you”, “</w:t>
      </w:r>
      <w:r>
        <w:rPr>
          <w:rFonts w:ascii="Arial" w:cs="Arial" w:eastAsia="Arial" w:hAnsi="Arial"/>
          <w:sz w:val="18"/>
          <w:szCs w:val="18"/>
          <w:b w:val="1"/>
          <w:bCs w:val="1"/>
          <w:color w:val="auto"/>
        </w:rPr>
        <w:t>Chardan</w:t>
      </w:r>
      <w:r>
        <w:rPr>
          <w:rFonts w:ascii="Arial" w:cs="Arial" w:eastAsia="Arial" w:hAnsi="Arial"/>
          <w:sz w:val="18"/>
          <w:szCs w:val="18"/>
          <w:color w:val="auto"/>
        </w:rPr>
        <w:t>”, or as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for which you are acting as representative (the Representative and the other Underwriters being collectively referred to herein as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80" w:lineRule="exact"/>
        <w:rPr>
          <w:sz w:val="20"/>
          <w:szCs w:val="20"/>
          <w:color w:val="auto"/>
        </w:rPr>
      </w:pPr>
    </w:p>
    <w:p>
      <w:pPr>
        <w:ind w:left="960" w:hanging="952"/>
        <w:spacing w:after="0"/>
        <w:tabs>
          <w:tab w:leader="none" w:pos="9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Securities</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Firm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i w:val="1"/>
          <w:iCs w:val="1"/>
          <w:color w:val="auto"/>
        </w:rPr>
        <w:t>1.1.1 Purchase of Firm Units</w:t>
      </w:r>
      <w:r>
        <w:rPr>
          <w:rFonts w:ascii="Arial" w:cs="Arial" w:eastAsia="Arial" w:hAnsi="Arial"/>
          <w:sz w:val="16"/>
          <w:szCs w:val="16"/>
          <w:color w:val="auto"/>
        </w:rPr>
        <w:t>. On the basis of the representations and warranties herein contained, but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set forth herein, the Company agrees to issue and sell, severally and not jointly, to the several Underwriters, an aggregate of 10,000,000 units (the “</w:t>
      </w:r>
      <w:r>
        <w:rPr>
          <w:rFonts w:ascii="Arial" w:cs="Arial" w:eastAsia="Arial" w:hAnsi="Arial"/>
          <w:sz w:val="16"/>
          <w:szCs w:val="16"/>
          <w:b w:val="1"/>
          <w:bCs w:val="1"/>
          <w:color w:val="auto"/>
        </w:rPr>
        <w:t>Firm Units</w:t>
      </w:r>
      <w:r>
        <w:rPr>
          <w:rFonts w:ascii="Arial" w:cs="Arial" w:eastAsia="Arial" w:hAnsi="Arial"/>
          <w:sz w:val="16"/>
          <w:szCs w:val="16"/>
          <w:color w:val="auto"/>
        </w:rPr>
        <w:t xml:space="preserve">”) of the Company at a purchase price (net of discounts and commissions) of $9.995 per Firm Unit. The Underwriters, severally and not jointly, agree to purchase from the Company the number of Firm Units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and made a part hereof at a purchase price (net of discounts and commissions) of $9.995 per Firm Unit. The Firm Units (and the Option Units (as hereinafter defined), if any) are to be offered initially to the public (the “</w:t>
      </w:r>
      <w:r>
        <w:rPr>
          <w:rFonts w:ascii="Arial" w:cs="Arial" w:eastAsia="Arial" w:hAnsi="Arial"/>
          <w:sz w:val="16"/>
          <w:szCs w:val="16"/>
          <w:b w:val="1"/>
          <w:bCs w:val="1"/>
          <w:color w:val="auto"/>
        </w:rPr>
        <w:t>Offering</w:t>
      </w:r>
      <w:r>
        <w:rPr>
          <w:rFonts w:ascii="Arial" w:cs="Arial" w:eastAsia="Arial" w:hAnsi="Arial"/>
          <w:sz w:val="16"/>
          <w:szCs w:val="16"/>
          <w:color w:val="auto"/>
        </w:rPr>
        <w:t>”) at the offering price of $10.00 per Firm Unit, it being understood that the offering price is not in excess of the price recommended by the QIU (as hereinafter defined). Each Firm Unit consists of one (1) share of the Company’s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one-half of one (1) redeemable warrant (the “</w:t>
      </w:r>
      <w:r>
        <w:rPr>
          <w:rFonts w:ascii="Arial" w:cs="Arial" w:eastAsia="Arial" w:hAnsi="Arial"/>
          <w:sz w:val="16"/>
          <w:szCs w:val="16"/>
          <w:b w:val="1"/>
          <w:bCs w:val="1"/>
          <w:color w:val="auto"/>
        </w:rPr>
        <w:t>Warrant(s)</w:t>
      </w:r>
      <w:r>
        <w:rPr>
          <w:rFonts w:ascii="Arial" w:cs="Arial" w:eastAsia="Arial" w:hAnsi="Arial"/>
          <w:sz w:val="16"/>
          <w:szCs w:val="16"/>
          <w:color w:val="auto"/>
        </w:rPr>
        <w:t>”), each whole Warrant entitling the holder thereof to purchase one share of Common Stock. The shares of Common Stock and the Warrants included in the Firm Units will not be separately</w:t>
      </w:r>
    </w:p>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transferable until the earlier of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that the Registration Statement (as defined below) becomes effective (the “</w:t>
      </w:r>
      <w:r>
        <w:rPr>
          <w:rFonts w:ascii="Arial" w:cs="Arial" w:eastAsia="Arial" w:hAnsi="Arial"/>
          <w:sz w:val="17"/>
          <w:szCs w:val="17"/>
          <w:b w:val="1"/>
          <w:bCs w:val="1"/>
          <w:color w:val="auto"/>
        </w:rPr>
        <w:t>Effective Date</w:t>
      </w:r>
      <w:r>
        <w:rPr>
          <w:rFonts w:ascii="Arial" w:cs="Arial" w:eastAsia="Arial" w:hAnsi="Arial"/>
          <w:sz w:val="17"/>
          <w:szCs w:val="17"/>
          <w:color w:val="auto"/>
        </w:rPr>
        <w:t>”) or the announcement by the Company of the Representative’s decision to allow earlier trading, subject, however, to the Company filing a Current Report on Form 8-K (“</w:t>
      </w:r>
      <w:r>
        <w:rPr>
          <w:rFonts w:ascii="Arial" w:cs="Arial" w:eastAsia="Arial" w:hAnsi="Arial"/>
          <w:sz w:val="17"/>
          <w:szCs w:val="17"/>
          <w:b w:val="1"/>
          <w:bCs w:val="1"/>
          <w:color w:val="auto"/>
        </w:rPr>
        <w:t>Form 8-K</w:t>
      </w:r>
      <w:r>
        <w:rPr>
          <w:rFonts w:ascii="Arial" w:cs="Arial" w:eastAsia="Arial" w:hAnsi="Arial"/>
          <w:sz w:val="17"/>
          <w:szCs w:val="17"/>
          <w:color w:val="auto"/>
        </w:rPr>
        <w:t>”) with the Commission (as defined below) containing an audited balanced sheet reflecting the Company’s receipt of the gross proceeds of the Offering and issuing a press release announcing when such separate trading will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8" w:name="page189"/>
    <w:bookmarkEnd w:id="188"/>
    <w:p>
      <w:pPr>
        <w:jc w:val="both"/>
        <w:ind w:firstLine="1296"/>
        <w:spacing w:after="0" w:line="286" w:lineRule="auto"/>
        <w:rPr>
          <w:sz w:val="20"/>
          <w:szCs w:val="20"/>
          <w:color w:val="auto"/>
        </w:rPr>
      </w:pPr>
      <w:r>
        <w:rPr>
          <w:rFonts w:ascii="Arial" w:cs="Arial" w:eastAsia="Arial" w:hAnsi="Arial"/>
          <w:sz w:val="16"/>
          <w:szCs w:val="16"/>
          <w:color w:val="auto"/>
        </w:rPr>
        <w:t>In no event will the Company allow separate trading until (i) the preparation of an audited balance sheet of the Company reflecting receipt by the Company of the proceeds of the Offering and the filing of such audited balance sheet with the Commission (as defined below) on a Form 8-K or similar form by the Company which includes such balance sheet and (ii) the issuance of a press release announcing when such separate trading shall begin. Each whole Warrant entitles the holder to purchase one share of Common Stock at a price of $11.50 per share during the period commencing thirty</w:t>
      </w:r>
    </w:p>
    <w:p>
      <w:pPr>
        <w:spacing w:after="0" w:line="1" w:lineRule="exact"/>
        <w:rPr>
          <w:sz w:val="20"/>
          <w:szCs w:val="20"/>
          <w:color w:val="auto"/>
        </w:rPr>
      </w:pPr>
    </w:p>
    <w:p>
      <w:pPr>
        <w:jc w:val="both"/>
        <w:ind w:firstLine="8"/>
        <w:spacing w:after="0" w:line="269" w:lineRule="auto"/>
        <w:tabs>
          <w:tab w:leader="none" w:pos="364" w:val="left"/>
        </w:tabs>
        <w:numPr>
          <w:ilvl w:val="0"/>
          <w:numId w:val="88"/>
        </w:numPr>
        <w:rPr>
          <w:rFonts w:ascii="Arial" w:cs="Arial" w:eastAsia="Arial" w:hAnsi="Arial"/>
          <w:sz w:val="17"/>
          <w:szCs w:val="17"/>
          <w:color w:val="auto"/>
        </w:rPr>
      </w:pPr>
      <w:r>
        <w:rPr>
          <w:rFonts w:ascii="Arial" w:cs="Arial" w:eastAsia="Arial" w:hAnsi="Arial"/>
          <w:sz w:val="17"/>
          <w:szCs w:val="17"/>
          <w:color w:val="auto"/>
        </w:rPr>
        <w:t>days after the closing of a Business Combination (as defined below) and terminating on the fifth (5th) anniversary of the Effective Date. As used herein, the term “</w:t>
      </w:r>
      <w:r>
        <w:rPr>
          <w:rFonts w:ascii="Arial" w:cs="Arial" w:eastAsia="Arial" w:hAnsi="Arial"/>
          <w:sz w:val="17"/>
          <w:szCs w:val="17"/>
          <w:b w:val="1"/>
          <w:bCs w:val="1"/>
          <w:color w:val="auto"/>
        </w:rPr>
        <w:t>Business Combination</w:t>
      </w:r>
      <w:r>
        <w:rPr>
          <w:rFonts w:ascii="Arial" w:cs="Arial" w:eastAsia="Arial" w:hAnsi="Arial"/>
          <w:sz w:val="17"/>
          <w:szCs w:val="17"/>
          <w:color w:val="auto"/>
        </w:rPr>
        <w:t>” shall mean any merger, share exchange, asset acquisition, stock purchase, recapitalization, reorganization or other similar business combination with one or more businesses or entities by the Company. The Company has the right to redeem the Warrants, upon not less than thirty (30) days written notice at a price of $0.01 per Warrant at any time after the Warrants become exercisable; so long as the last sales price of the Common Stock has been at least $16.00 per share for any twenty (20) trading days within a thirty (30) trading day period ending on the third (3rd) Business Day prior to the day on which notice is given. As used herein, the term “</w:t>
      </w:r>
      <w:r>
        <w:rPr>
          <w:rFonts w:ascii="Arial" w:cs="Arial" w:eastAsia="Arial" w:hAnsi="Arial"/>
          <w:sz w:val="17"/>
          <w:szCs w:val="17"/>
          <w:b w:val="1"/>
          <w:bCs w:val="1"/>
          <w:color w:val="auto"/>
        </w:rPr>
        <w:t>Business D</w:t>
      </w:r>
      <w:r>
        <w:rPr>
          <w:rFonts w:ascii="Arial" w:cs="Arial" w:eastAsia="Arial" w:hAnsi="Arial"/>
          <w:sz w:val="17"/>
          <w:szCs w:val="17"/>
          <w:color w:val="auto"/>
        </w:rPr>
        <w:t>ay” shall mean any day other than a Saturday, Sunday or any day on which national banks in New York, New York are not open for business.</w:t>
      </w:r>
    </w:p>
    <w:p>
      <w:pPr>
        <w:spacing w:after="0" w:line="180"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i w:val="1"/>
          <w:iCs w:val="1"/>
          <w:color w:val="auto"/>
        </w:rPr>
        <w:t>Payment and Delivery. Delivery and payment for the Firm Units shall be made at 10:00 A.M., New York time, on the second</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(2</w:t>
      </w:r>
      <w:r>
        <w:rPr>
          <w:rFonts w:ascii="Arial" w:cs="Arial" w:eastAsia="Arial" w:hAnsi="Arial"/>
          <w:sz w:val="26"/>
          <w:szCs w:val="26"/>
          <w:i w:val="1"/>
          <w:iCs w:val="1"/>
          <w:color w:val="auto"/>
          <w:vertAlign w:val="superscript"/>
        </w:rPr>
        <w:t>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Day following the Effective Date of the Registration Statement (or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following the Effective Date, if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is declared effective on or after 4:00 p.m.) or at such earlier time as shall be agreed upon by the Representative and the Company at the offices of the Representative or at such other place as shall be agreed upon by the Representative and the Company. The closing of the public offering contemplated by this Agreement is referred to herein as the “</w:t>
      </w:r>
      <w:r>
        <w:rPr>
          <w:rFonts w:ascii="Arial" w:cs="Arial" w:eastAsia="Arial" w:hAnsi="Arial"/>
          <w:sz w:val="16"/>
          <w:szCs w:val="16"/>
          <w:b w:val="1"/>
          <w:bCs w:val="1"/>
          <w:color w:val="auto"/>
        </w:rPr>
        <w:t>Closing</w:t>
      </w:r>
      <w:r>
        <w:rPr>
          <w:rFonts w:ascii="Arial" w:cs="Arial" w:eastAsia="Arial" w:hAnsi="Arial"/>
          <w:sz w:val="16"/>
          <w:szCs w:val="16"/>
          <w:color w:val="auto"/>
        </w:rPr>
        <w:t>” and the hour and date of delivery and payment for the Firm Units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Payment for the Firm Units shall be made on the Closing Date at the Representative’s election by wire transfer in Federal (same day) funds or by certified or bank cashier’s check(s) in New York Clearing House funds. $101,000,000 ($116,150,000 if the Over-allotment Option (as defined in Section 1.2) is exercised in full), or $10.10 per Unit, of the proceeds received by the Company for the Firm Units and from the Private Placement (as defined in Section 1.4) shall be deposited in the trust account established by the Company for the benefit of the public stockholders as described in the Registration Statement (the “</w:t>
      </w:r>
      <w:r>
        <w:rPr>
          <w:rFonts w:ascii="Arial" w:cs="Arial" w:eastAsia="Arial" w:hAnsi="Arial"/>
          <w:sz w:val="16"/>
          <w:szCs w:val="16"/>
          <w:b w:val="1"/>
          <w:bCs w:val="1"/>
          <w:color w:val="auto"/>
        </w:rPr>
        <w:t>Trust Account</w:t>
      </w:r>
      <w:r>
        <w:rPr>
          <w:rFonts w:ascii="Arial" w:cs="Arial" w:eastAsia="Arial" w:hAnsi="Arial"/>
          <w:sz w:val="16"/>
          <w:szCs w:val="16"/>
          <w:color w:val="auto"/>
        </w:rPr>
        <w:t>”) pursuant to the terms of an investment management trust agreement (the “</w:t>
      </w:r>
      <w:r>
        <w:rPr>
          <w:rFonts w:ascii="Arial" w:cs="Arial" w:eastAsia="Arial" w:hAnsi="Arial"/>
          <w:sz w:val="16"/>
          <w:szCs w:val="16"/>
          <w:b w:val="1"/>
          <w:bCs w:val="1"/>
          <w:color w:val="auto"/>
        </w:rPr>
        <w:t>Trust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by and between the Company and Continental Stock Transfer &amp; Trust Company. The proceeds (less commissions, expense allowance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actual expense payments or other fees payable pursuant to this Agreement) shall be paid to the order of the Company upon delivery to the Representative of certificates (in form and substance satisfactory to the Underwriters) representing the Firm Units (or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the Underwriters. The Firm Units shall be registered in such name or names and in such authorized denominations as the Representative may request in writing at least two (2) Business Days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ind w:left="660"/>
        <w:spacing w:after="0"/>
        <w:tabs>
          <w:tab w:leader="none" w:pos="1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Over-Allotment Option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Option Units</w:t>
      </w:r>
      <w:r>
        <w:rPr>
          <w:rFonts w:ascii="Arial" w:cs="Arial" w:eastAsia="Arial" w:hAnsi="Arial"/>
          <w:sz w:val="18"/>
          <w:szCs w:val="18"/>
          <w:color w:val="auto"/>
        </w:rPr>
        <w:t>. For the purpose of covering any over-allotments in connection with the distribution and sale of the Firm Units, the Underwriters are hereby granted, severally and not jointly, an option to purchase up to an additional 1,500,000 units from the Company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Such additional 1,500,000 units shall be identical in all respects to the Firm Units and are hereinafter referred to as “</w:t>
      </w:r>
      <w:r>
        <w:rPr>
          <w:rFonts w:ascii="Arial" w:cs="Arial" w:eastAsia="Arial" w:hAnsi="Arial"/>
          <w:sz w:val="18"/>
          <w:szCs w:val="18"/>
          <w:b w:val="1"/>
          <w:bCs w:val="1"/>
          <w:color w:val="auto"/>
        </w:rPr>
        <w:t>Option Units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Firm Units and the Option Units are hereinafter collectively referred to as the “</w:t>
      </w:r>
      <w:r>
        <w:rPr>
          <w:rFonts w:ascii="Arial" w:cs="Arial" w:eastAsia="Arial" w:hAnsi="Arial"/>
          <w:sz w:val="18"/>
          <w:szCs w:val="18"/>
          <w:b w:val="1"/>
          <w:bCs w:val="1"/>
          <w:color w:val="auto"/>
        </w:rPr>
        <w:t>Units</w:t>
      </w:r>
      <w:r>
        <w:rPr>
          <w:rFonts w:ascii="Arial" w:cs="Arial" w:eastAsia="Arial" w:hAnsi="Arial"/>
          <w:sz w:val="18"/>
          <w:szCs w:val="18"/>
          <w:color w:val="auto"/>
        </w:rPr>
        <w:t>,” and the Units, the shares of Common Stock and Warrants included in the Units and the shares of Common Stock issuable upon exercise of such Warrants are hereinafter referred to collectively as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purchase price to be paid for the Option Units will be $10.00 per Option Unit. The Option Units are to be offered initially to the public at</w:t>
      </w:r>
      <w:r>
        <w:rPr>
          <w:rFonts w:ascii="Arial" w:cs="Arial" w:eastAsia="Arial" w:hAnsi="Arial"/>
          <w:sz w:val="18"/>
          <w:szCs w:val="18"/>
          <w:b w:val="1"/>
          <w:bCs w:val="1"/>
          <w:color w:val="auto"/>
        </w:rPr>
        <w:t xml:space="preserve"> </w:t>
      </w:r>
      <w:r>
        <w:rPr>
          <w:rFonts w:ascii="Arial" w:cs="Arial" w:eastAsia="Arial" w:hAnsi="Arial"/>
          <w:sz w:val="18"/>
          <w:szCs w:val="18"/>
          <w:color w:val="auto"/>
        </w:rPr>
        <w:t>the offering price of $10.00 per Option Unit.</w:t>
      </w:r>
    </w:p>
    <w:p>
      <w:pPr>
        <w:spacing w:after="0" w:line="1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Exercise of Option</w:t>
      </w:r>
      <w:r>
        <w:rPr>
          <w:rFonts w:ascii="Arial" w:cs="Arial" w:eastAsia="Arial" w:hAnsi="Arial"/>
          <w:sz w:val="17"/>
          <w:szCs w:val="17"/>
          <w:color w:val="auto"/>
        </w:rPr>
        <w:t xml:space="preserve">. The Over-allotment Option granted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may be exercised by the Representative as to all (at any time) or any part (from time to time) of the Option Units within forty-five (45) days after the Effective Date. The Underwriters will not be under any obligation to purchase any Option Units prior to the exercise of the Over-allotment Option. The Over-allotment Option granted hereby may be exercised by the giving of oral notice to the Company from the Representative, which must be confirmed in writing by overnight mail, facsimile transmission or e-mail transmission setting forth the number of Option Units to be purchased and the date and time for delivery of and payment for the Option Units,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Units does not occur on the Closing Date, the date and time of the closing for such Option Units will be as set forth in the notice (hereinafter the “</w:t>
      </w:r>
      <w:r>
        <w:rPr>
          <w:rFonts w:ascii="Arial" w:cs="Arial" w:eastAsia="Arial" w:hAnsi="Arial"/>
          <w:sz w:val="17"/>
          <w:szCs w:val="17"/>
          <w:b w:val="1"/>
          <w:bCs w:val="1"/>
          <w:color w:val="auto"/>
        </w:rPr>
        <w:t>Option Closing Date</w:t>
      </w:r>
      <w:r>
        <w:rPr>
          <w:rFonts w:ascii="Arial" w:cs="Arial" w:eastAsia="Arial" w:hAnsi="Arial"/>
          <w:sz w:val="17"/>
          <w:szCs w:val="17"/>
          <w:color w:val="auto"/>
        </w:rPr>
        <w:t>”). Upon exercise of the Over-allotment Option, the Company will become obligated to convey to the Underwriters, and, subject to the terms and conditions set forth herein, the Underwriters will become obligated to purchase, the number of Option Units specified in such notice.</w:t>
      </w:r>
    </w:p>
    <w:p>
      <w:pPr>
        <w:spacing w:after="0" w:line="18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Payment and Delivery</w:t>
      </w:r>
      <w:r>
        <w:rPr>
          <w:rFonts w:ascii="Arial" w:cs="Arial" w:eastAsia="Arial" w:hAnsi="Arial"/>
          <w:sz w:val="18"/>
          <w:szCs w:val="18"/>
          <w:color w:val="auto"/>
        </w:rPr>
        <w:t>. Delivery and payment for the Option Units shall be made at 10:00 AM, New York time, on the Option Closing Date or at such earlier time as shall be agreed upon by the Representative and the Company at the offices of the Representative or at such other place as shall be agreed upon by the Representative and the Company. Payment for the Option Units shall be made at the Representative’s election by wire transfer in Federal (same day) funds or by certified or bank cashier’s check(s) in New York Clearing House funds, by deposit of the sum of $10.10 per Option Unit in the Trust Account pursuant to the Trust Agreement upon delivery to the Representative of certificates (in form and substance satisfactory to the Underwriters) representing the Option Units (or through the facilities of DTC) for the account of the Underwriters. The Option Units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tbl>
      <w:tblPr>
        <w:tblLayout w:type="fixed"/>
        <w:tblInd w:w="66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1.3</w:t>
            </w:r>
          </w:p>
        </w:tc>
        <w:tc>
          <w:tcPr>
            <w:tcW w:w="9720" w:type="dxa"/>
            <w:vAlign w:val="bottom"/>
            <w:gridSpan w:val="2"/>
          </w:tcPr>
          <w:p>
            <w:pPr>
              <w:spacing w:after="0"/>
              <w:rPr>
                <w:sz w:val="20"/>
                <w:szCs w:val="20"/>
                <w:color w:val="auto"/>
              </w:rPr>
            </w:pPr>
            <w:r>
              <w:rPr>
                <w:rFonts w:ascii="Arial" w:cs="Arial" w:eastAsia="Arial" w:hAnsi="Arial"/>
                <w:sz w:val="18"/>
                <w:szCs w:val="18"/>
                <w:color w:val="auto"/>
              </w:rPr>
              <w:t>[Reserved.]</w:t>
            </w:r>
          </w:p>
        </w:tc>
      </w:tr>
      <w:tr>
        <w:trPr>
          <w:trHeight w:val="20"/>
        </w:trPr>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453"/>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1.4</w:t>
            </w:r>
          </w:p>
        </w:tc>
        <w:tc>
          <w:tcPr>
            <w:tcW w:w="9720" w:type="dxa"/>
            <w:vAlign w:val="bottom"/>
            <w:gridSpan w:val="2"/>
          </w:tcPr>
          <w:p>
            <w:pPr>
              <w:spacing w:after="0"/>
              <w:rPr>
                <w:sz w:val="20"/>
                <w:szCs w:val="20"/>
                <w:color w:val="auto"/>
              </w:rPr>
            </w:pPr>
            <w:r>
              <w:rPr>
                <w:rFonts w:ascii="Arial" w:cs="Arial" w:eastAsia="Arial" w:hAnsi="Arial"/>
                <w:sz w:val="18"/>
                <w:szCs w:val="18"/>
                <w:color w:val="auto"/>
                <w:w w:val="91"/>
              </w:rPr>
              <w:t>Private Placement. Simultaneously with the Closing, Chardan NexTech 2 Warrant Holdings LLC ("Holdings") shall purchase from the</w:t>
            </w:r>
          </w:p>
        </w:tc>
      </w:tr>
    </w:tbl>
    <w:p>
      <w:pPr>
        <w:jc w:val="both"/>
        <w:spacing w:after="0" w:line="266" w:lineRule="auto"/>
        <w:rPr>
          <w:sz w:val="20"/>
          <w:szCs w:val="20"/>
          <w:color w:val="auto"/>
        </w:rPr>
      </w:pPr>
      <w:r>
        <w:rPr>
          <w:rFonts w:ascii="Arial" w:cs="Arial" w:eastAsia="Arial" w:hAnsi="Arial"/>
          <w:sz w:val="17"/>
          <w:szCs w:val="17"/>
          <w:color w:val="auto"/>
        </w:rPr>
        <w:t>Company, pursuant to the Subscription Agreement (as defined in Section 2.24.2 hereof) an aggregate of 5,238,461 warrants (or up to 5,469,230 warrants depending on the extent to which the underwriters’ over-allotment option is exercised) (the “</w:t>
      </w:r>
      <w:r>
        <w:rPr>
          <w:rFonts w:ascii="Arial" w:cs="Arial" w:eastAsia="Arial" w:hAnsi="Arial"/>
          <w:sz w:val="17"/>
          <w:szCs w:val="17"/>
          <w:b w:val="1"/>
          <w:bCs w:val="1"/>
          <w:color w:val="auto"/>
        </w:rPr>
        <w:t>Placement Warrants</w:t>
      </w:r>
      <w:r>
        <w:rPr>
          <w:rFonts w:ascii="Arial" w:cs="Arial" w:eastAsia="Arial" w:hAnsi="Arial"/>
          <w:sz w:val="17"/>
          <w:szCs w:val="17"/>
          <w:color w:val="auto"/>
        </w:rPr>
        <w:t>”) at a purchase price of $0.65 per Placement Warrant in a private placement (the “</w:t>
      </w:r>
      <w:r>
        <w:rPr>
          <w:rFonts w:ascii="Arial" w:cs="Arial" w:eastAsia="Arial" w:hAnsi="Arial"/>
          <w:sz w:val="17"/>
          <w:szCs w:val="17"/>
          <w:b w:val="1"/>
          <w:bCs w:val="1"/>
          <w:color w:val="auto"/>
        </w:rPr>
        <w:t>Private Placement</w:t>
      </w:r>
      <w:r>
        <w:rPr>
          <w:rFonts w:ascii="Arial" w:cs="Arial" w:eastAsia="Arial" w:hAnsi="Arial"/>
          <w:sz w:val="17"/>
          <w:szCs w:val="17"/>
          <w:color w:val="auto"/>
        </w:rPr>
        <w:t>”). The Placement Warrants and the shares of Common Stock underlying the Placement Warrants are hereinafter referred to collectively as the “</w:t>
      </w:r>
      <w:r>
        <w:rPr>
          <w:rFonts w:ascii="Arial" w:cs="Arial" w:eastAsia="Arial" w:hAnsi="Arial"/>
          <w:sz w:val="17"/>
          <w:szCs w:val="17"/>
          <w:b w:val="1"/>
          <w:bCs w:val="1"/>
          <w:color w:val="auto"/>
        </w:rPr>
        <w:t>Placement Securities</w:t>
      </w:r>
      <w:r>
        <w:rPr>
          <w:rFonts w:ascii="Arial" w:cs="Arial" w:eastAsia="Arial" w:hAnsi="Arial"/>
          <w:sz w:val="17"/>
          <w:szCs w:val="17"/>
          <w:color w:val="auto"/>
        </w:rPr>
        <w:t>,” and the Public Securities and the Placement Securities are hereinafter referred to collectively as the “</w:t>
      </w:r>
      <w:r>
        <w:rPr>
          <w:rFonts w:ascii="Arial" w:cs="Arial" w:eastAsia="Arial" w:hAnsi="Arial"/>
          <w:sz w:val="17"/>
          <w:szCs w:val="17"/>
          <w:b w:val="1"/>
          <w:bCs w:val="1"/>
          <w:color w:val="auto"/>
        </w:rPr>
        <w:t>Securities</w:t>
      </w:r>
      <w:r>
        <w:rPr>
          <w:rFonts w:ascii="Arial" w:cs="Arial" w:eastAsia="Arial" w:hAnsi="Arial"/>
          <w:sz w:val="17"/>
          <w:szCs w:val="17"/>
          <w:color w:val="auto"/>
        </w:rPr>
        <w:t>.” Each Placement Warrant shall be identical to the Warrants sold in the Offering except that the Placement Warrants (a) shall be non-redeemable by the Company, (b) may not, subject to certain limited exceptions, be transferred, assigned or sold by the initial purchaser until thirty (30) days after the completion of the Company’s initial business combination and (c) may be exercised for cash or on a cashless basis, as described in the Prospectus, in each case so long as the Placement Warrants continue to be held by the initial purchasers of the Placement Warrants or their permitted transferees (as described in the Subscription Agreements and the Warrant Agreement (as defined in Section 2.22 hereof)). There will be no placement agent in the Private Placement and no party shall be entitled to a placement fee or expense allowance from the sale of the Placement Securities. Pursuant to Rule 5110(g)(1) of FINRA’s (as defined below) Rules, the Placement Warrants are subject to a lock-up for a period of 180 days immediately following the Effective Date of the Registration Statement or the commencement of sales in the Offering and, for that 180 day period following the Effective Date, may not be sold, transferred, assigned, pledged or hypothecated, or be subject of any hedging, short sale, derivative or put or call transaction that would result in the economic disposition of the securities. Pursuant to Rule 5110(g)(8) of FINRA’s Rules, Chardan Capital Markets, LLC and its related persons may not, with respect to the Placement Warrants (and the shares that are issuable upon exercise of the Placement Warrants) purchased by Holdings, (i) have more than one demand registration right at the Company’s expense, (ii) exercise their demand registration rights more than five (5) years from the effective date of the Registration Statement, and (iii) exercise their “piggy-back” registration rights more than seven (7) years from the effective date of the Registration Statement, as long as Chardan Capital Markets, LLC or any of its related persons are beneficial owners of Placement Warrants.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Qualified Independent Underwriter</w:t>
      </w:r>
      <w:r>
        <w:rPr>
          <w:rFonts w:ascii="Arial" w:cs="Arial" w:eastAsia="Arial" w:hAnsi="Arial"/>
          <w:sz w:val="18"/>
          <w:szCs w:val="18"/>
          <w:color w:val="auto"/>
        </w:rPr>
        <w:t>. The Company hereby confirms its engagement of [●] (“</w:t>
      </w:r>
      <w:r>
        <w:rPr>
          <w:rFonts w:ascii="Arial" w:cs="Arial" w:eastAsia="Arial" w:hAnsi="Arial"/>
          <w:sz w:val="18"/>
          <w:szCs w:val="18"/>
          <w:b w:val="1"/>
          <w:bCs w:val="1"/>
          <w:color w:val="auto"/>
        </w:rPr>
        <w:t>[●]</w:t>
      </w:r>
      <w:r>
        <w:rPr>
          <w:rFonts w:ascii="Arial" w:cs="Arial" w:eastAsia="Arial" w:hAnsi="Arial"/>
          <w:sz w:val="18"/>
          <w:szCs w:val="18"/>
          <w:color w:val="auto"/>
        </w:rPr>
        <w:t>”) as, and [●] hereby confirms its agreement with the Company to render services as, the “qualified independent underwriter,” within the meaning of Rule 5121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with respect to the offering and sale of the Public Securities. [●], solely in its capacity as the qualified independent underwriter and not otherwise, is referred to herein as the “</w:t>
      </w:r>
      <w:r>
        <w:rPr>
          <w:rFonts w:ascii="Arial" w:cs="Arial" w:eastAsia="Arial" w:hAnsi="Arial"/>
          <w:sz w:val="18"/>
          <w:szCs w:val="18"/>
          <w:b w:val="1"/>
          <w:bCs w:val="1"/>
          <w:color w:val="auto"/>
        </w:rPr>
        <w:t>QIU</w:t>
      </w:r>
      <w:r>
        <w:rPr>
          <w:rFonts w:ascii="Arial" w:cs="Arial" w:eastAsia="Arial" w:hAnsi="Arial"/>
          <w:sz w:val="18"/>
          <w:szCs w:val="18"/>
          <w:color w:val="auto"/>
        </w:rPr>
        <w:t>.” As compensation for services rendered, on the Closing Date, the Company shall pay to the QIU, by wire transfer of immediately available funds on the Closing Date, a fee of $[100,000] from the total underwriting discount. [●] hereby consents to the reference to it as set forth under the heading “Underwriting (Conflicts of Interest)” in the Preliminary Prospectus and the Prospectus (as defined herein) and any amendment or supplement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1" w:name="page192"/>
    <w:bookmarkEnd w:id="191"/>
    <w:p>
      <w:pPr>
        <w:ind w:left="960" w:hanging="952"/>
        <w:spacing w:after="0"/>
        <w:tabs>
          <w:tab w:leader="none" w:pos="96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Company</w:t>
      </w:r>
      <w:r>
        <w:rPr>
          <w:rFonts w:ascii="Arial" w:cs="Arial" w:eastAsia="Arial" w:hAnsi="Arial"/>
          <w:sz w:val="17"/>
          <w:szCs w:val="17"/>
          <w:color w:val="auto"/>
        </w:rPr>
        <w:t>. The Company represents and warrants to the Underwriters and the QIU as follows:</w:t>
      </w:r>
    </w:p>
    <w:p>
      <w:pPr>
        <w:spacing w:after="0" w:line="24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Filing of Registration Statement</w:t>
      </w:r>
      <w:r>
        <w:rPr>
          <w:rFonts w:ascii="Arial" w:cs="Arial" w:eastAsia="Arial" w:hAnsi="Arial"/>
          <w:sz w:val="16"/>
          <w:szCs w:val="16"/>
          <w:color w:val="auto"/>
        </w:rPr>
        <w:t>.</w:t>
      </w:r>
    </w:p>
    <w:p>
      <w:pPr>
        <w:spacing w:after="0" w:line="22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and an amendment or amendments thereto, on Form S-1 (File No. 333-254010), including any related preliminary prospectus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including any prospectus that is included in the Registration Statement immediately prior to the effectiveness of the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registration of the Public Securities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which registration statement and amendment or amendments have been prepared by the Company in conformity in all material respects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Time of Sale</w:t>
      </w:r>
      <w:r>
        <w:rPr>
          <w:rFonts w:ascii="Arial" w:cs="Arial" w:eastAsia="Arial" w:hAnsi="Arial"/>
          <w:sz w:val="16"/>
          <w:szCs w:val="16"/>
          <w:color w:val="auto"/>
        </w:rPr>
        <w:t>”, as used in the Act, means [●] p.m., New York City time, on the date of this Agreement. If the Company has filed, or is required pursuant to the terms hereof to file, a registration statement pursuant to Rule 462(b) under the Securities Act registering the Public Securities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unless otherwise specified,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has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Units to terminate their old purchase contracts and enter into new purchase contracts, the Prospectus will be deemed to include any additional information available to purchasers at the time of entry into the first such new purchase contract.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firstLine="1296"/>
        <w:spacing w:after="0" w:line="259" w:lineRule="auto"/>
        <w:rPr>
          <w:sz w:val="20"/>
          <w:szCs w:val="20"/>
          <w:color w:val="auto"/>
        </w:rPr>
      </w:pPr>
      <w:r>
        <w:rPr>
          <w:rFonts w:ascii="Arial" w:cs="Arial" w:eastAsia="Arial" w:hAnsi="Arial"/>
          <w:sz w:val="18"/>
          <w:szCs w:val="18"/>
          <w:i w:val="1"/>
          <w:iCs w:val="1"/>
          <w:color w:val="auto"/>
        </w:rPr>
        <w:t>2.1.2 Pursuant to the Exchange Act</w:t>
      </w:r>
      <w:r>
        <w:rPr>
          <w:rFonts w:ascii="Arial" w:cs="Arial" w:eastAsia="Arial" w:hAnsi="Arial"/>
          <w:sz w:val="18"/>
          <w:szCs w:val="18"/>
          <w:color w:val="auto"/>
        </w:rPr>
        <w:t>. The Company has filed with the Commission a Form 8-A (Registration No. 001-[●]),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registration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the Units, the Common Stock and the Warrants. The registration of the Units, Common Stock and Warrants under the Exchange Act will be declared effective by the Commission on or prior to the Effective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Disclosures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i w:val="1"/>
          <w:iCs w:val="1"/>
          <w:color w:val="auto"/>
        </w:rPr>
        <w:t>10b-5 Representation</w:t>
      </w:r>
      <w:r>
        <w:rPr>
          <w:rFonts w:ascii="Arial" w:cs="Arial" w:eastAsia="Arial" w:hAnsi="Arial"/>
          <w:sz w:val="16"/>
          <w:szCs w:val="16"/>
          <w:color w:val="auto"/>
        </w:rPr>
        <w:t xml:space="preserve">. At the time the Registration Statement became effective, upon the filing or first use (within the 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Public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does not apply to statements made or statements omitted in reliance upon and in conformity with written information furnished to the Company with respect to the Underwriters by the Representative expressly for use in the Registration Statement or Prospectus or any amendment thereof or supplement thereto. It is understood that the following identified statements set forth in the Prospectus under the heading “Underwriting” constitute, for the purposes of this Agreement, information furnished by the Representative with respect to the Underwriters: (i) the table of underwriters in the first paragraph of “Underwriting”, (ii) the first paragraph of the Underwriting subsection “Pricing of this Offering,” (iii) the Underwriting subsection “Regulatory Restrictions on Purchase of Securities” and (iv) the Underwriting subsection “Resale Restrictions.”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firstLine="1296"/>
        <w:spacing w:after="0" w:line="28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i w:val="1"/>
          <w:iCs w:val="1"/>
          <w:color w:val="auto"/>
        </w:rPr>
        <w:t>Disclosure of Agreements</w:t>
      </w:r>
      <w:r>
        <w:rPr>
          <w:rFonts w:ascii="Arial" w:cs="Arial" w:eastAsia="Arial" w:hAnsi="Arial"/>
          <w:sz w:val="16"/>
          <w:szCs w:val="16"/>
          <w:color w:val="auto"/>
        </w:rPr>
        <w:t>. The agreements and documents described in the Registration Statement, the Preliminary 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Regulations</w:t>
      </w:r>
      <w:r>
        <w:rPr>
          <w:rFonts w:ascii="Arial" w:cs="Arial" w:eastAsia="Arial" w:hAnsi="Arial"/>
          <w:sz w:val="18"/>
          <w:szCs w:val="18"/>
          <w:color w:val="auto"/>
        </w:rPr>
        <w:t>. The disclosures in the Registration Statement, the Preliminary Prospectus and the Prospectus concerning the effects of Federal, state and local regulation on the Company’s business as currently contemplated fairly summarize, to the best of the Company’s knowledge, such effects and do not omit to state a material fact necessary to make the statements therein, in light of the circumstances in which they were made, not misleading.</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Changes After Dates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No Material Adverse Change</w:t>
      </w:r>
      <w:r>
        <w:rPr>
          <w:rFonts w:ascii="Arial" w:cs="Arial" w:eastAsia="Arial" w:hAnsi="Arial"/>
          <w:sz w:val="18"/>
          <w:szCs w:val="18"/>
          <w:color w:val="auto"/>
        </w:rPr>
        <w:t>. Except as contemplated in the Prospectus or specifically stated therein, since the respective dates as of which information is given in the Registration Statement, any Preliminary Prospectus and/or the Prospectus: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firstLine="1296"/>
        <w:spacing w:after="0" w:line="259"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i w:val="1"/>
          <w:iCs w:val="1"/>
          <w:color w:val="auto"/>
        </w:rPr>
        <w:t>Recent Securities Transactions, Etc</w:t>
      </w:r>
      <w:r>
        <w:rPr>
          <w:rFonts w:ascii="Arial" w:cs="Arial" w:eastAsia="Arial" w:hAnsi="Arial"/>
          <w:sz w:val="18"/>
          <w:szCs w:val="18"/>
          <w:color w:val="auto"/>
        </w:rPr>
        <w:t>. Except as contemplated in the Prospectus, subsequent to the respective dates as of 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To the best of the Company’s knowledge, WithumSmith+Brown, PC (“</w:t>
      </w:r>
      <w:r>
        <w:rPr>
          <w:rFonts w:ascii="Arial" w:cs="Arial" w:eastAsia="Arial" w:hAnsi="Arial"/>
          <w:sz w:val="17"/>
          <w:szCs w:val="17"/>
          <w:b w:val="1"/>
          <w:bCs w:val="1"/>
          <w:color w:val="auto"/>
        </w:rPr>
        <w:t>Withum</w:t>
      </w:r>
      <w:r>
        <w:rPr>
          <w:rFonts w:ascii="Arial" w:cs="Arial" w:eastAsia="Arial" w:hAnsi="Arial"/>
          <w:sz w:val="17"/>
          <w:szCs w:val="17"/>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Arial" w:cs="Arial" w:eastAsia="Arial" w:hAnsi="Arial"/>
          <w:sz w:val="17"/>
          <w:szCs w:val="17"/>
          <w:b w:val="1"/>
          <w:bCs w:val="1"/>
          <w:color w:val="auto"/>
        </w:rPr>
        <w:t>PCAOB</w:t>
      </w:r>
      <w:r>
        <w:rPr>
          <w:rFonts w:ascii="Arial" w:cs="Arial" w:eastAsia="Arial" w:hAnsi="Arial"/>
          <w:sz w:val="17"/>
          <w:szCs w:val="17"/>
          <w:color w:val="auto"/>
        </w:rPr>
        <w:t>”). To the best of the Company’s knowledge, Withum is duly registered and in good standing with the PCAOB. Withum has not, during the periods covered by the financial statements included in the Registration Statement and the Prospectus, provided to the Company any non-audit services, as such term is used in Section 10A(g) of the Exchange Act.</w:t>
      </w:r>
    </w:p>
    <w:p>
      <w:pPr>
        <w:spacing w:after="0" w:line="17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Financial Statements; Statistical Data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notes thereto and supporting schedules included in the 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17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i w:val="1"/>
          <w:iCs w:val="1"/>
          <w:color w:val="auto"/>
        </w:rPr>
        <w:t>Statistical Data</w:t>
      </w:r>
      <w:r>
        <w:rPr>
          <w:rFonts w:ascii="Arial" w:cs="Arial" w:eastAsia="Arial" w:hAnsi="Arial"/>
          <w:sz w:val="18"/>
          <w:szCs w:val="18"/>
          <w:color w:val="auto"/>
        </w:rPr>
        <w:t>. The statistical, industry-related and market-related data included in the Registration Statement, the Preliminary Prospectus and the Prospectus, if any, are based on or derived from sources which the Company reasonably and in good faith believes are reliable and accurate, and such data agree with the sources from which they are derived.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Authorized Capital; Options, Etc</w:t>
      </w:r>
      <w:r>
        <w:rPr>
          <w:rFonts w:ascii="Arial" w:cs="Arial" w:eastAsia="Arial" w:hAnsi="Arial"/>
          <w:sz w:val="17"/>
          <w:szCs w:val="17"/>
          <w:color w:val="auto"/>
        </w:rPr>
        <w:t>.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shares of Common Stock of the Company or any security convertible into shares of Common Stock of the Company, or any contracts or commitments to issue or sell shares of Common Stock or any such options, warrants, rights or convertible securities.</w:t>
      </w:r>
    </w:p>
    <w:p>
      <w:pPr>
        <w:spacing w:after="0" w:line="17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Valid Issuance of Securities,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i w:val="1"/>
          <w:iCs w:val="1"/>
          <w:color w:val="auto"/>
        </w:rPr>
        <w:t>Outstanding Securities</w:t>
      </w:r>
      <w:r>
        <w:rPr>
          <w:rFonts w:ascii="Arial" w:cs="Arial" w:eastAsia="Arial" w:hAnsi="Arial"/>
          <w:sz w:val="16"/>
          <w:szCs w:val="16"/>
          <w:color w:val="auto"/>
        </w:rPr>
        <w:t>. All issued and outstanding securities of the Company (including, without limitation, the Placement Securities)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Securities conform in all material respects to all statements relating thereto contained in the Registration Statement, the Preliminary Prospectus and the Prospectus. Subject to the disclosure contained in the Registration Statement, the Preliminary Prospectus and the Prospectus with respect to the Placement Securities, the offers and sales of the outstanding shares of Common Stock were at all relevant times either registered under the Act and the applicable state securities or Blue Sky laws or, based in part on the representations and warranties of the purchasers of such shares, exempt from such registration requirements.</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i w:val="1"/>
          <w:iCs w:val="1"/>
          <w:color w:val="auto"/>
        </w:rPr>
        <w:t>Securities Sold</w:t>
      </w:r>
      <w:r>
        <w:rPr>
          <w:rFonts w:ascii="Arial" w:cs="Arial" w:eastAsia="Arial" w:hAnsi="Arial"/>
          <w:sz w:val="18"/>
          <w:szCs w:val="18"/>
          <w:color w:val="auto"/>
        </w:rPr>
        <w:t>. The Securities have been duly authorized and reserved for issuance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2.8.3 </w:t>
      </w:r>
      <w:r>
        <w:rPr>
          <w:rFonts w:ascii="Arial" w:cs="Arial" w:eastAsia="Arial" w:hAnsi="Arial"/>
          <w:sz w:val="16"/>
          <w:szCs w:val="16"/>
          <w:i w:val="1"/>
          <w:iCs w:val="1"/>
          <w:color w:val="auto"/>
        </w:rPr>
        <w:t>Placement Securities</w:t>
      </w:r>
      <w:r>
        <w:rPr>
          <w:rFonts w:ascii="Arial" w:cs="Arial" w:eastAsia="Arial" w:hAnsi="Arial"/>
          <w:sz w:val="16"/>
          <w:szCs w:val="16"/>
          <w:color w:val="auto"/>
        </w:rPr>
        <w:t>. The Placement Securities have been duly authorized and reserved for issuance and when issued and paid for, will be validly issued, fully paid and non-assessable; the Placement Securities are not and will not be subject to the preemptive rights of any holders of any security of the Company or similar contractual rights granted by the Company; and all corporate actions required to be taken for the authorization, issuance and sale of the Placement Securities have been duly and validly taken. When issued, the Placement Warrants will constitute valid and binding obligations of the Company to issue and sell, upon exercise thereof and payment of the exercise price therefor, the number and type of securities of the Company called for thereby in accordance with the terms thereof, and such Placement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underlying the Placement Warrants have been reserved for issuance upon the exercise of the Placement Warrants and, when issued in accordance with the terms of the Placement Warrants, will be duly and validly authorized, validly issued, fully paid and non-assessable, and the holders thereof are not and will not be subject to personal liability by reason of being such holders.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firstLine="1296"/>
        <w:spacing w:after="0" w:line="259" w:lineRule="auto"/>
        <w:rPr>
          <w:sz w:val="20"/>
          <w:szCs w:val="20"/>
          <w:color w:val="auto"/>
        </w:rPr>
      </w:pPr>
      <w:r>
        <w:rPr>
          <w:rFonts w:ascii="Arial" w:cs="Arial" w:eastAsia="Arial" w:hAnsi="Arial"/>
          <w:sz w:val="18"/>
          <w:szCs w:val="18"/>
          <w:color w:val="auto"/>
        </w:rPr>
        <w:t xml:space="preserve">2.8.4 </w:t>
      </w:r>
      <w:r>
        <w:rPr>
          <w:rFonts w:ascii="Arial" w:cs="Arial" w:eastAsia="Arial" w:hAnsi="Arial"/>
          <w:sz w:val="18"/>
          <w:szCs w:val="18"/>
          <w:i w:val="1"/>
          <w:iCs w:val="1"/>
          <w:color w:val="auto"/>
        </w:rPr>
        <w:t>No Integration</w:t>
      </w:r>
      <w:r>
        <w:rPr>
          <w:rFonts w:ascii="Arial" w:cs="Arial" w:eastAsia="Arial" w:hAnsi="Arial"/>
          <w:sz w:val="18"/>
          <w:szCs w:val="18"/>
          <w:color w:val="auto"/>
        </w:rPr>
        <w:t>. Subject to the disclosure contained in the Registration Statement, the Preliminary Prospectus and/or the Prospectus with respect to the Placement Securities,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Validity and Binding Effect of Agreements</w:t>
      </w:r>
      <w:r>
        <w:rPr>
          <w:rFonts w:ascii="Arial" w:cs="Arial" w:eastAsia="Arial" w:hAnsi="Arial"/>
          <w:sz w:val="16"/>
          <w:szCs w:val="16"/>
          <w:color w:val="auto"/>
        </w:rPr>
        <w:t xml:space="preserve">. This Agreement, the Warrant Agreement (as defined in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hereof), the Trust Agreement, the Services Agreement (as defined in </w:t>
      </w:r>
      <w:r>
        <w:rPr>
          <w:rFonts w:ascii="Arial" w:cs="Arial" w:eastAsia="Arial" w:hAnsi="Arial"/>
          <w:sz w:val="16"/>
          <w:szCs w:val="16"/>
          <w:u w:val="single" w:color="auto"/>
          <w:color w:val="auto"/>
        </w:rPr>
        <w:t>Section 3.5.2</w:t>
      </w:r>
      <w:r>
        <w:rPr>
          <w:rFonts w:ascii="Arial" w:cs="Arial" w:eastAsia="Arial" w:hAnsi="Arial"/>
          <w:sz w:val="16"/>
          <w:szCs w:val="16"/>
          <w:color w:val="auto"/>
        </w:rPr>
        <w:t xml:space="preserve"> hereof), the Subscription Agreements (as defined in </w:t>
      </w:r>
      <w:r>
        <w:rPr>
          <w:rFonts w:ascii="Arial" w:cs="Arial" w:eastAsia="Arial" w:hAnsi="Arial"/>
          <w:sz w:val="16"/>
          <w:szCs w:val="16"/>
          <w:u w:val="single" w:color="auto"/>
          <w:color w:val="auto"/>
        </w:rPr>
        <w:t>Section 2.24.2</w:t>
      </w:r>
      <w:r>
        <w:rPr>
          <w:rFonts w:ascii="Arial" w:cs="Arial" w:eastAsia="Arial" w:hAnsi="Arial"/>
          <w:sz w:val="16"/>
          <w:szCs w:val="16"/>
          <w:color w:val="auto"/>
        </w:rPr>
        <w:t xml:space="preserve"> hereof), the Registration Rights Agreement (as defined in </w:t>
      </w:r>
      <w:r>
        <w:rPr>
          <w:rFonts w:ascii="Arial" w:cs="Arial" w:eastAsia="Arial" w:hAnsi="Arial"/>
          <w:sz w:val="16"/>
          <w:szCs w:val="16"/>
          <w:u w:val="single" w:color="auto"/>
          <w:color w:val="auto"/>
        </w:rPr>
        <w:t>Section 2.24.3</w:t>
      </w:r>
      <w:r>
        <w:rPr>
          <w:rFonts w:ascii="Arial" w:cs="Arial" w:eastAsia="Arial" w:hAnsi="Arial"/>
          <w:sz w:val="16"/>
          <w:szCs w:val="16"/>
          <w:color w:val="auto"/>
        </w:rPr>
        <w:t xml:space="preserve"> hereof), the Business Combination Marketing Agreement (as defined in Section 2.33) and the Escrow Agreement (as defined in </w:t>
      </w:r>
      <w:r>
        <w:rPr>
          <w:rFonts w:ascii="Arial" w:cs="Arial" w:eastAsia="Arial" w:hAnsi="Arial"/>
          <w:sz w:val="16"/>
          <w:szCs w:val="16"/>
          <w:u w:val="single" w:color="auto"/>
          <w:color w:val="auto"/>
        </w:rPr>
        <w:t>Section 2.24.4</w:t>
      </w:r>
      <w:r>
        <w:rPr>
          <w:rFonts w:ascii="Arial" w:cs="Arial" w:eastAsia="Arial" w:hAnsi="Arial"/>
          <w:sz w:val="16"/>
          <w:szCs w:val="16"/>
          <w:color w:val="auto"/>
        </w:rPr>
        <w:t xml:space="preserve"> hereof) have been duly and validly authorized by the Company and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 Conflicts, Etc</w:t>
      </w:r>
      <w:r>
        <w:rPr>
          <w:rFonts w:ascii="Arial" w:cs="Arial" w:eastAsia="Arial" w:hAnsi="Arial"/>
          <w:sz w:val="17"/>
          <w:szCs w:val="17"/>
          <w:color w:val="auto"/>
        </w:rPr>
        <w:t>. The execution, delivery, and performance by the Company of this Agreement, the Warrant Agreement, the Business Combination Marketing Agreement, the Trust Agreement, the Services Agreement, the Subscription Agreements, the Registration Rights Agreement and the Escrow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material lien, charge or encumbrance upon any property or assets of the Company pursuant to the terms of any agreement or instrument to which the Company is a party; (ii) result in any violation of the provisions of the amended and restated certificate of incorporation of the Company; or (iii) violate any existing applicable law, rule, regulation, judgment, order or decree of any governmental agency or court, domestic or foreign, having jurisdiction over the Company or any of its properties or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648"/>
        <w:spacing w:after="0" w:line="27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w:t>
      </w:r>
    </w:p>
    <w:p>
      <w:pPr>
        <w:spacing w:after="0" w:line="17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Corporate Power; Licenses; Consents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2.13.1 </w:t>
      </w:r>
      <w:r>
        <w:rPr>
          <w:rFonts w:ascii="Arial" w:cs="Arial" w:eastAsia="Arial" w:hAnsi="Arial"/>
          <w:sz w:val="16"/>
          <w:szCs w:val="16"/>
          <w:i w:val="1"/>
          <w:iCs w:val="1"/>
          <w:color w:val="auto"/>
        </w:rPr>
        <w:t>Conduct of Business</w:t>
      </w:r>
      <w:r>
        <w:rPr>
          <w:rFonts w:ascii="Arial" w:cs="Arial" w:eastAsia="Arial" w:hAnsi="Arial"/>
          <w:sz w:val="16"/>
          <w:szCs w:val="16"/>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Preliminary Prospectus and the Prospectus.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(with respect to the Prospectus, in light of the circumstances under which they were made), not misleading. Since its formation, the Company has conducted no business and has incurred no liabilities other than in connection with and in furtherance of the Offering.</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2.13.2 </w:t>
      </w:r>
      <w:r>
        <w:rPr>
          <w:rFonts w:ascii="Arial" w:cs="Arial" w:eastAsia="Arial" w:hAnsi="Arial"/>
          <w:sz w:val="18"/>
          <w:szCs w:val="18"/>
          <w:i w:val="1"/>
          <w:iCs w:val="1"/>
          <w:color w:val="auto"/>
        </w:rPr>
        <w:t>Transactions Contemplated Herein</w:t>
      </w:r>
      <w:r>
        <w:rPr>
          <w:rFonts w:ascii="Arial" w:cs="Arial" w:eastAsia="Arial" w:hAnsi="Arial"/>
          <w:sz w:val="18"/>
          <w:szCs w:val="18"/>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Warrant Agreement, the Trust Agreement, the Services Agreement, the Subscription Agreements, the Business Combination Marketing Agreement and the Registration Rights Agreement and the Escrow Agreement and as contemplated by the Prospectus, except with respect to applicable federal and state securities laws and the rules and regulations promulgated by FINRA.</w:t>
      </w:r>
    </w:p>
    <w:p>
      <w:pPr>
        <w:spacing w:after="0" w:line="19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D&amp;O Questionnaires</w:t>
      </w:r>
      <w:r>
        <w:rPr>
          <w:rFonts w:ascii="Arial" w:cs="Arial" w:eastAsia="Arial" w:hAnsi="Arial"/>
          <w:sz w:val="17"/>
          <w:szCs w:val="17"/>
          <w:color w:val="auto"/>
        </w:rPr>
        <w:t>. To the Company’s knowledge, all information contained in the questionnaires (the “</w:t>
      </w:r>
      <w:r>
        <w:rPr>
          <w:rFonts w:ascii="Arial" w:cs="Arial" w:eastAsia="Arial" w:hAnsi="Arial"/>
          <w:sz w:val="17"/>
          <w:szCs w:val="17"/>
          <w:b w:val="1"/>
          <w:bCs w:val="1"/>
          <w:color w:val="auto"/>
        </w:rPr>
        <w:t>Questionnaires</w:t>
      </w:r>
      <w:r>
        <w:rPr>
          <w:rFonts w:ascii="Arial" w:cs="Arial" w:eastAsia="Arial" w:hAnsi="Arial"/>
          <w:sz w:val="17"/>
          <w:szCs w:val="17"/>
          <w:color w:val="auto"/>
        </w:rPr>
        <w:t>”) completed by the Company’s stockholders immediately prior to the Offering (the “</w:t>
      </w:r>
      <w:r>
        <w:rPr>
          <w:rFonts w:ascii="Arial" w:cs="Arial" w:eastAsia="Arial" w:hAnsi="Arial"/>
          <w:sz w:val="17"/>
          <w:szCs w:val="17"/>
          <w:b w:val="1"/>
          <w:bCs w:val="1"/>
          <w:color w:val="auto"/>
        </w:rPr>
        <w:t>Initial Stockholders</w:t>
      </w:r>
      <w:r>
        <w:rPr>
          <w:rFonts w:ascii="Arial" w:cs="Arial" w:eastAsia="Arial" w:hAnsi="Arial"/>
          <w:sz w:val="17"/>
          <w:szCs w:val="17"/>
          <w:color w:val="auto"/>
        </w:rPr>
        <w:t>”) and each of the Company’s officers and directors and provided to the Underwriters is true and correct and the Company has not become aware of any information which would cause the information disclosed in the questionnaires completed by the Initial Shareholders and each officer or director, to become inaccurate and incorrect.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648"/>
        <w:spacing w:after="0" w:line="311"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Litigation; Governmental Proceedings</w:t>
      </w:r>
      <w:r>
        <w:rPr>
          <w:rFonts w:ascii="Arial" w:cs="Arial" w:eastAsia="Arial" w:hAnsi="Arial"/>
          <w:sz w:val="16"/>
          <w:szCs w:val="16"/>
          <w:color w:val="auto"/>
        </w:rPr>
        <w:t>. There is no action, suit, proceeding, inquiry, arbitration, investigation, litigation or governmental proceeding pending or, to the best of the Company’s knowledge, threatened against, or involving the Company or, to the best of the Company’s knowledge, the Initial Shareholders, which has not been disclosed in the Registration Statement, the Questionnaires, the Preliminary Prospectus and the Prospectus.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Good Standing</w:t>
      </w:r>
      <w:r>
        <w:rPr>
          <w:rFonts w:ascii="Arial" w:cs="Arial" w:eastAsia="Arial" w:hAnsi="Arial"/>
          <w:sz w:val="17"/>
          <w:szCs w:val="17"/>
          <w:color w:val="auto"/>
        </w:rPr>
        <w:t>. The Company has been duly organized, is validly existing and is in good standing under the laws of Delaware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Transactions Affecting Disclosure to FINRA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2.18.1 Except as described in the Preliminary Prospectus and/or the Prospectus, there are no claims, payments, arrangements, agreements or understandings relating to the payment of a finder’s, consulting or origination fee by the Company or the Initial Shareholders with respect to the sale of the Securities hereunder or any other arrangements, agreements or understandings of the Company or, to the Company’s knowledge, the Initial Shareholders that may affect the Underwriters’ compensation, as determined by FINRA.</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2.18.2 Except as described in the Preliminary Prospectus and/or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2.18.3 Except as described in the Preliminary Prospectus and/or the Prospectus, no officer, director,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7"/>
          <w:szCs w:val="17"/>
          <w:b w:val="1"/>
          <w:bCs w:val="1"/>
          <w:color w:val="auto"/>
        </w:rPr>
        <w:t>Company Affiliate</w:t>
      </w:r>
      <w:r>
        <w:rPr>
          <w:rFonts w:ascii="Arial" w:cs="Arial" w:eastAsia="Arial" w:hAnsi="Arial"/>
          <w:sz w:val="17"/>
          <w:szCs w:val="17"/>
          <w:color w:val="auto"/>
        </w:rPr>
        <w:t>”) is a member, a person associated, or affiliated with a member of FINRA.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jc w:val="both"/>
        <w:ind w:firstLine="1296"/>
        <w:spacing w:after="0" w:line="277" w:lineRule="auto"/>
        <w:rPr>
          <w:sz w:val="20"/>
          <w:szCs w:val="20"/>
          <w:color w:val="auto"/>
        </w:rPr>
      </w:pPr>
      <w:r>
        <w:rPr>
          <w:rFonts w:ascii="Arial" w:cs="Arial" w:eastAsia="Arial" w:hAnsi="Arial"/>
          <w:sz w:val="18"/>
          <w:szCs w:val="18"/>
          <w:color w:val="auto"/>
        </w:rPr>
        <w:t>2.18.4 Except as described in the Preliminary Prospectus and/or the Prospectus, no Company Affiliate is an owner of stock or other securities of any member of FINRA (other than securities purchased on the open market).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2.18.5</w:t>
      </w:r>
      <w:r>
        <w:rPr>
          <w:sz w:val="20"/>
          <w:szCs w:val="20"/>
          <w:color w:val="auto"/>
        </w:rPr>
        <w:tab/>
      </w:r>
      <w:r>
        <w:rPr>
          <w:rFonts w:ascii="Arial" w:cs="Arial" w:eastAsia="Arial" w:hAnsi="Arial"/>
          <w:sz w:val="16"/>
          <w:szCs w:val="16"/>
          <w:color w:val="auto"/>
        </w:rPr>
        <w:t>No Company Affiliate has made a subordinated loan to any member of FINRA.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2.18.6 No proceeds from the sale of the Public Securities (excluding underwriting compensation) or the Placement Securities will be paid to any FINRA member, or any persons associated or affiliated with a member of FINRA, except as specifically authorized herein and in the Subscription Agreements.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2.18.7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2.18.8 Except as described in the Preliminary Prospectus and/or the Prospectus, no person to whom securities of the Company have been privately issued within the 180-day period prior to the initial filing date of the Registration Statement has any relationship or affiliation or association with any member of FINRA.</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2.18.9 Except as described in the Preliminary Prospectus and/or the Prospectus, no FINRA member intending to participate in the Offering has a conflict of interest with the Company. For this purpose, a “conflict of interest” exists when a member of FINRA and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2.18.10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the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 (iii) 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648"/>
        <w:spacing w:after="0" w:line="259"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Patriot Act</w:t>
      </w:r>
      <w:r>
        <w:rPr>
          <w:rFonts w:ascii="Arial" w:cs="Arial" w:eastAsia="Arial" w:hAnsi="Arial"/>
          <w:sz w:val="18"/>
          <w:szCs w:val="18"/>
          <w:color w:val="auto"/>
        </w:rPr>
        <w:t>. Neither the Company nor, to the Company’s knowledge, any officer, director or Initial Shareholder has violated: (i) 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Any certificate signed by any duly authorized officer of the Company and delivered to the Representative or to the Representative’s counsel shall be deemed a representation and warranty by the Company to the Underwriters and the QIU as to the matters covered thereby.</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Warrant Agreement</w:t>
      </w:r>
      <w:r>
        <w:rPr>
          <w:rFonts w:ascii="Arial" w:cs="Arial" w:eastAsia="Arial" w:hAnsi="Arial"/>
          <w:sz w:val="16"/>
          <w:szCs w:val="16"/>
          <w:color w:val="auto"/>
        </w:rPr>
        <w:t>. The Company has entered into a warrant agreement with respect to the Warrants and the Placement Warrants with Continental Stock Transfer &amp; Trust Company, substantially in the form filed as an exhibit to the Registration Statement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w:t>
      </w:r>
    </w:p>
    <w:p>
      <w:pPr>
        <w:spacing w:after="0" w:line="1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u w:val="single" w:color="auto"/>
          <w:color w:val="auto"/>
        </w:rPr>
        <w:t>Agreements with Officers, Directors and Initial Shareholders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2.24.1 </w:t>
      </w:r>
      <w:r>
        <w:rPr>
          <w:rFonts w:ascii="Arial" w:cs="Arial" w:eastAsia="Arial" w:hAnsi="Arial"/>
          <w:sz w:val="18"/>
          <w:szCs w:val="18"/>
          <w:i w:val="1"/>
          <w:iCs w:val="1"/>
          <w:color w:val="auto"/>
        </w:rPr>
        <w:t>Insider Letters</w:t>
      </w:r>
      <w:r>
        <w:rPr>
          <w:rFonts w:ascii="Arial" w:cs="Arial" w:eastAsia="Arial" w:hAnsi="Arial"/>
          <w:sz w:val="18"/>
          <w:szCs w:val="18"/>
          <w:color w:val="auto"/>
        </w:rPr>
        <w:t>.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 pursuant to which each of the officers, directors and Initial Shareholders of the Company agree to certain matters.</w:t>
      </w:r>
    </w:p>
    <w:p>
      <w:pPr>
        <w:spacing w:after="0" w:line="19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2.24.2 </w:t>
      </w:r>
      <w:r>
        <w:rPr>
          <w:rFonts w:ascii="Arial" w:cs="Arial" w:eastAsia="Arial" w:hAnsi="Arial"/>
          <w:sz w:val="18"/>
          <w:szCs w:val="18"/>
          <w:i w:val="1"/>
          <w:iCs w:val="1"/>
          <w:color w:val="auto"/>
        </w:rPr>
        <w:t>Subscription Agreements</w:t>
      </w:r>
      <w:r>
        <w:rPr>
          <w:rFonts w:ascii="Arial" w:cs="Arial" w:eastAsia="Arial" w:hAnsi="Arial"/>
          <w:sz w:val="18"/>
          <w:szCs w:val="18"/>
          <w:color w:val="auto"/>
        </w:rPr>
        <w:t>. Holdings has executed and delivered an agreement, the form of which is attached as an exhibit to the Registration Statement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pursuant to which Holdings, among other things, will purchase an aggregate of 5,238,461 (or up to 5,469,230 depending on the extent to which the underwriters’ over-allotment option is exercised) Placement Warrants in the Private Placement. Pursuant to the Subscription Agreement, all of the proceeds from the sale of the Placement Warrants will be deposited by the Company in the Trust Account in accordance with the terms of the Trust Agreement prior to the Closing.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1296"/>
        <w:spacing w:after="0" w:line="259" w:lineRule="auto"/>
        <w:rPr>
          <w:sz w:val="20"/>
          <w:szCs w:val="20"/>
          <w:color w:val="auto"/>
        </w:rPr>
      </w:pPr>
      <w:r>
        <w:rPr>
          <w:rFonts w:ascii="Arial" w:cs="Arial" w:eastAsia="Arial" w:hAnsi="Arial"/>
          <w:sz w:val="18"/>
          <w:szCs w:val="18"/>
          <w:color w:val="auto"/>
        </w:rPr>
        <w:t xml:space="preserve">2.24.3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The Company and the Initial Shareholders have entered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18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2.24.4 </w:t>
      </w:r>
      <w:r>
        <w:rPr>
          <w:rFonts w:ascii="Arial" w:cs="Arial" w:eastAsia="Arial" w:hAnsi="Arial"/>
          <w:sz w:val="18"/>
          <w:szCs w:val="18"/>
          <w:i w:val="1"/>
          <w:iCs w:val="1"/>
          <w:color w:val="auto"/>
        </w:rPr>
        <w:t>Escrow Agreement</w:t>
      </w:r>
      <w:r>
        <w:rPr>
          <w:rFonts w:ascii="Arial" w:cs="Arial" w:eastAsia="Arial" w:hAnsi="Arial"/>
          <w:sz w:val="18"/>
          <w:szCs w:val="18"/>
          <w:color w:val="auto"/>
        </w:rPr>
        <w:t>. The Company has caused the Initial Shareholders to enter into an escrow agreement (the “</w:t>
      </w:r>
      <w:r>
        <w:rPr>
          <w:rFonts w:ascii="Arial" w:cs="Arial" w:eastAsia="Arial" w:hAnsi="Arial"/>
          <w:sz w:val="18"/>
          <w:szCs w:val="18"/>
          <w:b w:val="1"/>
          <w:bCs w:val="1"/>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Continental Stock Transfer &amp; Trust Company substantially in the form filed as an exhibit to the Registration Statement,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owned by the Initial 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Private Placement substantially in the form filed as an exhibit to the Registration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Covenants Not to Compete</w:t>
      </w:r>
      <w:r>
        <w:rPr>
          <w:rFonts w:ascii="Arial" w:cs="Arial" w:eastAsia="Arial" w:hAnsi="Arial"/>
          <w:sz w:val="18"/>
          <w:szCs w:val="18"/>
          <w:color w:val="auto"/>
        </w:rPr>
        <w:t>. To the Company’s knowledge, the officers and directors of the Company are not subject to any non-competition agreement or non-solicitation agreement with any employer or prior employer which could materially affect its ability to be an employee, officer or director of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Investments</w:t>
      </w:r>
      <w:r>
        <w:rPr>
          <w:rFonts w:ascii="Arial" w:cs="Arial" w:eastAsia="Arial" w:hAnsi="Arial"/>
          <w:sz w:val="18"/>
          <w:szCs w:val="18"/>
          <w:color w:val="auto"/>
        </w:rPr>
        <w:t>. No more than 45% of the “value” (as defined in Section 2(a)(41) of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of the Company’s total assets consist of, and no more than 45% of the Company’s net income after taxes is derived from, securities other than “Government Securities” (as defined in Section 2(a)(16) of the Investment Company 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648"/>
        <w:spacing w:after="0" w:line="259"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No Influence</w:t>
      </w:r>
      <w:r>
        <w:rPr>
          <w:rFonts w:ascii="Arial" w:cs="Arial" w:eastAsia="Arial" w:hAnsi="Arial"/>
          <w:sz w:val="18"/>
          <w:szCs w:val="18"/>
          <w:color w:val="auto"/>
        </w:rPr>
        <w:t>. The Company has not offered, or caused the Underwriters to offer, the Firm Units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Trading of the Public Securities on the Nasdaq Capital Market</w:t>
      </w:r>
      <w:r>
        <w:rPr>
          <w:rFonts w:ascii="Arial" w:cs="Arial" w:eastAsia="Arial" w:hAnsi="Arial"/>
          <w:sz w:val="16"/>
          <w:szCs w:val="16"/>
          <w:color w:val="auto"/>
        </w:rPr>
        <w:t>.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1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Definition of “Knowledge”</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The Business Combination Marketing Agreement</w:t>
      </w:r>
      <w:r>
        <w:rPr>
          <w:rFonts w:ascii="Arial" w:cs="Arial" w:eastAsia="Arial" w:hAnsi="Arial"/>
          <w:sz w:val="18"/>
          <w:szCs w:val="18"/>
          <w:color w:val="auto"/>
        </w:rPr>
        <w:t>. The Company has entered into a business combination marketing agreement with Chardan Capital Markets, LLC substantially in the form filed as an exhibit to the Registration Statement (the “</w:t>
      </w:r>
      <w:r>
        <w:rPr>
          <w:rFonts w:ascii="Arial" w:cs="Arial" w:eastAsia="Arial" w:hAnsi="Arial"/>
          <w:sz w:val="18"/>
          <w:szCs w:val="18"/>
          <w:b w:val="1"/>
          <w:bCs w:val="1"/>
          <w:color w:val="auto"/>
        </w:rPr>
        <w:t>Business Combination Marketing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left="960" w:hanging="952"/>
        <w:spacing w:after="0"/>
        <w:tabs>
          <w:tab w:leader="none" w:pos="9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r>
        <w:rPr>
          <w:rFonts w:ascii="Arial" w:cs="Arial" w:eastAsia="Arial" w:hAnsi="Arial"/>
          <w:sz w:val="18"/>
          <w:szCs w:val="18"/>
          <w:color w:val="auto"/>
        </w:rPr>
        <w:t>. The Company covenants and agrees as follows: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i w:val="1"/>
          <w:iCs w:val="1"/>
          <w:color w:val="auto"/>
        </w:rPr>
        <w:t>Compliance</w:t>
      </w:r>
      <w:r>
        <w:rPr>
          <w:rFonts w:ascii="Arial" w:cs="Arial" w:eastAsia="Arial" w:hAnsi="Arial"/>
          <w:sz w:val="16"/>
          <w:szCs w:val="16"/>
          <w:color w:val="auto"/>
        </w:rPr>
        <w:t xml:space="preserve">.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an appropriate amendment to the Registration Statement or amendment or supplement to the Prospectus (at the expense of the Company) so as to correct such statement or omission or effect such compliance.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1296"/>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 of the Regulations.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i w:val="1"/>
          <w:iCs w:val="1"/>
          <w:color w:val="auto"/>
        </w:rPr>
        <w:t>Exchange Act Registration</w:t>
      </w:r>
      <w:r>
        <w:rPr>
          <w:rFonts w:ascii="Arial" w:cs="Arial" w:eastAsia="Arial" w:hAnsi="Arial"/>
          <w:sz w:val="18"/>
          <w:szCs w:val="18"/>
          <w:color w:val="auto"/>
        </w:rPr>
        <w:t>. For a period of five (5) years from the Effective Date, or until such earlier time upon which the Company is required to be liquidated, the Company will use its best efforts to maintain the registration of the Units, Common Stock and Warrants (until the Business Combination) under the provisions of the Exchange Act. The Company will not deregister the Units, Common Stock or Warrants prior to the Business Combination without the prior written consent of the Representative.</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i w:val="1"/>
          <w:iCs w:val="1"/>
          <w:color w:val="auto"/>
        </w:rPr>
        <w:t>Sarbanes-Oxley Compliance</w:t>
      </w:r>
      <w:r>
        <w:rPr>
          <w:rFonts w:ascii="Arial" w:cs="Arial" w:eastAsia="Arial" w:hAnsi="Arial"/>
          <w:sz w:val="18"/>
          <w:szCs w:val="18"/>
          <w:color w:val="auto"/>
        </w:rPr>
        <w:t>. As soon as it is legally required to do so, the Company shall take all actions necessary to 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i w:val="1"/>
          <w:iCs w:val="1"/>
          <w:color w:val="auto"/>
        </w:rPr>
        <w:t>Blue Sky Filing</w:t>
      </w:r>
      <w:r>
        <w:rPr>
          <w:rFonts w:ascii="Arial" w:cs="Arial" w:eastAsia="Arial" w:hAnsi="Arial"/>
          <w:sz w:val="17"/>
          <w:szCs w:val="17"/>
          <w:color w:val="auto"/>
        </w:rPr>
        <w:t xml:space="preserve">. Unless the Public Securities are listed on the Nasdaq Capital Market or another national securities exchange, 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i w:val="1"/>
          <w:iCs w:val="1"/>
          <w:color w:val="auto"/>
        </w:rPr>
        <w:t>Delivery to Underwriters of Prospectuses</w:t>
      </w:r>
      <w:r>
        <w:rPr>
          <w:rFonts w:ascii="Arial" w:cs="Arial" w:eastAsia="Arial" w:hAnsi="Arial"/>
          <w:sz w:val="18"/>
          <w:szCs w:val="18"/>
          <w:color w:val="auto"/>
        </w:rPr>
        <w:t>. The Company will deliver to each of the several Underwriters, without charge, from time to time during the period when the Prospectus is required to be delivered under the Act or the Exchange Act such number of copies of each Preliminary Prospectus and Prospectus and all amendments and supplements to such documents as such Underwriters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9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The Company will use all reasonable efforts to cause the</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w:t>
      </w:r>
    </w:p>
    <w:p>
      <w:pPr>
        <w:spacing w:after="0" w:line="4" w:lineRule="exact"/>
        <w:rPr>
          <w:sz w:val="20"/>
          <w:szCs w:val="20"/>
          <w:color w:val="auto"/>
        </w:rPr>
      </w:pPr>
    </w:p>
    <w:p>
      <w:pPr>
        <w:jc w:val="both"/>
        <w:ind w:firstLine="8"/>
        <w:spacing w:after="0" w:line="270" w:lineRule="auto"/>
        <w:tabs>
          <w:tab w:leader="none" w:pos="2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of the receipt of any comments or request for any additional information from the Commission; and (vi) of the happening of any event during the period described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Affiliated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will not consummate a Business Combination with any entity which is affiliated with the Initial Shareholders or an officer or director of the Company unless the Company obtains an opinion from an independent investment banking firm or another independent firm that commonly renders valuation opinions stating the Business Combination is fair to the Company’s shareholders from a financial perspective.</w:t>
      </w:r>
    </w:p>
    <w:p>
      <w:pPr>
        <w:spacing w:after="0" w:line="18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i w:val="1"/>
          <w:iCs w:val="1"/>
          <w:color w:val="auto"/>
        </w:rPr>
        <w:t xml:space="preserve">Administrative Services. </w:t>
      </w:r>
      <w:r>
        <w:rPr>
          <w:rFonts w:ascii="Arial" w:cs="Arial" w:eastAsia="Arial" w:hAnsi="Arial"/>
          <w:sz w:val="16"/>
          <w:szCs w:val="16"/>
          <w:color w:val="auto"/>
        </w:rPr>
        <w:t>The Company has entered into an administrative services agreement (the “Services Agreement”) with</w:t>
      </w:r>
    </w:p>
    <w:p>
      <w:pPr>
        <w:spacing w:after="0" w:line="23" w:lineRule="exact"/>
        <w:rPr>
          <w:sz w:val="20"/>
          <w:szCs w:val="20"/>
          <w:color w:val="auto"/>
        </w:rPr>
      </w:pPr>
    </w:p>
    <w:p>
      <w:pPr>
        <w:jc w:val="both"/>
        <w:ind w:firstLine="8"/>
        <w:spacing w:after="0" w:line="255" w:lineRule="auto"/>
        <w:tabs>
          <w:tab w:leader="none" w:pos="334"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form filed as an exhibit to the Registration Statement pursuant to which the Company has made and will continue to make available to the Company general and administrative services including office space and utilities for the Company’s use for $10,000 per month until the consummation of a Business Combination.</w:t>
      </w:r>
    </w:p>
    <w:p>
      <w:pPr>
        <w:spacing w:after="0" w:line="19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3.5.3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Except (a) as set forth in the Registration Statement, the Preliminary Prospectus or the Prospectus or (b) as set forth in this </w:t>
      </w:r>
      <w:r>
        <w:rPr>
          <w:rFonts w:ascii="Arial" w:cs="Arial" w:eastAsia="Arial" w:hAnsi="Arial"/>
          <w:sz w:val="16"/>
          <w:szCs w:val="16"/>
          <w:u w:val="single" w:color="auto"/>
          <w:color w:val="auto"/>
        </w:rPr>
        <w:t>Section 3.5</w:t>
      </w:r>
      <w:r>
        <w:rPr>
          <w:rFonts w:ascii="Arial" w:cs="Arial" w:eastAsia="Arial" w:hAnsi="Arial"/>
          <w:sz w:val="16"/>
          <w:szCs w:val="16"/>
          <w:color w:val="auto"/>
        </w:rPr>
        <w:t>,, the Company shall not pay any officer, director or Initial Shareholder, or any of their affiliates, any fees or compensation from the Company, for services rendered to the Company prior to, or in connection with, the Offering or the consummation of a Business Combination.</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Secondary Market Trading</w:t>
      </w:r>
      <w:r>
        <w:rPr>
          <w:rFonts w:ascii="Arial" w:cs="Arial" w:eastAsia="Arial" w:hAnsi="Arial"/>
          <w:sz w:val="16"/>
          <w:szCs w:val="16"/>
          <w:color w:val="auto"/>
        </w:rPr>
        <w:t xml:space="preserve">. In the event the Public Securities are not listed on the Nasdaq Capital Market or another national securities exchange, the Company will (i) apply to be included in Mergent, Inc. Manual for a period of five (5) years from the consummation of a Business Combination, (ii) take such commercially reasonable steps as may be necessary to obtain a secondary market trading exemption for the Company’s securities in such jurisdictions and (iii) take such other action as may be reasonably requested by the Representative to obtain a secondary market trading exemption in such other states as may be requested by the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qualification shall be required in any jurisdiction where, as a result thereof, the Company would be subject to service of general process or to taxation as a foreign entity doing business in such jurisdiction.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firstLine="648"/>
        <w:spacing w:after="0" w:line="263"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Financial Public Relations Firm</w:t>
      </w:r>
      <w:r>
        <w:rPr>
          <w:rFonts w:ascii="Arial" w:cs="Arial" w:eastAsia="Arial" w:hAnsi="Arial"/>
          <w:sz w:val="18"/>
          <w:szCs w:val="18"/>
          <w:color w:val="auto"/>
        </w:rPr>
        <w:t>.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u w:val="single" w:color="auto"/>
          <w:color w:val="auto"/>
        </w:rPr>
        <w:t>Reports to the Representative</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3.8.1 </w:t>
      </w:r>
      <w:r>
        <w:rPr>
          <w:rFonts w:ascii="Arial" w:cs="Arial" w:eastAsia="Arial" w:hAnsi="Arial"/>
          <w:sz w:val="18"/>
          <w:szCs w:val="18"/>
          <w:i w:val="1"/>
          <w:iCs w:val="1"/>
          <w:color w:val="auto"/>
        </w:rPr>
        <w:t>Periodic Reports, Etc</w:t>
      </w:r>
      <w:r>
        <w:rPr>
          <w:rFonts w:ascii="Arial" w:cs="Arial" w:eastAsia="Arial" w:hAnsi="Arial"/>
          <w:sz w:val="18"/>
          <w:szCs w:val="18"/>
          <w:color w:val="auto"/>
        </w:rPr>
        <w:t xml:space="preserve">. For a period of five (5) years from the Effective Date or until such earlier time upon which the 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shall be deemed to have been delivered to the Representative pursuant to this section.</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3.8.2 </w:t>
      </w:r>
      <w:r>
        <w:rPr>
          <w:rFonts w:ascii="Arial" w:cs="Arial" w:eastAsia="Arial" w:hAnsi="Arial"/>
          <w:sz w:val="18"/>
          <w:szCs w:val="18"/>
          <w:i w:val="1"/>
          <w:iCs w:val="1"/>
          <w:color w:val="auto"/>
        </w:rPr>
        <w:t>Transfer Sheets</w:t>
      </w:r>
      <w:r>
        <w:rPr>
          <w:rFonts w:ascii="Arial" w:cs="Arial" w:eastAsia="Arial" w:hAnsi="Arial"/>
          <w:sz w:val="18"/>
          <w:szCs w:val="18"/>
          <w:color w:val="auto"/>
        </w:rPr>
        <w:t>. For a period of five (5) years following the Effective Date or until such earlier time upon which the Company is dissolved, the Company shall retain a transfer and warrant agent acceptable to the Representative (the “</w:t>
      </w:r>
      <w:r>
        <w:rPr>
          <w:rFonts w:ascii="Arial" w:cs="Arial" w:eastAsia="Arial" w:hAnsi="Arial"/>
          <w:sz w:val="18"/>
          <w:szCs w:val="18"/>
          <w:b w:val="1"/>
          <w:bCs w:val="1"/>
          <w:color w:val="auto"/>
        </w:rPr>
        <w:t>Transfer Agent</w:t>
      </w:r>
      <w:r>
        <w:rPr>
          <w:rFonts w:ascii="Arial" w:cs="Arial" w:eastAsia="Arial" w:hAnsi="Arial"/>
          <w:sz w:val="18"/>
          <w:szCs w:val="18"/>
          <w:color w:val="auto"/>
        </w:rPr>
        <w:t>”). In the event the Public Securities are not listed on the Nasdaq Capital Market or another national securities exchange, the Company will furnish to the Underwriters at the Company’s sole cost and expense such transfer sheets of the Company’s securities as the Representative may request, including the daily and monthly consolidated transfer sheets of the Transfer Agent and DTC. Continental Stock Transfer &amp; Trust Company is an acceptable Transfer Agent to the Representative.</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3.8.3 </w:t>
      </w:r>
      <w:r>
        <w:rPr>
          <w:rFonts w:ascii="Arial" w:cs="Arial" w:eastAsia="Arial" w:hAnsi="Arial"/>
          <w:sz w:val="17"/>
          <w:szCs w:val="17"/>
          <w:i w:val="1"/>
          <w:iCs w:val="1"/>
          <w:color w:val="auto"/>
        </w:rPr>
        <w:t>Trading Reports</w:t>
      </w:r>
      <w:r>
        <w:rPr>
          <w:rFonts w:ascii="Arial" w:cs="Arial" w:eastAsia="Arial" w:hAnsi="Arial"/>
          <w:sz w:val="17"/>
          <w:szCs w:val="17"/>
          <w:color w:val="auto"/>
        </w:rPr>
        <w:t>. If the Public Securities are quoted on the OTC Bulletin Board (or any successor trading market) or a market operated by the OTC Market Group Inc. (or similar publisher of quotations), then during such time the Company shall provide to the Representative, at its expense, such reports published by the OTC Bulletin Board or the OTC Market Group Inc. relating to price trading of the Public Securities, as the Representative shall reasonably request. In addition to the requirements of the preceding sentence, if the Public Securities are not listed on the Nasdaq Capital Market or such other national securities exchange for a period of two (2) years from the Closing Date, the Company, at its expense, shall provide Chardan a subscription to the Company’s weekly Depository Transfer Company Security Position Reports.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right="20" w:firstLine="648"/>
        <w:spacing w:after="0" w:line="308"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Disqualification of Form S-1</w:t>
      </w:r>
      <w:r>
        <w:rPr>
          <w:rFonts w:ascii="Arial" w:cs="Arial" w:eastAsia="Arial" w:hAnsi="Arial"/>
          <w:sz w:val="17"/>
          <w:szCs w:val="17"/>
          <w:color w:val="auto"/>
        </w:rPr>
        <w:t>. For a period equal to seven (7) years from the date hereof, the Company will not take any action or actions which may prevent or disqualify the Company’s use of Form S-1 (or other appropriate form) for the registration of the Warrants under the Act.</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xml:space="preserve">. The Company hereby agrees to pay on each of the Closing Date and the Option 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Underwriters in quantities as may be required by the Underwriters; (iii) the printing, engraving, issuance and delivery of the Units and the shares of Common Stock and Warrants included in the Units, including any transfer or other taxes payable thereon; (iv) if the Public Securities are not listed on the Nasdaq Capital Market or such other national securities exchange, the qualification of the Public Securities under state or foreign securities or Blue Sky laws specified by Representative, including the costs of printing and mailing the “Preliminary Blue Sky Memorandum,” and all amendments and supplements thereto, and fees and disbursements for counsel of Representative’s choice retained for such purpose; (v) filing fees (including SEC filing fees), costs and expenses (including third party expenses and disbursements) incurred in registering the Offering; (vi) filing fees incurred in registering the Offering with FINRA; (vii) fees and disbursements of the registrar and transfer and rights and warrant agent; (viii) the Company’s expenses associated with “due diligence” meetings arranged by the Representative (none of which will be received or paid on behalf of an “underwriter and related person” as such term is defined in Rule 5110 of FINRA’s Rules); (ix) all costs and expenses associated with “road show” marketing and “due diligence” trips for the Company’s management to meet with prospective investors, including without limitation, all travel, food and lodging expenses associated with such trips; (x) the preparation of leather bound volumes and lucite cube mementos in such quantities as the Underwriter may reasonably request and (xi) all other reasonable costs and expenses incident to the performance of its obligations hereunder which are not otherwise specifically provided for in this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that the Underwriters have notified the Company about on or prior to the Closing Date.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Delivery of Earnings Statements to Security Holders</w:t>
      </w:r>
      <w:r>
        <w:rPr>
          <w:rFonts w:ascii="Arial" w:cs="Arial" w:eastAsia="Arial" w:hAnsi="Arial"/>
          <w:sz w:val="16"/>
          <w:szCs w:val="16"/>
          <w:color w:val="auto"/>
        </w:rPr>
        <w:t>.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ind w:left="660"/>
        <w:spacing w:after="0"/>
        <w:tabs>
          <w:tab w:leader="none" w:pos="14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u w:val="single" w:color="auto"/>
          <w:color w:val="auto"/>
        </w:rPr>
        <w:t>Notice to FINRA</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3.13.1 </w:t>
      </w:r>
      <w:r>
        <w:rPr>
          <w:rFonts w:ascii="Arial" w:cs="Arial" w:eastAsia="Arial" w:hAnsi="Arial"/>
          <w:sz w:val="18"/>
          <w:szCs w:val="18"/>
          <w:i w:val="1"/>
          <w:iCs w:val="1"/>
          <w:color w:val="auto"/>
        </w:rPr>
        <w:t>Business Combination</w:t>
      </w:r>
      <w:r>
        <w:rPr>
          <w:rFonts w:ascii="Arial" w:cs="Arial" w:eastAsia="Arial" w:hAnsi="Arial"/>
          <w:sz w:val="18"/>
          <w:szCs w:val="18"/>
          <w:color w:val="auto"/>
        </w:rPr>
        <w:t>. In the event any person or entity (regardless of any FINRA affiliation or association) is engaged to assist the Company in its search for a merger candidate or to provide any other merger and acquisition services, the Company will provide the following to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3.13.2 </w:t>
      </w:r>
      <w:r>
        <w:rPr>
          <w:rFonts w:ascii="Arial" w:cs="Arial" w:eastAsia="Arial" w:hAnsi="Arial"/>
          <w:sz w:val="18"/>
          <w:szCs w:val="18"/>
          <w:i w:val="1"/>
          <w:iCs w:val="1"/>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FINRA.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stockholders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18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will maintain a system of internal accounting controls sufficient to provide reasonable assurances that:</w:t>
      </w:r>
    </w:p>
    <w:p>
      <w:pPr>
        <w:spacing w:after="0" w:line="23" w:lineRule="exact"/>
        <w:rPr>
          <w:sz w:val="20"/>
          <w:szCs w:val="20"/>
          <w:color w:val="auto"/>
        </w:rPr>
      </w:pPr>
    </w:p>
    <w:p>
      <w:pPr>
        <w:jc w:val="both"/>
        <w:ind w:firstLine="8"/>
        <w:spacing w:after="0" w:line="273" w:lineRule="auto"/>
        <w:tabs>
          <w:tab w:leader="none" w:pos="238"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Accountants</w:t>
      </w:r>
      <w:r>
        <w:rPr>
          <w:rFonts w:ascii="Arial" w:cs="Arial" w:eastAsia="Arial" w:hAnsi="Arial"/>
          <w:sz w:val="18"/>
          <w:szCs w:val="18"/>
          <w:color w:val="auto"/>
        </w:rPr>
        <w:t>. For a period of five (5) years from the Effective Date or until such earlier time upon which the Company is required to be liquidated, the Company shall retain Withum or other independent public accountants reasonably acceptable to the Representative.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Form 8-K</w:t>
      </w:r>
      <w:r>
        <w:rPr>
          <w:rFonts w:ascii="Arial" w:cs="Arial" w:eastAsia="Arial" w:hAnsi="Arial"/>
          <w:sz w:val="16"/>
          <w:szCs w:val="16"/>
          <w:color w:val="auto"/>
        </w:rPr>
        <w:t>. The Company shall, on the date hereof, retain its independent public accountants to audit the financial statements of the Company as of the Closing Date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reflecting the receipt by the Company of the proceeds of the Offering and the Private Placement, as well as the proceeds from the exercise of the Over-Allotment if such exercise has occurred on the date of the Prospectus. Within four</w:t>
      </w:r>
    </w:p>
    <w:p>
      <w:pPr>
        <w:spacing w:after="0" w:line="2" w:lineRule="exact"/>
        <w:rPr>
          <w:sz w:val="20"/>
          <w:szCs w:val="20"/>
          <w:color w:val="auto"/>
        </w:rPr>
      </w:pPr>
    </w:p>
    <w:p>
      <w:pPr>
        <w:ind w:firstLine="8"/>
        <w:spacing w:after="0" w:line="260" w:lineRule="auto"/>
        <w:tabs>
          <w:tab w:leader="none" w:pos="2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Business Days of the Closing Date, the Company will file a Current Report on Form 8-K with the Commission, which Report shall contain the Audited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right="20" w:firstLine="648"/>
        <w:spacing w:after="0" w:line="27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FINRA if it is aware that any 5% or greater stockholder of the Company becomes an affiliate or associated person of a FINRA member participating in the distribution of the Company’s Public Securities.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Within four (4) Business Days following the consummation by the Company of a Business Combination, the Company shall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issued by a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Chardan’s prior written consent (not to be unreasonably withheld), for a period of twenty-five (25) days after the Effective Date.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Electronic Prospectus</w:t>
      </w:r>
      <w:r>
        <w:rPr>
          <w:rFonts w:ascii="Arial" w:cs="Arial" w:eastAsia="Arial" w:hAnsi="Arial"/>
          <w:sz w:val="17"/>
          <w:szCs w:val="17"/>
          <w:color w:val="auto"/>
        </w:rPr>
        <w:t>. The Company shall cause to be prepared and delivered to the Representative, at its expense, within one (1) Business Day from the Effective Date, an Electronic Prospectus to be used by the Underwriters in connection with the Offering.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Securities Act, the Company shall transmit or cause to be transmitted promptly, without charge, a paper copy of the Prospectus.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jc w:val="both"/>
        <w:ind w:right="20" w:firstLine="648"/>
        <w:spacing w:after="0" w:line="277"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exercise of the Warrants and the Placement Warrants outstanding from time to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Private Placement Proceeds</w:t>
      </w:r>
      <w:r>
        <w:rPr>
          <w:rFonts w:ascii="Arial" w:cs="Arial" w:eastAsia="Arial" w:hAnsi="Arial"/>
          <w:sz w:val="18"/>
          <w:szCs w:val="18"/>
          <w:color w:val="auto"/>
        </w:rPr>
        <w:t>. Immediately upon establishment of the Trust Account and prior to the Closing, the Company shall deposit all of the proceeds from the Private Placement in the Trust Account and shall provide the Representative with evidence of the same.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u w:val="single" w:color="auto"/>
          <w:color w:val="auto"/>
        </w:rPr>
        <w:t>No Amendment to Charter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3.26.1 Prior to the closing of a Business Combination, the Company covenants and agrees it will not seek to amend or modify its amended and restated certificate of incorporation without the prior approval of its Board of Directors and the affirmative vote of at least a majority of the voting power of the outstanding shares of Common Stock.</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3.26.2 The Company acknowledges that the purchasers of the Firm Units and Option Units in this Offering shall be deemed to be third party beneficiaries of this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3.26.3 The Representative and the Company specifically agree that this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shall not be modified or amended in any way without the approval of at least a majority of the voting power of the outstanding shares of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Financial Printer</w:t>
      </w:r>
      <w:r>
        <w:rPr>
          <w:rFonts w:ascii="Arial" w:cs="Arial" w:eastAsia="Arial" w:hAnsi="Arial"/>
          <w:sz w:val="18"/>
          <w:szCs w:val="18"/>
          <w:color w:val="auto"/>
        </w:rPr>
        <w:t>. The Company shall retain a financial printer, reasonably acceptable to the Representative, for the purpose of facilitating the Company’s EDGAR filings and the printing of the Preliminary Prospectus and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Listing on the Nasdaq Capital Market</w:t>
      </w:r>
      <w:r>
        <w:rPr>
          <w:rFonts w:ascii="Arial" w:cs="Arial" w:eastAsia="Arial" w:hAnsi="Arial"/>
          <w:sz w:val="18"/>
          <w:szCs w:val="18"/>
          <w:color w:val="auto"/>
        </w:rPr>
        <w:t>.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80" w:lineRule="exact"/>
        <w:rPr>
          <w:sz w:val="20"/>
          <w:szCs w:val="20"/>
          <w:color w:val="auto"/>
        </w:rPr>
      </w:pPr>
    </w:p>
    <w:p>
      <w:pPr>
        <w:jc w:val="both"/>
        <w:ind w:firstLine="8"/>
        <w:spacing w:after="0" w:line="281" w:lineRule="auto"/>
        <w:tabs>
          <w:tab w:leader="none" w:pos="1106"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of Underwriters’ Obligations</w:t>
      </w:r>
      <w:r>
        <w:rPr>
          <w:rFonts w:ascii="Arial" w:cs="Arial" w:eastAsia="Arial" w:hAnsi="Arial"/>
          <w:sz w:val="17"/>
          <w:szCs w:val="17"/>
          <w:color w:val="auto"/>
        </w:rPr>
        <w:t>. The obligations of the QIU and the several Underwriters to purchase and pay for the Units,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ind w:left="660"/>
        <w:spacing w:after="0"/>
        <w:tabs>
          <w:tab w:leader="none" w:pos="1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shall have become effective not later than 5:00 P.M., 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Greenberg Traurig, LLP.</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FINRA Clearance</w:t>
      </w:r>
      <w:r>
        <w:rPr>
          <w:rFonts w:ascii="Arial" w:cs="Arial" w:eastAsia="Arial" w:hAnsi="Arial"/>
          <w:sz w:val="18"/>
          <w:szCs w:val="18"/>
          <w:color w:val="auto"/>
        </w:rPr>
        <w:t>. By the Effective Date, the Representative shall have received clearance from FINRA as to the amount of compensation allowable or payable to the Underwriters as described in the Registration Statement.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No Commission Stop Order</w:t>
      </w:r>
      <w:r>
        <w:rPr>
          <w:rFonts w:ascii="Arial" w:cs="Arial" w:eastAsia="Arial" w:hAnsi="Arial"/>
          <w:sz w:val="18"/>
          <w:szCs w:val="18"/>
          <w:color w:val="auto"/>
        </w:rPr>
        <w:t>. At each of the Closing Date and the Option Closing Date, the Commission has not issued any order or threatened to issue any order preventing or suspending the use of any Preliminary Prospectus or the Prospectus or any part thereof, and has not instituted or threatened to institute any proceedings with respect to such an order.</w:t>
      </w:r>
    </w:p>
    <w:p>
      <w:pPr>
        <w:spacing w:after="0" w:line="18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No Blue Sky Stop Orders</w:t>
      </w:r>
      <w:r>
        <w:rPr>
          <w:rFonts w:ascii="Arial" w:cs="Arial" w:eastAsia="Arial" w:hAnsi="Arial"/>
          <w:sz w:val="18"/>
          <w:szCs w:val="18"/>
          <w:color w:val="auto"/>
        </w:rPr>
        <w:t xml:space="preserve">. No order suspending the sale of the Units in any jurisdiction designated by the Representative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if any, shall have been issued on either the Closing Date or the Option Closing Date, and no proceedings for that purpose shall have been instituted or shall be contemplated.</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i w:val="1"/>
          <w:iCs w:val="1"/>
          <w:color w:val="auto"/>
        </w:rPr>
        <w:t>The Nasdaq Capital Market</w:t>
      </w:r>
      <w:r>
        <w:rPr>
          <w:rFonts w:ascii="Arial" w:cs="Arial" w:eastAsia="Arial" w:hAnsi="Arial"/>
          <w:sz w:val="16"/>
          <w:szCs w:val="16"/>
          <w:color w:val="auto"/>
        </w:rPr>
        <w:t>. By the Effective Date, the Securities shall have been approved for trading on the Nasdaq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Company Counsel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i w:val="1"/>
          <w:iCs w:val="1"/>
          <w:color w:val="auto"/>
        </w:rPr>
        <w:t>Closing Date Opinion of Counsel</w:t>
      </w:r>
      <w:r>
        <w:rPr>
          <w:rFonts w:ascii="Arial" w:cs="Arial" w:eastAsia="Arial" w:hAnsi="Arial"/>
          <w:sz w:val="16"/>
          <w:szCs w:val="16"/>
          <w:color w:val="auto"/>
        </w:rPr>
        <w:t>. On the Closing Date, the Representative shall have received the favorable opinion of Reed Smith LLP (“</w:t>
      </w:r>
      <w:r>
        <w:rPr>
          <w:rFonts w:ascii="Arial" w:cs="Arial" w:eastAsia="Arial" w:hAnsi="Arial"/>
          <w:sz w:val="16"/>
          <w:szCs w:val="16"/>
          <w:b w:val="1"/>
          <w:bCs w:val="1"/>
          <w:color w:val="auto"/>
        </w:rPr>
        <w:t>Reed Smith</w:t>
      </w:r>
      <w:r>
        <w:rPr>
          <w:rFonts w:ascii="Arial" w:cs="Arial" w:eastAsia="Arial" w:hAnsi="Arial"/>
          <w:sz w:val="16"/>
          <w:szCs w:val="16"/>
          <w:color w:val="auto"/>
        </w:rPr>
        <w:t>”), counsel to the Company, dated the Closing Date, addressed to the Representative and the other Underwriters and in form and substance reasonably satisfactory to the Representative. 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Underwriters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final Preliminary Prospectus and the Prospectus (except as otherwise set forth in such opinion), no facts have come to the attention of such counsel which lead them to believe that either the Registration Statement, final Preliminary Prospectus or the Prospectus or any amendment or supplement thereto, as of the date of such opinion contained any untrue statement of a material fact or omitted to state a material fact required to be stated therein or necessary to make the statements therein, in light of the circumstances under which they were made, not misleading (it being understood that such counsel need express no opinion with respect to the financial statements and related notes and schedules and other financial and statistical data included in the Registration Statement, final Preliminary Prospectus or the Prospectus or matters relating to the sale of securities in any jurisdiction outside the U.S.). The opinion of counsel shall state that such counsel is not opining as to the Placement Securities with respect to any rights to rescind or the effect any exercise of such rights will have on any other securities of the Company or on the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ind w:firstLine="1296"/>
        <w:spacing w:after="0" w:line="311"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i w:val="1"/>
          <w:iCs w:val="1"/>
          <w:color w:val="auto"/>
        </w:rPr>
        <w:t>Option Closing Date Opinion of Counsel</w:t>
      </w:r>
      <w:r>
        <w:rPr>
          <w:rFonts w:ascii="Arial" w:cs="Arial" w:eastAsia="Arial" w:hAnsi="Arial"/>
          <w:sz w:val="16"/>
          <w:szCs w:val="16"/>
          <w:color w:val="auto"/>
        </w:rPr>
        <w:t>. On each Option Closing Date, if any, the Representative shall have received the favorable opinion of Reed Smith, dated each Option Closing Date, addressed to the Representative and in form and substance reasonably satisfactory to counsel to the Representative, confirming as of each Option Closing Date, the statements made by Reed Smith in its opinion delivered on the Closing Date.</w:t>
      </w:r>
    </w:p>
    <w:p>
      <w:pPr>
        <w:spacing w:after="0" w:line="14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i w:val="1"/>
          <w:iCs w:val="1"/>
          <w:color w:val="auto"/>
        </w:rPr>
        <w:t>Reliance</w:t>
      </w:r>
      <w:r>
        <w:rPr>
          <w:rFonts w:ascii="Arial" w:cs="Arial" w:eastAsia="Arial" w:hAnsi="Arial"/>
          <w:sz w:val="17"/>
          <w:szCs w:val="17"/>
          <w:color w:val="auto"/>
        </w:rPr>
        <w:t xml:space="preserve">.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xml:space="preserve">.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below) to the Representative from Withum dated, respectively, as of the date of this Agreement and as of the Closing Date and the Option Closing Date, if any:</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4.3.1 Confirming that they are an independent registered public accounting firm with respect to the Company within the meaning of the Act and the applicable Regulations;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4.3.2 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8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4.3.3 Stating that, on the basis of limited procedures which included a reading of the latest available minutes of the stockholders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w:t>
      </w:r>
    </w:p>
    <w:p>
      <w:pPr>
        <w:spacing w:after="0" w:line="2" w:lineRule="exact"/>
        <w:rPr>
          <w:sz w:val="20"/>
          <w:szCs w:val="20"/>
          <w:color w:val="auto"/>
        </w:rPr>
      </w:pPr>
    </w:p>
    <w:p>
      <w:pPr>
        <w:jc w:val="both"/>
        <w:ind w:firstLine="8"/>
        <w:spacing w:after="0" w:line="268" w:lineRule="auto"/>
        <w:tabs>
          <w:tab w:leader="none" w:pos="252" w:val="left"/>
        </w:tabs>
        <w:numPr>
          <w:ilvl w:val="0"/>
          <w:numId w:val="96"/>
        </w:numPr>
        <w:rPr>
          <w:rFonts w:ascii="Arial" w:cs="Arial" w:eastAsia="Arial" w:hAnsi="Arial"/>
          <w:sz w:val="17"/>
          <w:szCs w:val="17"/>
          <w:color w:val="auto"/>
        </w:rPr>
      </w:pPr>
      <w:r>
        <w:rPr>
          <w:rFonts w:ascii="Arial" w:cs="Arial" w:eastAsia="Arial" w:hAnsi="Arial"/>
          <w:sz w:val="17"/>
          <w:szCs w:val="17"/>
          <w:color w:val="auto"/>
        </w:rPr>
        <w:t>at a date not later than five (5) days prior to the Effective Date, Closing Date or Option Closing Date, as the case may be, there was any change in the capital stock or long-term debt of the Company, or any decrease in the stockholders’ equity of the Company as compared with amounts shown in the December 31, 2020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(c) during the period from December 31, 2020 (balance sheet date) to a specified date not later than five (5) days prior to the Effective Date, Closing Date or Option Closing Date, as the case may be, there was any decrease in net earnings or net earnings per share of Common Stock, in each case as compared with the Statement of Operations for the period from June 23, 2020 (inception) to December 31, 2020 included in the Registration Statement and the Prospectus, or, if there was any such decrease, setting forth the amount of such decrease;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1296"/>
        <w:spacing w:after="0" w:line="255" w:lineRule="auto"/>
        <w:rPr>
          <w:sz w:val="20"/>
          <w:szCs w:val="20"/>
          <w:color w:val="auto"/>
        </w:rPr>
      </w:pPr>
      <w:r>
        <w:rPr>
          <w:rFonts w:ascii="Arial" w:cs="Arial" w:eastAsia="Arial" w:hAnsi="Arial"/>
          <w:sz w:val="18"/>
          <w:szCs w:val="18"/>
          <w:color w:val="auto"/>
        </w:rPr>
        <w:t>4.3.4 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92" w:lineRule="exact"/>
        <w:rPr>
          <w:sz w:val="20"/>
          <w:szCs w:val="20"/>
          <w:color w:val="auto"/>
        </w:rPr>
      </w:pPr>
    </w:p>
    <w:p>
      <w:pPr>
        <w:jc w:val="right"/>
        <w:spacing w:after="0"/>
        <w:tabs>
          <w:tab w:leader="none" w:pos="904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Statements as to such other matters incident to the transaction contemplated hereby as the Representative may reasonably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Officers’ Certificates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i w:val="1"/>
          <w:iCs w:val="1"/>
          <w:color w:val="auto"/>
        </w:rPr>
        <w:t>Officers’ Certificate</w:t>
      </w:r>
      <w:r>
        <w:rPr>
          <w:rFonts w:ascii="Arial" w:cs="Arial" w:eastAsia="Arial" w:hAnsi="Arial"/>
          <w:sz w:val="16"/>
          <w:szCs w:val="16"/>
          <w:color w:val="auto"/>
        </w:rPr>
        <w:t xml:space="preserve">.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have been satisfied as of such date and that, as of Closing Date and the Option Closing Date, as the case may be, the representations and warranties of the Company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are true and correct. In addition, the Representative will have received such other and further certificates of officers of the Company as the Representative may reasonably request.</w:t>
      </w:r>
    </w:p>
    <w:p>
      <w:pPr>
        <w:spacing w:after="0" w:line="16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i w:val="1"/>
          <w:iCs w:val="1"/>
          <w:color w:val="auto"/>
        </w:rPr>
        <w:t>Secretary’s Certificate</w:t>
      </w:r>
      <w:r>
        <w:rPr>
          <w:rFonts w:ascii="Arial" w:cs="Arial" w:eastAsia="Arial" w:hAnsi="Arial"/>
          <w:sz w:val="16"/>
          <w:szCs w:val="16"/>
          <w:color w:val="auto"/>
        </w:rPr>
        <w:t>. At each of the Closing Date and the Option Closing Date, if any, the Representative shall have received a certificate of the Company signed by the Secretary or Assistant Secretary of the Company, dated the Closing Date or the Option Closing Date, as the case may be, certifying: (i) that the amended and restated certificate of incorporation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the Initial Shareholders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Prospectus, in light of the circumstances under which they were made), not misleading.</w:t>
      </w:r>
    </w:p>
    <w:p>
      <w:pPr>
        <w:spacing w:after="0" w:line="16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Delivery of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i w:val="1"/>
          <w:iCs w:val="1"/>
          <w:color w:val="auto"/>
        </w:rPr>
        <w:t>Effective Date Deliveries</w:t>
      </w:r>
      <w:r>
        <w:rPr>
          <w:rFonts w:ascii="Arial" w:cs="Arial" w:eastAsia="Arial" w:hAnsi="Arial"/>
          <w:sz w:val="18"/>
          <w:szCs w:val="18"/>
          <w:color w:val="auto"/>
        </w:rPr>
        <w:t>. On the Effective Date, the Company shall have delivered to the Representative executed copies of the Trust Agreement, the Warrant Agreement, the Business Combination Marketing Agreement, all of the Insider Letters, the Subscription Agreements, the Registration Rights Agreement and the Escrow Agreement.</w:t>
      </w:r>
    </w:p>
    <w:p>
      <w:pPr>
        <w:spacing w:after="0" w:line="180" w:lineRule="exact"/>
        <w:rPr>
          <w:sz w:val="20"/>
          <w:szCs w:val="20"/>
          <w:color w:val="auto"/>
        </w:rPr>
      </w:pPr>
    </w:p>
    <w:p>
      <w:pPr>
        <w:ind w:left="960" w:hanging="952"/>
        <w:spacing w:after="0"/>
        <w:tabs>
          <w:tab w:leader="none" w:pos="9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Indemnification of Underwriters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i w:val="1"/>
          <w:iCs w:val="1"/>
          <w:color w:val="auto"/>
        </w:rPr>
        <w:t>General</w:t>
      </w:r>
      <w:r>
        <w:rPr>
          <w:rFonts w:ascii="Arial" w:cs="Arial" w:eastAsia="Arial" w:hAnsi="Arial"/>
          <w:sz w:val="16"/>
          <w:szCs w:val="16"/>
          <w:color w:val="auto"/>
        </w:rPr>
        <w:t>. Subject to the conditions set forth below, the Company agrees to indemnify and hold harmless each of the Underwriters and each dealer selected by the Representative that participates in the offer and sale of the Units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and employees and each person, if any, who controls any such Underwriter (“</w:t>
      </w:r>
      <w:r>
        <w:rPr>
          <w:rFonts w:ascii="Arial" w:cs="Arial" w:eastAsia="Arial" w:hAnsi="Arial"/>
          <w:sz w:val="16"/>
          <w:szCs w:val="16"/>
          <w:b w:val="1"/>
          <w:bCs w:val="1"/>
          <w:color w:val="auto"/>
        </w:rPr>
        <w:t>Controlling Person</w:t>
      </w:r>
      <w:r>
        <w:rPr>
          <w:rFonts w:ascii="Arial" w:cs="Arial" w:eastAsia="Arial" w:hAnsi="Arial"/>
          <w:sz w:val="16"/>
          <w:szCs w:val="16"/>
          <w:color w:val="auto"/>
        </w:rPr>
        <w:t xml:space="preserve">”)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or (ii) any application or other document or written communication (in this </w:t>
      </w:r>
      <w:r>
        <w:rPr>
          <w:rFonts w:ascii="Arial" w:cs="Arial" w:eastAsia="Arial" w:hAnsi="Arial"/>
          <w:sz w:val="16"/>
          <w:szCs w:val="16"/>
          <w:u w:val="single" w:color="auto"/>
          <w:color w:val="auto"/>
        </w:rPr>
        <w:t>Section 5</w:t>
      </w:r>
      <w:r>
        <w:rPr>
          <w:rFonts w:ascii="Arial" w:cs="Arial" w:eastAsia="Arial" w:hAnsi="Arial"/>
          <w:sz w:val="16"/>
          <w:szCs w:val="16"/>
          <w:color w:val="auto"/>
        </w:rPr>
        <w:t>, collectively called “</w:t>
      </w:r>
      <w:r>
        <w:rPr>
          <w:rFonts w:ascii="Arial" w:cs="Arial" w:eastAsia="Arial" w:hAnsi="Arial"/>
          <w:sz w:val="16"/>
          <w:szCs w:val="16"/>
          <w:b w:val="1"/>
          <w:bCs w:val="1"/>
          <w:color w:val="auto"/>
        </w:rPr>
        <w:t>Application</w:t>
      </w:r>
      <w:r>
        <w:rPr>
          <w:rFonts w:ascii="Arial" w:cs="Arial" w:eastAsia="Arial" w:hAnsi="Arial"/>
          <w:sz w:val="16"/>
          <w:szCs w:val="16"/>
          <w:color w:val="auto"/>
        </w:rPr>
        <w:t xml:space="preserve">”) executed by the Company or based upon written information furnished by the Company in any jurisdiction in order to qualify the Units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ind w:firstLine="1296"/>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i w:val="1"/>
          <w:iCs w:val="1"/>
          <w:color w:val="auto"/>
        </w:rPr>
        <w:t>Indemnification of the QIU</w:t>
      </w:r>
      <w:r>
        <w:rPr>
          <w:rFonts w:ascii="Arial" w:cs="Arial" w:eastAsia="Arial" w:hAnsi="Arial"/>
          <w:sz w:val="17"/>
          <w:szCs w:val="17"/>
          <w:color w:val="auto"/>
        </w:rPr>
        <w:t xml:space="preserve">. Without limitation of and in addition to its obligations under the other paragraphs of this </w:t>
      </w:r>
      <w:r>
        <w:rPr>
          <w:rFonts w:ascii="Arial" w:cs="Arial" w:eastAsia="Arial" w:hAnsi="Arial"/>
          <w:sz w:val="17"/>
          <w:szCs w:val="17"/>
          <w:u w:val="single" w:color="auto"/>
          <w:color w:val="auto"/>
        </w:rPr>
        <w:t>Section 5</w:t>
      </w:r>
      <w:r>
        <w:rPr>
          <w:rFonts w:ascii="Arial" w:cs="Arial" w:eastAsia="Arial" w:hAnsi="Arial"/>
          <w:sz w:val="17"/>
          <w:szCs w:val="17"/>
          <w:color w:val="auto"/>
        </w:rPr>
        <w:t>, the Company agrees to indemnify, defend and hold harmless the QIU, its directors, officers, employees and each Controlling Person of the QIU, if any, and the successors and assigns of all of the foregoing persons, from and against any loss, damage, expense, liability or claim (including the reasonable cost of investigation) which, jointly or severally, the QIU or any such person may incur, insofar as such loss, damage, expense, liability or claim arises out of or is based upon the QIU’s acting as a “qualified independent underwriter” (within the meaning of FINRA Rule 5121) in connection with the offering contemplated by this Agreement, and the Company agrees to advance and reimburse each such indemnified party, as incurred, for any legal or other expenses reasonably incurred by it in connection with investigating or defending any such loss, damage, expense, liability or claim; provided, however,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the QIU specifically for use in the Registration Statement or Prospectus.</w:t>
      </w:r>
    </w:p>
    <w:p>
      <w:pPr>
        <w:spacing w:after="0" w:line="18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Procedure</w:t>
      </w:r>
      <w:r>
        <w:rPr>
          <w:rFonts w:ascii="Arial" w:cs="Arial" w:eastAsia="Arial" w:hAnsi="Arial"/>
          <w:sz w:val="16"/>
          <w:szCs w:val="16"/>
          <w:color w:val="auto"/>
        </w:rPr>
        <w:t xml:space="preserve">. If any action is brought against an Underwriter, the QIU or a Controlling Person in respect of which indemnity may be sought against the Company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such Underwriter or the QIU shall promptly notify the Company in writing of the institution of such action and the Company shall assume the defense of such action, including the employment and fees of counsel (subject to the reasonable approval of such Underwriter or the QIU) and payment of actual expenses. Such Underwriter, the QIU or Controlling Person shall have the right to employ its or their own counsel in any such case, but the fees and expenses of such counsel shall be at the expense of such Underwriter, the QIU or such Controlling Person unless: (i) the employment of such counsel at the expense of the Company shall have been authorized in writing by the Company in connection with the defense of such action within reasonable time under the circumstances;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or another conflict of interest or conflict as to legal representation exists (in which case the Company shall not have the right to direct the defense of such action on behalf of the indemnified party or parties), in any of which events the reasonable fees and expenses of not more than one additional firm of attorneys selected by the Underwriter, the QIU and/or Controlling Person shall be borne by the Company. Notwithstanding anything to the contrary contained herein, if the Underwriter, the QIU or Controlling Person shall assume the defense of such action as provided above, the Company shall have the right to approve the terms of any settlement of such action which approval shall not be unreasonably withheld.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xml:space="preserve">.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 information, it is expressly agreed, consists solely of the information described in the last sentence of </w:t>
      </w:r>
      <w:r>
        <w:rPr>
          <w:rFonts w:ascii="Arial" w:cs="Arial" w:eastAsia="Arial" w:hAnsi="Arial"/>
          <w:sz w:val="17"/>
          <w:szCs w:val="17"/>
          <w:u w:val="single" w:color="auto"/>
          <w:color w:val="auto"/>
        </w:rPr>
        <w:t>Section 2.3.1</w:t>
      </w:r>
      <w:r>
        <w:rPr>
          <w:rFonts w:ascii="Arial" w:cs="Arial" w:eastAsia="Arial" w:hAnsi="Arial"/>
          <w:sz w:val="17"/>
          <w:szCs w:val="17"/>
          <w:color w:val="auto"/>
        </w:rPr>
        <w:t xml:space="preserve">.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w:t>
      </w:r>
    </w:p>
    <w:p>
      <w:pPr>
        <w:spacing w:after="0" w:line="17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i w:val="1"/>
          <w:iCs w:val="1"/>
          <w:color w:val="auto"/>
        </w:rPr>
        <w:t>5.3.1 Contribution Rights</w:t>
      </w:r>
      <w:r>
        <w:rPr>
          <w:rFonts w:ascii="Arial" w:cs="Arial" w:eastAsia="Arial" w:hAnsi="Arial"/>
          <w:sz w:val="16"/>
          <w:szCs w:val="16"/>
          <w:color w:val="auto"/>
        </w:rPr>
        <w:t>. In order to provide for just and equitable contribution under the Act in any case in which: (i) any person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entitled to indemnification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provides for indemnification in such case; or (ii) contribution under the Act, the Exchange Act or otherwise may be required on the part of any such person in circumstances for which indemnification is provided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person guilty of a fraudulent misrepresentation (within the meaning of Section 11(f) of the Act) shall be entitled to contribution from any person who was not guilty of such fraudulent misrepresentation. Notwithstanding the provisions of this </w:t>
      </w:r>
      <w:r>
        <w:rPr>
          <w:rFonts w:ascii="Arial" w:cs="Arial" w:eastAsia="Arial" w:hAnsi="Arial"/>
          <w:sz w:val="16"/>
          <w:szCs w:val="16"/>
          <w:u w:val="single" w:color="auto"/>
          <w:color w:val="auto"/>
        </w:rPr>
        <w:t>Section 5.3.1</w:t>
      </w:r>
      <w:r>
        <w:rPr>
          <w:rFonts w:ascii="Arial" w:cs="Arial" w:eastAsia="Arial" w:hAnsi="Arial"/>
          <w:sz w:val="16"/>
          <w:szCs w:val="16"/>
          <w:color w:val="auto"/>
        </w:rPr>
        <w:t>,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 The QIU, in its capacity as “qualified independent underwriter” (within the meaning of FINRA Rule 5121), shall in no event be required to contribute any amount in excess of the amount the compensation received by the QIU for acting in such capacity exceeds the amount of any damage which the QIU has otherwise been required to pay by reason of the QIU’s acting in such capacity in connection with the offering contemplated by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firstLine="1296"/>
        <w:spacing w:after="0" w:line="269" w:lineRule="auto"/>
        <w:rPr>
          <w:sz w:val="20"/>
          <w:szCs w:val="20"/>
          <w:color w:val="auto"/>
        </w:rPr>
      </w:pPr>
      <w:r>
        <w:rPr>
          <w:rFonts w:ascii="Arial" w:cs="Arial" w:eastAsia="Arial" w:hAnsi="Arial"/>
          <w:sz w:val="17"/>
          <w:szCs w:val="17"/>
          <w:i w:val="1"/>
          <w:iCs w:val="1"/>
          <w:color w:val="auto"/>
        </w:rPr>
        <w:t>5.3.2 Contribution Procedure</w:t>
      </w:r>
      <w:r>
        <w:rPr>
          <w:rFonts w:ascii="Arial" w:cs="Arial" w:eastAsia="Arial" w:hAnsi="Arial"/>
          <w:sz w:val="17"/>
          <w:szCs w:val="17"/>
          <w:color w:val="auto"/>
        </w:rPr>
        <w:t>. Within fifteen (15) days after receipt by any party to this Agreement (or its representative) of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commencement of any action, suit or proceeding, such party will, if a claim for contribution in respect thereof is to be made against another party (“</w:t>
      </w:r>
      <w:r>
        <w:rPr>
          <w:rFonts w:ascii="Arial" w:cs="Arial" w:eastAsia="Arial" w:hAnsi="Arial"/>
          <w:sz w:val="17"/>
          <w:szCs w:val="17"/>
          <w:b w:val="1"/>
          <w:bCs w:val="1"/>
          <w:color w:val="auto"/>
        </w:rPr>
        <w:t>Contributing Party</w:t>
      </w:r>
      <w:r>
        <w:rPr>
          <w:rFonts w:ascii="Arial" w:cs="Arial" w:eastAsia="Arial" w:hAnsi="Arial"/>
          <w:sz w:val="17"/>
          <w:szCs w:val="17"/>
          <w:color w:val="auto"/>
        </w:rPr>
        <w:t xml:space="preserve">”),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are several and not joint.</w:t>
      </w:r>
    </w:p>
    <w:p>
      <w:pPr>
        <w:spacing w:after="0" w:line="178" w:lineRule="exact"/>
        <w:rPr>
          <w:sz w:val="20"/>
          <w:szCs w:val="20"/>
          <w:color w:val="auto"/>
        </w:rPr>
      </w:pPr>
    </w:p>
    <w:p>
      <w:pPr>
        <w:ind w:left="960" w:hanging="952"/>
        <w:spacing w:after="0"/>
        <w:tabs>
          <w:tab w:leader="none" w:pos="9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Default by an Underwriter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 or Option Units</w:t>
      </w:r>
      <w:r>
        <w:rPr>
          <w:rFonts w:ascii="Arial" w:cs="Arial" w:eastAsia="Arial" w:hAnsi="Arial"/>
          <w:sz w:val="18"/>
          <w:szCs w:val="18"/>
          <w:color w:val="auto"/>
        </w:rPr>
        <w:t>. If any Underwriter or Underwriters shall default in its or their obligations to purchase the Firm Units or the Option Units, if the Over-allotment Option is exercised, hereunder, and if the number of the Firm Units or Option Units with respect to which such default relates does not exceed in the aggregate 10% of the number of Firm Units or Option Units that all Underwriters have agreed to purchase hereunder, then such Firm Units or Option Units to which the default relates shall be purchased by the non-defaulting Underwriters in proportion to their respective commitments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Default Exceeding 10% of Firm Units or Option Units</w:t>
      </w:r>
      <w:r>
        <w:rPr>
          <w:rFonts w:ascii="Arial" w:cs="Arial" w:eastAsia="Arial" w:hAnsi="Arial"/>
          <w:sz w:val="17"/>
          <w:szCs w:val="17"/>
          <w:color w:val="auto"/>
        </w:rPr>
        <w:t xml:space="preserve">. In the event that the default addressed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above relates to more than 10% of the Firm Units or Option Units, the Representative may in its discretion arrange for itself or for another party or parties to purchase such Firm Units or Option Units to which such default relates on the terms contained herein. If, within one (1) Business Day after such default relating to more than 10% of the Firm Units or Option Units, the Representative does not arrange for the purchase of such Firm Units or Option Units, then the Company shall be entitled to a further period of one (1) Business Day within which to procure another party or parties satisfactory to the Company and the Representative to purchase said Firm Units or Option Units on such terms. In the event neither the Company nor the Representative arranges for the purchase of the Firm Units or Option Units to which a default relates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this Agreement may be terminated by the Company without liability on the part of the Company (except as provided in </w:t>
      </w:r>
      <w:r>
        <w:rPr>
          <w:rFonts w:ascii="Arial" w:cs="Arial" w:eastAsia="Arial" w:hAnsi="Arial"/>
          <w:sz w:val="17"/>
          <w:szCs w:val="17"/>
          <w:u w:val="single" w:color="auto"/>
          <w:color w:val="auto"/>
        </w:rPr>
        <w:t>Sections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or the several Underwriters (except as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default occurs with respect to the Option Units, this Agreement will not terminate as to the Firm Units; and provided further that</w:t>
      </w:r>
      <w:r>
        <w:rPr>
          <w:rFonts w:ascii="Arial" w:cs="Arial" w:eastAsia="Arial" w:hAnsi="Arial"/>
          <w:sz w:val="17"/>
          <w:szCs w:val="17"/>
          <w:i w:val="1"/>
          <w:iCs w:val="1"/>
          <w:color w:val="auto"/>
        </w:rPr>
        <w:t xml:space="preserve"> </w:t>
      </w:r>
      <w:r>
        <w:rPr>
          <w:rFonts w:ascii="Arial" w:cs="Arial" w:eastAsia="Arial" w:hAnsi="Arial"/>
          <w:sz w:val="17"/>
          <w:szCs w:val="17"/>
          <w:color w:val="auto"/>
        </w:rPr>
        <w:t>nothing herein shall relieve a defaulting Underwriter of its liability, if any, to the other several Underwriters and to the Company for damages occasioned by its default hereunder.</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Postponement of Closing Date</w:t>
      </w:r>
      <w:r>
        <w:rPr>
          <w:rFonts w:ascii="Arial" w:cs="Arial" w:eastAsia="Arial" w:hAnsi="Arial"/>
          <w:sz w:val="18"/>
          <w:szCs w:val="18"/>
          <w:color w:val="auto"/>
        </w:rPr>
        <w:t>. In the event the Firm Units or Option Units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Preliminary Prospectus and/or the Prospectus, as the case may be, or in any other documents and arrangements, and the Company agrees to file promptly any amendment to, or to supplement, the Registration Statement, the Preliminary Prospectus and/or the Prospectus, as the case may be, that in the opinion of counsel for the Underwriters may thereby be made necessary. The term “</w:t>
      </w:r>
      <w:r>
        <w:rPr>
          <w:rFonts w:ascii="Arial" w:cs="Arial" w:eastAsia="Arial" w:hAnsi="Arial"/>
          <w:sz w:val="18"/>
          <w:szCs w:val="18"/>
          <w:b w:val="1"/>
          <w:bCs w:val="1"/>
          <w:color w:val="auto"/>
        </w:rPr>
        <w:t>Underwriter</w:t>
      </w:r>
      <w:r>
        <w:rPr>
          <w:rFonts w:ascii="Arial" w:cs="Arial" w:eastAsia="Arial" w:hAnsi="Arial"/>
          <w:sz w:val="18"/>
          <w:szCs w:val="18"/>
          <w:color w:val="auto"/>
        </w:rPr>
        <w:t xml:space="preserve">” as used in this Agreement shall include any party substituted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like effect as if it had originally been a party to this Agreement with respect to such Securities.</w:t>
      </w:r>
    </w:p>
    <w:p>
      <w:pPr>
        <w:spacing w:after="0" w:line="188" w:lineRule="exact"/>
        <w:rPr>
          <w:sz w:val="20"/>
          <w:szCs w:val="20"/>
          <w:color w:val="auto"/>
        </w:rPr>
      </w:pPr>
    </w:p>
    <w:p>
      <w:pPr>
        <w:ind w:left="960" w:hanging="952"/>
        <w:spacing w:after="0"/>
        <w:tabs>
          <w:tab w:leader="none" w:pos="9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Covenants</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Shares or Options</w:t>
      </w:r>
      <w:r>
        <w:rPr>
          <w:rFonts w:ascii="Arial" w:cs="Arial" w:eastAsia="Arial" w:hAnsi="Arial"/>
          <w:sz w:val="18"/>
          <w:szCs w:val="18"/>
          <w:color w:val="auto"/>
        </w:rPr>
        <w:t>. The Company hereby agrees that until the Company consummates a Business Combination, it shall not issue any shares of Common Stock or any options or other securities convertible into shares of Common Stock, or any class of shares which participate in any manner in the Trust Account or which vote as a class with the Common Stock on a Business Combination.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7.2 Trust Account Waiver Acknowledgments. The Company hereby agrees that it will not commence its due diligence investigation of any operating business or businesses which the Company seeks to acquire (each, a “</w:t>
      </w:r>
      <w:r>
        <w:rPr>
          <w:rFonts w:ascii="Arial" w:cs="Arial" w:eastAsia="Arial" w:hAnsi="Arial"/>
          <w:sz w:val="16"/>
          <w:szCs w:val="16"/>
          <w:b w:val="1"/>
          <w:bCs w:val="1"/>
          <w:color w:val="auto"/>
        </w:rPr>
        <w:t>Target Business</w:t>
      </w:r>
      <w:r>
        <w:rPr>
          <w:rFonts w:ascii="Arial" w:cs="Arial" w:eastAsia="Arial" w:hAnsi="Arial"/>
          <w:sz w:val="16"/>
          <w:szCs w:val="16"/>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$101,000,000 for the benefit of the public stockholders,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Arial" w:cs="Arial" w:eastAsia="Arial" w:hAnsi="Arial"/>
          <w:sz w:val="16"/>
          <w:szCs w:val="16"/>
          <w:b w:val="1"/>
          <w:bCs w:val="1"/>
          <w:color w:val="auto"/>
        </w:rPr>
        <w:t>Claim</w:t>
      </w:r>
      <w:r>
        <w:rPr>
          <w:rFonts w:ascii="Arial" w:cs="Arial" w:eastAsia="Arial" w:hAnsi="Arial"/>
          <w:sz w:val="16"/>
          <w:szCs w:val="16"/>
          <w:color w:val="auto"/>
        </w:rPr>
        <w:t>”) and waives any Claim it may have in the future as a result of, or arising out of, any negotiations, contracts or agreements with the Company and will not seek recourse against the Trust Account for any reason whatsoever. The Company further agrees that it will use all reasonable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$101,000,000 for the benefit of the public stockholders,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Exhibit A and B,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jc w:val="both"/>
        <w:ind w:firstLine="648"/>
        <w:spacing w:after="0" w:line="31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Insider Letters</w:t>
      </w:r>
      <w:r>
        <w:rPr>
          <w:rFonts w:ascii="Arial" w:cs="Arial" w:eastAsia="Arial" w:hAnsi="Arial"/>
          <w:sz w:val="16"/>
          <w:szCs w:val="16"/>
          <w:color w:val="auto"/>
        </w:rPr>
        <w:t>. The Company shall not take any action or omit to take any action which would cause a breach of any of the Insider Letters executed among the Initial Shareholders, the officers and directors of the Company, and the Company or the Subscription Agreements and will not allow any amendments to, or waivers of, such Insider Letters or the Subscription Agreements without the prior written consent of the Representative.</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The Company shall not take any action or omit to take any action that would cause the Company to be in breach or violation of its amended and restated certificate of incorporation. Except as provided in </w:t>
      </w:r>
      <w:r>
        <w:rPr>
          <w:rFonts w:ascii="Arial" w:cs="Arial" w:eastAsia="Arial" w:hAnsi="Arial"/>
          <w:sz w:val="16"/>
          <w:szCs w:val="16"/>
          <w:u w:val="single" w:color="auto"/>
          <w:color w:val="auto"/>
        </w:rPr>
        <w:t>Section 3.26</w:t>
      </w:r>
      <w:r>
        <w:rPr>
          <w:rFonts w:ascii="Arial" w:cs="Arial" w:eastAsia="Arial" w:hAnsi="Arial"/>
          <w:sz w:val="16"/>
          <w:szCs w:val="16"/>
          <w:color w:val="auto"/>
        </w:rPr>
        <w:t>, prior to the consummation of a Business Combination, the Company will not amend its amended and restated certificate of incorporation, without the prior written consent of the Representative.</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Tender Offer Documents, Proxy Materials and Other Information</w:t>
      </w:r>
      <w:r>
        <w:rPr>
          <w:rFonts w:ascii="Arial" w:cs="Arial" w:eastAsia="Arial" w:hAnsi="Arial"/>
          <w:sz w:val="18"/>
          <w:szCs w:val="18"/>
          <w:color w:val="auto"/>
        </w:rPr>
        <w:t>.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required by such State.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Acquisition/Liquidation Procedure</w:t>
      </w:r>
      <w:r>
        <w:rPr>
          <w:rFonts w:ascii="Arial" w:cs="Arial" w:eastAsia="Arial" w:hAnsi="Arial"/>
          <w:sz w:val="18"/>
          <w:szCs w:val="18"/>
          <w:color w:val="auto"/>
        </w:rPr>
        <w:t>. The Company agrees that it will comply with its amended and restated certificate of incorporation in connection with the consummation of a Business Combination or the failure to consummate a Business Combination within 15 months (or up to 21 months, as applicable) from the Closing Date.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ind w:firstLine="648"/>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Presentation of Potential Target Businesses</w:t>
      </w:r>
      <w:r>
        <w:rPr>
          <w:rFonts w:ascii="Arial" w:cs="Arial" w:eastAsia="Arial" w:hAnsi="Arial"/>
          <w:sz w:val="18"/>
          <w:szCs w:val="18"/>
          <w:color w:val="auto"/>
        </w:rPr>
        <w:t>. The Company shall cause the Company’s officers, directors and Initial Shareholders to agree that, in order to minimize potential conflicts of interest which may arise from multiple affiliations, the Company’s officers, directors and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 xml:space="preserve">. The Company agrees that if the Firm Units are sold in accordance with the terms of this Underwriting Agreement, and for a period of twenty-four (24) months from the date of the consummation of a Business Combination, the Company shall grant the Representative a right of first refusal to act as a lead underwriter or co-manager with at least 30% of the economics, for any and all future public and private equity and debt offerings of the Company or any successor to or any subsidiary of the Company during such twenty-four (24) month period. The Representative’s failure to exercise its right of first refusal with respect to any particular proposal shall not affect its right of first refusal relative to future proposals. Notwithstanding the foregoing, the Representative’s right of first refusal under this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shall expire upon the third anniversary of the Effective Date.</w:t>
      </w:r>
    </w:p>
    <w:p>
      <w:pPr>
        <w:spacing w:after="0" w:line="191" w:lineRule="exact"/>
        <w:rPr>
          <w:sz w:val="20"/>
          <w:szCs w:val="20"/>
          <w:color w:val="auto"/>
        </w:rPr>
      </w:pPr>
    </w:p>
    <w:p>
      <w:pPr>
        <w:jc w:val="both"/>
        <w:ind w:firstLine="8"/>
        <w:spacing w:after="0" w:line="292" w:lineRule="auto"/>
        <w:tabs>
          <w:tab w:leader="none" w:pos="1309"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Agreements to Survive Delivery</w:t>
      </w:r>
      <w:r>
        <w:rPr>
          <w:rFonts w:ascii="Arial" w:cs="Arial" w:eastAsia="Arial" w:hAnsi="Arial"/>
          <w:sz w:val="16"/>
          <w:szCs w:val="16"/>
          <w:color w:val="auto"/>
        </w:rPr>
        <w:t>. Except as the context otherwise requires, all representations, warranties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contained in this Agreement shall be deemed to be representations, warranties and agreements at the Closing Date or the Option Closing Date, if any, and such representations, warranties and agreements of the Underwriters and the Company, including the indemnity agreements contained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Units to the several Underwriters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161" w:lineRule="exact"/>
        <w:rPr>
          <w:rFonts w:ascii="Arial" w:cs="Arial" w:eastAsia="Arial" w:hAnsi="Arial"/>
          <w:sz w:val="16"/>
          <w:szCs w:val="16"/>
          <w:b w:val="1"/>
          <w:bCs w:val="1"/>
          <w:color w:val="auto"/>
        </w:rPr>
      </w:pPr>
    </w:p>
    <w:p>
      <w:pPr>
        <w:ind w:left="960" w:hanging="952"/>
        <w:spacing w:after="0"/>
        <w:tabs>
          <w:tab w:leader="none" w:pos="9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This Agreement and Termination Thereof</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jc w:val="right"/>
              <w:ind w:right="7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c>
          <w:tcPr>
            <w:tcW w:w="9460" w:type="dxa"/>
            <w:vAlign w:val="bottom"/>
            <w:gridSpan w:val="3"/>
          </w:tcPr>
          <w:p>
            <w:pPr>
              <w:jc w:val="right"/>
              <w:spacing w:after="0"/>
              <w:rPr>
                <w:sz w:val="20"/>
                <w:szCs w:val="20"/>
                <w:color w:val="auto"/>
              </w:rPr>
            </w:pPr>
            <w:r>
              <w:rPr>
                <w:rFonts w:ascii="Arial" w:cs="Arial" w:eastAsia="Arial" w:hAnsi="Arial"/>
                <w:sz w:val="18"/>
                <w:szCs w:val="18"/>
                <w:color w:val="auto"/>
                <w:w w:val="94"/>
              </w:rPr>
              <w:t>Effective Date. This Agreement shall become effective on the Effective Date at the time the Registration Statement is declared</w:t>
            </w:r>
          </w:p>
        </w:tc>
      </w:tr>
      <w:tr>
        <w:trPr>
          <w:trHeight w:val="20"/>
        </w:trPr>
        <w:tc>
          <w:tcPr>
            <w:tcW w:w="17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9120"/>
              <w:spacing w:after="0"/>
              <w:rPr>
                <w:sz w:val="20"/>
                <w:szCs w:val="20"/>
                <w:color w:val="auto"/>
              </w:rPr>
            </w:pPr>
            <w:r>
              <w:rPr>
                <w:rFonts w:ascii="Arial" w:cs="Arial" w:eastAsia="Arial" w:hAnsi="Arial"/>
                <w:sz w:val="18"/>
                <w:szCs w:val="18"/>
                <w:color w:val="auto"/>
                <w:w w:val="91"/>
              </w:rPr>
              <w:t>effective by the Commission.</w:t>
            </w:r>
          </w:p>
        </w:tc>
      </w:tr>
      <w:tr>
        <w:trPr>
          <w:trHeight w:val="391"/>
        </w:trPr>
        <w:tc>
          <w:tcPr>
            <w:tcW w:w="1680" w:type="dxa"/>
            <w:vAlign w:val="bottom"/>
          </w:tcPr>
          <w:p>
            <w:pPr>
              <w:jc w:val="right"/>
              <w:ind w:right="710"/>
              <w:spacing w:after="0"/>
              <w:rPr>
                <w:sz w:val="20"/>
                <w:szCs w:val="20"/>
                <w:color w:val="auto"/>
              </w:rPr>
            </w:pPr>
            <w:r>
              <w:rPr>
                <w:rFonts w:ascii="Arial" w:cs="Arial" w:eastAsia="Arial" w:hAnsi="Arial"/>
                <w:sz w:val="18"/>
                <w:szCs w:val="18"/>
                <w:color w:val="auto"/>
              </w:rPr>
              <w:t>9.2</w:t>
            </w:r>
          </w:p>
        </w:tc>
        <w:tc>
          <w:tcPr>
            <w:tcW w:w="9560" w:type="dxa"/>
            <w:vAlign w:val="bottom"/>
            <w:gridSpan w:val="4"/>
          </w:tcPr>
          <w:p>
            <w:pPr>
              <w:jc w:val="right"/>
              <w:spacing w:after="0"/>
              <w:rPr>
                <w:sz w:val="20"/>
                <w:szCs w:val="20"/>
                <w:color w:val="auto"/>
              </w:rPr>
            </w:pPr>
            <w:r>
              <w:rPr>
                <w:rFonts w:ascii="Arial" w:cs="Arial" w:eastAsia="Arial" w:hAnsi="Arial"/>
                <w:sz w:val="18"/>
                <w:szCs w:val="18"/>
                <w:color w:val="auto"/>
                <w:w w:val="94"/>
              </w:rPr>
              <w:t>Termination. The Representative shall have the right to terminate this Agreement at any time prior to any Closing Date: (i) if any</w:t>
            </w:r>
          </w:p>
        </w:tc>
      </w:tr>
      <w:tr>
        <w:trPr>
          <w:trHeight w:val="20"/>
        </w:trPr>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Stock Market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initiation or increase in major hostilities, or (iv) if a banking moratorium has been declared by a New York State or federal authority, or (v) if a moratorium on foreign exchange trading has been declared which materially adversely impacts the United States securities markets; or</w:t>
      </w:r>
    </w:p>
    <w:p>
      <w:pPr>
        <w:spacing w:after="0" w:line="2" w:lineRule="exact"/>
        <w:rPr>
          <w:sz w:val="20"/>
          <w:szCs w:val="20"/>
          <w:color w:val="auto"/>
        </w:rPr>
      </w:pPr>
    </w:p>
    <w:p>
      <w:pPr>
        <w:jc w:val="both"/>
        <w:ind w:firstLine="8"/>
        <w:spacing w:after="0" w:line="290" w:lineRule="auto"/>
        <w:tabs>
          <w:tab w:leader="none" w:pos="31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Units;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Units or to enforce contracts made by the Underwriters for the sale of the Units.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jc w:val="both"/>
        <w:ind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hereof.</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not be in any way affected by such election or termination or failure to carry out the terms of this Agreement or any part hereof.</w:t>
      </w:r>
    </w:p>
    <w:p>
      <w:pPr>
        <w:spacing w:after="0" w:line="180" w:lineRule="exact"/>
        <w:rPr>
          <w:sz w:val="20"/>
          <w:szCs w:val="20"/>
          <w:color w:val="auto"/>
        </w:rPr>
      </w:pPr>
    </w:p>
    <w:p>
      <w:pPr>
        <w:ind w:left="860" w:hanging="852"/>
        <w:spacing w:after="0"/>
        <w:tabs>
          <w:tab w:leader="none" w:pos="8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or by electronic transmission via PDF, and shall be deemed given when so mailed, delivered, or faxed or transmitted (or if mailed, three days after such mailing):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gkaufman@chardan.com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(646) 465-9036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t>Copy to (which copy shall not be deemed to constitute notice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1750 Tysons Boulevard, Suite 1000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McLean, Virginia 22102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Jason Simon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simonj@gtlaw.com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(703) 714-8386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ind w:left="660"/>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Jonas Grossman,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jgrossman@chardancm.com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to (which copy shall not be deemed to constitute notice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aedelman@reedsmith.com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521-5450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QIU: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only be amended by a written instrument executed by each of the parties hereto.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inure solely to the benefit of and shall be binding upon the Representative, the Underwriters, the QIU, the Company and the Controlling Persons, directors and officers referred to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ind w:left="660"/>
        <w:spacing w:after="0"/>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Governing Law, Venue,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10.6.1 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19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10.6.2 Each of the Representative and the Company (and any individual signatory hereto)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or any such individual mailed by certified mail to the Company’s address shall be deemed in every respect effective service of process upon the Company or any such individual in any such suit, action or proceeding, and service of process upon the Representative mailed by certified mail to the Representative’s addresses shall be deemed in every respect effective service process upon the Representative, in any such suit, action or proceeding.</w:t>
      </w:r>
    </w:p>
    <w:p>
      <w:pPr>
        <w:spacing w:after="0" w:line="16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10.6.3 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10.6.4 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jc w:val="both"/>
        <w:ind w:firstLine="648"/>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Underwriters are acting solely as underwriters, and the QIU is acting solely as a “qualified independent underwriter” within the meaning of FINRA Rule 5121, in connection with the Offering. The Company further acknowledges that the Underwriters and the QIU are acting pursuant to a contractual relationship created solely by this Agreement entered into on an arm’s length basis and in no event do the parties intend that the Underwriters or the QIU act or be responsible as a fiduciary to the Company, its management, stockholders, creditors or any other person in connection with any activity that the Underwriters or the QIU may undertake or have undertaken in furtherance of the Offering, either before or after the date hereof. The Underwriters and the QIU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the Underwriters and the QIU agree that they are each responsible for making their own independent judgments with respect to any such transactions, and that any opinions or views expressed by the Underwriters or the QIU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or the QIU with respect to any breach or alleged breach of any fiduciary or similar duty to the Company in connection with the transactions contemplated by this Agreement or any matters leading up to such transactions.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4" w:name="page225"/>
    <w:bookmarkEnd w:id="224"/>
    <w:p>
      <w:pPr>
        <w:spacing w:after="0" w:line="277" w:lineRule="auto"/>
        <w:rPr>
          <w:sz w:val="20"/>
          <w:szCs w:val="20"/>
          <w:color w:val="auto"/>
        </w:rPr>
      </w:pPr>
      <w:r>
        <w:rPr>
          <w:rFonts w:ascii="Arial" w:cs="Arial" w:eastAsia="Arial" w:hAnsi="Arial"/>
          <w:sz w:val="18"/>
          <w:szCs w:val="18"/>
          <w:color w:val="auto"/>
        </w:rPr>
        <w:t>If the foregoing correctly sets forth the understanding among the Underwriters, the QIU and the Company, please so indicate in the space provided below for that purpose, whereupon this letter shall constitute a binding agreement between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on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Qualified Independent Underwriter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of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Number of Firm</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Units to be</w:t>
      </w:r>
    </w:p>
    <w:p>
      <w:pPr>
        <w:spacing w:after="0" w:line="9"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Underwriter</w:t>
      </w:r>
      <w:r>
        <w:rPr>
          <w:sz w:val="20"/>
          <w:szCs w:val="20"/>
          <w:color w:val="auto"/>
        </w:rPr>
        <w:tab/>
      </w:r>
      <w:r>
        <w:rPr>
          <w:rFonts w:ascii="Arial" w:cs="Arial" w:eastAsia="Arial" w:hAnsi="Arial"/>
          <w:sz w:val="18"/>
          <w:szCs w:val="18"/>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Chardan Capital Markets, LLC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Target Business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Chardan NexTech Acquisition 2 Corp. (the “Company”), dated [●], 2021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w:t>
      </w:r>
      <w:r>
        <w:rPr>
          <w:rFonts w:ascii="Arial" w:cs="Arial" w:eastAsia="Arial" w:hAnsi="Arial"/>
          <w:sz w:val="18"/>
          <w:szCs w:val="18"/>
          <w:u w:val="single" w:color="auto"/>
          <w:color w:val="auto"/>
        </w:rPr>
        <w:t>101,000,000</w:t>
      </w:r>
      <w:r>
        <w:rPr>
          <w:rFonts w:ascii="Arial" w:cs="Arial" w:eastAsia="Arial" w:hAnsi="Arial"/>
          <w:sz w:val="18"/>
          <w:szCs w:val="18"/>
          <w:color w:val="auto"/>
        </w:rPr>
        <w:t xml:space="preserve"> for the benefit of the “public shareholders”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Target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Target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Vendor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Chardan NexTech Acquisition 2 Corp. (the “Company”), dated [●], 2021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$101,000,000 for the benefit of the “public shareholders”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Vendor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2"/>
          <w:szCs w:val="22"/>
          <w:b w:val="1"/>
          <w:bCs w:val="1"/>
          <w:color w:val="auto"/>
        </w:rPr>
        <w:t>Exhibit 3.3</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CHARDAN NEXTECH ACQUISITION 2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245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Chardan NexTech Acquisition 2 Corp., a corporation existing under the laws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by its Chief Executive Officer, hereby certifies as follows:</w:t>
      </w:r>
    </w:p>
    <w:p>
      <w:pPr>
        <w:spacing w:after="0" w:line="166" w:lineRule="exact"/>
        <w:rPr>
          <w:sz w:val="20"/>
          <w:szCs w:val="20"/>
          <w:color w:val="auto"/>
        </w:rPr>
      </w:pPr>
    </w:p>
    <w:p>
      <w:pPr>
        <w:ind w:left="760" w:hanging="658"/>
        <w:spacing w:after="0"/>
        <w:tabs>
          <w:tab w:leader="none" w:pos="7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name of the Corporation is “Chardan NexTech Acquisition 2 Corp.”.</w:t>
      </w:r>
    </w:p>
    <w:p>
      <w:pPr>
        <w:spacing w:after="0" w:line="225" w:lineRule="exact"/>
        <w:rPr>
          <w:rFonts w:ascii="Arial" w:cs="Arial" w:eastAsia="Arial" w:hAnsi="Arial"/>
          <w:sz w:val="18"/>
          <w:szCs w:val="18"/>
          <w:color w:val="auto"/>
        </w:rPr>
      </w:pPr>
    </w:p>
    <w:p>
      <w:pPr>
        <w:jc w:val="both"/>
        <w:ind w:left="720" w:hanging="658"/>
        <w:spacing w:after="0" w:line="263"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filed in the office of the Secretary of State of the State of Delaware on June 23, 2020, and a Certificate of Amendment changing the name of the Corporation from Chardan Global Acquisition 3 Corp., was filed in the office of the Secretary of the State of Delaware on February 22, 2021.</w:t>
      </w:r>
    </w:p>
    <w:p>
      <w:pPr>
        <w:spacing w:after="0" w:line="183" w:lineRule="exact"/>
        <w:rPr>
          <w:rFonts w:ascii="Arial" w:cs="Arial" w:eastAsia="Arial" w:hAnsi="Arial"/>
          <w:sz w:val="18"/>
          <w:szCs w:val="18"/>
          <w:color w:val="auto"/>
        </w:rPr>
      </w:pPr>
    </w:p>
    <w:p>
      <w:pPr>
        <w:ind w:left="720" w:hanging="658"/>
        <w:spacing w:after="0"/>
        <w:tabs>
          <w:tab w:leader="none" w:pos="7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This Amended Restated Certificate of Incorporation restates, integrates and amends the Certificate of Incorporation of the Corporation.</w:t>
      </w:r>
    </w:p>
    <w:p>
      <w:pPr>
        <w:spacing w:after="0" w:line="236" w:lineRule="exact"/>
        <w:rPr>
          <w:rFonts w:ascii="Arial" w:cs="Arial" w:eastAsia="Arial" w:hAnsi="Arial"/>
          <w:sz w:val="17"/>
          <w:szCs w:val="17"/>
          <w:color w:val="auto"/>
        </w:rPr>
      </w:pPr>
    </w:p>
    <w:p>
      <w:pPr>
        <w:jc w:val="both"/>
        <w:ind w:left="720" w:hanging="658"/>
        <w:spacing w:after="0" w:line="263"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by the written consent of the directors and stockholders of the Corporation in accordance with the applicable provisions of Sections 141(f), 228, 242 and 245 of the General Corporation Law of the State of Delaware (“</w:t>
      </w:r>
      <w:r>
        <w:rPr>
          <w:rFonts w:ascii="Arial" w:cs="Arial" w:eastAsia="Arial" w:hAnsi="Arial"/>
          <w:sz w:val="18"/>
          <w:szCs w:val="18"/>
          <w:b w:val="1"/>
          <w:bCs w:val="1"/>
          <w:color w:val="auto"/>
        </w:rPr>
        <w:t>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720" w:hanging="658"/>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the Corporation is hereby amended and restated to read in full as follows: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the corporation is “Chardan NexTech Acquisition 2 Corp.” (hereinafter called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11"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SECOND: The registered office of the Corporation is to be located 3411 Silverside Road, Tatnall Building, #104, in the City of Wilmington, in the County of New Castle, Delaware 19901. The name of its registered agent at that address is Corporate Creations Network Inc.</w:t>
      </w:r>
    </w:p>
    <w:p>
      <w:pPr>
        <w:spacing w:after="0" w:line="14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Delaware (“</w:t>
      </w:r>
      <w:r>
        <w:rPr>
          <w:rFonts w:ascii="Arial" w:cs="Arial" w:eastAsia="Arial" w:hAnsi="Arial"/>
          <w:sz w:val="18"/>
          <w:szCs w:val="18"/>
          <w:b w:val="1"/>
          <w:bCs w:val="1"/>
          <w:color w:val="auto"/>
        </w:rPr>
        <w:t>GCL</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total number of shares of all classes of capital stock which the Corporation shall have authority to issue is 51,000,000, of which 50,000,000 shares shall be common stock, par value $.0001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1,000,000 shares shall be preferred stock, par value $.0001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90" w:lineRule="exact"/>
        <w:rPr>
          <w:sz w:val="20"/>
          <w:szCs w:val="20"/>
          <w:color w:val="auto"/>
        </w:rPr>
      </w:pPr>
    </w:p>
    <w:p>
      <w:pPr>
        <w:jc w:val="both"/>
        <w:ind w:left="1300"/>
        <w:spacing w:after="0" w:line="270" w:lineRule="auto"/>
        <w:rPr>
          <w:sz w:val="20"/>
          <w:szCs w:val="20"/>
          <w:color w:val="auto"/>
        </w:rPr>
      </w:pPr>
      <w:r>
        <w:rPr>
          <w:rFonts w:ascii="Arial" w:cs="Arial" w:eastAsia="Arial" w:hAnsi="Arial"/>
          <w:sz w:val="17"/>
          <w:szCs w:val="17"/>
          <w:color w:val="auto"/>
        </w:rPr>
        <w:t>A. Preferred Stock.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w:t>
      </w:r>
      <w:r>
        <w:rPr>
          <w:rFonts w:ascii="Arial" w:cs="Arial" w:eastAsia="Arial" w:hAnsi="Arial"/>
          <w:sz w:val="17"/>
          <w:szCs w:val="17"/>
          <w:b w:val="1"/>
          <w:bCs w:val="1"/>
          <w:color w:val="auto"/>
        </w:rPr>
        <w:t>Preferred Stock Designation</w:t>
      </w:r>
      <w:r>
        <w:rPr>
          <w:rFonts w:ascii="Arial" w:cs="Arial" w:eastAsia="Arial" w:hAnsi="Arial"/>
          <w:sz w:val="17"/>
          <w:szCs w:val="17"/>
          <w:color w:val="auto"/>
        </w:rPr>
        <w:t>”)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9" w:name="page230"/>
    <w:bookmarkEnd w:id="229"/>
    <w:p>
      <w:pPr>
        <w:ind w:left="640"/>
        <w:spacing w:after="0" w:line="308" w:lineRule="auto"/>
        <w:rPr>
          <w:sz w:val="20"/>
          <w:szCs w:val="20"/>
          <w:color w:val="auto"/>
        </w:rPr>
      </w:pPr>
      <w:r>
        <w:rPr>
          <w:rFonts w:ascii="Arial" w:cs="Arial" w:eastAsia="Arial" w:hAnsi="Arial"/>
          <w:sz w:val="17"/>
          <w:szCs w:val="17"/>
          <w:color w:val="auto"/>
        </w:rPr>
        <w:t>B. Common Stock. Except as otherwise required by law or as otherwise provided in any Preferred Stock Designation, the holders of the Common Stock shall exclusively possess all voting power and each share of Common Stock shall have one vote.</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FIFTH: This Article Fifth shall apply during the period commencing upon the filing of this Certificate of Incorporation and terminating upon the consummation of any Business Combination (as defined below). A “</w:t>
      </w:r>
      <w:r>
        <w:rPr>
          <w:rFonts w:ascii="Arial" w:cs="Arial" w:eastAsia="Arial" w:hAnsi="Arial"/>
          <w:sz w:val="18"/>
          <w:szCs w:val="18"/>
          <w:b w:val="1"/>
          <w:bCs w:val="1"/>
          <w:color w:val="auto"/>
        </w:rPr>
        <w:t>Business Combination</w:t>
      </w:r>
      <w:r>
        <w:rPr>
          <w:rFonts w:ascii="Arial" w:cs="Arial" w:eastAsia="Arial" w:hAnsi="Arial"/>
          <w:sz w:val="18"/>
          <w:szCs w:val="18"/>
          <w:color w:val="auto"/>
        </w:rPr>
        <w:t>” shall mean any merger, capital stock exchange, asset, stock purchase, reorganization or other similar business combination involving the Corporation and one or more businesses or entities (“</w:t>
      </w:r>
      <w:r>
        <w:rPr>
          <w:rFonts w:ascii="Arial" w:cs="Arial" w:eastAsia="Arial" w:hAnsi="Arial"/>
          <w:sz w:val="18"/>
          <w:szCs w:val="18"/>
          <w:b w:val="1"/>
          <w:bCs w:val="1"/>
          <w:color w:val="auto"/>
        </w:rPr>
        <w:t>Target Business</w:t>
      </w:r>
      <w:r>
        <w:rPr>
          <w:rFonts w:ascii="Arial" w:cs="Arial" w:eastAsia="Arial" w:hAnsi="Arial"/>
          <w:sz w:val="18"/>
          <w:szCs w:val="18"/>
          <w:color w:val="auto"/>
        </w:rPr>
        <w:t>”), or entering into contractual arrangements that give the Corporation control over such a Target Business, and, if the Corporation is then listed on a national securities exchange, the Target Business has a fair market value equal to at least 80% of the balance in the Trust Fund (as defined below), less any deferred underwriting commissions and taxes payable on interest earned, at the time of signing a definitive agreement in connection with the initial Business Combination. “</w:t>
      </w:r>
      <w:r>
        <w:rPr>
          <w:rFonts w:ascii="Arial" w:cs="Arial" w:eastAsia="Arial" w:hAnsi="Arial"/>
          <w:sz w:val="18"/>
          <w:szCs w:val="18"/>
          <w:b w:val="1"/>
          <w:bCs w:val="1"/>
          <w:color w:val="auto"/>
        </w:rPr>
        <w:t>IPO Shares</w:t>
      </w:r>
      <w:r>
        <w:rPr>
          <w:rFonts w:ascii="Arial" w:cs="Arial" w:eastAsia="Arial" w:hAnsi="Arial"/>
          <w:sz w:val="18"/>
          <w:szCs w:val="18"/>
          <w:color w:val="auto"/>
        </w:rPr>
        <w:t>” shall mean the shares sold pursuant to the registration statement on Form S-1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in connection with the Corporation’s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196"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A. The “fair market value” for purposes of this Article Fifth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 Prior to the consummation of a Business Combination, the Corporation shall either (i) submit any Business Combination to its holders of Common Stock for approval (“</w:t>
      </w:r>
      <w:r>
        <w:rPr>
          <w:rFonts w:ascii="Arial" w:cs="Arial" w:eastAsia="Arial" w:hAnsi="Arial"/>
          <w:sz w:val="17"/>
          <w:szCs w:val="17"/>
          <w:b w:val="1"/>
          <w:bCs w:val="1"/>
          <w:color w:val="auto"/>
        </w:rPr>
        <w:t>Proxy Solicitation</w:t>
      </w:r>
      <w:r>
        <w:rPr>
          <w:rFonts w:ascii="Arial" w:cs="Arial" w:eastAsia="Arial" w:hAnsi="Arial"/>
          <w:sz w:val="17"/>
          <w:szCs w:val="17"/>
          <w:color w:val="auto"/>
        </w:rPr>
        <w:t>”) pursuant to the proxy rules promulgated under the Securities Exchange Act of 1934, as amended (“</w:t>
      </w:r>
      <w:r>
        <w:rPr>
          <w:rFonts w:ascii="Arial" w:cs="Arial" w:eastAsia="Arial" w:hAnsi="Arial"/>
          <w:sz w:val="17"/>
          <w:szCs w:val="17"/>
          <w:b w:val="1"/>
          <w:bCs w:val="1"/>
          <w:color w:val="auto"/>
        </w:rPr>
        <w:t>Exchange Act</w:t>
      </w:r>
      <w:r>
        <w:rPr>
          <w:rFonts w:ascii="Arial" w:cs="Arial" w:eastAsia="Arial" w:hAnsi="Arial"/>
          <w:sz w:val="17"/>
          <w:szCs w:val="17"/>
          <w:color w:val="auto"/>
        </w:rPr>
        <w:t>”), or (ii) provide its holders of IPO Shares with the opportunity to sell their shares to the Corporation by means of a tender offer (“</w:t>
      </w:r>
      <w:r>
        <w:rPr>
          <w:rFonts w:ascii="Arial" w:cs="Arial" w:eastAsia="Arial" w:hAnsi="Arial"/>
          <w:sz w:val="17"/>
          <w:szCs w:val="17"/>
          <w:b w:val="1"/>
          <w:bCs w:val="1"/>
          <w:color w:val="auto"/>
        </w:rPr>
        <w:t>Tender Offer</w:t>
      </w:r>
      <w:r>
        <w:rPr>
          <w:rFonts w:ascii="Arial" w:cs="Arial" w:eastAsia="Arial" w:hAnsi="Arial"/>
          <w:sz w:val="17"/>
          <w:szCs w:val="17"/>
          <w:color w:val="auto"/>
        </w:rPr>
        <w:t>”).</w:t>
      </w:r>
    </w:p>
    <w:p>
      <w:pPr>
        <w:spacing w:after="0" w:line="178"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B. 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165" w:lineRule="exact"/>
        <w:rPr>
          <w:sz w:val="20"/>
          <w:szCs w:val="20"/>
          <w:color w:val="auto"/>
        </w:rPr>
      </w:pPr>
    </w:p>
    <w:p>
      <w:pPr>
        <w:jc w:val="both"/>
        <w:ind w:left="640"/>
        <w:spacing w:after="0" w:line="267" w:lineRule="auto"/>
        <w:rPr>
          <w:sz w:val="20"/>
          <w:szCs w:val="20"/>
          <w:color w:val="auto"/>
        </w:rPr>
      </w:pPr>
      <w:r>
        <w:rPr>
          <w:rFonts w:ascii="Arial" w:cs="Arial" w:eastAsia="Arial" w:hAnsi="Arial"/>
          <w:sz w:val="17"/>
          <w:szCs w:val="17"/>
          <w:color w:val="auto"/>
        </w:rPr>
        <w:t>C. In the event that a Business Combination is consummated by the Corporation or the Corporation holds a vote of its stockholders to amend its Certificate of Incorporation, any holder of IPO Shares who (i) voted on the proposal to approve such Business Combination or amend the Certificate of Incorporation, whether such holder voted in favor or against such Business Combination or amendment, and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w:t>
      </w:r>
      <w:r>
        <w:rPr>
          <w:rFonts w:ascii="Arial" w:cs="Arial" w:eastAsia="Arial" w:hAnsi="Arial"/>
          <w:sz w:val="17"/>
          <w:szCs w:val="17"/>
          <w:b w:val="1"/>
          <w:bCs w:val="1"/>
          <w:color w:val="auto"/>
        </w:rPr>
        <w:t>Conversion Price</w:t>
      </w:r>
      <w:r>
        <w:rPr>
          <w:rFonts w:ascii="Arial" w:cs="Arial" w:eastAsia="Arial" w:hAnsi="Arial"/>
          <w:sz w:val="17"/>
          <w:szCs w:val="17"/>
          <w:color w:val="auto"/>
        </w:rPr>
        <w:t>”). “</w:t>
      </w:r>
      <w:r>
        <w:rPr>
          <w:rFonts w:ascii="Arial" w:cs="Arial" w:eastAsia="Arial" w:hAnsi="Arial"/>
          <w:sz w:val="17"/>
          <w:szCs w:val="17"/>
          <w:b w:val="1"/>
          <w:bCs w:val="1"/>
          <w:color w:val="auto"/>
        </w:rPr>
        <w:t>Trust Fund</w:t>
      </w:r>
      <w:r>
        <w:rPr>
          <w:rFonts w:ascii="Arial" w:cs="Arial" w:eastAsia="Arial" w:hAnsi="Arial"/>
          <w:sz w:val="17"/>
          <w:szCs w:val="17"/>
          <w:color w:val="auto"/>
        </w:rPr>
        <w:t>”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w:t>
      </w:r>
      <w:r>
        <w:rPr>
          <w:rFonts w:ascii="Arial" w:cs="Arial" w:eastAsia="Arial" w:hAnsi="Arial"/>
          <w:sz w:val="17"/>
          <w:szCs w:val="17"/>
          <w:b w:val="1"/>
          <w:bCs w:val="1"/>
          <w:color w:val="auto"/>
        </w:rPr>
        <w:t>Group</w:t>
      </w:r>
      <w:r>
        <w:rPr>
          <w:rFonts w:ascii="Arial" w:cs="Arial" w:eastAsia="Arial" w:hAnsi="Arial"/>
          <w:sz w:val="17"/>
          <w:szCs w:val="17"/>
          <w:color w:val="auto"/>
        </w:rPr>
        <w:t>”)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421005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0" w:name="page231"/>
    <w:bookmarkEnd w:id="230"/>
    <w:p>
      <w:pPr>
        <w:jc w:val="both"/>
        <w:ind w:left="640"/>
        <w:spacing w:after="0" w:line="277" w:lineRule="auto"/>
        <w:rPr>
          <w:sz w:val="20"/>
          <w:szCs w:val="20"/>
          <w:color w:val="auto"/>
        </w:rPr>
      </w:pPr>
      <w:r>
        <w:rPr>
          <w:rFonts w:ascii="Arial" w:cs="Arial" w:eastAsia="Arial" w:hAnsi="Arial"/>
          <w:sz w:val="18"/>
          <w:szCs w:val="18"/>
          <w:color w:val="auto"/>
        </w:rPr>
        <w:t>D. The Corporation will not consummate any Business Combination unless it (or any successor) has net tangible assets of at least $5,000,001 upon consummation of such Business Combination.</w:t>
      </w:r>
    </w:p>
    <w:p>
      <w:pPr>
        <w:spacing w:after="0" w:line="170" w:lineRule="exact"/>
        <w:rPr>
          <w:sz w:val="20"/>
          <w:szCs w:val="20"/>
          <w:color w:val="auto"/>
        </w:rPr>
      </w:pPr>
    </w:p>
    <w:p>
      <w:pPr>
        <w:jc w:val="both"/>
        <w:ind w:left="640"/>
        <w:spacing w:after="0" w:line="268" w:lineRule="auto"/>
        <w:rPr>
          <w:sz w:val="20"/>
          <w:szCs w:val="20"/>
          <w:color w:val="auto"/>
        </w:rPr>
      </w:pPr>
      <w:r>
        <w:rPr>
          <w:rFonts w:ascii="Arial" w:cs="Arial" w:eastAsia="Arial" w:hAnsi="Arial"/>
          <w:sz w:val="17"/>
          <w:szCs w:val="17"/>
          <w:color w:val="auto"/>
        </w:rPr>
        <w:t>E. In the event that the Corporation does not consummate a Business Combination by 15 months from the consummation of the IPO (or up to 21 months if such date is extended as described in the prospectus relating to the IPO) (such date being referred to as the “</w:t>
      </w:r>
      <w:r>
        <w:rPr>
          <w:rFonts w:ascii="Arial" w:cs="Arial" w:eastAsia="Arial" w:hAnsi="Arial"/>
          <w:sz w:val="17"/>
          <w:szCs w:val="17"/>
          <w:b w:val="1"/>
          <w:bCs w:val="1"/>
          <w:color w:val="auto"/>
        </w:rPr>
        <w:t>Termination Date</w:t>
      </w:r>
      <w:r>
        <w:rPr>
          <w:rFonts w:ascii="Arial" w:cs="Arial" w:eastAsia="Arial" w:hAnsi="Arial"/>
          <w:sz w:val="17"/>
          <w:szCs w:val="17"/>
          <w:color w:val="auto"/>
        </w:rPr>
        <w:t>”),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84"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F. 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 A public holder that holds IPO Shares beneficially through a nominee must identify itself to the Corporation in connection with any election to receive distributions from the Trust Fund in order to validly convert such IPO Shares in accordance with paragraph C above.</w:t>
      </w:r>
    </w:p>
    <w:p>
      <w:pPr>
        <w:spacing w:after="0" w:line="192"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G. Prior to the consummation of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65"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H. If any amendment is made to this Article Fifth that would modify (A) the substance or timing of the Corporation’s obligation to provide for the conversion of the IPO Shares in connection with an initial Business Combination or to redeem 100% of the IPO Shares if the Corporation has not consummated an initial Business Combination within 15 months from the consummation of the IPO (or up to 21 months if such date is extended as described in the prospectus relating to the IPO) or (B) any other provision in this Article Fifth, the holders of IPO Shares shall be provided with the opportunity to redeem their IPO Shares upon the approval of any such amendment, at the per-share price specified in paragraph C.</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SIXTH: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Election of directors need not be by ballot unless the bylaws of the Corporation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1" w:name="page232"/>
    <w:bookmarkEnd w:id="231"/>
    <w:p>
      <w:pPr>
        <w:jc w:val="both"/>
        <w:ind w:left="640"/>
        <w:spacing w:after="0" w:line="277" w:lineRule="auto"/>
        <w:rPr>
          <w:sz w:val="20"/>
          <w:szCs w:val="20"/>
          <w:color w:val="auto"/>
        </w:rPr>
      </w:pPr>
      <w:r>
        <w:rPr>
          <w:rFonts w:ascii="Arial" w:cs="Arial" w:eastAsia="Arial" w:hAnsi="Arial"/>
          <w:sz w:val="18"/>
          <w:szCs w:val="18"/>
          <w:color w:val="auto"/>
        </w:rPr>
        <w:t>B. The Board of Directors shall have the power, without the assent or vote of the stockholders, to make, alter, amend, change, add to or repeal the bylaws of the Corporation as provided in the bylaws of the Corporation.</w:t>
      </w:r>
    </w:p>
    <w:p>
      <w:pPr>
        <w:spacing w:after="0" w:line="170" w:lineRule="exact"/>
        <w:rPr>
          <w:sz w:val="20"/>
          <w:szCs w:val="20"/>
          <w:color w:val="auto"/>
        </w:rPr>
      </w:pPr>
    </w:p>
    <w:p>
      <w:pPr>
        <w:jc w:val="both"/>
        <w:ind w:left="640"/>
        <w:spacing w:after="0" w:line="254" w:lineRule="auto"/>
        <w:rPr>
          <w:sz w:val="20"/>
          <w:szCs w:val="20"/>
          <w:color w:val="auto"/>
        </w:rPr>
      </w:pPr>
      <w:r>
        <w:rPr>
          <w:rFonts w:ascii="Arial" w:cs="Arial" w:eastAsia="Arial" w:hAnsi="Arial"/>
          <w:sz w:val="18"/>
          <w:szCs w:val="18"/>
          <w:color w:val="auto"/>
        </w:rPr>
        <w:t>C.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95" w:lineRule="exact"/>
        <w:rPr>
          <w:sz w:val="20"/>
          <w:szCs w:val="20"/>
          <w:color w:val="auto"/>
        </w:rPr>
      </w:pPr>
    </w:p>
    <w:p>
      <w:pPr>
        <w:jc w:val="both"/>
        <w:ind w:left="640"/>
        <w:spacing w:after="0" w:line="257" w:lineRule="auto"/>
        <w:rPr>
          <w:sz w:val="20"/>
          <w:szCs w:val="20"/>
          <w:color w:val="auto"/>
        </w:rPr>
      </w:pPr>
      <w:r>
        <w:rPr>
          <w:rFonts w:ascii="Arial" w:cs="Arial" w:eastAsia="Arial" w:hAnsi="Arial"/>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SEVENTH:</w:t>
      </w:r>
    </w:p>
    <w:p>
      <w:pPr>
        <w:spacing w:after="0" w:line="225" w:lineRule="exact"/>
        <w:rPr>
          <w:sz w:val="20"/>
          <w:szCs w:val="20"/>
          <w:color w:val="auto"/>
        </w:rPr>
      </w:pPr>
    </w:p>
    <w:p>
      <w:pPr>
        <w:jc w:val="both"/>
        <w:ind w:left="640"/>
        <w:spacing w:after="0" w:line="291" w:lineRule="auto"/>
        <w:rPr>
          <w:sz w:val="20"/>
          <w:szCs w:val="20"/>
          <w:color w:val="auto"/>
        </w:rPr>
      </w:pPr>
      <w:r>
        <w:rPr>
          <w:rFonts w:ascii="Arial" w:cs="Arial" w:eastAsia="Arial" w:hAnsi="Arial"/>
          <w:sz w:val="16"/>
          <w:szCs w:val="16"/>
          <w:color w:val="auto"/>
        </w:rPr>
        <w:t>A. A director of the Corporation shall not be personally liable to the Corporation or its stockholders for monetary damages for breach of fiduciary duty as a director, except for liability (i) for any breach of the director’s duty of loyalty to the Corporation or its stockholders,</w:t>
      </w:r>
    </w:p>
    <w:p>
      <w:pPr>
        <w:jc w:val="both"/>
        <w:ind w:left="640" w:firstLine="4"/>
        <w:spacing w:after="0" w:line="252" w:lineRule="auto"/>
        <w:tabs>
          <w:tab w:leader="none" w:pos="90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94"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B. 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92"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C. Notwithstanding the foregoing provisions of this Article Seventh, no indemnification nor advancement of expenses will extend to any claims made by the Corporation’s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408940</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t>EIGHTH:</w:t>
      </w:r>
    </w:p>
    <w:p>
      <w:pPr>
        <w:spacing w:after="0" w:line="225" w:lineRule="exact"/>
        <w:rPr>
          <w:sz w:val="20"/>
          <w:szCs w:val="20"/>
          <w:color w:val="auto"/>
        </w:rPr>
      </w:pPr>
    </w:p>
    <w:p>
      <w:pPr>
        <w:jc w:val="both"/>
        <w:ind w:left="640"/>
        <w:spacing w:after="0" w:line="271" w:lineRule="auto"/>
        <w:rPr>
          <w:sz w:val="20"/>
          <w:szCs w:val="20"/>
          <w:color w:val="auto"/>
        </w:rPr>
      </w:pPr>
      <w:r>
        <w:rPr>
          <w:rFonts w:ascii="Arial" w:cs="Arial" w:eastAsia="Arial" w:hAnsi="Arial"/>
          <w:sz w:val="17"/>
          <w:szCs w:val="17"/>
          <w:color w:val="auto"/>
        </w:rPr>
        <w:t>A. Subject to the exception provided in Paragraph B of this Article Eighth, to the fullest extent permitted by law, unless the Corporation consents in writing to the selection of an alternative forum, (a) any derivative action or proceeding brought in our name on behalf of the Corporation, (b) any action asserting a claim for breach of a fiduciary duty owed by any current or former director, officer, employee, agent or stockholder of the Corporation to the Corporation or the Corporation’s stockholders, (c) any action asserting a claim arising pursuant to any provision of the GCL, the Certificate of Incorporation, or the bylaws, or (d) any action asserting a claim governed by the internal affairs doctrine, shall be the Court of Chancery of the State of Delaware (or, if the Court of Chancery of the State of Delaware lacks jurisdiction over any such action or proceeding, then another court of the State of Delaware or, if no court of the State of Delaware has jurisdiction, then the United States District Court for the District of Delaware).</w:t>
      </w:r>
    </w:p>
    <w:p>
      <w:pPr>
        <w:spacing w:after="0" w:line="178"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B. The exclusive forum provision provided in Paragraph A of this Article Eighth will not apply to suits brought to enforce any duty or liability created by the Exchange Act, or any other claim for which the federal courts have exclusive jurisdiction. In addition,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the rules and regulations promulgated thereunder.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 Securities Act, or any other claim for which the federal courts have exclusive jurisdiction.</w:t>
      </w:r>
    </w:p>
    <w:p>
      <w:pPr>
        <w:spacing w:after="0" w:line="181"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color w:val="auto"/>
        </w:rPr>
        <w:t>C. If any action the subject matter of which is within the scope of Paragraph A of this Article Eighth is filed in a court other than a court located within the State of Delaware (a “</w:t>
      </w:r>
      <w:r>
        <w:rPr>
          <w:rFonts w:ascii="Arial" w:cs="Arial" w:eastAsia="Arial" w:hAnsi="Arial"/>
          <w:sz w:val="18"/>
          <w:szCs w:val="18"/>
          <w:b w:val="1"/>
          <w:bCs w:val="1"/>
          <w:color w:val="auto"/>
        </w:rPr>
        <w:t>Foreign Action</w:t>
      </w:r>
      <w:r>
        <w:rPr>
          <w:rFonts w:ascii="Arial" w:cs="Arial" w:eastAsia="Arial" w:hAnsi="Arial"/>
          <w:sz w:val="18"/>
          <w:szCs w:val="18"/>
          <w:color w:val="auto"/>
        </w:rPr>
        <w:t>”) in the name of any stockholder, such stockholder shall be deemed to have consented to (a) the personal jurisdiction of the state and federal courts located within the State of Delaware in connection with any action brought in any such court to enforce Paragraph A of this Article Eighth (an “</w:t>
      </w:r>
      <w:r>
        <w:rPr>
          <w:rFonts w:ascii="Arial" w:cs="Arial" w:eastAsia="Arial" w:hAnsi="Arial"/>
          <w:sz w:val="18"/>
          <w:szCs w:val="18"/>
          <w:b w:val="1"/>
          <w:bCs w:val="1"/>
          <w:color w:val="auto"/>
        </w:rPr>
        <w:t>FSC Enforcement Action</w:t>
      </w:r>
      <w:r>
        <w:rPr>
          <w:rFonts w:ascii="Arial" w:cs="Arial" w:eastAsia="Arial" w:hAnsi="Arial"/>
          <w:sz w:val="18"/>
          <w:szCs w:val="18"/>
          <w:color w:val="auto"/>
        </w:rPr>
        <w:t>”) and (b) having service of process made upon such stockholder in any such FSC Enforcement Action by service upon such stockholder’s counsel in the Foreign Action as agent for such stockholder, except for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(ii) which is vested in the exclusive jurisdiction of a court or forum other than the Court of Chancery or (iii) for which the Court of Chancery does not have subject matter jurisdiction.</w:t>
      </w:r>
    </w:p>
    <w:p>
      <w:pPr>
        <w:spacing w:after="0" w:line="194" w:lineRule="exact"/>
        <w:rPr>
          <w:sz w:val="20"/>
          <w:szCs w:val="20"/>
          <w:color w:val="auto"/>
        </w:rPr>
      </w:pPr>
    </w:p>
    <w:p>
      <w:pPr>
        <w:jc w:val="both"/>
        <w:ind w:left="640"/>
        <w:spacing w:after="0" w:line="272" w:lineRule="auto"/>
        <w:rPr>
          <w:sz w:val="20"/>
          <w:szCs w:val="20"/>
          <w:color w:val="auto"/>
        </w:rPr>
      </w:pPr>
      <w:r>
        <w:rPr>
          <w:rFonts w:ascii="Arial" w:cs="Arial" w:eastAsia="Arial" w:hAnsi="Arial"/>
          <w:sz w:val="17"/>
          <w:szCs w:val="17"/>
          <w:color w:val="auto"/>
        </w:rPr>
        <w:t>D. If any provision or provisions of this Article Eighth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Eighth (including, without limitation, each portion of any sentence of this Article Eighth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Eighth.</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NINTH: 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Certificate of Incorporation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415290</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TENTH: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The Corporation hereby expressly elects not to be governed by Section 203 of the GCL.</w:t>
      </w:r>
    </w:p>
    <w:p>
      <w:pPr>
        <w:spacing w:after="0" w:line="225" w:lineRule="exact"/>
        <w:rPr>
          <w:sz w:val="20"/>
          <w:szCs w:val="20"/>
          <w:color w:val="auto"/>
        </w:rPr>
      </w:pPr>
    </w:p>
    <w:p>
      <w:pPr>
        <w:jc w:val="both"/>
        <w:ind w:left="640"/>
        <w:spacing w:after="0" w:line="311" w:lineRule="auto"/>
        <w:rPr>
          <w:sz w:val="20"/>
          <w:szCs w:val="20"/>
          <w:color w:val="auto"/>
        </w:rPr>
      </w:pPr>
      <w:r>
        <w:rPr>
          <w:rFonts w:ascii="Arial" w:cs="Arial" w:eastAsia="Arial" w:hAnsi="Arial"/>
          <w:sz w:val="16"/>
          <w:szCs w:val="16"/>
          <w:color w:val="auto"/>
        </w:rPr>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49" w:lineRule="exact"/>
        <w:rPr>
          <w:sz w:val="20"/>
          <w:szCs w:val="20"/>
          <w:color w:val="auto"/>
        </w:rPr>
      </w:pPr>
    </w:p>
    <w:p>
      <w:pPr>
        <w:ind w:left="1940" w:right="20" w:hanging="324"/>
        <w:spacing w:after="0" w:line="277" w:lineRule="auto"/>
        <w:tabs>
          <w:tab w:leader="none" w:pos="19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jc w:val="both"/>
        <w:ind w:left="1940" w:hanging="324"/>
        <w:spacing w:after="0" w:line="284" w:lineRule="auto"/>
        <w:tabs>
          <w:tab w:leader="none" w:pos="1940" w:val="left"/>
        </w:tabs>
        <w:numPr>
          <w:ilvl w:val="2"/>
          <w:numId w:val="106"/>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eighty-five percent (85%) of the voting stock outstanding at the time the transaction commenced, excluding for purposes of determining the voting stock outstanding (but not the outstanding voting stock owned by the interested stockholder) those shares owned by (i) persons who are directors and also officers of the Corporation and (ii) employee stock plans in which employee participants do not have the right to determine confidentially whether shares held subject to the plan will be tendered in a tender or exchange offer, or</w:t>
      </w:r>
    </w:p>
    <w:p>
      <w:pPr>
        <w:spacing w:after="0" w:line="4" w:lineRule="exact"/>
        <w:rPr>
          <w:rFonts w:ascii="Arial" w:cs="Arial" w:eastAsia="Arial" w:hAnsi="Arial"/>
          <w:sz w:val="16"/>
          <w:szCs w:val="16"/>
          <w:color w:val="auto"/>
        </w:rPr>
      </w:pPr>
    </w:p>
    <w:p>
      <w:pPr>
        <w:jc w:val="both"/>
        <w:ind w:left="1940" w:hanging="324"/>
        <w:spacing w:after="0" w:line="255" w:lineRule="auto"/>
        <w:tabs>
          <w:tab w:leader="none" w:pos="194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the Board of Directors and authorized at an annual or special meeting of stockholders, and not by written consent, by the affirmative vote of at least 66-2/3% of the outstanding voting stock that is not owned by the interested stockholder.</w:t>
      </w:r>
    </w:p>
    <w:p>
      <w:pPr>
        <w:spacing w:after="0" w:line="189" w:lineRule="exact"/>
        <w:rPr>
          <w:rFonts w:ascii="Arial" w:cs="Arial" w:eastAsia="Arial" w:hAnsi="Arial"/>
          <w:sz w:val="18"/>
          <w:szCs w:val="18"/>
          <w:color w:val="auto"/>
        </w:rPr>
      </w:pPr>
    </w:p>
    <w:p>
      <w:pPr>
        <w:ind w:left="860" w:hanging="216"/>
        <w:spacing w:after="0"/>
        <w:tabs>
          <w:tab w:leader="none" w:pos="8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Solely for purposes of this Article Tenth, references to:</w:t>
      </w:r>
    </w:p>
    <w:p>
      <w:pPr>
        <w:spacing w:after="0" w:line="225" w:lineRule="exact"/>
        <w:rPr>
          <w:rFonts w:ascii="Arial" w:cs="Arial" w:eastAsia="Arial" w:hAnsi="Arial"/>
          <w:sz w:val="18"/>
          <w:szCs w:val="18"/>
          <w:color w:val="auto"/>
        </w:rPr>
      </w:pPr>
    </w:p>
    <w:p>
      <w:pPr>
        <w:ind w:left="1160" w:right="20" w:hanging="1016"/>
        <w:spacing w:after="0" w:line="277" w:lineRule="auto"/>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jc w:val="both"/>
        <w:ind w:left="1160" w:hanging="1016"/>
        <w:spacing w:after="0" w:line="275" w:lineRule="auto"/>
        <w:tabs>
          <w:tab w:leader="none" w:pos="11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associate</w:t>
      </w:r>
      <w:r>
        <w:rPr>
          <w:rFonts w:ascii="Arial" w:cs="Arial" w:eastAsia="Arial" w:hAnsi="Arial"/>
          <w:sz w:val="17"/>
          <w:szCs w:val="17"/>
          <w:color w:val="auto"/>
        </w:rPr>
        <w:t>,” when used to indicate a relationship with any person, means: (a) any corporation, partnership, unincorporated association or other entity of which such person is a director, officer or partner or is, directly or indirectly, the owner of twenty percent (20%) or more of any class of voting stock; (b) any trust or other estate in which such person has at least a twenty percent (20%) beneficial interest or as to which such person serves as trustee or in a similar fiduciary capacity; and (c) any relative or spouse of such person, or any relative of such spouse, who has the same residence as such person.</w:t>
      </w:r>
    </w:p>
    <w:p>
      <w:pPr>
        <w:spacing w:after="0" w:line="176" w:lineRule="exact"/>
        <w:rPr>
          <w:rFonts w:ascii="Arial" w:cs="Arial" w:eastAsia="Arial" w:hAnsi="Arial"/>
          <w:sz w:val="17"/>
          <w:szCs w:val="17"/>
          <w:color w:val="auto"/>
        </w:rPr>
      </w:pPr>
    </w:p>
    <w:p>
      <w:pPr>
        <w:ind w:left="1160" w:hanging="1016"/>
        <w:spacing w:after="0"/>
        <w:tabs>
          <w:tab w:leader="none" w:pos="11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when used in reference to the Corporation and any interested stockholder of the Corporation,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457835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34" w:name="page235"/>
    <w:bookmarkEnd w:id="234"/>
    <w:p>
      <w:pPr>
        <w:jc w:val="both"/>
        <w:ind w:left="1800" w:hanging="320"/>
        <w:spacing w:after="0" w:line="279" w:lineRule="auto"/>
        <w:tabs>
          <w:tab w:leader="none" w:pos="18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Paragraph B of Article Tenth is not applicable to the surviving entity;</w:t>
      </w:r>
    </w:p>
    <w:p>
      <w:pPr>
        <w:spacing w:after="0" w:line="171" w:lineRule="exact"/>
        <w:rPr>
          <w:rFonts w:ascii="Arial" w:cs="Arial" w:eastAsia="Arial" w:hAnsi="Arial"/>
          <w:sz w:val="17"/>
          <w:szCs w:val="17"/>
          <w:color w:val="auto"/>
        </w:rPr>
      </w:pPr>
    </w:p>
    <w:p>
      <w:pPr>
        <w:jc w:val="both"/>
        <w:ind w:left="1800" w:hanging="320"/>
        <w:spacing w:after="0" w:line="273" w:lineRule="auto"/>
        <w:tabs>
          <w:tab w:leader="none" w:pos="18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177" w:lineRule="exact"/>
        <w:rPr>
          <w:rFonts w:ascii="Arial" w:cs="Arial" w:eastAsia="Arial" w:hAnsi="Arial"/>
          <w:sz w:val="17"/>
          <w:szCs w:val="17"/>
          <w:color w:val="auto"/>
        </w:rPr>
      </w:pPr>
    </w:p>
    <w:p>
      <w:pPr>
        <w:jc w:val="both"/>
        <w:ind w:left="1800" w:hanging="320"/>
        <w:spacing w:after="0" w:line="285" w:lineRule="auto"/>
        <w:tabs>
          <w:tab w:leader="none" w:pos="18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 (i)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GCL;</w:t>
      </w:r>
    </w:p>
    <w:p>
      <w:pPr>
        <w:spacing w:after="0" w:line="1" w:lineRule="exact"/>
        <w:rPr>
          <w:rFonts w:ascii="Arial" w:cs="Arial" w:eastAsia="Arial" w:hAnsi="Arial"/>
          <w:sz w:val="16"/>
          <w:szCs w:val="16"/>
          <w:color w:val="auto"/>
        </w:rPr>
      </w:pPr>
    </w:p>
    <w:p>
      <w:pPr>
        <w:jc w:val="both"/>
        <w:ind w:left="1800" w:firstLine="4"/>
        <w:spacing w:after="0" w:line="287" w:lineRule="auto"/>
        <w:tabs>
          <w:tab w:leader="none" w:pos="2143"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pursuant to a dividend or distribution paid or made, or the exercise, exchange or conversion of securities exercisable for, exchangeable for or convertible into stock of the Corporation or any such subsidiary which security is distributed, pro rata to all stockholders of a class or series of stock of the Corporation subsequent to the time the interested stockholder became such; (iv) pursuant to an exchange offer by the Corporation to purchase stock made on the same terms to all stockholders of said stock; or (v)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 (iii)-(v) of this subsection (c) shall there be an increase in the interested stockholder’s proportionate share of the stock of any class or series of the Corporation or of the voting stock of the Corporation (except as a result of immaterial changes due to fractional share adjustments); or</w:t>
      </w:r>
    </w:p>
    <w:p>
      <w:pPr>
        <w:spacing w:after="0" w:line="169" w:lineRule="exact"/>
        <w:rPr>
          <w:rFonts w:ascii="Arial" w:cs="Arial" w:eastAsia="Arial" w:hAnsi="Arial"/>
          <w:sz w:val="16"/>
          <w:szCs w:val="16"/>
          <w:color w:val="auto"/>
        </w:rPr>
      </w:pPr>
    </w:p>
    <w:p>
      <w:pPr>
        <w:jc w:val="both"/>
        <w:ind w:left="1800" w:hanging="320"/>
        <w:spacing w:after="0" w:line="255" w:lineRule="auto"/>
        <w:tabs>
          <w:tab w:leader="none" w:pos="1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422910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5" w:name="page236"/>
    <w:bookmarkEnd w:id="235"/>
    <w:p>
      <w:pPr>
        <w:jc w:val="both"/>
        <w:ind w:left="644" w:hanging="644"/>
        <w:spacing w:after="0" w:line="272" w:lineRule="auto"/>
        <w:tabs>
          <w:tab w:leader="none" w:pos="644"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“control</w:t>
      </w:r>
      <w:r>
        <w:rPr>
          <w:rFonts w:ascii="Arial" w:cs="Arial" w:eastAsia="Arial" w:hAnsi="Arial"/>
          <w:sz w:val="17"/>
          <w:szCs w:val="17"/>
          <w:color w:val="auto"/>
        </w:rPr>
        <w:t>,” including the terms “</w:t>
      </w:r>
      <w:r>
        <w:rPr>
          <w:rFonts w:ascii="Arial" w:cs="Arial" w:eastAsia="Arial" w:hAnsi="Arial"/>
          <w:sz w:val="17"/>
          <w:szCs w:val="17"/>
          <w:b w:val="1"/>
          <w:bCs w:val="1"/>
          <w:i w:val="1"/>
          <w:iCs w:val="1"/>
          <w:color w:val="auto"/>
        </w:rPr>
        <w:t>controlling</w:t>
      </w:r>
      <w:r>
        <w:rPr>
          <w:rFonts w:ascii="Arial" w:cs="Arial" w:eastAsia="Arial" w:hAnsi="Arial"/>
          <w:sz w:val="17"/>
          <w:szCs w:val="17"/>
          <w:color w:val="auto"/>
        </w:rPr>
        <w:t>,” “</w:t>
      </w:r>
      <w:r>
        <w:rPr>
          <w:rFonts w:ascii="Arial" w:cs="Arial" w:eastAsia="Arial" w:hAnsi="Arial"/>
          <w:sz w:val="17"/>
          <w:szCs w:val="17"/>
          <w:b w:val="1"/>
          <w:bCs w:val="1"/>
          <w:i w:val="1"/>
          <w:iCs w:val="1"/>
          <w:color w:val="auto"/>
        </w:rPr>
        <w:t>controlled by</w:t>
      </w:r>
      <w:r>
        <w:rPr>
          <w:rFonts w:ascii="Arial" w:cs="Arial" w:eastAsia="Arial" w:hAnsi="Arial"/>
          <w:sz w:val="17"/>
          <w:szCs w:val="17"/>
          <w:color w:val="auto"/>
        </w:rPr>
        <w:t>” and “</w:t>
      </w:r>
      <w:r>
        <w:rPr>
          <w:rFonts w:ascii="Arial" w:cs="Arial" w:eastAsia="Arial" w:hAnsi="Arial"/>
          <w:sz w:val="17"/>
          <w:szCs w:val="17"/>
          <w:b w:val="1"/>
          <w:bCs w:val="1"/>
          <w:i w:val="1"/>
          <w:iCs w:val="1"/>
          <w:color w:val="auto"/>
        </w:rPr>
        <w:t>under common control with</w:t>
      </w:r>
      <w:r>
        <w:rPr>
          <w:rFonts w:ascii="Arial" w:cs="Arial" w:eastAsia="Arial" w:hAnsi="Arial"/>
          <w:sz w:val="17"/>
          <w:szCs w:val="17"/>
          <w:color w:val="auto"/>
        </w:rPr>
        <w:t>,” means the possession,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of the power to direct or cause the direction of the management and policies of a person, whether through the ownership of voting stock, by contract, or otherwise. A person who is the owner of twenty percent (20%) or more of the voting power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as an agent, bank, broker, nominee, custodian or trustee for one or more owners who do not individually or as a group have control of such entity.</w:t>
      </w:r>
    </w:p>
    <w:p>
      <w:pPr>
        <w:spacing w:after="0" w:line="177"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Exempted Person</w:t>
      </w:r>
      <w:r>
        <w:rPr>
          <w:rFonts w:ascii="Arial" w:cs="Arial" w:eastAsia="Arial" w:hAnsi="Arial"/>
          <w:sz w:val="18"/>
          <w:szCs w:val="18"/>
          <w:color w:val="auto"/>
        </w:rPr>
        <w:t>” means Chardan NexTech Investments 2 LLC and its affiliates, any of their direct or indirect transferees of at least 15% of the Corporation’s outstanding Common Stock and any “group” of which any such person is a part under Rule 13d-5 of the Exchange Act.</w:t>
      </w:r>
    </w:p>
    <w:p>
      <w:pPr>
        <w:spacing w:after="0" w:line="183" w:lineRule="exact"/>
        <w:rPr>
          <w:rFonts w:ascii="Arial" w:cs="Arial" w:eastAsia="Arial" w:hAnsi="Arial"/>
          <w:sz w:val="18"/>
          <w:szCs w:val="18"/>
          <w:color w:val="auto"/>
        </w:rPr>
      </w:pPr>
    </w:p>
    <w:p>
      <w:pPr>
        <w:jc w:val="both"/>
        <w:ind w:left="644" w:hanging="644"/>
        <w:spacing w:after="0" w:line="287" w:lineRule="auto"/>
        <w:tabs>
          <w:tab w:leader="none" w:pos="64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interested stockholder</w:t>
      </w:r>
      <w:r>
        <w:rPr>
          <w:rFonts w:ascii="Arial" w:cs="Arial" w:eastAsia="Arial" w:hAnsi="Arial"/>
          <w:sz w:val="16"/>
          <w:szCs w:val="16"/>
          <w:color w:val="auto"/>
        </w:rPr>
        <w:t>” means any person (other than the Corporation or any direct or indirect majority-owned subsidiary of the Corporation) that (a) is the owner of fifteen percent (15%) or more of the voting stock of the Corporation, or (b) is an affiliate or associate of the Corporation and was the owner of fifteen percent (15%) or more of the voting stock of the Corporation at any time within the three</w:t>
      </w:r>
    </w:p>
    <w:p>
      <w:pPr>
        <w:spacing w:after="0" w:line="2" w:lineRule="exact"/>
        <w:rPr>
          <w:rFonts w:ascii="Arial" w:cs="Arial" w:eastAsia="Arial" w:hAnsi="Arial"/>
          <w:sz w:val="16"/>
          <w:szCs w:val="16"/>
          <w:color w:val="auto"/>
        </w:rPr>
      </w:pPr>
    </w:p>
    <w:p>
      <w:pPr>
        <w:jc w:val="both"/>
        <w:ind w:left="644"/>
        <w:spacing w:after="0" w:line="286" w:lineRule="auto"/>
        <w:rPr>
          <w:rFonts w:ascii="Arial" w:cs="Arial" w:eastAsia="Arial" w:hAnsi="Arial"/>
          <w:sz w:val="16"/>
          <w:szCs w:val="16"/>
          <w:color w:val="auto"/>
        </w:rPr>
      </w:pPr>
      <w:r>
        <w:rPr>
          <w:rFonts w:ascii="Arial" w:cs="Arial" w:eastAsia="Arial" w:hAnsi="Arial"/>
          <w:sz w:val="16"/>
          <w:szCs w:val="16"/>
          <w:color w:val="auto"/>
        </w:rPr>
        <w:t>(3) year period immediately prior to the date on which it is sought to be determined whether such person is an interested stockholder; and the affiliates and associates of such person; but “interested stockholder” shall not include (i) any Exempted Person, or (ii) any person whose ownership of shares in excess of the fifteen percent (15%) limitation set forth herein is the result of any action taken solely by the Corporation; provided that with respect to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72" w:lineRule="exact"/>
        <w:rPr>
          <w:rFonts w:ascii="Arial" w:cs="Arial" w:eastAsia="Arial" w:hAnsi="Arial"/>
          <w:sz w:val="16"/>
          <w:szCs w:val="16"/>
          <w:color w:val="auto"/>
        </w:rPr>
      </w:pPr>
    </w:p>
    <w:p>
      <w:pPr>
        <w:ind w:left="644" w:hanging="644"/>
        <w:spacing w:after="0" w:line="277" w:lineRule="auto"/>
        <w:tabs>
          <w:tab w:leader="none" w:pos="6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including the terms “</w:t>
      </w:r>
      <w:r>
        <w:rPr>
          <w:rFonts w:ascii="Arial" w:cs="Arial" w:eastAsia="Arial" w:hAnsi="Arial"/>
          <w:sz w:val="18"/>
          <w:szCs w:val="18"/>
          <w:b w:val="1"/>
          <w:bCs w:val="1"/>
          <w:i w:val="1"/>
          <w:iCs w:val="1"/>
          <w:color w:val="auto"/>
        </w:rPr>
        <w:t>own</w:t>
      </w:r>
      <w:r>
        <w:rPr>
          <w:rFonts w:ascii="Arial" w:cs="Arial" w:eastAsia="Arial" w:hAnsi="Arial"/>
          <w:sz w:val="18"/>
          <w:szCs w:val="18"/>
          <w:color w:val="auto"/>
        </w:rPr>
        <w:t>” and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sz w:val="20"/>
          <w:szCs w:val="20"/>
          <w:color w:val="auto"/>
        </w:rPr>
      </w:pPr>
    </w:p>
    <w:p>
      <w:pPr>
        <w:ind w:left="644" w:hanging="644"/>
        <w:spacing w:after="0"/>
        <w:tabs>
          <w:tab w:leader="none" w:pos="64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jc w:val="both"/>
        <w:ind w:left="644" w:hanging="644"/>
        <w:spacing w:after="0" w:line="291" w:lineRule="auto"/>
        <w:tabs>
          <w:tab w:leader="none" w:pos="64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66"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36" w:name="page237"/>
    <w:bookmarkEnd w:id="236"/>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225"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ELEVENTH: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Corporation has caused this Amended and Restated Certificate of Incorporation to be signed by Jonas Grossman, its President and Chief Executive Officer, as of the [●] day of [●],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Jonas Grossman,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ind w:left="10400"/>
        <w:spacing w:after="0"/>
        <w:rPr>
          <w:sz w:val="20"/>
          <w:szCs w:val="20"/>
          <w:color w:val="auto"/>
        </w:rPr>
      </w:pPr>
      <w:r>
        <w:rPr>
          <w:rFonts w:ascii="Arial" w:cs="Arial" w:eastAsia="Arial" w:hAnsi="Arial"/>
          <w:sz w:val="16"/>
          <w:szCs w:val="16"/>
          <w:b w:val="1"/>
          <w:bCs w:val="1"/>
          <w:color w:val="auto"/>
        </w:rPr>
        <w:t>Exhibit 4.3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SPECIMEN WARRANT CERTIFICATE</w:t>
      </w:r>
    </w:p>
    <w:p>
      <w:pPr>
        <w:sectPr>
          <w:pgSz w:w="11900" w:h="16838" w:orient="portrait"/>
          <w:cols w:equalWidth="0" w:num="1">
            <w:col w:w="11240"/>
          </w:cols>
          <w:pgMar w:left="320" w:top="364"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_____ WARRANTS</w:t>
      </w:r>
    </w:p>
    <w:p>
      <w:pPr>
        <w:spacing w:after="0" w:line="430" w:lineRule="exact"/>
        <w:rPr>
          <w:sz w:val="20"/>
          <w:szCs w:val="20"/>
          <w:color w:val="auto"/>
        </w:rPr>
      </w:pPr>
    </w:p>
    <w:p>
      <w:pPr>
        <w:sectPr>
          <w:pgSz w:w="11900" w:h="16838" w:orient="portrait"/>
          <w:cols w:equalWidth="0" w:num="2">
            <w:col w:w="9040" w:space="720"/>
            <w:col w:w="1480"/>
          </w:cols>
          <w:pgMar w:left="320" w:top="364" w:right="339" w:bottom="1440" w:gutter="0" w:footer="0" w:header="0"/>
          <w:type w:val="continuous"/>
        </w:sectPr>
      </w:pPr>
    </w:p>
    <w:p>
      <w:pPr>
        <w:spacing w:after="0" w:line="34"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(THIS WARRANT WILL BE VOID IF NOT EXERCISED PRIOR TO 5:00 P.M. NEW YORK CITY TIME, FIVE YEARS FROM THE CLOSING DATE OF THE COMPANY’S INITIAL BUSINESS COMBINATION)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159561117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WARRANT CERTIFIES THAT, for value received ________, or registered agents, is the registered holder of a Warrant or Warrants (the “Warrant”),</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expiring on a date which is five (5) years from the completion of the Company’s initial business combination, to purchase one fully paid and non-assessable share (the “Warrant Shares”), of common stock, par value $0.0001 per share (the “Common Stock”), of CHARDAN NEXTECH ACQUISITION 2 CORP., a Delaware corporation (the “Company”), for each Warrant evidenced by this Warrant Certificate. This Warrant Certificate is subject to and shall be interpreted under the terms and conditions of the Warrant Agreement (as defined below).</w:t>
      </w:r>
    </w:p>
    <w:p>
      <w:pPr>
        <w:spacing w:after="0" w:line="193"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Warrant entitles the holder thereof to purchase from the Company, from time to time, in whole or in part, commencing 30 days after the completion of the Company’s initial business combination, such number of Warrant Shares at the price of $11.50 per share (the “Warrant Price”), upon surrender of this Warrant Certificate and payment of the Warrant Price at the office or agency of Continental Stock Transfer &amp; Trust Company (the “Warrant Agent”), such payment to be made subject to the conditions set forth herein and in the Warrant Agreement, dated [·], 2021,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9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70"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No fraction of a Share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184"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24"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65"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4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does not entitle the registered holder(s) to any of the rights of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38" w:name="page239"/>
    <w:bookmarkEnd w:id="238"/>
    <w:p>
      <w:pPr>
        <w:jc w:val="both"/>
        <w:ind w:firstLine="441"/>
        <w:spacing w:after="0" w:line="291" w:lineRule="auto"/>
        <w:rPr>
          <w:sz w:val="20"/>
          <w:szCs w:val="20"/>
          <w:color w:val="auto"/>
        </w:rPr>
      </w:pPr>
      <w:r>
        <w:rPr>
          <w:rFonts w:ascii="Arial" w:cs="Arial" w:eastAsia="Arial" w:hAnsi="Arial"/>
          <w:sz w:val="16"/>
          <w:szCs w:val="16"/>
          <w:color w:val="auto"/>
        </w:rPr>
        <w:t>After the Warrant becomes exercisable and prior to its expiration date, the Company reserves the right to call the Warrant at any time, with a notice of call in writing to the holder(s) of record of the Warrant, giving thirty (30) days’ written notice of such call if the last reported sale price of the Common Stock has been equal to or greater than $16.00 per share for any ten (10) trading days within a thirty (30) trading day period ending on the third (3rd) trading day prior to the date on which notice of such call is given, provided that (i) a registration statement under the Securities Act of 1933, as amended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Act. The call price is $0.01 per Warrant Share. No fractional shares will be issued upon exercise of the Warrant.</w:t>
      </w:r>
    </w:p>
    <w:p>
      <w:pPr>
        <w:spacing w:after="0" w:line="166"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AGENT</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-121920</wp:posOffset>
            </wp:positionV>
            <wp:extent cx="24688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23495</wp:posOffset>
            </wp:positionV>
            <wp:extent cx="24688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color w:val="auto"/>
        </w:rPr>
        <w:t>[REVERSE OF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Holder(s) in Order to Exercise Warrants</w:t>
      </w:r>
    </w:p>
    <w:p>
      <w:pPr>
        <w:spacing w:after="0" w:line="22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18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Cash Exercise</w:t>
      </w:r>
      <w:r>
        <w:rPr>
          <w:rFonts w:ascii="Arial" w:cs="Arial" w:eastAsia="Arial" w:hAnsi="Arial"/>
          <w:sz w:val="18"/>
          <w:szCs w:val="18"/>
          <w:color w:val="auto"/>
        </w:rPr>
        <w:t>” with respect to Warrant Shares; and/or</w:t>
      </w:r>
    </w:p>
    <w:p>
      <w:pPr>
        <w:spacing w:after="0" w:line="225" w:lineRule="exact"/>
        <w:rPr>
          <w:sz w:val="20"/>
          <w:szCs w:val="20"/>
          <w:color w:val="auto"/>
        </w:rPr>
      </w:pPr>
    </w:p>
    <w:p>
      <w:pPr>
        <w:jc w:val="both"/>
        <w:ind w:left="3720"/>
        <w:spacing w:after="0" w:line="301"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with respect to Warrant Shares because on the date of this exercise, there is no effective registration statement registering the Warrant Shares, or the prospectus contained therein is not available for the resale of the Warrant Shares, in which event the Company shall deliver to the registered holder(s) shares of Common Stock pursuant to </w:t>
      </w:r>
      <w:r>
        <w:rPr>
          <w:rFonts w:ascii="Arial" w:cs="Arial" w:eastAsia="Arial" w:hAnsi="Arial"/>
          <w:sz w:val="16"/>
          <w:szCs w:val="16"/>
          <w:u w:val="single" w:color="auto"/>
          <w:color w:val="auto"/>
        </w:rPr>
        <w:t>Section 3.3.2</w:t>
      </w:r>
      <w:r>
        <w:rPr>
          <w:rFonts w:ascii="Arial" w:cs="Arial" w:eastAsia="Arial" w:hAnsi="Arial"/>
          <w:sz w:val="16"/>
          <w:szCs w:val="16"/>
          <w:color w:val="auto"/>
        </w:rPr>
        <w:t xml:space="preserve"> of the Warrant Agreement.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requests that a certificate for such shares be registered in the name(s) of:</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(SOCIAL SECURITY OR 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618934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(PLEASE PRINT OR TYPE NAME(S) AND ADDRESS)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 be registered in the name of, and delivered to, the registered holder(s) at the address(es) stated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Be Executed by the Registered Holder in Order to Assign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hereby sell(s), assign(s), and transfer(s) unto</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TYPE OR PRINT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3566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3566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to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36347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(PLEASE PRINT OR TYPE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47834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4783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47834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 the Warrants represented by this Warrant Certificate, and hereby irrevocably constitute and appoint Attorney to transfer this Warrant Certificate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books of the Company, with full power of substitution in the premises.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This Warrant Agreement (“</w:t>
      </w:r>
      <w:r>
        <w:rPr>
          <w:rFonts w:ascii="Arial" w:cs="Arial" w:eastAsia="Arial" w:hAnsi="Arial"/>
          <w:sz w:val="18"/>
          <w:szCs w:val="18"/>
          <w:b w:val="1"/>
          <w:bCs w:val="1"/>
          <w:color w:val="auto"/>
        </w:rPr>
        <w:t>Warrant Agreement</w:t>
      </w:r>
      <w:r>
        <w:rPr>
          <w:rFonts w:ascii="Arial" w:cs="Arial" w:eastAsia="Arial" w:hAnsi="Arial"/>
          <w:sz w:val="18"/>
          <w:szCs w:val="18"/>
          <w:color w:val="auto"/>
        </w:rPr>
        <w:t>”) is made as of [●], 2021, by and between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WHEREAS, the Company is engaged in a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10,000,000 units (the “</w:t>
      </w:r>
      <w:r>
        <w:rPr>
          <w:rFonts w:ascii="Arial" w:cs="Arial" w:eastAsia="Arial" w:hAnsi="Arial"/>
          <w:sz w:val="18"/>
          <w:szCs w:val="18"/>
          <w:b w:val="1"/>
          <w:bCs w:val="1"/>
          <w:color w:val="auto"/>
        </w:rPr>
        <w:t>Units</w:t>
      </w:r>
      <w:r>
        <w:rPr>
          <w:rFonts w:ascii="Arial" w:cs="Arial" w:eastAsia="Arial" w:hAnsi="Arial"/>
          <w:sz w:val="18"/>
          <w:szCs w:val="18"/>
          <w:color w:val="auto"/>
        </w:rPr>
        <w:t>”) of the Company (and up to 1,500,000 additional Units if the underwriters’ over-allotment option is exercised in full), each Unit consisting of one share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one-half of one warrant (each whole warrant a “</w:t>
      </w:r>
      <w:r>
        <w:rPr>
          <w:rFonts w:ascii="Arial" w:cs="Arial" w:eastAsia="Arial" w:hAnsi="Arial"/>
          <w:sz w:val="18"/>
          <w:szCs w:val="18"/>
          <w:b w:val="1"/>
          <w:bCs w:val="1"/>
          <w:color w:val="auto"/>
        </w:rPr>
        <w:t>Public Warrant</w:t>
      </w:r>
      <w:r>
        <w:rPr>
          <w:rFonts w:ascii="Arial" w:cs="Arial" w:eastAsia="Arial" w:hAnsi="Arial"/>
          <w:sz w:val="18"/>
          <w:szCs w:val="18"/>
          <w:color w:val="auto"/>
        </w:rPr>
        <w:t>”), each Public Warrant entitling its holder to purchase one share of Common Stock (the “</w:t>
      </w:r>
      <w:r>
        <w:rPr>
          <w:rFonts w:ascii="Arial" w:cs="Arial" w:eastAsia="Arial" w:hAnsi="Arial"/>
          <w:sz w:val="18"/>
          <w:szCs w:val="18"/>
          <w:b w:val="1"/>
          <w:bCs w:val="1"/>
          <w:color w:val="auto"/>
        </w:rPr>
        <w:t>Public Warrant 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WHEREAS, the Company has received a binding commitment from Chardan NexTech 2 Warrant Holdings LLC, to purchase 5,238,461 private placement warrants (or up to 5,469,230 private warrants depending on the extent to which the underwriters’ over-allotment option is exercised) pursuant the Subscription Agreement, dated as of [●], 2021, and in connection therewith, will issue and deliver up to 5,238,461 private placement warrants (or up to 5,469,230 private warrants depending on the extent to which the underwriters’ over-allotment option is exercised) (the “</w:t>
      </w:r>
      <w:r>
        <w:rPr>
          <w:rFonts w:ascii="Arial" w:cs="Arial" w:eastAsia="Arial" w:hAnsi="Arial"/>
          <w:sz w:val="16"/>
          <w:szCs w:val="16"/>
          <w:b w:val="1"/>
          <w:bCs w:val="1"/>
          <w:color w:val="auto"/>
        </w:rPr>
        <w:t>Private Warrants</w:t>
      </w:r>
      <w:r>
        <w:rPr>
          <w:rFonts w:ascii="Arial" w:cs="Arial" w:eastAsia="Arial" w:hAnsi="Arial"/>
          <w:sz w:val="16"/>
          <w:szCs w:val="16"/>
          <w:color w:val="auto"/>
        </w:rPr>
        <w:t>”), each whole Private Warrant entitling its holder to purchase one share of Common Stock (together with the Public Warrant Shares, the “</w:t>
      </w:r>
      <w:r>
        <w:rPr>
          <w:rFonts w:ascii="Arial" w:cs="Arial" w:eastAsia="Arial" w:hAnsi="Arial"/>
          <w:sz w:val="16"/>
          <w:szCs w:val="16"/>
          <w:b w:val="1"/>
          <w:bCs w:val="1"/>
          <w:color w:val="auto"/>
        </w:rPr>
        <w:t>Warrant Shares</w:t>
      </w:r>
      <w:r>
        <w:rPr>
          <w:rFonts w:ascii="Arial" w:cs="Arial" w:eastAsia="Arial" w:hAnsi="Arial"/>
          <w:sz w:val="16"/>
          <w:szCs w:val="16"/>
          <w:color w:val="auto"/>
        </w:rPr>
        <w:t>”);</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may issue additional warrants to purchase shares of Common Stock hereunder from time to time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Warrants”, and together with the Public Warrants and Private Warrants, the “Warrants”), which shall have the same terms and be in the same form as the Private Warrants;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No. 333-254010,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Public Warrants;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42" w:lineRule="auto"/>
        <w:tabs>
          <w:tab w:leader="none" w:pos="193"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Each Public Warrant shall be: (a) issued in registered form only, (b) in substantially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2" w:name="page243"/>
    <w:bookmarkEnd w:id="242"/>
    <w:p>
      <w:pPr>
        <w:jc w:val="both"/>
        <w:ind w:right="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Each of the Common Stock and the Public Warrants comprising the Units will begin to trade separately on (i) the 90th day after the effectiveness of the Registration Statement, or (ii) such earlier date as Chardan Capital Markets, LLC, as representative of the underwriters (the “</w:t>
      </w:r>
      <w:r>
        <w:rPr>
          <w:rFonts w:ascii="Arial" w:cs="Arial" w:eastAsia="Arial" w:hAnsi="Arial"/>
          <w:sz w:val="16"/>
          <w:szCs w:val="16"/>
          <w:b w:val="1"/>
          <w:bCs w:val="1"/>
          <w:color w:val="auto"/>
        </w:rPr>
        <w:t>Representative</w:t>
      </w:r>
      <w:r>
        <w:rPr>
          <w:rFonts w:ascii="Arial" w:cs="Arial" w:eastAsia="Arial" w:hAnsi="Arial"/>
          <w:sz w:val="16"/>
          <w:szCs w:val="16"/>
          <w:color w:val="auto"/>
        </w:rPr>
        <w:t>”), shall determine is acceptable (such date, the “</w:t>
      </w:r>
      <w:r>
        <w:rPr>
          <w:rFonts w:ascii="Arial" w:cs="Arial" w:eastAsia="Arial" w:hAnsi="Arial"/>
          <w:sz w:val="16"/>
          <w:szCs w:val="16"/>
          <w:b w:val="1"/>
          <w:bCs w:val="1"/>
          <w:color w:val="auto"/>
        </w:rPr>
        <w:t>Detachment Date</w:t>
      </w:r>
      <w:r>
        <w:rPr>
          <w:rFonts w:ascii="Arial" w:cs="Arial" w:eastAsia="Arial" w:hAnsi="Arial"/>
          <w:sz w:val="16"/>
          <w:szCs w:val="16"/>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xml:space="preserve">. The Private Warrants will be issued substantially in the form of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and they (i) will be exercisable either for cash or on a cashless basis at the holder’s option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w:t>
      </w:r>
    </w:p>
    <w:p>
      <w:pPr>
        <w:spacing w:after="0" w:line="2" w:lineRule="exact"/>
        <w:rPr>
          <w:sz w:val="20"/>
          <w:szCs w:val="20"/>
          <w:color w:val="auto"/>
        </w:rPr>
      </w:pPr>
    </w:p>
    <w:p>
      <w:pPr>
        <w:ind w:right="20" w:firstLine="8"/>
        <w:spacing w:after="0" w:line="290" w:lineRule="auto"/>
        <w:tabs>
          <w:tab w:leader="none" w:pos="43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spacing w:after="0" w:line="161" w:lineRule="exact"/>
        <w:rPr>
          <w:sz w:val="20"/>
          <w:szCs w:val="20"/>
          <w:color w:val="auto"/>
        </w:rPr>
      </w:pPr>
    </w:p>
    <w:p>
      <w:pPr>
        <w:ind w:left="180" w:hanging="172"/>
        <w:spacing w:after="0"/>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Warrant Price</w:t>
      </w:r>
      <w:r>
        <w:rPr>
          <w:rFonts w:ascii="Arial" w:cs="Arial" w:eastAsia="Arial" w:hAnsi="Arial"/>
          <w:sz w:val="17"/>
          <w:szCs w:val="17"/>
          <w:color w:val="auto"/>
        </w:rPr>
        <w:t xml:space="preserve">. Each Warrant shall, when countersigned by the Warrant Agent, entitle the Registered Holder thereof, subject to the provisions of such Warrant and of this Warrant Agreement, to purchase from the Company the number of shares of Common Stock stated therein, at $11.50 per whole share, subject to the adjustments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term “</w:t>
      </w:r>
      <w:r>
        <w:rPr>
          <w:rFonts w:ascii="Arial" w:cs="Arial" w:eastAsia="Arial" w:hAnsi="Arial"/>
          <w:sz w:val="17"/>
          <w:szCs w:val="17"/>
          <w:b w:val="1"/>
          <w:bCs w:val="1"/>
          <w:color w:val="auto"/>
        </w:rPr>
        <w:t>Warrant Price</w:t>
      </w:r>
      <w:r>
        <w:rPr>
          <w:rFonts w:ascii="Arial" w:cs="Arial" w:eastAsia="Arial" w:hAnsi="Arial"/>
          <w:sz w:val="17"/>
          <w:szCs w:val="17"/>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 No fractional shares will be issued.</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w:t>
      </w:r>
      <w:r>
        <w:rPr>
          <w:rFonts w:ascii="Arial" w:cs="Arial" w:eastAsia="Arial" w:hAnsi="Arial"/>
          <w:sz w:val="17"/>
          <w:szCs w:val="17"/>
          <w:b w:val="1"/>
          <w:bCs w:val="1"/>
          <w:color w:val="auto"/>
        </w:rPr>
        <w:t>Exercise Period</w:t>
      </w:r>
      <w:r>
        <w:rPr>
          <w:rFonts w:ascii="Arial" w:cs="Arial" w:eastAsia="Arial" w:hAnsi="Arial"/>
          <w:sz w:val="17"/>
          <w:szCs w:val="17"/>
          <w:color w:val="auto"/>
        </w:rPr>
        <w:t xml:space="preserve">”)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Warrant Agreement (“</w:t>
      </w:r>
      <w:r>
        <w:rPr>
          <w:rFonts w:ascii="Arial" w:cs="Arial" w:eastAsia="Arial" w:hAnsi="Arial"/>
          <w:sz w:val="17"/>
          <w:szCs w:val="17"/>
          <w:b w:val="1"/>
          <w:bCs w:val="1"/>
          <w:color w:val="auto"/>
        </w:rPr>
        <w:t>Expiration Date</w:t>
      </w:r>
      <w:r>
        <w:rPr>
          <w:rFonts w:ascii="Arial" w:cs="Arial" w:eastAsia="Arial" w:hAnsi="Arial"/>
          <w:sz w:val="17"/>
          <w:szCs w:val="17"/>
          <w:color w:val="auto"/>
        </w:rPr>
        <w:t xml:space="preserve">”). Except with respect to the right to receive the Redemption Price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20 days to Registered Holders of such extension and that such extension shall be identical in duration among all of the then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xml:space="preserve">”). A Cash Exercise in accordance with this </w:t>
      </w:r>
      <w:r>
        <w:rPr>
          <w:rFonts w:ascii="Arial" w:cs="Arial" w:eastAsia="Arial" w:hAnsi="Arial"/>
          <w:sz w:val="17"/>
          <w:szCs w:val="17"/>
          <w:u w:val="single" w:color="auto"/>
          <w:color w:val="auto"/>
        </w:rPr>
        <w:t>Section 3.3.1</w:t>
      </w:r>
      <w:r>
        <w:rPr>
          <w:rFonts w:ascii="Arial" w:cs="Arial" w:eastAsia="Arial" w:hAnsi="Arial"/>
          <w:sz w:val="17"/>
          <w:szCs w:val="17"/>
          <w:color w:val="auto"/>
        </w:rPr>
        <w:t xml:space="preserve"> is available to the Registered Holder only during such times that there is an effective registration statement registering the Warrant Shares, with the prospectus contained therein being available for the resale of the Warrant Shares.</w:t>
      </w:r>
    </w:p>
    <w:p>
      <w:pPr>
        <w:spacing w:after="0" w:line="17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Registered Holder the number of Warrant Shares determined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Registered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Registered Holder may not exercise any Warrants in the absence of a registration statement except pursuant to this </w:t>
      </w:r>
      <w:r>
        <w:rPr>
          <w:rFonts w:ascii="Arial" w:cs="Arial" w:eastAsia="Arial" w:hAnsi="Arial"/>
          <w:sz w:val="16"/>
          <w:szCs w:val="16"/>
          <w:u w:val="single" w:color="auto"/>
          <w:color w:val="auto"/>
        </w:rPr>
        <w:t>Section 3.3.2</w:t>
      </w:r>
      <w:r>
        <w:rPr>
          <w:rFonts w:ascii="Arial" w:cs="Arial" w:eastAsia="Arial" w:hAnsi="Arial"/>
          <w:sz w:val="16"/>
          <w:szCs w:val="16"/>
          <w:color w:val="auto"/>
        </w:rPr>
        <w:t>. For purposes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07" w:lineRule="exact"/>
        <w:rPr>
          <w:sz w:val="20"/>
          <w:szCs w:val="20"/>
          <w:color w:val="auto"/>
        </w:rPr>
      </w:pPr>
    </w:p>
    <w:p>
      <w:pPr>
        <w:jc w:val="both"/>
        <w:ind w:left="1960" w:hanging="8"/>
        <w:spacing w:after="0" w:line="261" w:lineRule="auto"/>
        <w:tabs>
          <w:tab w:leader="none" w:pos="21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Company’s shares of Common Stock are listed and traded on the NASDAQ Capital Market (the “</w:t>
      </w:r>
      <w:r>
        <w:rPr>
          <w:rFonts w:ascii="Arial" w:cs="Arial" w:eastAsia="Arial" w:hAnsi="Arial"/>
          <w:sz w:val="18"/>
          <w:szCs w:val="18"/>
          <w:b w:val="1"/>
          <w:bCs w:val="1"/>
          <w:color w:val="auto"/>
        </w:rPr>
        <w:t>Trading Market</w:t>
      </w:r>
      <w:r>
        <w:rPr>
          <w:rFonts w:ascii="Arial" w:cs="Arial" w:eastAsia="Arial" w:hAnsi="Arial"/>
          <w:sz w:val="18"/>
          <w:szCs w:val="18"/>
          <w:color w:val="auto"/>
        </w:rPr>
        <w:t>”), the fair market value shall be deemed to be the average of the closing price on such Trading Market for the 10 trading day ending on the third trading day immediately prior to the date the subscription form is submitted to the Company in connection with the exercise of the Warrant;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4" w:name="page245"/>
    <w:bookmarkEnd w:id="244"/>
    <w:p>
      <w:pPr>
        <w:jc w:val="both"/>
        <w:ind w:left="1960" w:hanging="8"/>
        <w:spacing w:after="0" w:line="259" w:lineRule="auto"/>
        <w:tabs>
          <w:tab w:leader="none" w:pos="222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Company’s shares of Common Stock are not listed on the Trading Market, but is traded in the over-the-counter market, the fair market value shall be deemed to be the average of the bid price on the Trading Market for the 10 trading days ending on the third trading day immediately prior to the date the subscription form is submitted in connection with the exercise of the Warrant; or</w:t>
      </w:r>
    </w:p>
    <w:p>
      <w:pPr>
        <w:spacing w:after="0" w:line="186" w:lineRule="exact"/>
        <w:rPr>
          <w:rFonts w:ascii="Arial" w:cs="Arial" w:eastAsia="Arial" w:hAnsi="Arial"/>
          <w:sz w:val="18"/>
          <w:szCs w:val="18"/>
          <w:color w:val="auto"/>
        </w:rPr>
      </w:pPr>
    </w:p>
    <w:p>
      <w:pPr>
        <w:ind w:left="1960" w:right="20" w:hanging="8"/>
        <w:spacing w:after="0" w:line="277" w:lineRule="auto"/>
        <w:tabs>
          <w:tab w:leader="none" w:pos="23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shares of Common Stock, the fair market value of the shares of Common Stock shall be determined in good faith by the Company’s board of directors.</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xml:space="preserve">. No later than three (3) business days following the exercise of any Warrant and the clearance of the funds in payment of the Warrant Price pursuant to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or cashless exercise pursuant to </w:t>
      </w:r>
      <w:r>
        <w:rPr>
          <w:rFonts w:ascii="Arial" w:cs="Arial" w:eastAsia="Arial" w:hAnsi="Arial"/>
          <w:sz w:val="16"/>
          <w:szCs w:val="16"/>
          <w:u w:val="single" w:color="auto"/>
          <w:color w:val="auto"/>
        </w:rPr>
        <w:t>Section 3.3.2</w:t>
      </w:r>
      <w:r>
        <w:rPr>
          <w:rFonts w:ascii="Arial" w:cs="Arial" w:eastAsia="Arial" w:hAnsi="Arial"/>
          <w:sz w:val="16"/>
          <w:szCs w:val="16"/>
          <w:color w:val="auto"/>
        </w:rPr>
        <w:t>,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8"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3.3.7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Section 3.3.7; however, no holder of a Warrant shall be subject to this 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w:t>
      </w:r>
    </w:p>
    <w:p>
      <w:pPr>
        <w:jc w:val="both"/>
        <w:ind w:firstLine="8"/>
        <w:spacing w:after="0" w:line="269" w:lineRule="auto"/>
        <w:tabs>
          <w:tab w:leader="none" w:pos="26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ind w:left="180" w:hanging="172"/>
        <w:spacing w:after="0"/>
        <w:tabs>
          <w:tab w:leader="none" w:pos="1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Dividends, Splits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4.5</w:t>
      </w:r>
      <w:r>
        <w:rPr>
          <w:rFonts w:ascii="Arial" w:cs="Arial" w:eastAsia="Arial" w:hAnsi="Arial"/>
          <w:sz w:val="18"/>
          <w:szCs w:val="18"/>
          <w:color w:val="auto"/>
        </w:rPr>
        <w:t>,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Section 4.1 above, (b) Ordinary Cash Dividends (as defined below), (c) to satisfy the conversion rights of the holders of the Common Stock in connection with a proposed initial business combination or vote to extend the time period to complete an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Arial" w:cs="Arial" w:eastAsia="Arial" w:hAnsi="Arial"/>
          <w:sz w:val="17"/>
          <w:szCs w:val="17"/>
          <w:b w:val="1"/>
          <w:bCs w:val="1"/>
          <w:color w:val="auto"/>
        </w:rPr>
        <w:t>Extraordinary Dividend</w:t>
      </w:r>
      <w:r>
        <w:rPr>
          <w:rFonts w:ascii="Arial" w:cs="Arial" w:eastAsia="Arial" w:hAnsi="Arial"/>
          <w:sz w:val="17"/>
          <w:szCs w:val="17"/>
          <w:color w:val="auto"/>
        </w:rPr>
        <w:t xml:space="preserve">”),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Section 4.3,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Public Offering). The foregoing adjustment shall not apply to the Private Warrants. Further, the holders of the Private Warrants that are beneficially owned by Chardan Capital Markets, LLC or any of its related persons may not receive or accrue any cash dividends prior to the exercise or conversion of such Private Warrants, as required by FINRA Rule 5110(f)(2)(G)(vii).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xml:space="preserve">. Whenever the number of shares of Common Stock purchasable upon the exercise of the Warrants is adjusted, as provided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covered by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or 4.2, then such adjustment shall be made pursuant to Sections 4.1, 4.2, 4.3 and Section 4.4. The provisions of this Section 4.5 shall similarly apply to successive reclassifications, reorganizations, mergers or consolidations, sales or other transfers.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7" w:name="page248"/>
    <w:bookmarkEnd w:id="247"/>
    <w:p>
      <w:pPr>
        <w:jc w:val="both"/>
        <w:ind w:firstLine="648"/>
        <w:spacing w:after="0" w:line="28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 of Certain Transactions</w:t>
      </w:r>
      <w:r>
        <w:rPr>
          <w:rFonts w:ascii="Arial" w:cs="Arial" w:eastAsia="Arial" w:hAnsi="Arial"/>
          <w:sz w:val="16"/>
          <w:szCs w:val="16"/>
          <w:color w:val="auto"/>
        </w:rPr>
        <w:t xml:space="preserve">.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which would be required as a result of such action. Such notice shall be given as promptly as practicable after the Company has taken any such action.</w:t>
      </w:r>
    </w:p>
    <w:p>
      <w:pPr>
        <w:spacing w:after="0" w:line="168" w:lineRule="exact"/>
        <w:rPr>
          <w:sz w:val="20"/>
          <w:szCs w:val="20"/>
          <w:color w:val="auto"/>
        </w:rPr>
      </w:pPr>
    </w:p>
    <w:p>
      <w:pPr>
        <w:ind w:left="180" w:hanging="172"/>
        <w:spacing w:after="0"/>
        <w:tabs>
          <w:tab w:leader="none" w:pos="1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xml:space="preserve">.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will have no further force and effect.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that will result in the issuance of a Warrant certificate for a fraction of a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Warrant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will supply the Warrant Agent with Warrants duly executed on behalf of the Company for such purpose.</w:t>
      </w:r>
    </w:p>
    <w:p>
      <w:pPr>
        <w:spacing w:after="0" w:line="165" w:lineRule="exact"/>
        <w:rPr>
          <w:sz w:val="20"/>
          <w:szCs w:val="20"/>
          <w:color w:val="auto"/>
        </w:rPr>
      </w:pPr>
    </w:p>
    <w:p>
      <w:pPr>
        <w:ind w:left="180" w:hanging="172"/>
        <w:spacing w:after="0"/>
        <w:tabs>
          <w:tab w:leader="none" w:pos="1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Subject to the second sentence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w:t>
      </w:r>
      <w:r>
        <w:rPr>
          <w:rFonts w:ascii="Arial" w:cs="Arial" w:eastAsia="Arial" w:hAnsi="Arial"/>
          <w:sz w:val="16"/>
          <w:szCs w:val="16"/>
          <w:u w:val="single" w:color="auto"/>
          <w:color w:val="auto"/>
        </w:rPr>
        <w:t>Section 6.2</w:t>
      </w:r>
      <w:r>
        <w:rPr>
          <w:rFonts w:ascii="Arial" w:cs="Arial" w:eastAsia="Arial" w:hAnsi="Arial"/>
          <w:sz w:val="16"/>
          <w:szCs w:val="16"/>
          <w:color w:val="auto"/>
        </w:rPr>
        <w:t>, at the price of $0.01 per Warrant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provided that the last sales price of the Common Stock has been equal to or greater than $16.00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become redeemable by the Company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Company may exercise its redemption right, even if it is unable to register or qualify the Warrant Shares for sale under all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8" w:name="page249"/>
    <w:bookmarkEnd w:id="248"/>
    <w:p>
      <w:pPr>
        <w:jc w:val="both"/>
        <w:ind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xml:space="preserve">. The Warrants may be exercised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Warrant Agreement at any time after notice of redemption shall have been given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and prior to the Redemption Date; provided that the Company may require the Registered Holder who desires to exercise the Warrant to elect cashless exercise as set forth under </w:t>
      </w:r>
      <w:r>
        <w:rPr>
          <w:rFonts w:ascii="Arial" w:cs="Arial" w:eastAsia="Arial" w:hAnsi="Arial"/>
          <w:sz w:val="17"/>
          <w:szCs w:val="17"/>
          <w:u w:val="single" w:color="auto"/>
          <w:color w:val="auto"/>
        </w:rPr>
        <w:t>Section 3.3.2</w:t>
      </w:r>
      <w:r>
        <w:rPr>
          <w:rFonts w:ascii="Arial" w:cs="Arial" w:eastAsia="Arial" w:hAnsi="Arial"/>
          <w:sz w:val="17"/>
          <w:szCs w:val="17"/>
          <w:color w:val="auto"/>
        </w:rPr>
        <w:t>,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xml:space="preserve">. Except for a redemption in accordance with this </w:t>
      </w:r>
      <w:r>
        <w:rPr>
          <w:rFonts w:ascii="Arial" w:cs="Arial" w:eastAsia="Arial" w:hAnsi="Arial"/>
          <w:sz w:val="18"/>
          <w:szCs w:val="18"/>
          <w:u w:val="single" w:color="auto"/>
          <w:color w:val="auto"/>
        </w:rPr>
        <w:t>Section 6</w:t>
      </w:r>
      <w:r>
        <w:rPr>
          <w:rFonts w:ascii="Arial" w:cs="Arial" w:eastAsia="Arial" w:hAnsi="Arial"/>
          <w:sz w:val="18"/>
          <w:szCs w:val="18"/>
          <w:color w:val="auto"/>
        </w:rPr>
        <w:t>, no Registered Holder of any Warrant shall be entitled to any cash payment whatsoever from the Company in connection with the ownership, exercise or surrender of any Warrant under this Warrant Agreement.</w:t>
      </w:r>
    </w:p>
    <w:p>
      <w:pPr>
        <w:spacing w:after="0" w:line="184" w:lineRule="exact"/>
        <w:rPr>
          <w:sz w:val="20"/>
          <w:szCs w:val="20"/>
          <w:color w:val="auto"/>
        </w:rPr>
      </w:pPr>
    </w:p>
    <w:p>
      <w:pPr>
        <w:ind w:left="180" w:hanging="172"/>
        <w:spacing w:after="0"/>
        <w:tabs>
          <w:tab w:leader="none" w:pos="1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shares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Registration of shares of Common Stock</w:t>
      </w:r>
      <w:r>
        <w:rPr>
          <w:rFonts w:ascii="Arial" w:cs="Arial" w:eastAsia="Arial" w:hAnsi="Arial"/>
          <w:sz w:val="16"/>
          <w:szCs w:val="16"/>
          <w:color w:val="auto"/>
        </w:rPr>
        <w:t>. The Company agrees it shall use its best efforts to maintain with the SEC an effective registration statement for the registration under the Act of the shares of Common Stock issuable upon exercise of the Warrants,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9" w:name="page250"/>
    <w:bookmarkEnd w:id="249"/>
    <w:p>
      <w:pPr>
        <w:ind w:left="180" w:hanging="172"/>
        <w:spacing w:after="0"/>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0" w:name="page251"/>
    <w:bookmarkEnd w:id="250"/>
    <w:p>
      <w:pPr>
        <w:jc w:val="both"/>
        <w:ind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3" w:lineRule="exact"/>
        <w:rPr>
          <w:sz w:val="20"/>
          <w:szCs w:val="20"/>
          <w:color w:val="auto"/>
        </w:rPr>
      </w:pPr>
    </w:p>
    <w:p>
      <w:pPr>
        <w:ind w:left="180" w:hanging="172"/>
        <w:spacing w:after="0"/>
        <w:tabs>
          <w:tab w:leader="none" w:pos="1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1" w:name="page252"/>
    <w:bookmarkEnd w:id="251"/>
    <w:p>
      <w:pPr>
        <w:ind w:left="1300"/>
        <w:spacing w:after="0"/>
        <w:rPr>
          <w:sz w:val="20"/>
          <w:szCs w:val="20"/>
          <w:color w:val="auto"/>
        </w:rPr>
      </w:pPr>
      <w:r>
        <w:rPr>
          <w:rFonts w:ascii="Arial" w:cs="Arial" w:eastAsia="Arial" w:hAnsi="Arial"/>
          <w:sz w:val="18"/>
          <w:szCs w:val="18"/>
          <w:color w:val="auto"/>
        </w:rPr>
        <w:t>Continental Stock Transfer &amp; Trust Company</w:t>
      </w:r>
    </w:p>
    <w:p>
      <w:pPr>
        <w:ind w:left="13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 and Exclusive Forum</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9.3.1 The validity, interpretation, and performance of this Warrant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Warrant Agreement, including under the Securities Act,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7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9.3.2 Any person or entity purchasing or otherwise acquiring any interest in the Warrants shall be deemed to have notice of and to have consented to the forum provisions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6"/>
          <w:szCs w:val="16"/>
          <w:b w:val="1"/>
          <w:bCs w:val="1"/>
          <w:color w:val="auto"/>
        </w:rPr>
        <w:t>enforcement action</w:t>
      </w:r>
      <w:r>
        <w:rPr>
          <w:rFonts w:ascii="Arial" w:cs="Arial" w:eastAsia="Arial" w:hAnsi="Arial"/>
          <w:sz w:val="16"/>
          <w:szCs w:val="16"/>
          <w:color w:val="auto"/>
        </w:rPr>
        <w:t>”), and (y) having service of process made upon such Warrant holder in any such enforcement action by service upon such Warrant holder’s counsel in the foreign action as agent for such Warrant holder.</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hereof. Such mailing shall be deemed personal service and shall be legal and binding upon the party receiving such service in any action, proceeding, or claim.</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Warrant Agreement</w:t>
      </w:r>
      <w:r>
        <w:rPr>
          <w:rFonts w:ascii="Arial" w:cs="Arial" w:eastAsia="Arial" w:hAnsi="Arial"/>
          <w:sz w:val="18"/>
          <w:szCs w:val="18"/>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2" w:name="page253"/>
    <w:bookmarkEnd w:id="252"/>
    <w:p>
      <w:pPr>
        <w:jc w:val="both"/>
        <w:ind w:firstLine="648"/>
        <w:spacing w:after="0" w:line="286"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Warrant Agreement and any Warrant certificate may be amended by the parties hereto by executing a supplemental warrant agreement,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Public Warrants, and with respect to any amendment to the terms of only the Private Warrants, shall require the vote or written consent of the registered Holders of a majority of the then outstanding Private Warrants, as applicable. Notwithstanding the foregoing, the Company may extend the duration of the Exercise Period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without such consent.</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3" w:name="page254"/>
    <w:bookmarkEnd w:id="253"/>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60"/>
          </w:cols>
          <w:pgMar w:left="320" w:top="908" w:right="11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New York, NY 10022-7650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156970" cy="4457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1">
                      <a:extLst>
                        <a:ext uri="{28A0092B-C50C-407E-A947-70E740481C1C}"/>
                      </a:extLst>
                    </a:blip>
                    <a:srcRect/>
                    <a:stretch>
                      <a:fillRect/>
                    </a:stretch>
                  </pic:blipFill>
                  <pic:spPr bwMode="auto">
                    <a:xfrm>
                      <a:off x="0" y="0"/>
                      <a:ext cx="1156970" cy="445770"/>
                    </a:xfrm>
                    <a:prstGeom prst="rect">
                      <a:avLst/>
                    </a:prstGeom>
                    <a:noFill/>
                  </pic:spPr>
                </pic:pic>
              </a:graphicData>
            </a:graphic>
          </wp:anchor>
        </w:drawing>
      </w:r>
    </w:p>
    <w:p>
      <w:pPr>
        <w:jc w:val="right"/>
        <w:ind w:right="40"/>
        <w:spacing w:after="0"/>
        <w:rPr>
          <w:sz w:val="20"/>
          <w:szCs w:val="20"/>
          <w:color w:val="auto"/>
        </w:rPr>
      </w:pPr>
      <w:r>
        <w:rPr>
          <w:rFonts w:ascii="Arial" w:cs="Arial" w:eastAsia="Arial" w:hAnsi="Arial"/>
          <w:sz w:val="18"/>
          <w:szCs w:val="18"/>
          <w:color w:val="auto"/>
        </w:rPr>
        <w:t>+1 212 521 5400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+1 212 521 5450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acted as counsel to Chardan NexTech Acquisition 2 Corp.,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Registration Statement on Form S-1 (File No. 333-254010) (such registration statement, as amended through the date hereof,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w:t>
      </w:r>
      <w:r>
        <w:rPr>
          <w:rFonts w:ascii="Arial" w:cs="Arial" w:eastAsia="Arial" w:hAnsi="Arial"/>
          <w:sz w:val="16"/>
          <w:szCs w:val="16"/>
          <w:color w:val="auto"/>
        </w:rPr>
        <w:t>ct”), relating to the offer and sale by the Company (the “</w:t>
      </w:r>
      <w:r>
        <w:rPr>
          <w:rFonts w:ascii="Arial" w:cs="Arial" w:eastAsia="Arial" w:hAnsi="Arial"/>
          <w:sz w:val="16"/>
          <w:szCs w:val="16"/>
          <w:b w:val="1"/>
          <w:bCs w:val="1"/>
          <w:color w:val="auto"/>
        </w:rPr>
        <w:t>Offering</w:t>
      </w:r>
      <w:r>
        <w:rPr>
          <w:rFonts w:ascii="Arial" w:cs="Arial" w:eastAsia="Arial" w:hAnsi="Arial"/>
          <w:sz w:val="16"/>
          <w:szCs w:val="16"/>
          <w:color w:val="auto"/>
        </w:rPr>
        <w:t>”) of (a) up to 11,500,000 units of the Company (the “</w:t>
      </w:r>
      <w:r>
        <w:rPr>
          <w:rFonts w:ascii="Arial" w:cs="Arial" w:eastAsia="Arial" w:hAnsi="Arial"/>
          <w:sz w:val="16"/>
          <w:szCs w:val="16"/>
          <w:b w:val="1"/>
          <w:bCs w:val="1"/>
          <w:color w:val="auto"/>
        </w:rPr>
        <w:t>Units</w:t>
      </w:r>
      <w:r>
        <w:rPr>
          <w:rFonts w:ascii="Arial" w:cs="Arial" w:eastAsia="Arial" w:hAnsi="Arial"/>
          <w:sz w:val="16"/>
          <w:szCs w:val="16"/>
          <w:color w:val="auto"/>
        </w:rPr>
        <w:t>”) (including up to 1,500,000 Units subject to the underwriters’ option to purchase additional Units), each such Unit consisting of one share of common stock of the Company,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one-half of one redeemable warrant of the Company (each whole warrant, a “</w:t>
      </w:r>
      <w:r>
        <w:rPr>
          <w:rFonts w:ascii="Arial" w:cs="Arial" w:eastAsia="Arial" w:hAnsi="Arial"/>
          <w:sz w:val="16"/>
          <w:szCs w:val="16"/>
          <w:b w:val="1"/>
          <w:bCs w:val="1"/>
          <w:color w:val="auto"/>
        </w:rPr>
        <w:t>Warrant</w:t>
      </w:r>
      <w:r>
        <w:rPr>
          <w:rFonts w:ascii="Arial" w:cs="Arial" w:eastAsia="Arial" w:hAnsi="Arial"/>
          <w:sz w:val="16"/>
          <w:szCs w:val="16"/>
          <w:color w:val="auto"/>
        </w:rPr>
        <w:t>”), each Warrant exercisable for the purchase of one share of Common Stock, as set forth in the prospectus included in the Registration Statement (the “</w:t>
      </w:r>
      <w:r>
        <w:rPr>
          <w:rFonts w:ascii="Arial" w:cs="Arial" w:eastAsia="Arial" w:hAnsi="Arial"/>
          <w:sz w:val="16"/>
          <w:szCs w:val="16"/>
          <w:b w:val="1"/>
          <w:bCs w:val="1"/>
          <w:color w:val="auto"/>
        </w:rPr>
        <w:t>Prospectus</w:t>
      </w:r>
      <w:r>
        <w:rPr>
          <w:rFonts w:ascii="Arial" w:cs="Arial" w:eastAsia="Arial" w:hAnsi="Arial"/>
          <w:sz w:val="16"/>
          <w:szCs w:val="16"/>
          <w:color w:val="auto"/>
        </w:rPr>
        <w:t>”), and</w:t>
      </w:r>
    </w:p>
    <w:p>
      <w:pPr>
        <w:spacing w:after="0" w:line="1" w:lineRule="exact"/>
        <w:rPr>
          <w:sz w:val="20"/>
          <w:szCs w:val="20"/>
          <w:color w:val="auto"/>
        </w:rPr>
      </w:pPr>
    </w:p>
    <w:p>
      <w:pPr>
        <w:jc w:val="both"/>
        <w:ind w:firstLine="8"/>
        <w:spacing w:after="0" w:line="255" w:lineRule="auto"/>
        <w:tabs>
          <w:tab w:leader="none" w:pos="2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shares of Common Stock and all Warrants, in each case, issued as part of the Units, and (c) all shares of Common Stock underlying the Warrants (the “</w:t>
      </w:r>
      <w:r>
        <w:rPr>
          <w:rFonts w:ascii="Arial" w:cs="Arial" w:eastAsia="Arial" w:hAnsi="Arial"/>
          <w:sz w:val="18"/>
          <w:szCs w:val="18"/>
          <w:b w:val="1"/>
          <w:bCs w:val="1"/>
          <w:color w:val="auto"/>
        </w:rPr>
        <w:t>Warrant Shares</w:t>
      </w:r>
      <w:r>
        <w:rPr>
          <w:rFonts w:ascii="Arial" w:cs="Arial" w:eastAsia="Arial" w:hAnsi="Arial"/>
          <w:sz w:val="18"/>
          <w:szCs w:val="18"/>
          <w:color w:val="auto"/>
        </w:rPr>
        <w:t>”). The term “Units” also includes any additional Units (and the underlying securities) that may be issued by the Company pursuant to Rule 462(b) under the Securities Act in connection with the Offering.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This opinion letter is being furnished in accordance with the requirements of Item 601(b)(5) of Regulation S-K under the Securities Act.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reviewed originals or copies of the Registration Statement, the Prospectus, the certificate of incorporation and bylaws of the Company, as amended through the date hereof (the “</w:t>
      </w:r>
      <w:r>
        <w:rPr>
          <w:rFonts w:ascii="Arial" w:cs="Arial" w:eastAsia="Arial" w:hAnsi="Arial"/>
          <w:sz w:val="16"/>
          <w:szCs w:val="16"/>
          <w:b w:val="1"/>
          <w:bCs w:val="1"/>
          <w:color w:val="auto"/>
        </w:rPr>
        <w:t>Organizational Documents</w:t>
      </w:r>
      <w:r>
        <w:rPr>
          <w:rFonts w:ascii="Arial" w:cs="Arial" w:eastAsia="Arial" w:hAnsi="Arial"/>
          <w:sz w:val="16"/>
          <w:szCs w:val="16"/>
          <w:color w:val="auto"/>
        </w:rPr>
        <w:t>”), the form of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proposed to be entered into by the Company and Continental Stock Transfer &amp; Trust Company, as warrant agent (the “</w:t>
      </w:r>
      <w:r>
        <w:rPr>
          <w:rFonts w:ascii="Arial" w:cs="Arial" w:eastAsia="Arial" w:hAnsi="Arial"/>
          <w:sz w:val="16"/>
          <w:szCs w:val="16"/>
          <w:b w:val="1"/>
          <w:bCs w:val="1"/>
          <w:color w:val="auto"/>
        </w:rPr>
        <w:t>Warrant Agent</w:t>
      </w:r>
      <w:r>
        <w:rPr>
          <w:rFonts w:ascii="Arial" w:cs="Arial" w:eastAsia="Arial" w:hAnsi="Arial"/>
          <w:sz w:val="16"/>
          <w:szCs w:val="16"/>
          <w:color w:val="auto"/>
        </w:rPr>
        <w:t>”) that is filed as Exhibit 4.4 to the Registration Statement, and the form of Unit certificate filed as Exhibit 4.1 to the Registration Statement (together with the Warrant Agreement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and such other corporate records, agreements and documents of the Company, certificates or comparable documents of public officials and officers of the Company and have made such other investigations as we have deemed necessary as a basis for the opinions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t>In rendering the opinion set forth below, we have assumed:</w:t>
      </w:r>
    </w:p>
    <w:p>
      <w:pPr>
        <w:spacing w:after="0" w:line="225" w:lineRule="exact"/>
        <w:rPr>
          <w:sz w:val="20"/>
          <w:szCs w:val="20"/>
          <w:color w:val="auto"/>
        </w:rPr>
      </w:pPr>
    </w:p>
    <w:p>
      <w:pPr>
        <w:ind w:left="720" w:hanging="334"/>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genuineness of all signatures;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legal capacity of natural persons;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authenticity of all documents submitted to us as originals;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conformity to original documents of all documents submitted to us as duplicates or conformed copies;</w:t>
      </w:r>
    </w:p>
    <w:p>
      <w:pPr>
        <w:spacing w:after="0" w:line="225"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to matters of fact, the truthfulness of the representations made in certificates or comparable documents of public officials and officers of the Company;</w:t>
      </w:r>
    </w:p>
    <w:p>
      <w:pPr>
        <w:spacing w:after="0" w:line="170"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board of directors of the Company or a duly constituted and acting committee of such board of directors will have taken all action necessary to set the public offering price of the Units;</w:t>
      </w:r>
    </w:p>
    <w:p>
      <w:pPr>
        <w:spacing w:after="0" w:line="170"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with respect to the issuance of the Common Stock, the amount of valid consideration paid in respect of such Common Stock will equal or exceed the par value of such Common Stock; and</w:t>
      </w:r>
    </w:p>
    <w:p>
      <w:pPr>
        <w:spacing w:after="0" w:line="170" w:lineRule="exact"/>
        <w:rPr>
          <w:rFonts w:ascii="Arial" w:cs="Arial" w:eastAsia="Arial" w:hAnsi="Arial"/>
          <w:sz w:val="18"/>
          <w:szCs w:val="18"/>
          <w:color w:val="auto"/>
        </w:rPr>
      </w:pPr>
    </w:p>
    <w:p>
      <w:pPr>
        <w:jc w:val="both"/>
        <w:ind w:left="720" w:hanging="334"/>
        <w:spacing w:after="0" w:line="273" w:lineRule="auto"/>
        <w:tabs>
          <w:tab w:leader="none" w:pos="7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Documents nor the performance by the Company of its obligations thereunder, including the issuance and sale of the Units, Warrants, and Warrant Shares (i) conflicts or will conflict with the Organizational Documents,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(as defined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not independently established the validity of the foregoing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w:t>
      </w:r>
    </w:p>
    <w:p>
      <w:pPr>
        <w:spacing w:after="0" w:line="225" w:lineRule="exact"/>
        <w:rPr>
          <w:sz w:val="20"/>
          <w:szCs w:val="20"/>
          <w:color w:val="auto"/>
        </w:rPr>
      </w:pPr>
    </w:p>
    <w:p>
      <w:pPr>
        <w:jc w:val="both"/>
        <w:ind w:left="660" w:hanging="328"/>
        <w:spacing w:after="0" w:line="293"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Units, when issued and sold by the Company in the manner contemplated in the Registration Statement and Prospectus against payment therefor, and assuming the due authorization, execution and delivery of the Units by Continental Stock Transfer &amp; Trust Company, as transfer agent, will constitute the legal, valid, and binding obligations of the Company, enforceable against the Company in accordance with their terms under the laws of the State of New York,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Common Stock included in the Units, when the Units are issued and sold by the Company in the manner contemplated in the Registration Statement and Prospectus, against payment therefor, will be validly issued, fully paid, and nonassessable.</w:t>
      </w:r>
    </w:p>
    <w:p>
      <w:pPr>
        <w:spacing w:after="0" w:line="170"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Warrants included in the Units, when the Units are issued and sold by the Company in the manner contemplated in the Registration Statement and Prospectus against payment therefor, and assuming the due authorization, execution and delivery of such Warrants by the Warrant Agent, will constitute the legal, valid, and binding obligations of the Company, enforceable against the Company in accordance with their terms, under the laws of the State of New York,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4"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Common Stock issuable upon exercise of the Warrants, assuming the due authorization, execution and delivery of such Warrants by each of the Company and the Warrant Agent, in accordance with the Warrant Agreement,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6" w:name="page257"/>
    <w:bookmarkEnd w:id="256"/>
    <w:p>
      <w:pPr>
        <w:jc w:val="both"/>
        <w:spacing w:after="0" w:line="282" w:lineRule="auto"/>
        <w:rPr>
          <w:sz w:val="20"/>
          <w:szCs w:val="20"/>
          <w:color w:val="auto"/>
        </w:rPr>
      </w:pPr>
      <w:r>
        <w:rPr>
          <w:rFonts w:ascii="Arial" w:cs="Arial" w:eastAsia="Arial" w:hAnsi="Arial"/>
          <w:sz w:val="18"/>
          <w:szCs w:val="18"/>
          <w:color w:val="auto"/>
        </w:rPr>
        <w:t>Our opinion is limited to the laws of the State of New York and the General Corporation Law of the State of Delaware (collectively, the “</w:t>
      </w:r>
      <w:r>
        <w:rPr>
          <w:rFonts w:ascii="Arial" w:cs="Arial" w:eastAsia="Arial" w:hAnsi="Arial"/>
          <w:sz w:val="18"/>
          <w:szCs w:val="18"/>
          <w:b w:val="1"/>
          <w:bCs w:val="1"/>
          <w:color w:val="auto"/>
        </w:rPr>
        <w:t>Opined-on Law</w:t>
      </w:r>
      <w:r>
        <w:rPr>
          <w:rFonts w:ascii="Arial" w:cs="Arial" w:eastAsia="Arial" w:hAnsi="Arial"/>
          <w:sz w:val="18"/>
          <w:szCs w:val="18"/>
          <w:color w:val="auto"/>
        </w:rPr>
        <w:t>”) and we do not express any opinion herein concerning any other law. This opinion letter speaks only as of its date.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Prospectus. In giving such consent, we do not hereby admit that we are within the category of persons whose consent is required under Section 7 of the Securities Act, and the rules and regulations of the Commission promulgated thereunder.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/s/REED SMITH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REED SMITH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This letter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Chardan NexTech Acquisition 2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Chardan Capital Markets, LLC,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Underwriters named in Schedule A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comprised of one share of Common Stock of the Company,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one-half of one warrant, with each whole warrant being exercisable to purchase one share of Common Stock at a price of $11.50 per share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15 hereof.</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order to induce the Company and the Underwriters to enter into the Underwriting Agreement and to proceed with the IPO, and in recognition of the benefit that such IPO will confer upon each of the undersigned as a stockholder of the Company, and for other good and valuable consideration, the receipt and sufficiency of which are hereby acknowledged, each of Chardan NexTech Investments 2 LLC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Chardan NexTech 2 Warrant Holdings LLC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and the undersigned individuals, each of whom is a member of the Company’s board of directors and/or management team, hereby agrees with the Company as follows:</w:t>
      </w:r>
    </w:p>
    <w:p>
      <w:pPr>
        <w:spacing w:after="0" w:line="188" w:lineRule="exact"/>
        <w:rPr>
          <w:sz w:val="20"/>
          <w:szCs w:val="20"/>
          <w:color w:val="auto"/>
        </w:rPr>
      </w:pPr>
    </w:p>
    <w:p>
      <w:pPr>
        <w:ind w:right="20" w:firstLine="1304"/>
        <w:spacing w:after="0" w:line="277" w:lineRule="auto"/>
        <w:tabs>
          <w:tab w:leader="none" w:pos="148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officers and directors of the Company will not enter into a binding agreement for a proposed Business Combination or propose any Business Combination to shareholders of the Company, unless such action is first approved by the Sponsor.</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147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Subject to paragraph 1 hereof, if the Company solicits approval of its stockholders of a Business Combination, each of the undersigned will vote all shares of Common Stock beneficially owned by him, her or it, whether acquired before, in or after the IPO, in favor of such Business Combination.</w:t>
      </w:r>
    </w:p>
    <w:p>
      <w:pPr>
        <w:spacing w:after="0" w:line="183" w:lineRule="exact"/>
        <w:rPr>
          <w:rFonts w:ascii="Arial" w:cs="Arial" w:eastAsia="Arial" w:hAnsi="Arial"/>
          <w:sz w:val="18"/>
          <w:szCs w:val="18"/>
          <w:color w:val="auto"/>
        </w:rPr>
      </w:pPr>
    </w:p>
    <w:p>
      <w:pPr>
        <w:jc w:val="both"/>
        <w:ind w:firstLine="1304"/>
        <w:spacing w:after="0" w:line="301" w:lineRule="auto"/>
        <w:tabs>
          <w:tab w:leader="none" w:pos="147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 In the event that the Company fails to consummate a Business Combination within 15 months from the closing of the IPO (or up to 21 months from the closing of the IPO if such date is extended as described in the prospectus relating to the IPO), each of the undersigned shall take all reasonable steps to (i) cause the Trust Fund to be liquidated and distributed to the holders of IPO Shares and (ii) cause the Company to liquidate promptly as reasonably possible but not more than five business days after the date we are required to consummate a Business Combination.</w:t>
      </w:r>
    </w:p>
    <w:p>
      <w:pPr>
        <w:spacing w:after="0" w:line="157" w:lineRule="exact"/>
        <w:rPr>
          <w:rFonts w:ascii="Arial" w:cs="Arial" w:eastAsia="Arial" w:hAnsi="Arial"/>
          <w:sz w:val="16"/>
          <w:szCs w:val="16"/>
          <w:color w:val="auto"/>
        </w:rPr>
      </w:pPr>
    </w:p>
    <w:p>
      <w:pPr>
        <w:jc w:val="both"/>
        <w:ind w:firstLine="1466"/>
        <w:spacing w:after="0" w:line="296" w:lineRule="auto"/>
        <w:tabs>
          <w:tab w:leader="none" w:pos="1727"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Each of the undersigned hereby waives any and all right, title, interest or claim of any kind in or to any distribution of the Trust Fund and any remaining net assets of the Company as a result of such liquidation with respect to his, her or its Insider Shares, Private Warrants,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and hereby waives any Claim such undersigned may have in the future as a result of, or arising out of, any contracts or agreements with the Company and will not seek recourse against the Trust Fund for any reason whatsoever. Each of the undersigned acknowledges and agrees that there will be no distribution from the Trust Fund with respect to any Common Stock underlying the Private Warrants, all rights of which will terminate on the Company’s liquidation.</w:t>
      </w:r>
    </w:p>
    <w:p>
      <w:pPr>
        <w:spacing w:after="0" w:line="161" w:lineRule="exact"/>
        <w:rPr>
          <w:rFonts w:ascii="Arial" w:cs="Arial" w:eastAsia="Arial" w:hAnsi="Arial"/>
          <w:sz w:val="16"/>
          <w:szCs w:val="16"/>
          <w:color w:val="auto"/>
        </w:rPr>
      </w:pPr>
    </w:p>
    <w:p>
      <w:pPr>
        <w:jc w:val="both"/>
        <w:ind w:firstLine="1466"/>
        <w:spacing w:after="0" w:line="293" w:lineRule="auto"/>
        <w:tabs>
          <w:tab w:leader="none" w:pos="1709"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In the event of the liquidation of the Trust Fund, the Sponsor agrees to indemnify and hold harmless the Company against any and all loss, liability, claims, damage and expense whatsoever (including, but not limited to, any and all legal or other expenses reasonably incurred in investigating, preparing or defending against any litigation, whether pending or threatened, or any claim whatsoever), which the Company may become subject as a result of any claim by any vendor or other person who is owed money by the Company for services rendered or products sold or contracted for, but only to the extent necessary to ensure that such loss, liability, claim, damage or expense does not reduce the amount of funds in the Trust 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indemnity shall not apply if such vendor or other person has executed an agreement waiving any claims against the Trust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8" w:name="page259"/>
    <w:bookmarkEnd w:id="258"/>
    <w:p>
      <w:pPr>
        <w:jc w:val="both"/>
        <w:ind w:left="-1120" w:firstLine="1466"/>
        <w:spacing w:after="0" w:line="263" w:lineRule="auto"/>
        <w:tabs>
          <w:tab w:leader="none" w:pos="60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the event that the Company does not consummate a Business Combination and must liquidate and its remaining net assets are insufficient to complete such liquidation, each of the undersigned officers and directors agree to advance such funds necessary to complete such liquidation and agrees not to seek repayment for such expenses.</w:t>
      </w:r>
    </w:p>
    <w:p>
      <w:pPr>
        <w:spacing w:after="0" w:line="183" w:lineRule="exact"/>
        <w:rPr>
          <w:rFonts w:ascii="Arial" w:cs="Arial" w:eastAsia="Arial" w:hAnsi="Arial"/>
          <w:sz w:val="18"/>
          <w:szCs w:val="18"/>
          <w:color w:val="auto"/>
        </w:rPr>
      </w:pPr>
    </w:p>
    <w:p>
      <w:pPr>
        <w:jc w:val="both"/>
        <w:ind w:left="-1120" w:firstLine="1304"/>
        <w:spacing w:after="0" w:line="270" w:lineRule="auto"/>
        <w:tabs>
          <w:tab w:leader="none" w:pos="36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Each of the undersigned will place into escrow all of his, her or its Insider Shares held by the undersigned pursuant to the terms of a Stock Escrow Agreement which the Company will enter into with each of the undersigned, as applicable, and an escrow agent acceptable to the Company. 50% of such Insider Shares shall not be transferred, assigned, sold, or released from escrow until the earlier of (a) six months after the date of the consummation of the Business Combination or (b) the date on which the closing price of the shares of Common Stock equals or exceeds $12.50 per share (as adjusted for stock splits, stock dividends, reorganizations and recapitalizations) for any 10 trading days within any 30-trading day period commencing after our Business Combination. The remaining 50% of the Insider Shares will not be transferred, assigned, sold or released from escrow until six months after the date of Business Combination or earlier, in either case, if, subsequent to our Business Combination, the Company consummates a subsequent liquidation, merger, stock exchange or other similar transaction that results in all of the Company’s stockholders having the right to exchange their shares of Common Stock for cash, securities or other property.</w:t>
      </w:r>
    </w:p>
    <w:p>
      <w:pPr>
        <w:spacing w:after="0" w:line="180" w:lineRule="exact"/>
        <w:rPr>
          <w:rFonts w:ascii="Arial" w:cs="Arial" w:eastAsia="Arial" w:hAnsi="Arial"/>
          <w:sz w:val="17"/>
          <w:szCs w:val="17"/>
          <w:color w:val="auto"/>
        </w:rPr>
      </w:pPr>
    </w:p>
    <w:p>
      <w:pPr>
        <w:jc w:val="both"/>
        <w:ind w:left="-1120" w:firstLine="1304"/>
        <w:spacing w:after="0" w:line="255" w:lineRule="auto"/>
        <w:tabs>
          <w:tab w:leader="none" w:pos="3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Holdings agrees that until the Company consummates a Business Combination, the Private Warrants held by Holdings will be subject to the transfer restrictions described in the Subscription Agreement relating to the Private Warrants held by Holdings. Holdings shall not sell, transfer, assign, pledge or hypothecate any of the Private Warrants issuable to Holdings pursuant to the Private Warrant Purchase Agreement or shares of Common Stock issuable upon the exercise of the Private Warrants pursuant to the Private Warrant Purchase Agreement, or subject any of such securities to any hedging, short sale, derivative, put, or call transaction that would result in the effective economic disposition of such securities, except as provided in FINRA Rule 5110(e)(2).</w:t>
      </w:r>
    </w:p>
    <w:p>
      <w:pPr>
        <w:spacing w:after="0" w:line="192" w:lineRule="exact"/>
        <w:rPr>
          <w:rFonts w:ascii="Arial" w:cs="Arial" w:eastAsia="Arial" w:hAnsi="Arial"/>
          <w:sz w:val="18"/>
          <w:szCs w:val="18"/>
          <w:color w:val="auto"/>
        </w:rPr>
      </w:pPr>
    </w:p>
    <w:p>
      <w:pPr>
        <w:jc w:val="both"/>
        <w:ind w:left="-1120" w:firstLine="1304"/>
        <w:spacing w:after="0" w:line="259" w:lineRule="auto"/>
        <w:tabs>
          <w:tab w:leader="none" w:pos="35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each of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such undersigned might have.</w:t>
      </w:r>
    </w:p>
    <w:p>
      <w:pPr>
        <w:spacing w:after="0" w:line="186" w:lineRule="exact"/>
        <w:rPr>
          <w:rFonts w:ascii="Arial" w:cs="Arial" w:eastAsia="Arial" w:hAnsi="Arial"/>
          <w:sz w:val="18"/>
          <w:szCs w:val="18"/>
          <w:color w:val="auto"/>
        </w:rPr>
      </w:pPr>
    </w:p>
    <w:p>
      <w:pPr>
        <w:jc w:val="both"/>
        <w:ind w:left="-1120" w:firstLine="1304"/>
        <w:spacing w:after="0" w:line="275" w:lineRule="auto"/>
        <w:tabs>
          <w:tab w:leader="none" w:pos="37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Subject to paragraph 1 hereof, each of 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76" w:lineRule="exact"/>
        <w:rPr>
          <w:rFonts w:ascii="Arial" w:cs="Arial" w:eastAsia="Arial" w:hAnsi="Arial"/>
          <w:sz w:val="17"/>
          <w:szCs w:val="17"/>
          <w:color w:val="auto"/>
        </w:rPr>
      </w:pPr>
    </w:p>
    <w:p>
      <w:pPr>
        <w:jc w:val="both"/>
        <w:ind w:left="-1120" w:firstLine="1304"/>
        <w:spacing w:after="0" w:line="296" w:lineRule="auto"/>
        <w:tabs>
          <w:tab w:leader="none" w:pos="3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None of the undersigned, nor any respective family member of the undersigned, nor any respective affiliate of the undersigned will be entitled to receive and will not accept any compensation or other cash payment prior to, or for services rendered in connection with, the consummation of the Business Combination, except for any fees paid pursuant to the Business Combination Marketing Agreement by and between the Company and the Representative. Notwithstanding the foregoing, each of the undersigned and any affiliate of the undersigned shall be entitled to reimbursement from the Company for their out-of-pocket expenses incurred in connection with identifying, investigating and consummating a Business Combination.</w:t>
      </w:r>
    </w:p>
    <w:p>
      <w:pPr>
        <w:spacing w:after="0" w:line="161" w:lineRule="exact"/>
        <w:rPr>
          <w:rFonts w:ascii="Arial" w:cs="Arial" w:eastAsia="Arial" w:hAnsi="Arial"/>
          <w:sz w:val="16"/>
          <w:szCs w:val="16"/>
          <w:color w:val="auto"/>
        </w:rPr>
      </w:pPr>
    </w:p>
    <w:p>
      <w:pPr>
        <w:jc w:val="both"/>
        <w:ind w:left="-1120" w:firstLine="1304"/>
        <w:spacing w:after="0" w:line="263" w:lineRule="auto"/>
        <w:tabs>
          <w:tab w:leader="none" w:pos="3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None of the undersigned, nor any respective family member of the undersigned, nor any respective affiliate of the undersigned will be entitled to receive or accept a finder’s fee or any other compensation in the event any of the undersigned, any respective family member of the undersigned or any respective affiliate of the undersigned originates a Business Combination.</w:t>
      </w:r>
    </w:p>
    <w:p>
      <w:pPr>
        <w:spacing w:after="0" w:line="399" w:lineRule="exact"/>
        <w:rPr>
          <w:rFonts w:ascii="Arial" w:cs="Arial" w:eastAsia="Arial" w:hAnsi="Arial"/>
          <w:sz w:val="18"/>
          <w:szCs w:val="18"/>
          <w:color w:val="auto"/>
        </w:rPr>
      </w:pPr>
    </w:p>
    <w:p>
      <w:pPr>
        <w:ind w:left="4460" w:hanging="99"/>
        <w:spacing w:after="0"/>
        <w:tabs>
          <w:tab w:leader="none" w:pos="446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9" w:name="page260"/>
    <w:bookmarkEnd w:id="259"/>
    <w:p>
      <w:pPr>
        <w:jc w:val="both"/>
        <w:ind w:left="-656" w:firstLine="1304"/>
        <w:spacing w:after="0" w:line="272" w:lineRule="auto"/>
        <w:tabs>
          <w:tab w:leader="none" w:pos="918" w:val="left"/>
        </w:tabs>
        <w:numPr>
          <w:ilvl w:val="1"/>
          <w:numId w:val="131"/>
        </w:numPr>
        <w:rPr>
          <w:rFonts w:ascii="Arial" w:cs="Arial" w:eastAsia="Arial" w:hAnsi="Arial"/>
          <w:sz w:val="17"/>
          <w:szCs w:val="17"/>
          <w:color w:val="auto"/>
        </w:rPr>
      </w:pPr>
      <w:r>
        <w:rPr>
          <w:rFonts w:ascii="Arial" w:cs="Arial" w:eastAsia="Arial" w:hAnsi="Arial"/>
          <w:sz w:val="17"/>
          <w:szCs w:val="17"/>
          <w:color w:val="auto"/>
        </w:rPr>
        <w:t>Each undersigned director/officer agrees to serve the Company in his/her duly appointed role as a director/officer until the earlier of the consummation by the Company of a Business Combination or the liquidation of the Company. Each undersigned director/officer’s biographical information previously furnished to the Company and the Representative is true and accurate in all material respects, does not omit any material information with respect to such undersigned director/officer’s biography, and contains all of the information required to be disclosed pursuant to Item 401 of Regulation S-K, promulgated under the Securities Act of 1933. Each undersigned director/officer’s FINRA Questionnaire and Director and Officer Questionnaire previously furnished to the Company and the Representative is true and accurate in all material respects. Each undersigned director/officer represents and warrants that, except as disclosed in such undersigned director/officer’s Director and Officer Questionnaire:</w:t>
      </w:r>
    </w:p>
    <w:p>
      <w:pPr>
        <w:spacing w:after="0" w:line="177" w:lineRule="exact"/>
        <w:rPr>
          <w:rFonts w:ascii="Arial" w:cs="Arial" w:eastAsia="Arial" w:hAnsi="Arial"/>
          <w:sz w:val="17"/>
          <w:szCs w:val="17"/>
          <w:color w:val="auto"/>
        </w:rPr>
      </w:pPr>
    </w:p>
    <w:p>
      <w:pPr>
        <w:ind w:left="644" w:hanging="644"/>
        <w:spacing w:after="0" w:line="271" w:lineRule="auto"/>
        <w:tabs>
          <w:tab w:leader="none" w:pos="64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ind w:left="644" w:hanging="644"/>
        <w:spacing w:after="0" w:line="250" w:lineRule="auto"/>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he/she/it has never had a receiver, fiscal agent or similar officer been appointed by a court for his/her/its business or property, or any such partnership;</w:t>
      </w:r>
    </w:p>
    <w:p>
      <w:pPr>
        <w:ind w:left="644" w:hanging="644"/>
        <w:spacing w:after="0"/>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he/she/it has never been convicted of fraud in a civil or criminal proceeding;</w:t>
      </w:r>
    </w:p>
    <w:p>
      <w:pPr>
        <w:spacing w:after="0" w:line="9" w:lineRule="exact"/>
        <w:rPr>
          <w:rFonts w:ascii="Arial" w:cs="Arial" w:eastAsia="Arial" w:hAnsi="Arial"/>
          <w:sz w:val="18"/>
          <w:szCs w:val="18"/>
          <w:color w:val="auto"/>
        </w:rPr>
      </w:pPr>
    </w:p>
    <w:p>
      <w:pPr>
        <w:ind w:left="644" w:hanging="644"/>
        <w:spacing w:after="0" w:line="250" w:lineRule="auto"/>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he/she/it/ has never been convicted in a criminal proceeding or named the subject of a pending criminal proceeding (excluding traffic violations and minor offenses);</w:t>
      </w:r>
    </w:p>
    <w:p>
      <w:pPr>
        <w:jc w:val="both"/>
        <w:ind w:left="644" w:hanging="644"/>
        <w:spacing w:after="0" w:line="250" w:lineRule="auto"/>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(“CFTC”)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3"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w:t>
      </w:r>
    </w:p>
    <w:p>
      <w:pPr>
        <w:spacing w:after="0" w:line="1" w:lineRule="exact"/>
        <w:rPr>
          <w:rFonts w:ascii="Arial" w:cs="Arial" w:eastAsia="Arial" w:hAnsi="Arial"/>
          <w:sz w:val="16"/>
          <w:szCs w:val="16"/>
          <w:color w:val="auto"/>
        </w:rPr>
      </w:pPr>
    </w:p>
    <w:p>
      <w:pPr>
        <w:ind w:left="644"/>
        <w:spacing w:after="0"/>
        <w:rPr>
          <w:rFonts w:ascii="Arial" w:cs="Arial" w:eastAsia="Arial" w:hAnsi="Arial"/>
          <w:sz w:val="16"/>
          <w:szCs w:val="16"/>
          <w:color w:val="auto"/>
        </w:rPr>
      </w:pPr>
      <w:r>
        <w:rPr>
          <w:rFonts w:ascii="Arial" w:cs="Arial" w:eastAsia="Arial" w:hAnsi="Arial"/>
          <w:sz w:val="18"/>
          <w:szCs w:val="18"/>
          <w:color w:val="auto"/>
        </w:rPr>
        <w:t>(i) above, or to be associated with persons engaged in any such activity;</w:t>
      </w:r>
    </w:p>
    <w:p>
      <w:pPr>
        <w:spacing w:after="0" w:line="9" w:lineRule="exact"/>
        <w:rPr>
          <w:rFonts w:ascii="Arial" w:cs="Arial" w:eastAsia="Arial" w:hAnsi="Arial"/>
          <w:sz w:val="16"/>
          <w:szCs w:val="16"/>
          <w:color w:val="auto"/>
        </w:rPr>
      </w:pPr>
    </w:p>
    <w:p>
      <w:pPr>
        <w:ind w:left="644" w:hanging="644"/>
        <w:spacing w:after="0" w:line="281" w:lineRule="auto"/>
        <w:tabs>
          <w:tab w:leader="none" w:pos="64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2" w:lineRule="exact"/>
        <w:rPr>
          <w:rFonts w:ascii="Arial" w:cs="Arial" w:eastAsia="Arial" w:hAnsi="Arial"/>
          <w:sz w:val="16"/>
          <w:szCs w:val="16"/>
          <w:color w:val="auto"/>
        </w:rPr>
      </w:pPr>
    </w:p>
    <w:p>
      <w:pPr>
        <w:jc w:val="both"/>
        <w:ind w:left="644" w:hanging="644"/>
        <w:spacing w:after="0" w:line="255" w:lineRule="auto"/>
        <w:tabs>
          <w:tab w:leader="none" w:pos="6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924" w:hanging="99"/>
        <w:spacing w:after="0"/>
        <w:tabs>
          <w:tab w:leader="none" w:pos="4924" w:val="left"/>
        </w:tabs>
        <w:numPr>
          <w:ilvl w:val="2"/>
          <w:numId w:val="132"/>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0" w:name="page261"/>
    <w:bookmarkEnd w:id="260"/>
    <w:p>
      <w:pPr>
        <w:jc w:val="both"/>
        <w:ind w:left="644" w:hanging="644"/>
        <w:spacing w:after="0" w:line="255" w:lineRule="auto"/>
        <w:tabs>
          <w:tab w:leader="none" w:pos="6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2"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2" w:lineRule="exact"/>
        <w:rPr>
          <w:rFonts w:ascii="Arial" w:cs="Arial" w:eastAsia="Arial" w:hAnsi="Arial"/>
          <w:sz w:val="16"/>
          <w:szCs w:val="16"/>
          <w:color w:val="auto"/>
        </w:rPr>
      </w:pPr>
    </w:p>
    <w:p>
      <w:pPr>
        <w:jc w:val="both"/>
        <w:ind w:left="644" w:hanging="644"/>
        <w:spacing w:after="0" w:line="281" w:lineRule="auto"/>
        <w:tabs>
          <w:tab w:leader="none" w:pos="64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2"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 w:lineRule="exact"/>
        <w:rPr>
          <w:rFonts w:ascii="Arial" w:cs="Arial" w:eastAsia="Arial" w:hAnsi="Arial"/>
          <w:sz w:val="18"/>
          <w:szCs w:val="18"/>
          <w:color w:val="auto"/>
        </w:rPr>
      </w:pPr>
    </w:p>
    <w:p>
      <w:pPr>
        <w:jc w:val="both"/>
        <w:ind w:left="644" w:right="20" w:hanging="644"/>
        <w:spacing w:after="0" w:line="250" w:lineRule="auto"/>
        <w:tabs>
          <w:tab w:leader="none" w:pos="6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 w:lineRule="exact"/>
        <w:rPr>
          <w:rFonts w:ascii="Arial" w:cs="Arial" w:eastAsia="Arial" w:hAnsi="Arial"/>
          <w:sz w:val="18"/>
          <w:szCs w:val="18"/>
          <w:color w:val="auto"/>
        </w:rPr>
      </w:pPr>
    </w:p>
    <w:p>
      <w:pPr>
        <w:jc w:val="both"/>
        <w:ind w:left="644" w:hanging="644"/>
        <w:spacing w:after="0" w:line="250" w:lineRule="auto"/>
        <w:tabs>
          <w:tab w:leader="none" w:pos="6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 w:lineRule="exact"/>
        <w:rPr>
          <w:rFonts w:ascii="Arial" w:cs="Arial" w:eastAsia="Arial" w:hAnsi="Arial"/>
          <w:sz w:val="18"/>
          <w:szCs w:val="18"/>
          <w:color w:val="auto"/>
        </w:rPr>
      </w:pPr>
    </w:p>
    <w:p>
      <w:pPr>
        <w:jc w:val="both"/>
        <w:ind w:left="644" w:hanging="644"/>
        <w:spacing w:after="0" w:line="281" w:lineRule="auto"/>
        <w:tabs>
          <w:tab w:leader="none" w:pos="64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such undersigned from: (i) association with an entity regulated by such commission, authority, agency or officer; (ii) engaging in the business of securities, insurance or banking; or (iii) engaging in savings association or credit union activities;</w:t>
      </w:r>
    </w:p>
    <w:p>
      <w:pPr>
        <w:spacing w:after="0" w:line="2" w:lineRule="exact"/>
        <w:rPr>
          <w:rFonts w:ascii="Arial" w:cs="Arial" w:eastAsia="Arial" w:hAnsi="Arial"/>
          <w:sz w:val="16"/>
          <w:szCs w:val="16"/>
          <w:color w:val="auto"/>
        </w:rPr>
      </w:pPr>
    </w:p>
    <w:p>
      <w:pPr>
        <w:jc w:val="both"/>
        <w:ind w:left="644" w:hanging="644"/>
        <w:spacing w:after="0" w:line="250" w:lineRule="auto"/>
        <w:tabs>
          <w:tab w:leader="none" w:pos="64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such undersigned’s registration as a broker, dealer, municipal securities dealer or investment adviser; (ii) places limitations on the activities, functions or operations of, or imposes civil money penalties on, such person; or (iii) bars such undersigned from being associated with any entity or from participating in the offering of any penny stock; and</w:t>
      </w:r>
    </w:p>
    <w:p>
      <w:pPr>
        <w:spacing w:after="0" w:line="1" w:lineRule="exact"/>
        <w:rPr>
          <w:rFonts w:ascii="Arial" w:cs="Arial" w:eastAsia="Arial" w:hAnsi="Arial"/>
          <w:sz w:val="18"/>
          <w:szCs w:val="18"/>
          <w:color w:val="auto"/>
        </w:rPr>
      </w:pPr>
    </w:p>
    <w:p>
      <w:pPr>
        <w:jc w:val="both"/>
        <w:ind w:left="644" w:hanging="644"/>
        <w:spacing w:after="0" w:line="277" w:lineRule="auto"/>
        <w:tabs>
          <w:tab w:leader="none" w:pos="644" w:val="left"/>
        </w:tabs>
        <w:numPr>
          <w:ilvl w:val="0"/>
          <w:numId w:val="133"/>
        </w:numPr>
        <w:rPr>
          <w:rFonts w:ascii="Arial" w:cs="Arial" w:eastAsia="Arial" w:hAnsi="Arial"/>
          <w:sz w:val="17"/>
          <w:szCs w:val="17"/>
          <w:color w:val="auto"/>
        </w:rPr>
      </w:pPr>
      <w:r>
        <w:rPr>
          <w:rFonts w:ascii="Arial" w:cs="Arial" w:eastAsia="Arial" w:hAnsi="Arial"/>
          <w:sz w:val="17"/>
          <w:szCs w:val="17"/>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3" w:lineRule="exact"/>
        <w:rPr>
          <w:sz w:val="20"/>
          <w:szCs w:val="20"/>
          <w:color w:val="auto"/>
        </w:rPr>
      </w:pPr>
    </w:p>
    <w:p>
      <w:pPr>
        <w:ind w:left="-656" w:firstLine="1304"/>
        <w:spacing w:after="0" w:line="277" w:lineRule="auto"/>
        <w:tabs>
          <w:tab w:leader="none" w:pos="91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undersigned director/officer has full right and power, without violating any agreement by which he is bound, to enter into this letter agreement and to serve in his/her designated capacity of the Company, as described in the Registration Statement.</w:t>
      </w:r>
    </w:p>
    <w:p>
      <w:pPr>
        <w:spacing w:after="0" w:line="170" w:lineRule="exact"/>
        <w:rPr>
          <w:rFonts w:ascii="Arial" w:cs="Arial" w:eastAsia="Arial" w:hAnsi="Arial"/>
          <w:sz w:val="18"/>
          <w:szCs w:val="18"/>
          <w:color w:val="auto"/>
        </w:rPr>
      </w:pPr>
    </w:p>
    <w:p>
      <w:pPr>
        <w:jc w:val="both"/>
        <w:ind w:left="-656" w:firstLine="1304"/>
        <w:spacing w:after="0" w:line="257" w:lineRule="auto"/>
        <w:tabs>
          <w:tab w:leader="none" w:pos="91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of the undersigned hereby waives his, her or its right to exercise conversion rights with respect to any shares of Common Stock owned or to be owned by him, her or it, directly or indirectly, whether purchased by him, her or it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924" w:hanging="99"/>
        <w:spacing w:after="0"/>
        <w:tabs>
          <w:tab w:leader="none" w:pos="492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1" w:name="page262"/>
    <w:bookmarkEnd w:id="261"/>
    <w:p>
      <w:pPr>
        <w:jc w:val="both"/>
        <w:ind w:firstLine="1304"/>
        <w:spacing w:after="0" w:line="257" w:lineRule="auto"/>
        <w:tabs>
          <w:tab w:leader="none" w:pos="157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of the undersigned hereby agrees to not propose, or vote in favor of, an amendment to the Company’s Amended and Restated Certificate of Incorporation that would affect the substance or timing of the Company’s obligation to redeem the IPO Shares if the Company cannot complete an initial business combination within 15 months (or up to 21 months if such date is extended as described in the prospectus relating to the IPO) unless the Company offers holders of IPO Shares the right to receive their pro rata portion of the funds then held in the Trust Fund upon approval of any such amendment.</w:t>
      </w:r>
    </w:p>
    <w:p>
      <w:pPr>
        <w:spacing w:after="0" w:line="187" w:lineRule="exact"/>
        <w:rPr>
          <w:rFonts w:ascii="Arial" w:cs="Arial" w:eastAsia="Arial" w:hAnsi="Arial"/>
          <w:sz w:val="18"/>
          <w:szCs w:val="18"/>
          <w:color w:val="auto"/>
        </w:rPr>
      </w:pPr>
    </w:p>
    <w:p>
      <w:pPr>
        <w:jc w:val="both"/>
        <w:ind w:firstLine="1304"/>
        <w:spacing w:after="0" w:line="253" w:lineRule="auto"/>
        <w:tabs>
          <w:tab w:leader="none" w:pos="157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Arial" w:cs="Arial" w:eastAsia="Arial" w:hAnsi="Arial"/>
          <w:sz w:val="18"/>
          <w:szCs w:val="18"/>
          <w:b w:val="1"/>
          <w:bCs w:val="1"/>
          <w:i w:val="1"/>
          <w:iCs w:val="1"/>
          <w:color w:val="auto"/>
        </w:rPr>
        <w:t>AAA</w:t>
      </w:r>
      <w:r>
        <w:rPr>
          <w:rFonts w:ascii="Arial" w:cs="Arial" w:eastAsia="Arial" w:hAnsi="Arial"/>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96" w:lineRule="exact"/>
        <w:rPr>
          <w:rFonts w:ascii="Arial" w:cs="Arial" w:eastAsia="Arial" w:hAnsi="Arial"/>
          <w:sz w:val="18"/>
          <w:szCs w:val="18"/>
          <w:color w:val="auto"/>
        </w:rPr>
      </w:pPr>
    </w:p>
    <w:p>
      <w:pPr>
        <w:jc w:val="both"/>
        <w:ind w:firstLine="1304"/>
        <w:spacing w:after="0" w:line="253" w:lineRule="auto"/>
        <w:tabs>
          <w:tab w:leader="none" w:pos="163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used herein, (i)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 merger, share exchange, asset acquisition, stock purchase, recapitalization, reorganization or other similar business combination with one or more businesses or entities; (ii)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shall mean all officers, directors and securityholders of the Company immediately prior to the IPO; (iii) “</w:t>
      </w:r>
      <w:r>
        <w:rPr>
          <w:rFonts w:ascii="Arial" w:cs="Arial" w:eastAsia="Arial" w:hAnsi="Arial"/>
          <w:sz w:val="18"/>
          <w:szCs w:val="18"/>
          <w:b w:val="1"/>
          <w:bCs w:val="1"/>
          <w:i w:val="1"/>
          <w:iCs w:val="1"/>
          <w:color w:val="auto"/>
        </w:rPr>
        <w:t>Insider Shares</w:t>
      </w:r>
      <w:r>
        <w:rPr>
          <w:rFonts w:ascii="Arial" w:cs="Arial" w:eastAsia="Arial" w:hAnsi="Arial"/>
          <w:sz w:val="18"/>
          <w:szCs w:val="18"/>
          <w:color w:val="auto"/>
        </w:rPr>
        <w:t>” shall include all of the shares of Common Stock of the Company acquired by an Insider prior to the IPO and; (iv) “</w:t>
      </w:r>
      <w:r>
        <w:rPr>
          <w:rFonts w:ascii="Arial" w:cs="Arial" w:eastAsia="Arial" w:hAnsi="Arial"/>
          <w:sz w:val="18"/>
          <w:szCs w:val="18"/>
          <w:b w:val="1"/>
          <w:bCs w:val="1"/>
          <w:i w:val="1"/>
          <w:iCs w:val="1"/>
          <w:color w:val="auto"/>
        </w:rPr>
        <w:t>IPO Shares</w:t>
      </w:r>
      <w:r>
        <w:rPr>
          <w:rFonts w:ascii="Arial" w:cs="Arial" w:eastAsia="Arial" w:hAnsi="Arial"/>
          <w:sz w:val="18"/>
          <w:szCs w:val="18"/>
          <w:color w:val="auto"/>
        </w:rPr>
        <w:t>” shall mean the shares of Common Stock issued in the Company’s IPO; (v) “</w:t>
      </w:r>
      <w:r>
        <w:rPr>
          <w:rFonts w:ascii="Arial" w:cs="Arial" w:eastAsia="Arial" w:hAnsi="Arial"/>
          <w:sz w:val="18"/>
          <w:szCs w:val="18"/>
          <w:b w:val="1"/>
          <w:bCs w:val="1"/>
          <w:i w:val="1"/>
          <w:iCs w:val="1"/>
          <w:color w:val="auto"/>
        </w:rPr>
        <w:t>Private Warrants</w:t>
      </w:r>
      <w:r>
        <w:rPr>
          <w:rFonts w:ascii="Arial" w:cs="Arial" w:eastAsia="Arial" w:hAnsi="Arial"/>
          <w:sz w:val="18"/>
          <w:szCs w:val="18"/>
          <w:color w:val="auto"/>
        </w:rPr>
        <w:t>” shall mean the warrants (and the underlying securities) purchased in the private placement taking place simultaneously with the consummation of the Company’s IPO; (vi) “</w:t>
      </w:r>
      <w:r>
        <w:rPr>
          <w:rFonts w:ascii="Arial" w:cs="Arial" w:eastAsia="Arial" w:hAnsi="Arial"/>
          <w:sz w:val="18"/>
          <w:szCs w:val="18"/>
          <w:b w:val="1"/>
          <w:bCs w:val="1"/>
          <w:i w:val="1"/>
          <w:iCs w:val="1"/>
          <w:color w:val="auto"/>
        </w:rPr>
        <w:t>Private Warrant Purchase Agreement</w:t>
      </w:r>
      <w:r>
        <w:rPr>
          <w:rFonts w:ascii="Arial" w:cs="Arial" w:eastAsia="Arial" w:hAnsi="Arial"/>
          <w:sz w:val="18"/>
          <w:szCs w:val="18"/>
          <w:color w:val="auto"/>
        </w:rPr>
        <w:t>” shall mean that certain Private Warrant Purchase Agreement by and between the Company and Holdings to be executed in connection with the IPO; (vii)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filed by the Company with respect to the IPO; and (viii) “</w:t>
      </w:r>
      <w:r>
        <w:rPr>
          <w:rFonts w:ascii="Arial" w:cs="Arial" w:eastAsia="Arial" w:hAnsi="Arial"/>
          <w:sz w:val="18"/>
          <w:szCs w:val="18"/>
          <w:b w:val="1"/>
          <w:bCs w:val="1"/>
          <w:i w:val="1"/>
          <w:iCs w:val="1"/>
          <w:color w:val="auto"/>
        </w:rPr>
        <w:t>Trust Fund</w:t>
      </w:r>
      <w:r>
        <w:rPr>
          <w:rFonts w:ascii="Arial" w:cs="Arial" w:eastAsia="Arial" w:hAnsi="Arial"/>
          <w:sz w:val="18"/>
          <w:szCs w:val="18"/>
          <w:color w:val="auto"/>
        </w:rPr>
        <w:t>” shall mean the trust fund into which a portion of the net proceeds of the Company’s IPO will be deposited.</w:t>
      </w:r>
    </w:p>
    <w:p>
      <w:pPr>
        <w:spacing w:after="0" w:line="196" w:lineRule="exact"/>
        <w:rPr>
          <w:rFonts w:ascii="Arial" w:cs="Arial" w:eastAsia="Arial" w:hAnsi="Arial"/>
          <w:sz w:val="18"/>
          <w:szCs w:val="18"/>
          <w:color w:val="auto"/>
        </w:rPr>
      </w:pPr>
    </w:p>
    <w:p>
      <w:pPr>
        <w:jc w:val="both"/>
        <w:ind w:right="20" w:firstLine="1304"/>
        <w:spacing w:after="0" w:line="263" w:lineRule="auto"/>
        <w:tabs>
          <w:tab w:leader="none" w:pos="158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(646) 465-9039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Greenberg Traurig,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Jason T. Simon,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806-6400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521-5450</w:t>
      </w:r>
    </w:p>
    <w:p>
      <w:pPr>
        <w:spacing w:after="0" w:line="211" w:lineRule="exact"/>
        <w:rPr>
          <w:sz w:val="20"/>
          <w:szCs w:val="20"/>
          <w:color w:val="auto"/>
        </w:rPr>
      </w:pPr>
    </w:p>
    <w:p>
      <w:pPr>
        <w:jc w:val="both"/>
        <w:ind w:firstLine="1304"/>
        <w:spacing w:after="0" w:line="311" w:lineRule="auto"/>
        <w:tabs>
          <w:tab w:leader="none" w:pos="156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159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of 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3" w:name="page264"/>
    <w:bookmarkEnd w:id="263"/>
    <w:p>
      <w:pPr>
        <w:ind w:left="4520"/>
        <w:spacing w:after="0"/>
        <w:rPr>
          <w:sz w:val="20"/>
          <w:szCs w:val="20"/>
          <w:color w:val="auto"/>
        </w:rPr>
      </w:pPr>
      <w:r>
        <w:rPr>
          <w:rFonts w:ascii="Arial" w:cs="Arial" w:eastAsia="Arial" w:hAnsi="Arial"/>
          <w:sz w:val="16"/>
          <w:szCs w:val="16"/>
          <w:color w:val="auto"/>
        </w:rPr>
        <w:t>Print 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29210</wp:posOffset>
            </wp:positionV>
            <wp:extent cx="35661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is made as of [●], 2021 by and between Chardan NexTech Acquisition 2 Corp. (the “Company”) and Continental Stock Transfer &amp; Trust Company (“Trustee”).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Company’s registration statement on Form S-1, No. 333-254010 (“Registration Statement”) for its initial public offering of securities (“IPO”) has been declared effective as of the date hereof (“Effective Date”) by the Securities and Exchange Commission (capitalized terms used herein and not otherwise defined shall have the meanings set forth in the Registration Statement); and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Chardan Capital Markets, LLC (“Chardan”) is acting as the underwriter in the IPO; and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as described in the Registration Statement, and in accordance with the Company’s Amended and Restated Certificate of Incorporation, $101,000,000 of the gross proceeds of the IPO ($116,150,000 if the over-allotment option is exercised in full) will be delivered to the Trustee to be deposited and held in a trust account for the benefit of the Company and the holders of the Company’s common stock, par value $.0001 per share (“Common Stock”), issued in the IPO as hereinafter provided (the proceeds to be delivered to the Trustee will be referred to herein as the “Property”; the shareholders for whose benefit the Trustee shall hold the Property will be referred to as the “Public Shareholders,” and the Public Shareholders and the Company will be referred to together as the “Beneficiaries”); and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IT IS AGREED:</w:t>
      </w:r>
    </w:p>
    <w:p>
      <w:pPr>
        <w:spacing w:after="0" w:line="225" w:lineRule="exact"/>
        <w:rPr>
          <w:sz w:val="20"/>
          <w:szCs w:val="20"/>
          <w:color w:val="auto"/>
        </w:rPr>
      </w:pPr>
    </w:p>
    <w:p>
      <w:pPr>
        <w:ind w:left="980" w:hanging="324"/>
        <w:spacing w:after="0"/>
        <w:tabs>
          <w:tab w:leader="none" w:pos="9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55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a segregated trust account (“Trust Account”) established by the Trustee at Morgan Stanley in the United States, maintained by Trustee, and at a brokerage institution selected by the Trustee that is reasonably satisfactory to the Company;</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1304"/>
        <w:spacing w:after="0" w:line="257" w:lineRule="auto"/>
        <w:tabs>
          <w:tab w:leader="none" w:pos="155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 a timely manner, upon the instruction of the Company, invest and reinvest the Property (i) in United States government treasury bills, notes or bonds having a maturity of 180 days or less and/or (ii) in money market funds meeting certain conditions under Rule 2a-7 promulgated under the Investment Company Act of 1940, as amended, and that invest solely in U.S. treasuries, as determined by the Company, it being understood that the Trust Account will earn no interest while the account funds are uninvested awaiting the Company’s instructions hereunder and the Trustee may earn bank credits and other consideration</w:t>
      </w:r>
    </w:p>
    <w:p>
      <w:pPr>
        <w:spacing w:after="0" w:line="187" w:lineRule="exact"/>
        <w:rPr>
          <w:rFonts w:ascii="Arial" w:cs="Arial" w:eastAsia="Arial" w:hAnsi="Arial"/>
          <w:sz w:val="18"/>
          <w:szCs w:val="18"/>
          <w:color w:val="auto"/>
        </w:rPr>
      </w:pPr>
    </w:p>
    <w:p>
      <w:pPr>
        <w:ind w:left="1560" w:hanging="256"/>
        <w:spacing w:after="0"/>
        <w:tabs>
          <w:tab w:leader="none" w:pos="156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Collect and receive, when due, all principal and income arising from the Property, which shall become part of the “Property,” as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 is used herein;</w:t>
      </w:r>
    </w:p>
    <w:p>
      <w:pPr>
        <w:spacing w:after="0" w:line="210" w:lineRule="exact"/>
        <w:rPr>
          <w:rFonts w:ascii="Arial" w:cs="Arial" w:eastAsia="Arial" w:hAnsi="Arial"/>
          <w:sz w:val="16"/>
          <w:szCs w:val="16"/>
          <w:color w:val="auto"/>
        </w:rPr>
      </w:pPr>
    </w:p>
    <w:p>
      <w:pPr>
        <w:ind w:left="1540" w:hanging="236"/>
        <w:spacing w:after="0"/>
        <w:tabs>
          <w:tab w:leader="none" w:pos="154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Notify the Company and Chardan of all communications received by it with respect to any Property requiring action by the Company;</w:t>
      </w:r>
    </w:p>
    <w:p>
      <w:pPr>
        <w:spacing w:after="0" w:line="248" w:lineRule="exact"/>
        <w:rPr>
          <w:rFonts w:ascii="Arial" w:cs="Arial" w:eastAsia="Arial" w:hAnsi="Arial"/>
          <w:sz w:val="16"/>
          <w:szCs w:val="16"/>
          <w:color w:val="auto"/>
        </w:rPr>
      </w:pPr>
    </w:p>
    <w:p>
      <w:pPr>
        <w:ind w:left="1540" w:hanging="236"/>
        <w:spacing w:after="0"/>
        <w:tabs>
          <w:tab w:leader="none" w:pos="154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Supply any necessary information or documents as may be requested by the Company in connection with the Company’s preparation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its tax returns;</w:t>
      </w:r>
    </w:p>
    <w:p>
      <w:pPr>
        <w:spacing w:after="0" w:line="210" w:lineRule="exact"/>
        <w:rPr>
          <w:rFonts w:ascii="Arial" w:cs="Arial" w:eastAsia="Arial" w:hAnsi="Arial"/>
          <w:sz w:val="16"/>
          <w:szCs w:val="16"/>
          <w:color w:val="auto"/>
        </w:rPr>
      </w:pPr>
    </w:p>
    <w:p>
      <w:pPr>
        <w:ind w:firstLine="1304"/>
        <w:spacing w:after="0" w:line="277" w:lineRule="auto"/>
        <w:tabs>
          <w:tab w:leader="none" w:pos="157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5" w:name="page266"/>
    <w:bookmarkEnd w:id="265"/>
    <w:p>
      <w:pPr>
        <w:ind w:left="-656" w:firstLine="1304"/>
        <w:spacing w:after="0" w:line="277" w:lineRule="auto"/>
        <w:tabs>
          <w:tab w:leader="none" w:pos="90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 and</w:t>
      </w:r>
    </w:p>
    <w:p>
      <w:pPr>
        <w:spacing w:after="0" w:line="170" w:lineRule="exact"/>
        <w:rPr>
          <w:rFonts w:ascii="Arial" w:cs="Arial" w:eastAsia="Arial" w:hAnsi="Arial"/>
          <w:sz w:val="18"/>
          <w:szCs w:val="18"/>
          <w:color w:val="auto"/>
        </w:rPr>
      </w:pPr>
    </w:p>
    <w:p>
      <w:pPr>
        <w:jc w:val="both"/>
        <w:ind w:left="-656" w:firstLine="1304"/>
        <w:spacing w:after="0" w:line="290" w:lineRule="auto"/>
        <w:tabs>
          <w:tab w:leader="none" w:pos="858" w:val="left"/>
        </w:tabs>
        <w:numPr>
          <w:ilvl w:val="1"/>
          <w:numId w:val="138"/>
        </w:numPr>
        <w:rPr>
          <w:rFonts w:ascii="Arial" w:cs="Arial" w:eastAsia="Arial" w:hAnsi="Arial"/>
          <w:sz w:val="16"/>
          <w:szCs w:val="16"/>
          <w:color w:val="auto"/>
        </w:rPr>
      </w:pPr>
      <w:r>
        <w:rPr>
          <w:rFonts w:ascii="Arial" w:cs="Arial" w:eastAsia="Arial" w:hAnsi="Arial"/>
          <w:sz w:val="16"/>
          <w:szCs w:val="16"/>
          <w:color w:val="auto"/>
        </w:rPr>
        <w:t>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15-month anniversary of the closing of the IPO (“Closing”) (or the 21-month anniversary of the Closing if extended in full as described in the prospectus relating to the IPO) (“Last Date”), the Trust Account shall be liquidated in accordance with the procedures set forth in the Termination Letter attached as Exhibit B hereto and distributed to the Public Shareholders as of the Last Date.</w:t>
      </w:r>
    </w:p>
    <w:p>
      <w:pPr>
        <w:spacing w:after="0" w:line="165" w:lineRule="exact"/>
        <w:rPr>
          <w:rFonts w:ascii="Arial" w:cs="Arial" w:eastAsia="Arial" w:hAnsi="Arial"/>
          <w:sz w:val="16"/>
          <w:szCs w:val="16"/>
          <w:color w:val="auto"/>
        </w:rPr>
      </w:pPr>
    </w:p>
    <w:p>
      <w:pPr>
        <w:ind w:left="184" w:hanging="184"/>
        <w:spacing w:after="0"/>
        <w:tabs>
          <w:tab w:leader="none" w:pos="18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Limited Distributions of Income from 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63" w:lineRule="auto"/>
        <w:tabs>
          <w:tab w:leader="none" w:pos="88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Upon written request from the Company, which may be given from time to time in a form substantially similar to that attached hereto as Exhibit C, the Trustee shall distribute to the Company the amount of interest income earned on the Trust Account requested by the Company to cover any income or other tax obligation owed by the Company as a result of such interest income.</w:t>
      </w:r>
    </w:p>
    <w:p>
      <w:pPr>
        <w:spacing w:after="0" w:line="183" w:lineRule="exact"/>
        <w:rPr>
          <w:rFonts w:ascii="Arial" w:cs="Arial" w:eastAsia="Arial" w:hAnsi="Arial"/>
          <w:sz w:val="18"/>
          <w:szCs w:val="18"/>
          <w:color w:val="auto"/>
        </w:rPr>
      </w:pPr>
    </w:p>
    <w:p>
      <w:pPr>
        <w:ind w:left="-656" w:firstLine="1304"/>
        <w:spacing w:after="0" w:line="308" w:lineRule="auto"/>
        <w:tabs>
          <w:tab w:leader="none" w:pos="92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limited distributions referred to in Section 2(a) above shall be made only from income collected on the Property. Except as provided in Section 2(a) above, no other distributions from the Trust Account shall be permitted except in accordance with Section 1(i) hereof.</w:t>
      </w:r>
    </w:p>
    <w:p>
      <w:pPr>
        <w:spacing w:after="0" w:line="146" w:lineRule="exact"/>
        <w:rPr>
          <w:rFonts w:ascii="Arial" w:cs="Arial" w:eastAsia="Arial" w:hAnsi="Arial"/>
          <w:sz w:val="17"/>
          <w:szCs w:val="17"/>
          <w:color w:val="auto"/>
        </w:rPr>
      </w:pPr>
    </w:p>
    <w:p>
      <w:pPr>
        <w:ind w:left="-656" w:firstLine="1304"/>
        <w:spacing w:after="0" w:line="277" w:lineRule="auto"/>
        <w:tabs>
          <w:tab w:leader="none" w:pos="90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Company shall provide Chardan with a copy of any Termination Letters and/or any other correspondence that it issues to the Trustee with respect to any proposed withdrawal from the Trust Account promptly after such issuance.</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left="-656" w:firstLine="1304"/>
        <w:spacing w:after="0" w:line="279" w:lineRule="auto"/>
        <w:tabs>
          <w:tab w:leader="none" w:pos="895" w:val="left"/>
        </w:tabs>
        <w:numPr>
          <w:ilvl w:val="1"/>
          <w:numId w:val="139"/>
        </w:numPr>
        <w:rPr>
          <w:rFonts w:ascii="Arial" w:cs="Arial" w:eastAsia="Arial" w:hAnsi="Arial"/>
          <w:sz w:val="17"/>
          <w:szCs w:val="17"/>
          <w:color w:val="auto"/>
        </w:rPr>
      </w:pPr>
      <w:r>
        <w:rPr>
          <w:rFonts w:ascii="Arial" w:cs="Arial" w:eastAsia="Arial" w:hAnsi="Arial"/>
          <w:sz w:val="17"/>
          <w:szCs w:val="17"/>
          <w:color w:val="auto"/>
        </w:rPr>
        <w:t>Give all instructions to the Trustee hereunder in writing, signed by the Company’s Chairman of the Board, Chief Executive Officer, President or Chief Financial Officer. In addition, except with respect to its duties under paragraphs 1(i) and 2(a)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71" w:lineRule="exact"/>
        <w:rPr>
          <w:rFonts w:ascii="Arial" w:cs="Arial" w:eastAsia="Arial" w:hAnsi="Arial"/>
          <w:sz w:val="17"/>
          <w:szCs w:val="17"/>
          <w:color w:val="auto"/>
        </w:rPr>
      </w:pPr>
    </w:p>
    <w:p>
      <w:pPr>
        <w:jc w:val="both"/>
        <w:ind w:left="-656" w:firstLine="1304"/>
        <w:spacing w:after="0" w:line="288" w:lineRule="auto"/>
        <w:tabs>
          <w:tab w:leader="none" w:pos="91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Subject to the provisions of Sections 5 and 7(g) of this Agreement, hold the Trustee harmless and indemnify the Trustee from and against, any and all expenses, including reasonable counsel fees and disbursements, or loss suffered by the Trustee in connection with any claim, potential claim, action, suit or other proceeding brought against the Trustee involving any claim, or in connection with any claim or demand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“Indemnified Claim”).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jc w:val="both"/>
        <w:ind w:left="-656" w:firstLine="1304"/>
        <w:spacing w:after="0" w:line="255" w:lineRule="auto"/>
        <w:tabs>
          <w:tab w:leader="none" w:pos="90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Pay the Trustee an initial acceptance fee, an annual fee and a transaction processing fee for each disbursement made pursuant to Section 2(a) as set forth on Schedule A hereto, which fees shall be subject to modification by the parties from time to time. It is expressly understood that the Property shall not be used to pay such fees except for disbursements made to the Company pursuant to Sections 1(i) solely in connection with the consummation of a Business Combination. The Company shall pay the Trustee the initial acceptance fee and first year’s fee at the consummation of the IPO and thereafter on the anniversary of the Effective Date. Except as set forth in this Section 3(c) and Section 3(b) hereof, the Company shall not be responsible for any other fees or charges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422910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6" w:name="page267"/>
    <w:bookmarkEnd w:id="266"/>
    <w:p>
      <w:pPr>
        <w:jc w:val="both"/>
        <w:ind w:left="-656" w:firstLine="1304"/>
        <w:spacing w:after="0" w:line="263" w:lineRule="auto"/>
        <w:tabs>
          <w:tab w:leader="none" w:pos="90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Business Combination, provide to the Trustee an affidavit or certificate of a firm regularly engaged in the business of soliciting proxies and/or tabulating shareholder votes verifying the vote of the Company’s shareholders regarding such Business Combination; and</w:t>
      </w:r>
    </w:p>
    <w:p>
      <w:pPr>
        <w:spacing w:after="0" w:line="183" w:lineRule="exact"/>
        <w:rPr>
          <w:rFonts w:ascii="Arial" w:cs="Arial" w:eastAsia="Arial" w:hAnsi="Arial"/>
          <w:sz w:val="18"/>
          <w:szCs w:val="18"/>
          <w:color w:val="auto"/>
        </w:rPr>
      </w:pPr>
    </w:p>
    <w:p>
      <w:pPr>
        <w:ind w:left="-656" w:firstLine="1304"/>
        <w:spacing w:after="0" w:line="277" w:lineRule="auto"/>
        <w:tabs>
          <w:tab w:leader="none" w:pos="919"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 the event that the Company directs the Trustee to commence liquidation of the Trust Account pursuant to Section 1(i), the Company agrees that it will not direct the Trustee to make any payments that are not specifically authorized by this Agreement.</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left="-656" w:firstLine="1304"/>
        <w:spacing w:after="0" w:line="277" w:lineRule="auto"/>
        <w:tabs>
          <w:tab w:leader="none" w:pos="88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Take any action with respect to the Property, other than as directed in paragraphs 1 and 2 hereof and the Trustee shall have no liability to any party except for liability arising out of its own gross negligence or willful misconduct;</w:t>
      </w:r>
    </w:p>
    <w:p>
      <w:pPr>
        <w:spacing w:after="0" w:line="170" w:lineRule="exact"/>
        <w:rPr>
          <w:rFonts w:ascii="Arial" w:cs="Arial" w:eastAsia="Arial" w:hAnsi="Arial"/>
          <w:sz w:val="18"/>
          <w:szCs w:val="18"/>
          <w:color w:val="auto"/>
        </w:rPr>
      </w:pPr>
    </w:p>
    <w:p>
      <w:pPr>
        <w:jc w:val="both"/>
        <w:ind w:left="-656" w:firstLine="1304"/>
        <w:spacing w:after="0" w:line="263" w:lineRule="auto"/>
        <w:tabs>
          <w:tab w:leader="none" w:pos="90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884" w:hanging="236"/>
        <w:spacing w:after="0"/>
        <w:tabs>
          <w:tab w:leader="none" w:pos="88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Change the investment of any Property, other than in compliance with paragraph 1(c);</w:t>
      </w:r>
    </w:p>
    <w:p>
      <w:pPr>
        <w:spacing w:after="0" w:line="225" w:lineRule="exact"/>
        <w:rPr>
          <w:rFonts w:ascii="Arial" w:cs="Arial" w:eastAsia="Arial" w:hAnsi="Arial"/>
          <w:sz w:val="18"/>
          <w:szCs w:val="18"/>
          <w:color w:val="auto"/>
        </w:rPr>
      </w:pPr>
    </w:p>
    <w:p>
      <w:pPr>
        <w:ind w:left="904" w:hanging="256"/>
        <w:spacing w:after="0"/>
        <w:tabs>
          <w:tab w:leader="none" w:pos="90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left="-656" w:firstLine="1304"/>
        <w:spacing w:after="0" w:line="308" w:lineRule="auto"/>
        <w:tabs>
          <w:tab w:leader="none" w:pos="904"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jc w:val="both"/>
        <w:ind w:left="-656" w:firstLine="1304"/>
        <w:spacing w:after="0" w:line="271" w:lineRule="auto"/>
        <w:tabs>
          <w:tab w:leader="none" w:pos="87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78" w:lineRule="exact"/>
        <w:rPr>
          <w:rFonts w:ascii="Arial" w:cs="Arial" w:eastAsia="Arial" w:hAnsi="Arial"/>
          <w:sz w:val="17"/>
          <w:szCs w:val="17"/>
          <w:color w:val="auto"/>
        </w:rPr>
      </w:pPr>
    </w:p>
    <w:p>
      <w:pPr>
        <w:ind w:left="-656" w:firstLine="1304"/>
        <w:spacing w:after="0" w:line="277" w:lineRule="auto"/>
        <w:tabs>
          <w:tab w:leader="none" w:pos="90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Verify the correctness of the information set forth in the Registration Statement or to confirm or assure that any acquisition made by the Company or any other action taken by it is as contemplated by the Registration Statement;</w:t>
      </w:r>
    </w:p>
    <w:p>
      <w:pPr>
        <w:spacing w:after="0" w:line="170" w:lineRule="exact"/>
        <w:rPr>
          <w:rFonts w:ascii="Arial" w:cs="Arial" w:eastAsia="Arial" w:hAnsi="Arial"/>
          <w:sz w:val="18"/>
          <w:szCs w:val="18"/>
          <w:color w:val="auto"/>
        </w:rPr>
      </w:pPr>
    </w:p>
    <w:p>
      <w:pPr>
        <w:ind w:left="-656" w:right="20" w:firstLine="1304"/>
        <w:spacing w:after="0" w:line="342" w:lineRule="auto"/>
        <w:tabs>
          <w:tab w:leader="none" w:pos="90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File local, state and/or federal tax returns or information returns with any taxing authority on behalf of the Trust Account and payee statements with the Company documenting the taxes, if any, payable by the Company or the Trust Account, relating to the income earned on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379095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7" w:name="page268"/>
    <w:bookmarkEnd w:id="267"/>
    <w:p>
      <w:pPr>
        <w:ind w:left="-656" w:firstLine="1304"/>
        <w:spacing w:after="0" w:line="308" w:lineRule="auto"/>
        <w:tabs>
          <w:tab w:leader="none" w:pos="862" w:val="left"/>
        </w:tabs>
        <w:numPr>
          <w:ilvl w:val="1"/>
          <w:numId w:val="142"/>
        </w:numPr>
        <w:rPr>
          <w:rFonts w:ascii="Arial" w:cs="Arial" w:eastAsia="Arial" w:hAnsi="Arial"/>
          <w:sz w:val="17"/>
          <w:szCs w:val="17"/>
          <w:color w:val="auto"/>
        </w:rPr>
      </w:pPr>
      <w:r>
        <w:rPr>
          <w:rFonts w:ascii="Arial" w:cs="Arial" w:eastAsia="Arial" w:hAnsi="Arial"/>
          <w:sz w:val="17"/>
          <w:szCs w:val="17"/>
          <w:color w:val="auto"/>
        </w:rPr>
        <w:t>Pay any taxes on behalf of the Trust Account (it being expressly understood that the Property shall not be used to pay any such taxes and that such taxes, if any, shall be paid by the Company from funds not held in the Trust Account or released to it under Section 2(a) hereof);</w:t>
      </w:r>
    </w:p>
    <w:p>
      <w:pPr>
        <w:spacing w:after="0" w:line="146" w:lineRule="exact"/>
        <w:rPr>
          <w:rFonts w:ascii="Arial" w:cs="Arial" w:eastAsia="Arial" w:hAnsi="Arial"/>
          <w:sz w:val="17"/>
          <w:szCs w:val="17"/>
          <w:color w:val="auto"/>
        </w:rPr>
      </w:pPr>
    </w:p>
    <w:p>
      <w:pPr>
        <w:ind w:left="-656" w:firstLine="1304"/>
        <w:spacing w:after="0" w:line="277" w:lineRule="auto"/>
        <w:tabs>
          <w:tab w:leader="none" w:pos="87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 and</w:t>
      </w:r>
    </w:p>
    <w:p>
      <w:pPr>
        <w:spacing w:after="0" w:line="170" w:lineRule="exact"/>
        <w:rPr>
          <w:rFonts w:ascii="Arial" w:cs="Arial" w:eastAsia="Arial" w:hAnsi="Arial"/>
          <w:sz w:val="18"/>
          <w:szCs w:val="18"/>
          <w:color w:val="auto"/>
        </w:rPr>
      </w:pPr>
    </w:p>
    <w:p>
      <w:pPr>
        <w:ind w:left="904" w:hanging="256"/>
        <w:spacing w:after="0"/>
        <w:tabs>
          <w:tab w:leader="none" w:pos="904" w:val="left"/>
        </w:tabs>
        <w:numPr>
          <w:ilvl w:val="1"/>
          <w:numId w:val="142"/>
        </w:numPr>
        <w:rPr>
          <w:rFonts w:ascii="Arial" w:cs="Arial" w:eastAsia="Arial" w:hAnsi="Arial"/>
          <w:sz w:val="17"/>
          <w:szCs w:val="17"/>
          <w:color w:val="auto"/>
        </w:rPr>
      </w:pPr>
      <w:r>
        <w:rPr>
          <w:rFonts w:ascii="Arial" w:cs="Arial" w:eastAsia="Arial" w:hAnsi="Arial"/>
          <w:sz w:val="17"/>
          <w:szCs w:val="17"/>
          <w:color w:val="auto"/>
        </w:rPr>
        <w:t>Verify calculations, qualify or otherwise approve Company requests for distributions pursuant to Section 1(i) or 2(a) above.</w:t>
      </w:r>
    </w:p>
    <w:p>
      <w:pPr>
        <w:spacing w:after="0" w:line="236" w:lineRule="exact"/>
        <w:rPr>
          <w:rFonts w:ascii="Arial" w:cs="Arial" w:eastAsia="Arial" w:hAnsi="Arial"/>
          <w:sz w:val="17"/>
          <w:szCs w:val="17"/>
          <w:color w:val="auto"/>
        </w:rPr>
      </w:pPr>
    </w:p>
    <w:p>
      <w:pPr>
        <w:jc w:val="both"/>
        <w:ind w:left="-656" w:firstLine="656"/>
        <w:spacing w:after="0" w:line="257" w:lineRule="auto"/>
        <w:tabs>
          <w:tab w:leader="none" w:pos="17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(“Claim”)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3(b) or Section 3(c) hereof, the Trustee shall pursue such Claim solely against the Company and its assets outside the Trust Account and not against the Property or any monies in the Trust Account.</w:t>
      </w:r>
    </w:p>
    <w:p>
      <w:pPr>
        <w:spacing w:after="0" w:line="187" w:lineRule="exact"/>
        <w:rPr>
          <w:rFonts w:ascii="Arial" w:cs="Arial" w:eastAsia="Arial" w:hAnsi="Arial"/>
          <w:sz w:val="18"/>
          <w:szCs w:val="18"/>
          <w:color w:val="auto"/>
        </w:rPr>
      </w:pPr>
    </w:p>
    <w:p>
      <w:pPr>
        <w:ind w:left="184" w:hanging="184"/>
        <w:spacing w:after="0"/>
        <w:tabs>
          <w:tab w:leader="none" w:pos="18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left="-656" w:firstLine="1304"/>
        <w:spacing w:after="0" w:line="271" w:lineRule="auto"/>
        <w:tabs>
          <w:tab w:leader="none" w:pos="886" w:val="left"/>
        </w:tabs>
        <w:numPr>
          <w:ilvl w:val="1"/>
          <w:numId w:val="143"/>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left="-656" w:firstLine="1304"/>
        <w:spacing w:after="0" w:line="263" w:lineRule="auto"/>
        <w:tabs>
          <w:tab w:leader="none" w:pos="90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At such time that the Trustee has completed the liquidation of the Trust Account in accordance with the provisions of paragraph 1(i) hereof, and distributed the Property in accordance with the provisions of the Termination Letter, this Agreement shall terminate except with respect to Paragraph 3(b).</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6" w:firstLine="1304"/>
        <w:spacing w:after="0" w:line="293" w:lineRule="auto"/>
        <w:tabs>
          <w:tab w:leader="none" w:pos="894"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or transmission of the wire.</w:t>
      </w:r>
    </w:p>
    <w:p>
      <w:pPr>
        <w:spacing w:after="0" w:line="164" w:lineRule="exact"/>
        <w:rPr>
          <w:rFonts w:ascii="Arial" w:cs="Arial" w:eastAsia="Arial" w:hAnsi="Arial"/>
          <w:sz w:val="16"/>
          <w:szCs w:val="16"/>
          <w:color w:val="auto"/>
        </w:rPr>
      </w:pPr>
    </w:p>
    <w:p>
      <w:pPr>
        <w:jc w:val="both"/>
        <w:ind w:left="-656" w:firstLine="1304"/>
        <w:spacing w:after="0" w:line="286" w:lineRule="auto"/>
        <w:tabs>
          <w:tab w:leader="none" w:pos="914"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It may be executed in several original or facsimile counterparts, each one of which shall constitute an original, and together shall constitute but one instrument.</w:t>
      </w:r>
    </w:p>
    <w:p>
      <w:pPr>
        <w:spacing w:after="0" w:line="165" w:lineRule="exact"/>
        <w:rPr>
          <w:rFonts w:ascii="Arial" w:cs="Arial" w:eastAsia="Arial" w:hAnsi="Arial"/>
          <w:sz w:val="17"/>
          <w:szCs w:val="17"/>
          <w:color w:val="auto"/>
        </w:rPr>
      </w:pPr>
    </w:p>
    <w:p>
      <w:pPr>
        <w:jc w:val="both"/>
        <w:ind w:left="-656" w:firstLine="1304"/>
        <w:spacing w:after="0" w:line="255" w:lineRule="auto"/>
        <w:tabs>
          <w:tab w:leader="none" w:pos="91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Except for Section 1(i) (which may only be amended with the approval of the holders of a majority of the outstanding shares of Common Stock sold in the IPO),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422910</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8" w:name="page269"/>
    <w:bookmarkEnd w:id="268"/>
    <w:p>
      <w:pPr>
        <w:ind w:firstLine="1304"/>
        <w:spacing w:after="0" w:line="277" w:lineRule="auto"/>
        <w:tabs>
          <w:tab w:leader="none" w:pos="156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Borough of Manhattan, for purposes of resolving any disputes hereunder.</w:t>
      </w:r>
    </w:p>
    <w:p>
      <w:pPr>
        <w:spacing w:after="0" w:line="170" w:lineRule="exact"/>
        <w:rPr>
          <w:rFonts w:ascii="Arial" w:cs="Arial" w:eastAsia="Arial" w:hAnsi="Arial"/>
          <w:sz w:val="18"/>
          <w:szCs w:val="18"/>
          <w:color w:val="auto"/>
        </w:rPr>
      </w:pPr>
    </w:p>
    <w:p>
      <w:pPr>
        <w:ind w:firstLine="1304"/>
        <w:spacing w:after="0" w:line="342" w:lineRule="auto"/>
        <w:tabs>
          <w:tab w:leader="none" w:pos="154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Jonas Grossman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either case with a copy (which copy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(646) 465-9039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ind w:left="1520" w:hanging="216"/>
        <w:spacing w:after="0"/>
        <w:tabs>
          <w:tab w:leader="none" w:pos="15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ind w:firstLine="1304"/>
        <w:spacing w:after="0" w:line="277" w:lineRule="auto"/>
        <w:tabs>
          <w:tab w:leader="none" w:pos="15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 that Chardan is a third party beneficiary of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t>IN WITNESS WHEREOF, the parties have duly executed this Investment Management Trust Agreement as of the date first written above.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CONTINENTAL STOCK TRANSFER &amp; TRUST COMPANY, as Trustee</w:t>
      </w:r>
    </w:p>
    <w:p>
      <w:pPr>
        <w:spacing w:after="0" w:line="23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Francis E. Wolf,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8" w:right="55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auto"/>
        </w:rPr>
        <w:t>SCHEDULE A</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Fee Item</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Time and method of payment</w:t>
            </w:r>
          </w:p>
        </w:tc>
        <w:tc>
          <w:tcPr>
            <w:tcW w:w="3700" w:type="dxa"/>
            <w:vAlign w:val="bottom"/>
            <w:tcBorders>
              <w:top w:val="single" w:sz="8" w:color="auto"/>
              <w:bottom w:val="single" w:sz="8" w:color="auto"/>
              <w:right w:val="single" w:sz="8" w:color="auto"/>
            </w:tcBorders>
          </w:tcPr>
          <w:p>
            <w:pPr>
              <w:jc w:val="right"/>
              <w:ind w:right="2870"/>
              <w:spacing w:after="0"/>
              <w:rPr>
                <w:sz w:val="20"/>
                <w:szCs w:val="20"/>
                <w:color w:val="auto"/>
              </w:rPr>
            </w:pPr>
            <w:r>
              <w:rPr>
                <w:rFonts w:ascii="Arial" w:cs="Arial" w:eastAsia="Arial" w:hAnsi="Arial"/>
                <w:sz w:val="18"/>
                <w:szCs w:val="18"/>
                <w:b w:val="1"/>
                <w:bCs w:val="1"/>
                <w:color w:val="auto"/>
              </w:rPr>
              <w:t>Amount</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Initial acceptance fee</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Initial closing of IPO by wire transfer</w:t>
            </w:r>
          </w:p>
        </w:tc>
        <w:tc>
          <w:tcPr>
            <w:tcW w:w="37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Annual fee</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First year, initial closing of IPO by wire</w:t>
            </w:r>
          </w:p>
        </w:tc>
        <w:tc>
          <w:tcPr>
            <w:tcW w:w="370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transfer; thereafter on the anniversary of the</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effective date of the IPO by wire transfer or</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check</w:t>
            </w: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5"/>
              </w:rPr>
              <w:t>Transaction processing fee for disbursements to</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3"/>
              </w:rPr>
              <w:t>Deduction by Trustee from accumulated income</w:t>
            </w:r>
          </w:p>
        </w:tc>
        <w:tc>
          <w:tcPr>
            <w:tcW w:w="370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r>
      <w:tr>
        <w:trPr>
          <w:trHeight w:val="216"/>
        </w:trPr>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Company under Section 2</w:t>
            </w:r>
          </w:p>
        </w:tc>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following disbursement made to Company</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under Section 2</w:t>
            </w:r>
          </w:p>
        </w:tc>
        <w:tc>
          <w:tcPr>
            <w:tcW w:w="370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Paying Agent services as required pursuant to</w:t>
            </w:r>
          </w:p>
        </w:tc>
        <w:tc>
          <w:tcPr>
            <w:tcW w:w="37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Billed to Company upon delivery of service</w:t>
            </w:r>
          </w:p>
        </w:tc>
        <w:tc>
          <w:tcPr>
            <w:tcW w:w="3700" w:type="dxa"/>
            <w:vAlign w:val="bottom"/>
            <w:tcBorders>
              <w:right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Market Rate</w:t>
            </w:r>
          </w:p>
        </w:tc>
      </w:tr>
      <w:tr>
        <w:trPr>
          <w:trHeight w:val="23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section 1(i)</w:t>
            </w:r>
          </w:p>
        </w:tc>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pursuant to section 1(i)</w:t>
            </w:r>
          </w:p>
        </w:tc>
        <w:tc>
          <w:tcPr>
            <w:tcW w:w="3700" w:type="dxa"/>
            <w:vAlign w:val="bottom"/>
            <w:tcBorders>
              <w:bottom w:val="single" w:sz="8" w:color="auto"/>
              <w:right w:val="single" w:sz="8" w:color="auto"/>
            </w:tcBorders>
          </w:tcPr>
          <w:p>
            <w:pPr>
              <w:spacing w:after="0"/>
              <w:rPr>
                <w:sz w:val="20"/>
                <w:szCs w:val="20"/>
                <w:color w:val="auto"/>
              </w:rPr>
            </w:pPr>
          </w:p>
        </w:tc>
      </w:tr>
      <w:tr>
        <w:trPr>
          <w:trHeight w:val="668"/>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Pursuant to paragraph 1(i) of the Investment Management Trust Agreement between Chardan NexTech Acquisition 2 Corp. (“Company”) and Continental Stock Transfer &amp; Trust Company (“Trustee”), dated as of [●], 2021 (“Trust Agreement”), this is to advise you that the Company has entered into an agreement with [●] (“Target Business”) to consummate a business combination with Target Business (“Business Combination”) on or about </w:t>
      </w:r>
      <w:r>
        <w:rPr>
          <w:rFonts w:ascii="Arial" w:cs="Arial" w:eastAsia="Arial" w:hAnsi="Arial"/>
          <w:sz w:val="17"/>
          <w:szCs w:val="17"/>
          <w:b w:val="1"/>
          <w:bCs w:val="1"/>
          <w:color w:val="auto"/>
        </w:rPr>
        <w:t>[insert</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Company shall notify you at least 48 hours in advance of the actual date of the consummation of the Business Combination (“Consummation</w:t>
      </w:r>
      <w:r>
        <w:rPr>
          <w:rFonts w:ascii="Arial" w:cs="Arial" w:eastAsia="Arial" w:hAnsi="Arial"/>
          <w:sz w:val="17"/>
          <w:szCs w:val="17"/>
          <w:b w:val="1"/>
          <w:bCs w:val="1"/>
          <w:color w:val="auto"/>
        </w:rPr>
        <w:t xml:space="preserve"> </w:t>
      </w:r>
      <w:r>
        <w:rPr>
          <w:rFonts w:ascii="Arial" w:cs="Arial" w:eastAsia="Arial" w:hAnsi="Arial"/>
          <w:sz w:val="17"/>
          <w:szCs w:val="17"/>
          <w:color w:val="auto"/>
        </w:rPr>
        <w:t>Date”). Capitalized terms used herein and not otherwise defined shall have the meanings set forth in the Trust Agreement.</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accordance with the terms of the Trust Agreement, we hereby authorize you to liquidate the Trust Account investments on [●] and to transfer the proceeds to the above-referenced account at [•] to the effect that, on the Consummation Date, all of funds held in the Trust Account will be immediately available for transfer to the account or accounts that the Company shall direct on the Consummation Date. It is acknowledged and agreed that while the funds are on deposit in the trust operating account at Morgan Stanley awaiting distribution, the Company will not earn any interest or dividends.</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the Consummation Date (i) counsel for the Company shall deliver to you written notification that the Business Combination has been consummated and (ii) the Company shall deliver to you (a) [an affidavit] [a certificate] of [●], which verifies the vote of the Company’s shareholders in connection with the Business Combination if a vote is held and (b) joint written instructions from the Company and Chardan Capital Markets LLC with respect to the transfer of the funds held in the Trust Account (“Instruction Letter”).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the Trust Agreement shall be terminated.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the Trust Agreement on the business day immediately following the Consummation Date as set forth in the notice.</w:t>
      </w:r>
    </w:p>
    <w:p>
      <w:pPr>
        <w:spacing w:after="0" w:line="1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Jonas Grossman, Chief Executive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19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paragraph 1(i) of the Investment Management Trust Agreement between Chardan NexTech Acquisition 2 Corp. (“Company”) and Continental Stock Transfer &amp; Trust Company (“Trustee”), dated as of [●], 2021 (“Trust Agreement”), this is to advise you that the Company has been unable to 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terms of the Trust Agreement, we hereby authorize you to liquidate all the Trust Account investments on [●] and to transfer the total proceeds to the Trust Checking Account at [•] to await distribution to the Public Shareholders. The Company has selected [●] as the effective date for the purpose of determining when the Public Shareholders will be entitled to receive their share of the 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Shareholders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7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Jonas Grossman, 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 Withdrawal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paragraph 2(a) of the Investment Management Trust Agreement between Chardan NexTech Acquisition 2 Corp. (“Company”) and Continental Stock Transfer &amp; Trust Company (“Trustee”), dated as of [●], 2021 (“Trust Agreement”), the Company hereby requests that you deliver to the Company $[●] of the interest income earned on the Property as of the date hereof. The Company needs such funds to pay for its tax obligations as a result of such interest income. In accordance with the terms of the Trust Agreement, you are hereby directed and authorized to transfer (via wire transfer) such funds promptly upon your receipt of this letter to the Company’s operating account at: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Jonas Grossman, Chief Executive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as of the [●] day of [●], 2021, by and among Chardan NexTech Acquisition 2 Corp.,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the undersigned parties listed under Investor on the signature page hereto (each, an “Investor” and collectively, the “</w:t>
      </w: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Agreement, as amended, restated, supplemented, or otherwise modified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Demanding Holder</w:t>
      </w:r>
      <w:r>
        <w:rPr>
          <w:rFonts w:ascii="Arial" w:cs="Arial" w:eastAsia="Arial" w:hAnsi="Arial"/>
          <w:sz w:val="18"/>
          <w:szCs w:val="18"/>
          <w:color w:val="auto"/>
        </w:rPr>
        <w:t>” is defined in Section 2.1.1.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Form S-3</w:t>
      </w:r>
      <w:r>
        <w:rPr>
          <w:rFonts w:ascii="Arial" w:cs="Arial" w:eastAsia="Arial" w:hAnsi="Arial"/>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Indemnified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Indemnifying Party</w:t>
      </w:r>
      <w:r>
        <w:rPr>
          <w:rFonts w:ascii="Arial" w:cs="Arial" w:eastAsia="Arial" w:hAnsi="Arial"/>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Shares</w:t>
      </w:r>
      <w:r>
        <w:rPr>
          <w:rFonts w:ascii="Arial" w:cs="Arial" w:eastAsia="Arial" w:hAnsi="Arial"/>
          <w:sz w:val="16"/>
          <w:szCs w:val="16"/>
          <w:color w:val="auto"/>
        </w:rPr>
        <w:t>” means all of the outstanding shares of Common Stock issued prior to the consummation of the Company’s initial public offering.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Investor Indemnified Party</w:t>
      </w:r>
      <w:r>
        <w:rPr>
          <w:rFonts w:ascii="Arial" w:cs="Arial" w:eastAsia="Arial" w:hAnsi="Arial"/>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Shares</w:t>
      </w:r>
      <w:r>
        <w:rPr>
          <w:rFonts w:ascii="Arial" w:cs="Arial" w:eastAsia="Arial" w:hAnsi="Arial"/>
          <w:sz w:val="18"/>
          <w:szCs w:val="18"/>
          <w:color w:val="auto"/>
        </w:rPr>
        <w:t>” is defined in Section 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5" w:name="page276"/>
    <w:bookmarkEnd w:id="2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is defined in Section 6.3.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is defined in Section 2.2.1.</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Private Warrants</w:t>
      </w:r>
      <w:r>
        <w:rPr>
          <w:rFonts w:ascii="Arial" w:cs="Arial" w:eastAsia="Arial" w:hAnsi="Arial"/>
          <w:sz w:val="17"/>
          <w:szCs w:val="17"/>
          <w:color w:val="auto"/>
        </w:rPr>
        <w:t>” means the 5,238,461 (or up to 5,469,230 depending on the extent to which the Underwriters’ overallotment option is exercised) Warrants the Investors are privately purchasing simultaneously with the consummation of the Company’s initial public offering.</w:t>
      </w:r>
    </w:p>
    <w:p>
      <w:pPr>
        <w:spacing w:after="0" w:line="14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Registered</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Registration</w:t>
      </w:r>
      <w:r>
        <w:rPr>
          <w:rFonts w:ascii="Arial" w:cs="Arial" w:eastAsia="Arial" w:hAnsi="Arial"/>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Securities</w:t>
      </w:r>
      <w:r>
        <w:rPr>
          <w:rFonts w:ascii="Arial" w:cs="Arial" w:eastAsia="Arial" w:hAnsi="Arial"/>
          <w:sz w:val="16"/>
          <w:szCs w:val="16"/>
          <w:color w:val="auto"/>
        </w:rPr>
        <w:t>” means (i) the Initial Shares and (ii) the Private Warrants (and underlying shares of Common Stock). Registrable Securities include any warrants, shares of capital stock or other securities of the Company issued as a dividend or other distribution with respect to or in exchange for or in replacement of such Initial Shares and Private Warrants (and underlying shares of Common Stock).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Release Date</w:t>
      </w:r>
      <w:r>
        <w:rPr>
          <w:rFonts w:ascii="Arial" w:cs="Arial" w:eastAsia="Arial" w:hAnsi="Arial"/>
          <w:sz w:val="18"/>
          <w:szCs w:val="18"/>
          <w:color w:val="auto"/>
        </w:rPr>
        <w:t>” means the date on which the Initial Shares are disbursed from escrow pursuant to Section 3 of that certain Stock Escrow Agreement dated as of [●], 2021 by and among the Investors and Continental Stock Transfer &amp; Trust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units of the Company, each comprised of one share of Common Stock and one Warrant entitling the holder to purchase one-half of one share of Common Stock.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Warrant(s)</w:t>
      </w:r>
      <w:r>
        <w:rPr>
          <w:rFonts w:ascii="Arial" w:cs="Arial" w:eastAsia="Arial" w:hAnsi="Arial"/>
          <w:sz w:val="18"/>
          <w:szCs w:val="18"/>
          <w:color w:val="auto"/>
        </w:rPr>
        <w:t>” means the warrants of the Company.</w:t>
      </w:r>
    </w:p>
    <w:p>
      <w:pPr>
        <w:spacing w:after="0" w:line="229" w:lineRule="exact"/>
        <w:rPr>
          <w:sz w:val="20"/>
          <w:szCs w:val="20"/>
          <w:color w:val="auto"/>
        </w:rPr>
      </w:pPr>
    </w:p>
    <w:p>
      <w:pPr>
        <w:ind w:left="840" w:hanging="184"/>
        <w:spacing w:after="0"/>
        <w:tabs>
          <w:tab w:leader="none" w:pos="8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At any time and from time to time on or after (i) the date that the Company consummates a Business Combination with respect to the Private Warrants or (ii) three months prior to the Release Date with respect to all other Registrable Securities, but prior to the five-year anniversary of the effective date of the Company’s Form S-1 Registration Statement (File No. 333-254010) (the “</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the holders of a majority-in-interest of the Initial Shares, may make a written demand for registration under the Securities Act of all or part of their Private Warrants or other Registrable Securities, as the case may be (a “</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one (1) Demand Registration under this Section 2.1.1 in respect of all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6" w:name="page277"/>
    <w:bookmarkEnd w:id="276"/>
    <w:p>
      <w:pPr>
        <w:jc w:val="both"/>
        <w:ind w:firstLine="1944"/>
        <w:spacing w:after="0" w:line="271"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78"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95"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Offering</w:t>
      </w:r>
      <w:r>
        <w:rPr>
          <w:rFonts w:ascii="Arial" w:cs="Arial" w:eastAsia="Arial" w:hAnsi="Arial"/>
          <w:sz w:val="16"/>
          <w:szCs w:val="16"/>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7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Withdrawal</w:t>
      </w:r>
      <w:r>
        <w:rPr>
          <w:rFonts w:ascii="Arial" w:cs="Arial" w:eastAsia="Arial" w:hAnsi="Arial"/>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7" w:name="page278"/>
    <w:bookmarkEnd w:id="277"/>
    <w:p>
      <w:pPr>
        <w:ind w:left="13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 Notwithstanding the provisions set forth in the immediately preceding sentences, the right to a Piggy-Back Registration set forth under this Section 2.2.1 with respect to the Registrable Securities shall terminate on the seventh anniversary of the Effective Date.</w:t>
      </w:r>
    </w:p>
    <w:p>
      <w:pPr>
        <w:spacing w:after="0" w:line="390"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195" w:lineRule="exact"/>
        <w:rPr>
          <w:sz w:val="20"/>
          <w:szCs w:val="20"/>
          <w:color w:val="auto"/>
        </w:rPr>
      </w:pPr>
    </w:p>
    <w:p>
      <w:pPr>
        <w:jc w:val="both"/>
        <w:ind w:left="1960" w:firstLine="640"/>
        <w:spacing w:after="0" w:line="270" w:lineRule="auto"/>
        <w:tabs>
          <w:tab w:leader="none" w:pos="289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180" w:lineRule="exact"/>
        <w:rPr>
          <w:rFonts w:ascii="Arial" w:cs="Arial" w:eastAsia="Arial" w:hAnsi="Arial"/>
          <w:sz w:val="17"/>
          <w:szCs w:val="17"/>
          <w:color w:val="auto"/>
        </w:rPr>
      </w:pPr>
    </w:p>
    <w:p>
      <w:pPr>
        <w:jc w:val="both"/>
        <w:ind w:left="1960" w:firstLine="640"/>
        <w:spacing w:after="0" w:line="287" w:lineRule="auto"/>
        <w:tabs>
          <w:tab w:leader="none" w:pos="287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8" w:name="page279"/>
    <w:bookmarkEnd w:id="278"/>
    <w:p>
      <w:pPr>
        <w:jc w:val="both"/>
        <w:ind w:firstLine="1944"/>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Withdrawal</w:t>
      </w:r>
      <w:r>
        <w:rPr>
          <w:rFonts w:ascii="Arial" w:cs="Arial" w:eastAsia="Arial" w:hAnsi="Arial"/>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92" w:lineRule="exact"/>
        <w:rPr>
          <w:sz w:val="20"/>
          <w:szCs w:val="20"/>
          <w:color w:val="auto"/>
        </w:rPr>
      </w:pPr>
    </w:p>
    <w:p>
      <w:pPr>
        <w:jc w:val="both"/>
        <w:ind w:firstLine="1944"/>
        <w:spacing w:after="0" w:line="28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172" w:lineRule="exact"/>
        <w:rPr>
          <w:sz w:val="20"/>
          <w:szCs w:val="20"/>
          <w:color w:val="auto"/>
        </w:rPr>
      </w:pPr>
    </w:p>
    <w:p>
      <w:pPr>
        <w:ind w:left="840" w:hanging="184"/>
        <w:spacing w:after="0"/>
        <w:tabs>
          <w:tab w:leader="none" w:pos="84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84" w:lineRule="exact"/>
        <w:rPr>
          <w:sz w:val="20"/>
          <w:szCs w:val="20"/>
          <w:color w:val="auto"/>
        </w:rPr>
      </w:pPr>
    </w:p>
    <w:p>
      <w:pPr>
        <w:jc w:val="both"/>
        <w:ind w:firstLine="1944"/>
        <w:spacing w:after="0" w:line="253"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Filing Registration Statement</w:t>
      </w:r>
      <w:r>
        <w:rPr>
          <w:rFonts w:ascii="Arial" w:cs="Arial" w:eastAsia="Arial" w:hAnsi="Arial"/>
          <w:sz w:val="18"/>
          <w:szCs w:val="18"/>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9" w:name="page280"/>
    <w:bookmarkEnd w:id="279"/>
    <w:p>
      <w:pPr>
        <w:jc w:val="both"/>
        <w:ind w:firstLine="1944"/>
        <w:spacing w:after="0" w:line="273"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Copies</w:t>
      </w:r>
      <w:r>
        <w:rPr>
          <w:rFonts w:ascii="Arial" w:cs="Arial" w:eastAsia="Arial" w:hAnsi="Arial"/>
          <w:sz w:val="17"/>
          <w:szCs w:val="17"/>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88"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67"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State Securities Laws Compliance</w:t>
      </w:r>
      <w:r>
        <w:rPr>
          <w:rFonts w:ascii="Arial" w:cs="Arial" w:eastAsia="Arial" w:hAnsi="Arial"/>
          <w:sz w:val="17"/>
          <w:szCs w:val="17"/>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0" w:name="page281"/>
    <w:bookmarkEnd w:id="280"/>
    <w:p>
      <w:pPr>
        <w:jc w:val="both"/>
        <w:ind w:firstLine="1944"/>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Agreements for Disposition</w:t>
      </w:r>
      <w:r>
        <w:rPr>
          <w:rFonts w:ascii="Arial" w:cs="Arial" w:eastAsia="Arial" w:hAnsi="Arial"/>
          <w:sz w:val="17"/>
          <w:szCs w:val="17"/>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78" w:lineRule="exact"/>
        <w:rPr>
          <w:sz w:val="20"/>
          <w:szCs w:val="20"/>
          <w:color w:val="auto"/>
        </w:rPr>
      </w:pPr>
    </w:p>
    <w:p>
      <w:pPr>
        <w:jc w:val="both"/>
        <w:ind w:firstLine="1944"/>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Cooperation</w:t>
      </w:r>
      <w:r>
        <w:rPr>
          <w:rFonts w:ascii="Arial" w:cs="Arial" w:eastAsia="Arial" w:hAnsi="Arial"/>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8" w:lineRule="exact"/>
        <w:rPr>
          <w:sz w:val="20"/>
          <w:szCs w:val="20"/>
          <w:color w:val="auto"/>
        </w:rPr>
      </w:pPr>
    </w:p>
    <w:p>
      <w:pPr>
        <w:jc w:val="both"/>
        <w:ind w:firstLine="1944"/>
        <w:spacing w:after="0" w:line="296"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1"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Opinions and Comfort Letters</w:t>
      </w:r>
      <w:r>
        <w:rPr>
          <w:rFonts w:ascii="Arial" w:cs="Arial" w:eastAsia="Arial" w:hAnsi="Arial"/>
          <w:sz w:val="18"/>
          <w:szCs w:val="18"/>
          <w:color w:val="auto"/>
        </w:rPr>
        <w:t>. Upon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92"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 xml:space="preserve">3.1.11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Road Show</w:t>
      </w:r>
      <w:r>
        <w:rPr>
          <w:rFonts w:ascii="Arial" w:cs="Arial" w:eastAsia="Arial" w:hAnsi="Arial"/>
          <w:sz w:val="18"/>
          <w:szCs w:val="18"/>
          <w:color w:val="auto"/>
        </w:rPr>
        <w:t>. If the registration involves the registration of Registrable Securities involving gross proceeds in excess of $5,000,000, the Company shall use its reasonable efforts to make available senior executives of the Company to participate in customary “road show” presentations that may be reasonably requested by the Underwriter in any underwritten offering.</w:t>
      </w:r>
    </w:p>
    <w:p>
      <w:pPr>
        <w:spacing w:after="0" w:line="18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Obligation to Suspend Distribution</w:t>
      </w:r>
      <w:r>
        <w:rPr>
          <w:rFonts w:ascii="Arial" w:cs="Arial" w:eastAsia="Arial" w:hAnsi="Arial"/>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1" w:name="page282"/>
    <w:bookmarkEnd w:id="281"/>
    <w:p>
      <w:pPr>
        <w:jc w:val="both"/>
        <w:ind w:firstLine="1296"/>
        <w:spacing w:after="0" w:line="28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7" w:lineRule="exact"/>
        <w:rPr>
          <w:sz w:val="20"/>
          <w:szCs w:val="20"/>
          <w:color w:val="auto"/>
        </w:rPr>
      </w:pPr>
    </w:p>
    <w:p>
      <w:pPr>
        <w:ind w:left="840" w:hanging="184"/>
        <w:spacing w:after="0"/>
        <w:tabs>
          <w:tab w:leader="none" w:pos="8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2" w:name="page283"/>
    <w:bookmarkEnd w:id="282"/>
    <w:p>
      <w:pPr>
        <w:jc w:val="both"/>
        <w:ind w:firstLine="1296"/>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Indemnification by Holders of Registrable Securities</w:t>
      </w:r>
      <w:r>
        <w:rPr>
          <w:rFonts w:ascii="Arial" w:cs="Arial" w:eastAsia="Arial" w:hAnsi="Arial"/>
          <w:sz w:val="16"/>
          <w:szCs w:val="16"/>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7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Conduct of Indemnification Proceedings</w:t>
      </w:r>
      <w:r>
        <w:rPr>
          <w:rFonts w:ascii="Arial" w:cs="Arial" w:eastAsia="Arial" w:hAnsi="Arial"/>
          <w:sz w:val="17"/>
          <w:szCs w:val="17"/>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Arial" w:cs="Arial" w:eastAsia="Arial" w:hAnsi="Arial"/>
          <w:sz w:val="17"/>
          <w:szCs w:val="17"/>
          <w:b w:val="1"/>
          <w:bCs w:val="1"/>
          <w:u w:val="single" w:color="auto"/>
          <w:color w:val="auto"/>
        </w:rPr>
        <w:t>Indemnifying Party</w:t>
      </w:r>
      <w:r>
        <w:rPr>
          <w:rFonts w:ascii="Arial" w:cs="Arial" w:eastAsia="Arial" w:hAnsi="Arial"/>
          <w:sz w:val="17"/>
          <w:szCs w:val="17"/>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944"/>
        <w:spacing w:after="0" w:line="290" w:lineRule="auto"/>
        <w:rPr>
          <w:sz w:val="20"/>
          <w:szCs w:val="20"/>
          <w:color w:val="auto"/>
        </w:rPr>
      </w:pPr>
      <w:r>
        <w:rPr>
          <w:rFonts w:ascii="Arial" w:cs="Arial" w:eastAsia="Arial" w:hAnsi="Arial"/>
          <w:sz w:val="16"/>
          <w:szCs w:val="16"/>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3" w:name="page284"/>
    <w:bookmarkEnd w:id="283"/>
    <w:p>
      <w:pPr>
        <w:jc w:val="both"/>
        <w:ind w:firstLine="1944"/>
        <w:spacing w:after="0" w:line="263" w:lineRule="auto"/>
        <w:rPr>
          <w:sz w:val="20"/>
          <w:szCs w:val="20"/>
          <w:color w:val="auto"/>
        </w:rPr>
      </w:pPr>
      <w:r>
        <w:rPr>
          <w:rFonts w:ascii="Arial" w:cs="Arial" w:eastAsia="Arial" w:hAnsi="Arial"/>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84" w:lineRule="exact"/>
        <w:rPr>
          <w:sz w:val="20"/>
          <w:szCs w:val="20"/>
          <w:color w:val="auto"/>
        </w:rPr>
      </w:pPr>
    </w:p>
    <w:p>
      <w:pPr>
        <w:jc w:val="both"/>
        <w:ind w:firstLine="1944"/>
        <w:spacing w:after="0" w:line="254" w:lineRule="auto"/>
        <w:rPr>
          <w:sz w:val="20"/>
          <w:szCs w:val="20"/>
          <w:color w:val="auto"/>
        </w:rPr>
      </w:pPr>
      <w:r>
        <w:rPr>
          <w:rFonts w:ascii="Arial" w:cs="Arial" w:eastAsia="Arial" w:hAnsi="Arial"/>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95" w:lineRule="exact"/>
        <w:rPr>
          <w:sz w:val="20"/>
          <w:szCs w:val="20"/>
          <w:color w:val="auto"/>
        </w:rPr>
      </w:pPr>
    </w:p>
    <w:p>
      <w:pPr>
        <w:ind w:left="840" w:hanging="184"/>
        <w:spacing w:after="0"/>
        <w:tabs>
          <w:tab w:leader="none" w:pos="8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57" w:lineRule="exact"/>
        <w:rPr>
          <w:sz w:val="20"/>
          <w:szCs w:val="20"/>
          <w:color w:val="auto"/>
        </w:rPr>
      </w:pPr>
    </w:p>
    <w:p>
      <w:pPr>
        <w:ind w:left="840" w:hanging="184"/>
        <w:spacing w:after="0"/>
        <w:tabs>
          <w:tab w:leader="none" w:pos="8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except as disclosed in the Company’s registration statement on Form S-1 (File No. 333-254010),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Limitation on Registration Rights</w:t>
      </w:r>
      <w:r>
        <w:rPr>
          <w:rFonts w:ascii="Arial" w:cs="Arial" w:eastAsia="Arial" w:hAnsi="Arial"/>
          <w:sz w:val="18"/>
          <w:szCs w:val="18"/>
          <w:color w:val="auto"/>
        </w:rPr>
        <w:t>. Notwithstanding anything herein to the contrary, Chardan Capital Markets, LLC and its related persons may not, with respect to the Private Warrants purchased by Chardan NexTech Investments 2 LLC, (i) have more than one (1) Demand Registration at the Company’s expense, (ii) exercise a Demand Registration more than five (5) years from the Effective Date, and (iii) exercise a Piggy-Back Registration more than seven (7) years from the Effective Date, as long as Chardan Capital Markets, LLC or any of its related persons are beneficial owners of the Private Warrants held by Chardan NexTech Investments 2 LLC.</w:t>
      </w:r>
    </w:p>
    <w:p>
      <w:pPr>
        <w:spacing w:after="0" w:line="18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4" w:name="page285"/>
    <w:bookmarkEnd w:id="284"/>
    <w:p>
      <w:pPr>
        <w:jc w:val="both"/>
        <w:ind w:firstLine="1296"/>
        <w:spacing w:after="0" w:line="29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demands, requests, consents, approvals or other communications (collectively,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 Investor, to the address set forth below such Investor’s name on Exhibit A hereto.</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terminate on the seven-year anniversary of the date hereof.</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No amendment, modification or termination of this Agreement shall be binding upon any party unless executed in writing by such party.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8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Waivers and Extensions</w:t>
      </w:r>
      <w:r>
        <w:rPr>
          <w:rFonts w:ascii="Arial" w:cs="Arial" w:eastAsia="Arial" w:hAnsi="Arial"/>
          <w:sz w:val="17"/>
          <w:szCs w:val="17"/>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5" w:name="page286"/>
    <w:bookmarkEnd w:id="285"/>
    <w:p>
      <w:pPr>
        <w:jc w:val="both"/>
        <w:ind w:firstLine="1296"/>
        <w:spacing w:after="0" w:line="254"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84"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Waiver of Trial by Jury</w:t>
      </w:r>
      <w:r>
        <w:rPr>
          <w:rFonts w:ascii="Arial" w:cs="Arial" w:eastAsia="Arial" w:hAnsi="Arial"/>
          <w:sz w:val="17"/>
          <w:szCs w:val="17"/>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6" w:name="page287"/>
    <w:bookmarkEnd w:id="286"/>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Registration Rights Agreement to be executed and delivered by their duly authorized representatives as of the date first written above.</w:t>
      </w:r>
    </w:p>
    <w:p>
      <w:pPr>
        <w:spacing w:after="0" w:line="1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-130175</wp:posOffset>
            </wp:positionV>
            <wp:extent cx="32918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CHARDAN NEXTECH INVESTMENTS 2 LLC.</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-121920</wp:posOffset>
            </wp:positionV>
            <wp:extent cx="329184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287" w:name="page288"/>
    <w:bookmarkEnd w:id="287"/>
    <w:p>
      <w:pPr>
        <w:jc w:val="right"/>
        <w:ind w:right="403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Name of Investor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Investments 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88" w:name="page289"/>
    <w:bookmarkEnd w:id="288"/>
    <w:p>
      <w:pPr>
        <w:jc w:val="right"/>
        <w:spacing w:after="0"/>
        <w:rPr>
          <w:sz w:val="20"/>
          <w:szCs w:val="20"/>
          <w:color w:val="auto"/>
        </w:rPr>
      </w:pPr>
      <w:r>
        <w:rPr>
          <w:rFonts w:ascii="Arial" w:cs="Arial" w:eastAsia="Arial" w:hAnsi="Arial"/>
          <w:sz w:val="22"/>
          <w:szCs w:val="22"/>
          <w:b w:val="1"/>
          <w:bCs w:val="1"/>
          <w:color w:val="auto"/>
        </w:rPr>
        <w:t>Exhibit 10.9</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Chardan NexTech Acquisition 2 Corp. (the “</w:t>
      </w:r>
      <w:r>
        <w:rPr>
          <w:rFonts w:ascii="Arial" w:cs="Arial" w:eastAsia="Arial" w:hAnsi="Arial"/>
          <w:sz w:val="17"/>
          <w:szCs w:val="17"/>
          <w:b w:val="1"/>
          <w:bCs w:val="1"/>
          <w:color w:val="auto"/>
        </w:rPr>
        <w:t>Company</w:t>
      </w:r>
      <w:r>
        <w:rPr>
          <w:rFonts w:ascii="Arial" w:cs="Arial" w:eastAsia="Arial" w:hAnsi="Arial"/>
          <w:sz w:val="17"/>
          <w:szCs w:val="17"/>
          <w:color w:val="auto"/>
        </w:rPr>
        <w:t>”), a blank check company formed for the purpose of acquiring one or more businesses or entities (a “</w:t>
      </w:r>
      <w:r>
        <w:rPr>
          <w:rFonts w:ascii="Arial" w:cs="Arial" w:eastAsia="Arial" w:hAnsi="Arial"/>
          <w:sz w:val="17"/>
          <w:szCs w:val="17"/>
          <w:b w:val="1"/>
          <w:bCs w:val="1"/>
          <w:color w:val="auto"/>
        </w:rPr>
        <w:t>Business Combination</w:t>
      </w:r>
      <w:r>
        <w:rPr>
          <w:rFonts w:ascii="Arial" w:cs="Arial" w:eastAsia="Arial" w:hAnsi="Arial"/>
          <w:sz w:val="17"/>
          <w:szCs w:val="17"/>
          <w:color w:val="auto"/>
        </w:rPr>
        <w:t>”), intends to register its securities under the Securities Act of 1933, as amended (“</w:t>
      </w:r>
      <w:r>
        <w:rPr>
          <w:rFonts w:ascii="Arial" w:cs="Arial" w:eastAsia="Arial" w:hAnsi="Arial"/>
          <w:sz w:val="17"/>
          <w:szCs w:val="17"/>
          <w:b w:val="1"/>
          <w:bCs w:val="1"/>
          <w:color w:val="auto"/>
        </w:rPr>
        <w:t>Securities Act</w:t>
      </w:r>
      <w:r>
        <w:rPr>
          <w:rFonts w:ascii="Arial" w:cs="Arial" w:eastAsia="Arial" w:hAnsi="Arial"/>
          <w:sz w:val="17"/>
          <w:szCs w:val="17"/>
          <w:color w:val="auto"/>
        </w:rPr>
        <w:t>”), in connection with its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 pursuant to a registration statement on Form S-1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6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commits that it will purchase an aggregate of 5,238,461 (or up to 5,469,230, depending on the extent to which the underwriters’ over-allotment option is exercised) warrants of the Company (“</w:t>
      </w:r>
      <w:r>
        <w:rPr>
          <w:rFonts w:ascii="Arial" w:cs="Arial" w:eastAsia="Arial" w:hAnsi="Arial"/>
          <w:sz w:val="18"/>
          <w:szCs w:val="18"/>
          <w:b w:val="1"/>
          <w:bCs w:val="1"/>
          <w:color w:val="auto"/>
        </w:rPr>
        <w:t>Private Warrants</w:t>
      </w:r>
      <w:r>
        <w:rPr>
          <w:rFonts w:ascii="Arial" w:cs="Arial" w:eastAsia="Arial" w:hAnsi="Arial"/>
          <w:sz w:val="18"/>
          <w:szCs w:val="18"/>
          <w:color w:val="auto"/>
        </w:rPr>
        <w:t>”), at a price of $0.65 per warrant for an aggregate purchase price of $3,405,000 (or up to $3,555,000, depending on the extent to which the underwriters’ over-allotment option is exercised) (the “</w:t>
      </w:r>
      <w:r>
        <w:rPr>
          <w:rFonts w:ascii="Arial" w:cs="Arial" w:eastAsia="Arial" w:hAnsi="Arial"/>
          <w:sz w:val="18"/>
          <w:szCs w:val="18"/>
          <w:b w:val="1"/>
          <w:bCs w:val="1"/>
          <w:color w:val="auto"/>
        </w:rPr>
        <w:t>Private Warrant</w:t>
      </w:r>
      <w:r>
        <w:rPr>
          <w:rFonts w:ascii="Arial" w:cs="Arial" w:eastAsia="Arial" w:hAnsi="Arial"/>
          <w:sz w:val="18"/>
          <w:szCs w:val="18"/>
          <w:color w:val="auto"/>
        </w:rPr>
        <w:t xml:space="preserv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consummation of the purchase and issuance of the Private Warrants shall occur simultaneously with the consummation of the IPO. Simultaneously with the consummation of the IPO, Continental Stock Transfer &amp; Trust Company shall deposit the Private Warrant Purchase Price, without interest or deduction, into the trust fund (“</w:t>
      </w:r>
      <w:r>
        <w:rPr>
          <w:rFonts w:ascii="Arial" w:cs="Arial" w:eastAsia="Arial" w:hAnsi="Arial"/>
          <w:sz w:val="18"/>
          <w:szCs w:val="18"/>
          <w:b w:val="1"/>
          <w:bCs w:val="1"/>
          <w:color w:val="auto"/>
        </w:rPr>
        <w:t>Trust Fund</w:t>
      </w:r>
      <w:r>
        <w:rPr>
          <w:rFonts w:ascii="Arial" w:cs="Arial" w:eastAsia="Arial" w:hAnsi="Arial"/>
          <w:sz w:val="18"/>
          <w:szCs w:val="18"/>
          <w:color w:val="auto"/>
        </w:rPr>
        <w:t>”) established by the Company for the benefit of the Company’s public stockholders as described in the Registration Statement.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the undersigned agrees:</w:t>
      </w:r>
    </w:p>
    <w:p>
      <w:pPr>
        <w:spacing w:after="0" w:line="225" w:lineRule="exact"/>
        <w:rPr>
          <w:sz w:val="20"/>
          <w:szCs w:val="20"/>
          <w:color w:val="auto"/>
        </w:rPr>
      </w:pPr>
    </w:p>
    <w:p>
      <w:pPr>
        <w:jc w:val="both"/>
        <w:ind w:left="1300" w:hanging="320"/>
        <w:spacing w:after="0" w:line="291" w:lineRule="auto"/>
        <w:tabs>
          <w:tab w:leader="none" w:pos="13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not to propose, or vote in favor of, an amendment to the Company’s Amended and Restated Certificate of Incorporation that would affect the substance or timing of the Company’s obligation to redeem 100% of the Company’s shares of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sold in the IPO if the Company does not complete an initial Business Combination within 24 months from the closing of the IPO,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to pay the Company’s franchise and income taxes, divided by the number of then outstanding shares of Common Stock sold in the IPO;</w:t>
      </w:r>
    </w:p>
    <w:p>
      <w:pPr>
        <w:spacing w:after="0" w:line="166"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undersigned will not participate in any liquidation distribution with respect to the Private Warrants (but will participate in liquidation distributions with respect to any units or Common Stock purchased by the undersigned in the IPO or in the open market) if the Company fails to consummate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89" w:name="page290"/>
    <w:bookmarkEnd w:id="289"/>
    <w:p>
      <w:pPr>
        <w:jc w:val="both"/>
        <w:ind w:left="1300" w:hanging="320"/>
        <w:spacing w:after="0" w:line="268" w:lineRule="auto"/>
        <w:tabs>
          <w:tab w:leader="none" w:pos="13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that the Private Warrants and underlying securities will not be transferable or saleable until 30 days after the consummation of a Business Combination except ((a) to the Company’s officers or directors, any affiliates or family members of any of the Company’s officers or directors, any members of the undersigned, Chardan NexTech Investments 2 LLC (“</w:t>
      </w:r>
      <w:r>
        <w:rPr>
          <w:rFonts w:ascii="Arial" w:cs="Arial" w:eastAsia="Arial" w:hAnsi="Arial"/>
          <w:sz w:val="17"/>
          <w:szCs w:val="17"/>
          <w:b w:val="1"/>
          <w:bCs w:val="1"/>
          <w:color w:val="auto"/>
        </w:rPr>
        <w:t>Sponsor</w:t>
      </w:r>
      <w:r>
        <w:rPr>
          <w:rFonts w:ascii="Arial" w:cs="Arial" w:eastAsia="Arial" w:hAnsi="Arial"/>
          <w:sz w:val="17"/>
          <w:szCs w:val="17"/>
          <w:color w:val="auto"/>
        </w:rPr>
        <w:t>”),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the Company’s liquidation prior to the completion of an initial Business Combination; or (g) by virtue of the laws of Delaware or the applicable limited liability company agreement upon dissolution of the undersigned,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the undersigned, Sponsor, officers, and directors of the Company, as the case may be, with respect to such securities (including provisions relating to voting, the trust account and liquidation distributions described elsewhere in this prospectus); and</w:t>
      </w:r>
    </w:p>
    <w:p>
      <w:pPr>
        <w:spacing w:after="0" w:line="184"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Private Warrants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acknowledges and agrees that the purchaser of the Private Warrants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represents and warrants that:</w:t>
      </w:r>
    </w:p>
    <w:p>
      <w:pPr>
        <w:spacing w:after="0" w:line="225" w:lineRule="exact"/>
        <w:rPr>
          <w:sz w:val="20"/>
          <w:szCs w:val="20"/>
          <w:color w:val="auto"/>
        </w:rPr>
      </w:pPr>
    </w:p>
    <w:p>
      <w:pPr>
        <w:ind w:left="900" w:hanging="244"/>
        <w:spacing w:after="0"/>
        <w:tabs>
          <w:tab w:leader="none" w:pos="900"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it has been advised that the Private Warrants have not been registered under the Securities Act;</w:t>
      </w:r>
    </w:p>
    <w:p>
      <w:pPr>
        <w:spacing w:after="0" w:line="225" w:lineRule="exact"/>
        <w:rPr>
          <w:rFonts w:ascii="Arial" w:cs="Arial" w:eastAsia="Arial" w:hAnsi="Arial"/>
          <w:sz w:val="18"/>
          <w:szCs w:val="18"/>
          <w:color w:val="010000"/>
        </w:rPr>
      </w:pPr>
    </w:p>
    <w:p>
      <w:pPr>
        <w:ind w:left="920" w:hanging="264"/>
        <w:spacing w:after="0"/>
        <w:tabs>
          <w:tab w:leader="none" w:pos="920"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it will be acquiring the Private Warrants for its account for investment purposes only;</w:t>
      </w:r>
    </w:p>
    <w:p>
      <w:pPr>
        <w:spacing w:after="0" w:line="225" w:lineRule="exact"/>
        <w:rPr>
          <w:rFonts w:ascii="Arial" w:cs="Arial" w:eastAsia="Arial" w:hAnsi="Arial"/>
          <w:sz w:val="18"/>
          <w:szCs w:val="18"/>
          <w:color w:val="010000"/>
        </w:rPr>
      </w:pPr>
    </w:p>
    <w:p>
      <w:pPr>
        <w:ind w:left="900" w:hanging="244"/>
        <w:spacing w:after="0"/>
        <w:tabs>
          <w:tab w:leader="none" w:pos="900" w:val="left"/>
        </w:tabs>
        <w:numPr>
          <w:ilvl w:val="0"/>
          <w:numId w:val="154"/>
        </w:numPr>
        <w:rPr>
          <w:rFonts w:ascii="Arial" w:cs="Arial" w:eastAsia="Arial" w:hAnsi="Arial"/>
          <w:sz w:val="17"/>
          <w:szCs w:val="17"/>
          <w:color w:val="010000"/>
        </w:rPr>
      </w:pPr>
      <w:r>
        <w:rPr>
          <w:rFonts w:ascii="Arial" w:cs="Arial" w:eastAsia="Arial" w:hAnsi="Arial"/>
          <w:sz w:val="17"/>
          <w:szCs w:val="17"/>
          <w:color w:val="auto"/>
        </w:rPr>
        <w:t>it has no present intention of selling or otherwise disposing of the Private Warrants in violation of the securities laws of the United States;</w:t>
      </w:r>
    </w:p>
    <w:p>
      <w:pPr>
        <w:spacing w:after="0" w:line="236" w:lineRule="exact"/>
        <w:rPr>
          <w:rFonts w:ascii="Arial" w:cs="Arial" w:eastAsia="Arial" w:hAnsi="Arial"/>
          <w:sz w:val="17"/>
          <w:szCs w:val="17"/>
          <w:color w:val="010000"/>
        </w:rPr>
      </w:pPr>
    </w:p>
    <w:p>
      <w:pPr>
        <w:ind w:left="920" w:hanging="264"/>
        <w:spacing w:after="0"/>
        <w:tabs>
          <w:tab w:leader="none" w:pos="920"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it is an “accredited investor” as defined by Rule 501 of Regulation D promulgated under the Securities Act of 1933, as amended;</w:t>
      </w:r>
    </w:p>
    <w:p>
      <w:pPr>
        <w:spacing w:after="0" w:line="225" w:lineRule="exact"/>
        <w:rPr>
          <w:rFonts w:ascii="Arial" w:cs="Arial" w:eastAsia="Arial" w:hAnsi="Arial"/>
          <w:sz w:val="18"/>
          <w:szCs w:val="18"/>
          <w:color w:val="010000"/>
        </w:rPr>
      </w:pPr>
    </w:p>
    <w:p>
      <w:pPr>
        <w:ind w:firstLine="656"/>
        <w:spacing w:after="0" w:line="277" w:lineRule="auto"/>
        <w:tabs>
          <w:tab w:leader="none" w:pos="892"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it has had both the opportunity to ask questions and receive answers from the officers and directors of the Company and all persons acting on its behalf concerning the terms and conditions of the offer made hereunder;</w:t>
      </w:r>
    </w:p>
    <w:p>
      <w:pPr>
        <w:spacing w:after="0" w:line="170" w:lineRule="exact"/>
        <w:rPr>
          <w:rFonts w:ascii="Arial" w:cs="Arial" w:eastAsia="Arial" w:hAnsi="Arial"/>
          <w:sz w:val="18"/>
          <w:szCs w:val="18"/>
          <w:color w:val="010000"/>
        </w:rPr>
      </w:pPr>
    </w:p>
    <w:p>
      <w:pPr>
        <w:ind w:left="880" w:hanging="224"/>
        <w:spacing w:after="0"/>
        <w:tabs>
          <w:tab w:leader="none" w:pos="880"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it is familiar with the proposed business, management, financial condition and affairs of the Company;</w:t>
      </w:r>
    </w:p>
    <w:p>
      <w:pPr>
        <w:spacing w:after="0" w:line="225" w:lineRule="exact"/>
        <w:rPr>
          <w:rFonts w:ascii="Arial" w:cs="Arial" w:eastAsia="Arial" w:hAnsi="Arial"/>
          <w:sz w:val="18"/>
          <w:szCs w:val="18"/>
          <w:color w:val="010000"/>
        </w:rPr>
      </w:pPr>
    </w:p>
    <w:p>
      <w:pPr>
        <w:ind w:firstLine="656"/>
        <w:spacing w:after="0" w:line="277" w:lineRule="auto"/>
        <w:tabs>
          <w:tab w:leader="none" w:pos="930"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70" w:lineRule="exact"/>
        <w:rPr>
          <w:rFonts w:ascii="Arial" w:cs="Arial" w:eastAsia="Arial" w:hAnsi="Arial"/>
          <w:sz w:val="18"/>
          <w:szCs w:val="18"/>
          <w:color w:val="010000"/>
        </w:rPr>
      </w:pPr>
    </w:p>
    <w:p>
      <w:pPr>
        <w:ind w:left="920" w:hanging="264"/>
        <w:spacing w:after="0"/>
        <w:tabs>
          <w:tab w:leader="none" w:pos="920"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this letter constitutes its legal, valid and binding obligation, and is enforceable against 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letter agreement constitutes the entire agreement between the undersigned and the Company with respect to the purchase of the Private Warrants, and supersedes all prior and contemporaneous understandings, agreements, representations and warranties, both written and oral, with respect to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0" w:name="page291"/>
    <w:bookmarkEnd w:id="290"/>
    <w:p>
      <w:pPr>
        <w:ind w:left="58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CHARDAN NEXTECH 2 WARRANT HOLDINGS LLC</w:t>
      </w:r>
    </w:p>
    <w:p>
      <w:pPr>
        <w:spacing w:after="0" w:line="2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4290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Amendment No. 4 to Form S-1 of our report dated June 4, 2021, relating to the financial statements of Chardan NexTech Acquisition 2 Corp., which is contained in that Prospectus. We also consent to the reference to us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99.7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Chardan NexTech Acquisition 2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Todd Thomson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99.8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Chardan NexTech Acquisition 2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Hitesh Thakrar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Hitesh Thakrar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1)"/>
      <w:numFmt w:val="decimal"/>
      <w:start w:val="1"/>
    </w:lvl>
  </w:abstractNum>
  <w:abstractNum w:abstractNumId="1">
    <w:nsid w:val="A0382C5"/>
    <w:multiLevelType w:val="hybridMultilevel"/>
    <w:lvl w:ilvl="0">
      <w:lvlJc w:val="left"/>
      <w:lvlText w:val="(%1)"/>
      <w:numFmt w:val="decimal"/>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1)"/>
      <w:numFmt w:val="decimal"/>
      <w:start w:val="1"/>
    </w:lvl>
  </w:abstractNum>
  <w:abstractNum w:abstractNumId="6">
    <w:nsid w:val="4962813B"/>
    <w:multiLevelType w:val="hybridMultilevel"/>
    <w:lvl w:ilvl="0">
      <w:lvlJc w:val="left"/>
      <w:lvlText w:val="(%1)"/>
      <w:numFmt w:val="decimal"/>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1."/>
      <w:numFmt w:val="upperLetter"/>
      <w:start w:val="9"/>
    </w:lvl>
  </w:abstractNum>
  <w:abstractNum w:abstractNumId="9">
    <w:nsid w:val="14330624"/>
    <w:multiLevelType w:val="hybridMultilevel"/>
    <w:lvl w:ilvl="0">
      <w:lvlJc w:val="left"/>
      <w:lvlText w:val="(%1)"/>
      <w:numFmt w:val="lowerRoman"/>
      <w:start w:val="2"/>
    </w:lvl>
  </w:abstractNum>
  <w:abstractNum w:abstractNumId="10">
    <w:nsid w:val="7FFFCA11"/>
    <w:multiLevelType w:val="hybridMultilevel"/>
    <w:lvl w:ilvl="0">
      <w:lvlJc w:val="left"/>
      <w:lvlText w:val="(%1)"/>
      <w:numFmt w:val="upperLetter"/>
      <w:start w:val="2"/>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1."/>
      <w:numFmt w:val="upperLetter"/>
      <w:start w:val="35"/>
    </w:lvl>
  </w:abstractNum>
  <w:abstractNum w:abstractNumId="15">
    <w:nsid w:val="6EB5BD4"/>
    <w:multiLevelType w:val="hybridMultilevel"/>
    <w:lvl w:ilvl="0">
      <w:lvlJc w:val="left"/>
      <w:lvlText w:val="(%1)"/>
      <w:numFmt w:val="lowerRoman"/>
      <w:start w:val="2"/>
    </w:lvl>
  </w:abstractNum>
  <w:abstractNum w:abstractNumId="16">
    <w:nsid w:val="6F6DD9AC"/>
    <w:multiLevelType w:val="hybridMultilevel"/>
    <w:lvl w:ilvl="0">
      <w:lvlJc w:val="left"/>
      <w:lvlText w:val="%1."/>
      <w:numFmt w:val="upperLetter"/>
      <w:start w:val="6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1)"/>
      <w:numFmt w:val="upperLetter"/>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1)"/>
      <w:numFmt w:val="decimal"/>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1."/>
      <w:numFmt w:val="upperLetter"/>
      <w:start w:val="22"/>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1)"/>
      <w:numFmt w:val="decimal"/>
      <w:start w:val="1"/>
    </w:lvl>
  </w:abstractNum>
  <w:abstractNum w:abstractNumId="29">
    <w:nsid w:val="39EE015C"/>
    <w:multiLevelType w:val="hybridMultilevel"/>
    <w:lvl w:ilvl="0">
      <w:lvlJc w:val="left"/>
      <w:lvlText w:val="(%1)"/>
      <w:numFmt w:val="decimal"/>
      <w:start w:val="1"/>
    </w:lvl>
  </w:abstractNum>
  <w:abstractNum w:abstractNumId="30">
    <w:nsid w:val="57FC4FBB"/>
    <w:multiLevelType w:val="hybridMultilevel"/>
    <w:lvl w:ilvl="0">
      <w:lvlJc w:val="left"/>
      <w:lvlText w:val="(%1)"/>
      <w:numFmt w:val="decimal"/>
      <w:start w:val="1"/>
    </w:lvl>
  </w:abstractNum>
  <w:abstractNum w:abstractNumId="31">
    <w:nsid w:val="CC1016F"/>
    <w:multiLevelType w:val="hybridMultilevel"/>
    <w:lvl w:ilvl="0">
      <w:lvlJc w:val="left"/>
      <w:lvlText w:val="(%1)"/>
      <w:numFmt w:val="decimal"/>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1)"/>
      <w:numFmt w:val="lowerRoman"/>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1)"/>
      <w:numFmt w:val="decimal"/>
      <w:start w:val="2"/>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1)"/>
      <w:numFmt w:val="decimal"/>
      <w:start w:val="1"/>
    </w:lvl>
  </w:abstractNum>
  <w:abstractNum w:abstractNumId="54">
    <w:nsid w:val="71C91298"/>
    <w:multiLevelType w:val="hybridMultilevel"/>
    <w:lvl w:ilvl="0">
      <w:lvlJc w:val="left"/>
      <w:lvlText w:val="(%1)"/>
      <w:numFmt w:val="lowerRoman"/>
      <w:start w:val="2"/>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1)"/>
      <w:numFmt w:val="lowerRoman"/>
      <w:start w:val="10"/>
    </w:lvl>
  </w:abstractNum>
  <w:abstractNum w:abstractNumId="59">
    <w:nsid w:val="1D545C4D"/>
    <w:multiLevelType w:val="hybridMultilevel"/>
    <w:lvl w:ilvl="0">
      <w:lvlJc w:val="left"/>
      <w:lvlText w:val="(%1)"/>
      <w:numFmt w:val="lowerRoman"/>
      <w:start w:val="10"/>
    </w:lvl>
  </w:abstractNum>
  <w:abstractNum w:abstractNumId="60">
    <w:nsid w:val="59ADEA3D"/>
    <w:multiLevelType w:val="hybridMultilevel"/>
    <w:lvl w:ilvl="0">
      <w:lvlJc w:val="left"/>
      <w:lvlText w:val="(%1)"/>
      <w:numFmt w:val="lowerLetter"/>
      <w:start w:val="2"/>
    </w:lvl>
  </w:abstractNum>
  <w:abstractNum w:abstractNumId="61">
    <w:nsid w:val="288F1A34"/>
    <w:multiLevelType w:val="hybridMultilevel"/>
    <w:lvl w:ilvl="0">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
      <w:numFmt w:val="bullet"/>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1)"/>
      <w:numFmt w:val="decimal"/>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1)"/>
      <w:numFmt w:val="upperLetter"/>
      <w:start w:val="6"/>
    </w:lvl>
  </w:abstractNum>
  <w:abstractNum w:abstractNumId="77">
    <w:nsid w:val="39B7AAA2"/>
    <w:multiLevelType w:val="hybridMultilevel"/>
    <w:lvl w:ilvl="0">
      <w:lvlJc w:val="left"/>
      <w:lvlText w:val="(%1)"/>
      <w:numFmt w:val="upperLetter"/>
      <w:start w:val="6"/>
    </w:lvl>
  </w:abstractNum>
  <w:abstractNum w:abstractNumId="78">
    <w:nsid w:val="2B0D8DBE"/>
    <w:multiLevelType w:val="hybridMultilevel"/>
    <w:lvl w:ilvl="0">
      <w:lvlJc w:val="left"/>
      <w:lvlText w:val="(%1)"/>
      <w:numFmt w:val="upperLetter"/>
      <w:start w:val="6"/>
    </w:lvl>
  </w:abstractNum>
  <w:abstractNum w:abstractNumId="79">
    <w:nsid w:val="6C80EC70"/>
    <w:multiLevelType w:val="hybridMultilevel"/>
    <w:lvl w:ilvl="0">
      <w:lvlJc w:val="left"/>
      <w:lvlText w:val="(%1)"/>
      <w:numFmt w:val="decimal"/>
      <w:start w:val="1"/>
    </w:lvl>
  </w:abstractNum>
  <w:abstractNum w:abstractNumId="80">
    <w:nsid w:val="379E21B5"/>
    <w:multiLevelType w:val="hybridMultilevel"/>
    <w:lvl w:ilvl="0">
      <w:lvlJc w:val="left"/>
      <w:lvlText w:val="(%1)"/>
      <w:numFmt w:val="lowerLetter"/>
      <w:start w:val="1"/>
    </w:lvl>
  </w:abstractNum>
  <w:abstractNum w:abstractNumId="81">
    <w:nsid w:val="69E373"/>
    <w:multiLevelType w:val="hybridMultilevel"/>
    <w:lvl w:ilvl="0">
      <w:lvlJc w:val="left"/>
      <w:lvlText w:val="(%1)"/>
      <w:numFmt w:val="lowerLetter"/>
      <w:start w:val="2"/>
    </w:lvl>
  </w:abstractNum>
  <w:abstractNum w:abstractNumId="82">
    <w:nsid w:val="2C27173B"/>
    <w:multiLevelType w:val="hybridMultilevel"/>
    <w:lvl w:ilvl="0">
      <w:lvlJc w:val="left"/>
      <w:lvlText w:val="(%1)"/>
      <w:numFmt w:val="lowerLetter"/>
      <w:start w:val="8"/>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5">
    <w:nsid w:val="1DF029D3"/>
    <w:multiLevelType w:val="hybridMultilevel"/>
    <w:lvl w:ilvl="0">
      <w:lvlJc w:val="left"/>
      <w:lvlText w:val="(%1)"/>
      <w:numFmt w:val="lowerRoman"/>
      <w:start w:val="3"/>
    </w:lvl>
  </w:abstractNum>
  <w:abstractNum w:abstractNumId="86">
    <w:nsid w:val="5675FF36"/>
    <w:multiLevelType w:val="hybridMultilevel"/>
    <w:lvl w:ilvl="0">
      <w:lvlJc w:val="left"/>
      <w:lvlText w:val="%1."/>
      <w:numFmt w:val="decimal"/>
      <w:start w:val="1"/>
    </w:lvl>
  </w:abstractNum>
  <w:abstractNum w:abstractNumId="87">
    <w:nsid w:val="3DD15094"/>
    <w:multiLevelType w:val="hybridMultilevel"/>
    <w:lvl w:ilvl="0">
      <w:lvlJc w:val="left"/>
      <w:lvlText w:val="(%1)"/>
      <w:numFmt w:val="decimal"/>
      <w:start w:val="30"/>
    </w:lvl>
  </w:abstractNum>
  <w:abstractNum w:abstractNumId="88">
    <w:nsid w:val="3DB012B3"/>
    <w:multiLevelType w:val="hybridMultilevel"/>
    <w:lvl w:ilvl="0">
      <w:lvlJc w:val="left"/>
      <w:lvlText w:val="%1."/>
      <w:numFmt w:val="decimal"/>
      <w:start w:val="2"/>
    </w:lvl>
  </w:abstractNum>
  <w:abstractNum w:abstractNumId="89">
    <w:nsid w:val="2708C9AF"/>
    <w:multiLevelType w:val="hybridMultilevel"/>
    <w:lvl w:ilvl="0">
      <w:lvlJc w:val="left"/>
      <w:lvlText w:val="%1."/>
      <w:numFmt w:val="decimal"/>
      <w:start w:val="3"/>
    </w:lvl>
  </w:abstractNum>
  <w:abstractNum w:abstractNumId="90">
    <w:nsid w:val="5B25ACE2"/>
    <w:multiLevelType w:val="hybridMultilevel"/>
    <w:lvl w:ilvl="0">
      <w:lvlJc w:val="left"/>
      <w:lvlText w:val="(%1)"/>
      <w:numFmt w:val="lowerRoman"/>
      <w:start w:val="5"/>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1)"/>
      <w:numFmt w:val="lowerRoman"/>
      <w:start w:val="1"/>
    </w:lvl>
  </w:abstractNum>
  <w:abstractNum w:abstractNumId="93">
    <w:nsid w:val="53B0A9E"/>
    <w:multiLevelType w:val="hybridMultilevel"/>
    <w:lvl w:ilvl="0">
      <w:lvlJc w:val="left"/>
      <w:lvlText w:val="(%1)"/>
      <w:numFmt w:val="decimal"/>
      <w:start w:val="4"/>
    </w:lvl>
  </w:abstractNum>
  <w:abstractNum w:abstractNumId="94">
    <w:nsid w:val="34FD6B4F"/>
    <w:multiLevelType w:val="hybridMultilevel"/>
    <w:lvl w:ilvl="0">
      <w:lvlJc w:val="left"/>
      <w:lvlText w:val="%1."/>
      <w:numFmt w:val="decimal"/>
      <w:start w:val="4"/>
    </w:lvl>
  </w:abstractNum>
  <w:abstractNum w:abstractNumId="95">
    <w:nsid w:val="5915FF32"/>
    <w:multiLevelType w:val="hybridMultilevel"/>
    <w:lvl w:ilvl="0">
      <w:lvlJc w:val="left"/>
      <w:lvlText w:val="(%1)"/>
      <w:numFmt w:val="lowerLetter"/>
      <w:start w:val="1"/>
    </w:lvl>
  </w:abstractNum>
  <w:abstractNum w:abstractNumId="96">
    <w:nsid w:val="56438D15"/>
    <w:multiLevelType w:val="hybridMultilevel"/>
    <w:lvl w:ilvl="0">
      <w:lvlJc w:val="left"/>
      <w:lvlText w:val="%1."/>
      <w:numFmt w:val="decimal"/>
      <w:start w:val="5"/>
    </w:lvl>
  </w:abstractNum>
  <w:abstractNum w:abstractNumId="97">
    <w:nsid w:val="519E3149"/>
    <w:multiLevelType w:val="hybridMultilevel"/>
    <w:lvl w:ilvl="0">
      <w:lvlJc w:val="left"/>
      <w:lvlText w:val="%1."/>
      <w:numFmt w:val="decimal"/>
      <w:start w:val="6"/>
    </w:lvl>
  </w:abstractNum>
  <w:abstractNum w:abstractNumId="98">
    <w:nsid w:val="2C6E4AFD"/>
    <w:multiLevelType w:val="hybridMultilevel"/>
    <w:lvl w:ilvl="0">
      <w:lvlJc w:val="left"/>
      <w:lvlText w:val="%1."/>
      <w:numFmt w:val="decimal"/>
      <w:start w:val="7"/>
    </w:lvl>
  </w:abstractNum>
  <w:abstractNum w:abstractNumId="99">
    <w:nsid w:val="17A1B582"/>
    <w:multiLevelType w:val="hybridMultilevel"/>
    <w:lvl w:ilvl="0">
      <w:lvlJc w:val="left"/>
      <w:lvlText w:val="%1."/>
      <w:numFmt w:val="decimal"/>
      <w:start w:val="8"/>
    </w:lvl>
  </w:abstractNum>
  <w:abstractNum w:abstractNumId="100">
    <w:nsid w:val="4DF72E4E"/>
    <w:multiLevelType w:val="hybridMultilevel"/>
    <w:lvl w:ilvl="0">
      <w:lvlJc w:val="left"/>
      <w:lvlText w:val="(%1)"/>
      <w:numFmt w:val="lowerRoman"/>
      <w:start w:val="6"/>
    </w:lvl>
  </w:abstractNum>
  <w:abstractNum w:abstractNumId="101">
    <w:nsid w:val="5046B5A9"/>
    <w:multiLevelType w:val="hybridMultilevel"/>
    <w:lvl w:ilvl="0">
      <w:lvlJc w:val="left"/>
      <w:lvlText w:val="%1."/>
      <w:numFmt w:val="decimal"/>
      <w:start w:val="10"/>
    </w:lvl>
  </w:abstractNum>
  <w:abstractNum w:abstractNumId="102">
    <w:nsid w:val="5D888A08"/>
    <w:multiLevelType w:val="hybridMultilevel"/>
    <w:lvl w:ilvl="0">
      <w:lvlJc w:val="left"/>
      <w:lvlText w:val="%1"/>
      <w:numFmt w:val="decimal"/>
      <w:start w:val="1"/>
    </w:lvl>
    <w:lvl w:ilvl="1">
      <w:lvlJc w:val="left"/>
      <w:lvlText w:val="%2."/>
      <w:numFmt w:val="decimal"/>
      <w:start w:val="1"/>
    </w:lvl>
  </w:abstractNum>
  <w:abstractNum w:abstractNumId="103">
    <w:nsid w:val="2A082C70"/>
    <w:multiLevelType w:val="hybridMultilevel"/>
    <w:lvl w:ilvl="0">
      <w:lvlJc w:val="left"/>
      <w:lvlText w:val="%1."/>
      <w:numFmt w:val="decimal"/>
      <w:start w:val="2"/>
    </w:lvl>
    <w:lvl w:ilvl="1">
      <w:lvlJc w:val="left"/>
      <w:lvlText w:val="%2"/>
      <w:numFmt w:val="decimal"/>
      <w:start w:val="1"/>
    </w:lvl>
  </w:abstractNum>
  <w:abstractNum w:abstractNumId="104">
    <w:nsid w:val="5EC6AFD4"/>
    <w:multiLevelType w:val="hybridMultilevel"/>
    <w:lvl w:ilvl="0">
      <w:lvlJc w:val="left"/>
      <w:lvlText w:val="(%1)"/>
      <w:numFmt w:val="lowerRoman"/>
      <w:start w:val="2"/>
    </w:lvl>
  </w:abstractNum>
  <w:abstractNum w:abstractNumId="105">
    <w:nsid w:val="19E21BB2"/>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06">
    <w:nsid w:val="75E0858A"/>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07">
    <w:nsid w:val="57A61A29"/>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08">
    <w:nsid w:val="5399C654"/>
    <w:multiLevelType w:val="hybridMultilevel"/>
    <w:lvl w:ilvl="0">
      <w:lvlJc w:val="left"/>
      <w:lvlText w:val="%1."/>
      <w:numFmt w:val="lowerLetter"/>
      <w:start w:val="1"/>
    </w:lvl>
    <w:lvl w:ilvl="1">
      <w:lvlJc w:val="left"/>
      <w:lvlText w:val="(%2)"/>
      <w:numFmt w:val="lowerRoman"/>
      <w:start w:val="3"/>
    </w:lvl>
  </w:abstractNum>
  <w:abstractNum w:abstractNumId="109">
    <w:nsid w:val="20EE1348"/>
    <w:multiLevelType w:val="hybridMultilevel"/>
    <w:lvl w:ilvl="0">
      <w:lvlJc w:val="left"/>
      <w:lvlText w:val="%1."/>
      <w:numFmt w:val="decimal"/>
      <w:start w:val="4"/>
    </w:lvl>
  </w:abstractNum>
  <w:abstractNum w:abstractNumId="110">
    <w:nsid w:val="4427069A"/>
    <w:multiLevelType w:val="hybridMultilevel"/>
    <w:lvl w:ilvl="0">
      <w:lvlJc w:val="left"/>
      <w:lvlText w:val="%1."/>
      <w:numFmt w:val="lowerLetter"/>
      <w:start w:val="1"/>
    </w:lvl>
  </w:abstractNum>
  <w:abstractNum w:abstractNumId="111">
    <w:nsid w:val="B37E80A"/>
    <w:multiLevelType w:val="hybridMultilevel"/>
    <w:lvl w:ilvl="0">
      <w:lvlJc w:val="left"/>
      <w:lvlText w:val="%1."/>
      <w:numFmt w:val="decimal"/>
      <w:start w:val="8"/>
    </w:lvl>
  </w:abstractNum>
  <w:abstractNum w:abstractNumId="112">
    <w:nsid w:val="2157F6BC"/>
    <w:multiLevelType w:val="hybridMultilevel"/>
    <w:lvl w:ilvl="0">
      <w:lvlJc w:val="left"/>
      <w:lvlText w:val="%1."/>
      <w:numFmt w:val="decimal"/>
      <w:start w:val="1"/>
    </w:lvl>
  </w:abstractNum>
  <w:abstractNum w:abstractNumId="113">
    <w:nsid w:val="704E1DD5"/>
    <w:multiLevelType w:val="hybridMultilevel"/>
    <w:lvl w:ilvl="0">
      <w:lvlJc w:val="left"/>
      <w:lvlText w:val="(%1)"/>
      <w:numFmt w:val="decimal"/>
      <w:start w:val="180"/>
    </w:lvl>
  </w:abstractNum>
  <w:abstractNum w:abstractNumId="114">
    <w:nsid w:val="57D2F10E"/>
    <w:multiLevelType w:val="hybridMultilevel"/>
    <w:lvl w:ilvl="0">
      <w:lvlJc w:val="left"/>
      <w:lvlText w:val="%1."/>
      <w:numFmt w:val="decimal"/>
      <w:start w:val="3"/>
    </w:lvl>
  </w:abstractNum>
  <w:abstractNum w:abstractNumId="115">
    <w:nsid w:val="BFFAE18"/>
    <w:multiLevelType w:val="hybridMultilevel"/>
    <w:lvl w:ilvl="0">
      <w:lvlJc w:val="left"/>
      <w:lvlText w:val="(%1)"/>
      <w:numFmt w:val="lowerRoman"/>
      <w:start w:val="1"/>
    </w:lvl>
  </w:abstractNum>
  <w:abstractNum w:abstractNumId="116">
    <w:nsid w:val="E3E47A8"/>
    <w:multiLevelType w:val="hybridMultilevel"/>
    <w:lvl w:ilvl="0">
      <w:lvlJc w:val="left"/>
      <w:lvlText w:val="(%1)"/>
      <w:numFmt w:val="lowerRoman"/>
      <w:start w:val="2"/>
    </w:lvl>
  </w:abstractNum>
  <w:abstractNum w:abstractNumId="117">
    <w:nsid w:val="2E48F044"/>
    <w:multiLevelType w:val="hybridMultilevel"/>
    <w:lvl w:ilvl="0">
      <w:lvlJc w:val="left"/>
      <w:lvlText w:val="(%1)"/>
      <w:numFmt w:val="decimal"/>
      <w:start w:val="3"/>
    </w:lvl>
  </w:abstractNum>
  <w:abstractNum w:abstractNumId="118">
    <w:nsid w:val="49D0FEAC"/>
    <w:multiLevelType w:val="hybridMultilevel"/>
    <w:lvl w:ilvl="0">
      <w:lvlJc w:val="left"/>
      <w:lvlText w:val="%1."/>
      <w:numFmt w:val="decimal"/>
      <w:start w:val="4"/>
    </w:lvl>
  </w:abstractNum>
  <w:abstractNum w:abstractNumId="119">
    <w:nsid w:val="4BEE5A5B"/>
    <w:multiLevelType w:val="hybridMultilevel"/>
    <w:lvl w:ilvl="0">
      <w:lvlJc w:val="left"/>
      <w:lvlText w:val="%1."/>
      <w:numFmt w:val="decimal"/>
      <w:start w:val="5"/>
    </w:lvl>
  </w:abstractNum>
  <w:abstractNum w:abstractNumId="120">
    <w:nsid w:val="5551B9F3"/>
    <w:multiLevelType w:val="hybridMultilevel"/>
    <w:lvl w:ilvl="0">
      <w:lvlJc w:val="left"/>
      <w:lvlText w:val="%1."/>
      <w:numFmt w:val="decimal"/>
      <w:start w:val="6"/>
    </w:lvl>
  </w:abstractNum>
  <w:abstractNum w:abstractNumId="121">
    <w:nsid w:val="24F6AB8E"/>
    <w:multiLevelType w:val="hybridMultilevel"/>
    <w:lvl w:ilvl="0">
      <w:lvlJc w:val="left"/>
      <w:lvlText w:val="%1."/>
      <w:numFmt w:val="decimal"/>
      <w:start w:val="7"/>
    </w:lvl>
  </w:abstractNum>
  <w:abstractNum w:abstractNumId="122">
    <w:nsid w:val="634C574C"/>
    <w:multiLevelType w:val="hybridMultilevel"/>
    <w:lvl w:ilvl="0">
      <w:lvlJc w:val="left"/>
      <w:lvlText w:val="%1."/>
      <w:numFmt w:val="decimal"/>
      <w:start w:val="8"/>
    </w:lvl>
  </w:abstractNum>
  <w:abstractNum w:abstractNumId="123">
    <w:nsid w:val="24E99DD7"/>
    <w:multiLevelType w:val="hybridMultilevel"/>
    <w:lvl w:ilvl="0">
      <w:lvlJc w:val="left"/>
      <w:lvlText w:val="%1."/>
      <w:numFmt w:val="decimal"/>
      <w:start w:val="9"/>
    </w:lvl>
  </w:abstractNum>
  <w:abstractNum w:abstractNumId="124">
    <w:nsid w:val="2A31B62D"/>
    <w:multiLevelType w:val="hybridMultilevel"/>
    <w:lvl w:ilvl="0">
      <w:lvlJc w:val="left"/>
      <w:lvlText w:val="(%1)"/>
      <w:numFmt w:val="lowerLetter"/>
      <w:start w:val="2"/>
    </w:lvl>
  </w:abstractNum>
  <w:abstractNum w:abstractNumId="125">
    <w:nsid w:val="1849C29B"/>
    <w:multiLevelType w:val="hybridMultilevel"/>
    <w:lvl w:ilvl="0">
      <w:lvlJc w:val="left"/>
      <w:lvlText w:val="%1."/>
      <w:numFmt w:val="lowerLetter"/>
      <w:start w:val="1"/>
    </w:lvl>
  </w:abstractNum>
  <w:abstractNum w:abstractNumId="126">
    <w:nsid w:val="7DFF9D09"/>
    <w:multiLevelType w:val="hybridMultilevel"/>
    <w:lvl w:ilvl="0">
      <w:lvlJc w:val="left"/>
      <w:lvlText w:val="%1."/>
      <w:numFmt w:val="decimal"/>
      <w:start w:val="1"/>
    </w:lvl>
  </w:abstractNum>
  <w:abstractNum w:abstractNumId="127">
    <w:nsid w:val="754342"/>
    <w:multiLevelType w:val="hybridMultilevel"/>
    <w:lvl w:ilvl="0">
      <w:lvlJc w:val="left"/>
      <w:lvlText w:val="%1."/>
      <w:numFmt w:val="decimal"/>
      <w:start w:val="1"/>
    </w:lvl>
    <w:lvl w:ilvl="1">
      <w:lvlJc w:val="left"/>
      <w:lvlText w:val="(%2)"/>
      <w:numFmt w:val="lowerLetter"/>
      <w:start w:val="2"/>
    </w:lvl>
  </w:abstractNum>
  <w:abstractNum w:abstractNumId="128">
    <w:nsid w:val="69E7F3E5"/>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29">
    <w:nsid w:val="2A6DE806"/>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30">
    <w:nsid w:val="1816F8C4"/>
    <w:multiLevelType w:val="hybridMultilevel"/>
    <w:lvl w:ilvl="0">
      <w:lvlJc w:val="left"/>
      <w:lvlText w:val="%1"/>
      <w:numFmt w:val="lowerLetter"/>
      <w:start w:val="1"/>
    </w:lvl>
    <w:lvl w:ilvl="1">
      <w:lvlJc w:val="left"/>
      <w:lvlText w:val="%2."/>
      <w:numFmt w:val="decimal"/>
      <w:start w:val="10"/>
    </w:lvl>
    <w:lvl w:ilvl="2">
      <w:lvlJc w:val="left"/>
      <w:lvlText w:val="-"/>
      <w:numFmt w:val="bullet"/>
      <w:start w:val="1"/>
    </w:lvl>
  </w:abstractNum>
  <w:abstractNum w:abstractNumId="131">
    <w:nsid w:val="37DF2233"/>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32">
    <w:nsid w:val="7AB49DAF"/>
    <w:multiLevelType w:val="hybridMultilevel"/>
    <w:lvl w:ilvl="0">
      <w:lvlJc w:val="left"/>
      <w:lvlText w:val="(%1)"/>
      <w:numFmt w:val="lowerLetter"/>
      <w:start w:val="11"/>
    </w:lvl>
  </w:abstractNum>
  <w:abstractNum w:abstractNumId="133">
    <w:nsid w:val="759F82CD"/>
    <w:multiLevelType w:val="hybridMultilevel"/>
    <w:lvl w:ilvl="0">
      <w:lvlJc w:val="left"/>
      <w:lvlText w:val="%1."/>
      <w:numFmt w:val="decimal"/>
      <w:start w:val="11"/>
    </w:lvl>
    <w:lvl w:ilvl="1">
      <w:lvlJc w:val="left"/>
      <w:lvlText w:val="-"/>
      <w:numFmt w:val="bullet"/>
      <w:start w:val="1"/>
    </w:lvl>
  </w:abstractNum>
  <w:abstractNum w:abstractNumId="134">
    <w:nsid w:val="61E74EA3"/>
    <w:multiLevelType w:val="hybridMultilevel"/>
    <w:lvl w:ilvl="0">
      <w:lvlJc w:val="left"/>
      <w:lvlText w:val="%1."/>
      <w:numFmt w:val="decimal"/>
      <w:start w:val="13"/>
    </w:lvl>
  </w:abstractNum>
  <w:abstractNum w:abstractNumId="135">
    <w:nsid w:val="597B4D84"/>
    <w:multiLevelType w:val="hybridMultilevel"/>
    <w:lvl w:ilvl="0">
      <w:lvlJc w:val="left"/>
      <w:lvlText w:val="%1."/>
      <w:numFmt w:val="decimal"/>
      <w:start w:val="17"/>
    </w:lvl>
  </w:abstractNum>
  <w:abstractNum w:abstractNumId="136">
    <w:nsid w:val="F819E7F"/>
    <w:multiLevelType w:val="hybridMultilevel"/>
    <w:lvl w:ilvl="0">
      <w:lvlJc w:val="left"/>
      <w:lvlText w:val="%1."/>
      <w:numFmt w:val="decimal"/>
      <w:start w:val="1"/>
    </w:lvl>
    <w:lvl w:ilvl="1">
      <w:lvlJc w:val="left"/>
      <w:lvlText w:val="(%2)"/>
      <w:numFmt w:val="lowerLetter"/>
      <w:start w:val="1"/>
    </w:lvl>
  </w:abstractNum>
  <w:abstractNum w:abstractNumId="137">
    <w:nsid w:val="57C7D42D"/>
    <w:multiLevelType w:val="hybridMultilevel"/>
    <w:lvl w:ilvl="0">
      <w:lvlJc w:val="left"/>
      <w:lvlText w:val="%1"/>
      <w:numFmt w:val="decimal"/>
      <w:start w:val="1"/>
    </w:lvl>
    <w:lvl w:ilvl="1">
      <w:lvlJc w:val="left"/>
      <w:lvlText w:val="(%2)"/>
      <w:numFmt w:val="lowerLetter"/>
      <w:start w:val="8"/>
    </w:lvl>
  </w:abstractNum>
  <w:abstractNum w:abstractNumId="138">
    <w:nsid w:val="312167AD"/>
    <w:multiLevelType w:val="hybridMultilevel"/>
    <w:lvl w:ilvl="0">
      <w:lvlJc w:val="left"/>
      <w:lvlText w:val="%1."/>
      <w:numFmt w:val="decimal"/>
      <w:start w:val="2"/>
    </w:lvl>
    <w:lvl w:ilvl="1">
      <w:lvlJc w:val="left"/>
      <w:lvlText w:val="(%2)"/>
      <w:numFmt w:val="lowerLetter"/>
      <w:start w:val="1"/>
    </w:lvl>
  </w:abstractNum>
  <w:abstractNum w:abstractNumId="139">
    <w:nsid w:val="631B64D4"/>
    <w:multiLevelType w:val="hybridMultilevel"/>
    <w:lvl w:ilvl="0">
      <w:lvlJc w:val="left"/>
      <w:lvlText w:val="%1"/>
      <w:numFmt w:val="decimal"/>
      <w:start w:val="1"/>
    </w:lvl>
    <w:lvl w:ilvl="1">
      <w:lvlJc w:val="left"/>
      <w:lvlText w:val="(%2)"/>
      <w:numFmt w:val="lowerLetter"/>
      <w:start w:val="4"/>
    </w:lvl>
  </w:abstractNum>
  <w:abstractNum w:abstractNumId="140">
    <w:nsid w:val="78B5E776"/>
    <w:multiLevelType w:val="hybridMultilevel"/>
    <w:lvl w:ilvl="0">
      <w:lvlJc w:val="left"/>
      <w:lvlText w:val="%1."/>
      <w:numFmt w:val="decimal"/>
      <w:start w:val="4"/>
    </w:lvl>
    <w:lvl w:ilvl="1">
      <w:lvlJc w:val="left"/>
      <w:lvlText w:val="(%2)"/>
      <w:numFmt w:val="lowerLetter"/>
      <w:start w:val="1"/>
    </w:lvl>
  </w:abstractNum>
  <w:abstractNum w:abstractNumId="141">
    <w:nsid w:val="75486E47"/>
    <w:multiLevelType w:val="hybridMultilevel"/>
    <w:lvl w:ilvl="0">
      <w:lvlJc w:val="left"/>
      <w:lvlText w:val="%1"/>
      <w:numFmt w:val="decimal"/>
      <w:start w:val="1"/>
    </w:lvl>
    <w:lvl w:ilvl="1">
      <w:lvlJc w:val="left"/>
      <w:lvlText w:val="(%2)"/>
      <w:numFmt w:val="lowerLetter"/>
      <w:start w:val="9"/>
    </w:lvl>
  </w:abstractNum>
  <w:abstractNum w:abstractNumId="142">
    <w:nsid w:val="6E534CDE"/>
    <w:multiLevelType w:val="hybridMultilevel"/>
    <w:lvl w:ilvl="0">
      <w:lvlJc w:val="left"/>
      <w:lvlText w:val="%1."/>
      <w:numFmt w:val="decimal"/>
      <w:start w:val="5"/>
    </w:lvl>
    <w:lvl w:ilvl="1">
      <w:lvlJc w:val="left"/>
      <w:lvlText w:val="(%2)"/>
      <w:numFmt w:val="lowerLetter"/>
      <w:start w:val="1"/>
    </w:lvl>
  </w:abstractNum>
  <w:abstractNum w:abstractNumId="143">
    <w:nsid w:val="1A0DDE32"/>
    <w:multiLevelType w:val="hybridMultilevel"/>
    <w:lvl w:ilvl="0">
      <w:lvlJc w:val="left"/>
      <w:lvlText w:val="(%1)"/>
      <w:numFmt w:val="lowerLetter"/>
      <w:start w:val="4"/>
    </w:lvl>
  </w:abstractNum>
  <w:abstractNum w:abstractNumId="144">
    <w:nsid w:val="65968C1C"/>
    <w:multiLevelType w:val="hybridMultilevel"/>
    <w:lvl w:ilvl="0">
      <w:lvlJc w:val="left"/>
      <w:lvlText w:val="(%1)"/>
      <w:numFmt w:val="lowerLetter"/>
      <w:start w:val="6"/>
    </w:lvl>
  </w:abstractNum>
  <w:abstractNum w:abstractNumId="145">
    <w:nsid w:val="46263DEC"/>
    <w:multiLevelType w:val="hybridMultilevel"/>
    <w:lvl w:ilvl="0">
      <w:lvlJc w:val="left"/>
      <w:lvlText w:val="%1."/>
      <w:numFmt w:val="decimal"/>
      <w:start w:val="2"/>
    </w:lvl>
  </w:abstractNum>
  <w:abstractNum w:abstractNumId="146">
    <w:nsid w:val="260D8C4A"/>
    <w:multiLevelType w:val="hybridMultilevel"/>
    <w:lvl w:ilvl="0">
      <w:lvlJc w:val="left"/>
      <w:lvlText w:val="(%1)"/>
      <w:numFmt w:val="lowerLetter"/>
      <w:start w:val="1"/>
    </w:lvl>
  </w:abstractNum>
  <w:abstractNum w:abstractNumId="147">
    <w:nsid w:val="73D4D3C4"/>
    <w:multiLevelType w:val="hybridMultilevel"/>
    <w:lvl w:ilvl="0">
      <w:lvlJc w:val="left"/>
      <w:lvlText w:val="%1."/>
      <w:numFmt w:val="decimal"/>
      <w:start w:val="3"/>
    </w:lvl>
  </w:abstractNum>
  <w:abstractNum w:abstractNumId="148">
    <w:nsid w:val="746F2E30"/>
    <w:multiLevelType w:val="hybridMultilevel"/>
    <w:lvl w:ilvl="0">
      <w:lvlJc w:val="left"/>
      <w:lvlText w:val="%1."/>
      <w:numFmt w:val="decimal"/>
      <w:start w:val="4"/>
    </w:lvl>
  </w:abstractNum>
  <w:abstractNum w:abstractNumId="149">
    <w:nsid w:val="6FDE8AF6"/>
    <w:multiLevelType w:val="hybridMultilevel"/>
    <w:lvl w:ilvl="0">
      <w:lvlJc w:val="left"/>
      <w:lvlText w:val="%1."/>
      <w:numFmt w:val="decimal"/>
      <w:start w:val="5"/>
    </w:lvl>
  </w:abstractNum>
  <w:abstractNum w:abstractNumId="150">
    <w:nsid w:val="3FC32E20"/>
    <w:multiLevelType w:val="hybridMultilevel"/>
    <w:lvl w:ilvl="0">
      <w:lvlJc w:val="left"/>
      <w:lvlText w:val="%1."/>
      <w:numFmt w:val="decimal"/>
      <w:start w:val="6"/>
    </w:lvl>
  </w:abstractNum>
  <w:abstractNum w:abstractNumId="151">
    <w:nsid w:val="49C0E823"/>
    <w:multiLevelType w:val="hybridMultilevel"/>
    <w:lvl w:ilvl="0">
      <w:lvlJc w:val="left"/>
      <w:lvlText w:val="·"/>
      <w:numFmt w:val="bullet"/>
      <w:start w:val="1"/>
    </w:lvl>
  </w:abstractNum>
  <w:abstractNum w:abstractNumId="152">
    <w:nsid w:val="14D53685"/>
    <w:multiLevelType w:val="hybridMultilevel"/>
    <w:lvl w:ilvl="0">
      <w:lvlJc w:val="left"/>
      <w:lvlText w:val="·"/>
      <w:numFmt w:val="bullet"/>
      <w:start w:val="1"/>
    </w:lvl>
  </w:abstractNum>
  <w:abstractNum w:abstractNumId="153">
    <w:nsid w:val="230F856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png"/><Relationship Id="rId312" Type="http://schemas.openxmlformats.org/officeDocument/2006/relationships/image" Target="media/image286.png"/><Relationship Id="rId313" Type="http://schemas.openxmlformats.org/officeDocument/2006/relationships/image" Target="media/image287.png"/><Relationship Id="rId314" Type="http://schemas.openxmlformats.org/officeDocument/2006/relationships/image" Target="media/image288.png"/><Relationship Id="rId315" Type="http://schemas.openxmlformats.org/officeDocument/2006/relationships/image" Target="media/image289.png"/><Relationship Id="rId316" Type="http://schemas.openxmlformats.org/officeDocument/2006/relationships/image" Target="media/image290.png"/><Relationship Id="rId317" Type="http://schemas.openxmlformats.org/officeDocument/2006/relationships/image" Target="media/image291.png"/><Relationship Id="rId318" Type="http://schemas.openxmlformats.org/officeDocument/2006/relationships/image" Target="media/image292.png"/><Relationship Id="rId319" Type="http://schemas.openxmlformats.org/officeDocument/2006/relationships/image" Target="media/image293.png"/><Relationship Id="rId320" Type="http://schemas.openxmlformats.org/officeDocument/2006/relationships/image" Target="media/image294.png"/><Relationship Id="rId321" Type="http://schemas.openxmlformats.org/officeDocument/2006/relationships/image" Target="media/image295.png"/><Relationship Id="rId322" Type="http://schemas.openxmlformats.org/officeDocument/2006/relationships/image" Target="media/image296.png"/><Relationship Id="rId323" Type="http://schemas.openxmlformats.org/officeDocument/2006/relationships/image" Target="media/image297.png"/><Relationship Id="rId324" Type="http://schemas.openxmlformats.org/officeDocument/2006/relationships/image" Target="media/image298.png"/><Relationship Id="rId325" Type="http://schemas.openxmlformats.org/officeDocument/2006/relationships/image" Target="media/image299.png"/><Relationship Id="rId326" Type="http://schemas.openxmlformats.org/officeDocument/2006/relationships/image" Target="media/image300.png"/><Relationship Id="rId327" Type="http://schemas.openxmlformats.org/officeDocument/2006/relationships/image" Target="media/image301.png"/><Relationship Id="rId328" Type="http://schemas.openxmlformats.org/officeDocument/2006/relationships/image" Target="media/image302.png"/><Relationship Id="rId329" Type="http://schemas.openxmlformats.org/officeDocument/2006/relationships/image" Target="media/image303.png"/><Relationship Id="rId330" Type="http://schemas.openxmlformats.org/officeDocument/2006/relationships/image" Target="media/image304.png"/><Relationship Id="rId331" Type="http://schemas.openxmlformats.org/officeDocument/2006/relationships/image" Target="media/image305.jpeg"/><Relationship Id="rId332" Type="http://schemas.openxmlformats.org/officeDocument/2006/relationships/image" Target="media/image306.png"/><Relationship Id="rId333" Type="http://schemas.openxmlformats.org/officeDocument/2006/relationships/image" Target="media/image307.png"/><Relationship Id="rId334" Type="http://schemas.openxmlformats.org/officeDocument/2006/relationships/image" Target="media/image308.png"/><Relationship Id="rId335" Type="http://schemas.openxmlformats.org/officeDocument/2006/relationships/image" Target="media/image309.png"/><Relationship Id="rId336" Type="http://schemas.openxmlformats.org/officeDocument/2006/relationships/image" Target="media/image310.png"/><Relationship Id="rId337" Type="http://schemas.openxmlformats.org/officeDocument/2006/relationships/image" Target="media/image311.png"/><Relationship Id="rId338" Type="http://schemas.openxmlformats.org/officeDocument/2006/relationships/image" Target="media/image312.png"/><Relationship Id="rId339" Type="http://schemas.openxmlformats.org/officeDocument/2006/relationships/image" Target="media/image313.png"/><Relationship Id="rId340" Type="http://schemas.openxmlformats.org/officeDocument/2006/relationships/image" Target="media/image314.png"/><Relationship Id="rId341" Type="http://schemas.openxmlformats.org/officeDocument/2006/relationships/image" Target="media/image315.png"/><Relationship Id="rId342" Type="http://schemas.openxmlformats.org/officeDocument/2006/relationships/image" Target="media/image316.png"/><Relationship Id="rId343" Type="http://schemas.openxmlformats.org/officeDocument/2006/relationships/image" Target="media/image317.png"/><Relationship Id="rId344" Type="http://schemas.openxmlformats.org/officeDocument/2006/relationships/image" Target="media/image318.png"/><Relationship Id="rId345" Type="http://schemas.openxmlformats.org/officeDocument/2006/relationships/image" Target="media/image319.png"/><Relationship Id="rId346" Type="http://schemas.openxmlformats.org/officeDocument/2006/relationships/image" Target="media/image320.png"/><Relationship Id="rId347"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211" Type="http://schemas.openxmlformats.org/officeDocument/2006/relationships/hyperlink" Target="https://www.sec.gov/Archives/edgar/data/1847986/000110465921048248/tm2112475d1_ex1-2.htm" TargetMode="External"/><Relationship Id="rId212" Type="http://schemas.openxmlformats.org/officeDocument/2006/relationships/hyperlink" Target="https://www.sec.gov/Archives/edgar/data/1847986/000110465921033384/tm218972d1_ex3-1.htm" TargetMode="External"/><Relationship Id="rId213" Type="http://schemas.openxmlformats.org/officeDocument/2006/relationships/hyperlink" Target="https://www.sec.gov/Archives/edgar/data/1847986/000110465921033384/tm218972d1_ex3-2.htm" TargetMode="External"/><Relationship Id="rId214" Type="http://schemas.openxmlformats.org/officeDocument/2006/relationships/hyperlink" Target="https://www.sec.gov/Archives/edgar/data/1847986/000110465921033384/tm218972d1_ex3-4.htm" TargetMode="External"/><Relationship Id="rId215" Type="http://schemas.openxmlformats.org/officeDocument/2006/relationships/hyperlink" Target="https://www.sec.gov/Archives/edgar/data/1847986/000110465921048248/tm2112475d1_ex4-1.htm" TargetMode="External"/><Relationship Id="rId216" Type="http://schemas.openxmlformats.org/officeDocument/2006/relationships/hyperlink" Target="https://www.sec.gov/Archives/edgar/data/1847986/000110465921048248/tm2112475d1_ex4-2.htm" TargetMode="External"/><Relationship Id="rId217" Type="http://schemas.openxmlformats.org/officeDocument/2006/relationships/hyperlink" Target="https://www.sec.gov/Archives/edgar/data/1847986/000110465921048248/tm2112475d1_ex10-3.htm" TargetMode="External"/><Relationship Id="rId218" Type="http://schemas.openxmlformats.org/officeDocument/2006/relationships/hyperlink" Target="https://www.sec.gov/Archives/edgar/data/1847986/000110465921048248/tm2112475d1_ex10-5.htm" TargetMode="External"/><Relationship Id="rId219" Type="http://schemas.openxmlformats.org/officeDocument/2006/relationships/hyperlink" Target="https://www.sec.gov/Archives/edgar/data/1847986/000110465921033384/tm218972d1_ex10-6.htm" TargetMode="External"/><Relationship Id="rId220" Type="http://schemas.openxmlformats.org/officeDocument/2006/relationships/hyperlink" Target="https://www.sec.gov/Archives/edgar/data/1847986/000110465921033384/tm218972d1_ex10-7.htm" TargetMode="External"/><Relationship Id="rId221" Type="http://schemas.openxmlformats.org/officeDocument/2006/relationships/hyperlink" Target="https://www.sec.gov/Archives/edgar/data/1847986/000110465921048248/tm2112475d1_ex10-8.htm" TargetMode="External"/><Relationship Id="rId222" Type="http://schemas.openxmlformats.org/officeDocument/2006/relationships/hyperlink" Target="https://www.sec.gov/Archives/edgar/data/1847986/000110465921048248/tm2112475d1_ex14.htm" TargetMode="External"/><Relationship Id="rId223" Type="http://schemas.openxmlformats.org/officeDocument/2006/relationships/hyperlink" Target="https://www.sec.gov/Archives/edgar/data/1847986/000110465921033384/tm218972d1_s1.htm#POWEROFATTORNEY" TargetMode="External"/><Relationship Id="rId224" Type="http://schemas.openxmlformats.org/officeDocument/2006/relationships/hyperlink" Target="https://www.sec.gov/Archives/edgar/data/1847986/000110465921048248/tm2112475d1_ex99-1.htm" TargetMode="External"/><Relationship Id="rId225" Type="http://schemas.openxmlformats.org/officeDocument/2006/relationships/hyperlink" Target="https://www.sec.gov/Archives/edgar/data/1847986/000110465921048248/tm2112475d1_ex99-2.htm" TargetMode="External"/><Relationship Id="rId226" Type="http://schemas.openxmlformats.org/officeDocument/2006/relationships/hyperlink" Target="https://www.sec.gov/Archives/edgar/data/1847986/000110465921048248/tm2112475d1_ex99-3.htm" TargetMode="External"/><Relationship Id="rId227" Type="http://schemas.openxmlformats.org/officeDocument/2006/relationships/hyperlink" Target="https://www.sec.gov/Archives/edgar/data/1847986/000110465921048248/tm2112475d1_ex99-4.htm" TargetMode="External"/><Relationship Id="rId228" Type="http://schemas.openxmlformats.org/officeDocument/2006/relationships/hyperlink" Target="https://www.sec.gov/Archives/edgar/data/1847986/000110465921048248/tm2112475d1_ex99-5.htm" TargetMode="External"/><Relationship Id="rId229" Type="http://schemas.openxmlformats.org/officeDocument/2006/relationships/hyperlink" Target="https://www.sec.gov/Archives/edgar/data/1847986/000110465921048248/tm2112475d1_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2021-07-14T05:10:42Z</dcterms:created>
  <dcterms:modified xsi:type="dcterms:W3CDTF">2021-07-14T05:10:42Z</dcterms:modified>
</cp:coreProperties>
</file>