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310"/>
        <w:gridCol w:w="2735"/>
      </w:tblGrid>
      <w:tr>
        <w:trPr/>
        <w:tc>
          <w:tcPr>
            <w:tcW w:w="131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Prospectus</w:t>
            </w:r>
          </w:p>
        </w:tc>
        <w:tc>
          <w:tcPr>
            <w:tcW w:w="2735" w:type="dxa"/>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333-286406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43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485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36,901,132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by the selling stockholder identified herein (the “Selling Stockholder”) of up to 36,901,132 shares of common stock, par value $0.0001 per share, of Dragonfly Energy Holdings Corp. (the “Company,” “we,” “our” or “us”) issuable upon the conversion of our Series A Convertible Preferred Stock, par value $0.0001 per share (the “Series A Preferred Stock”), including (i) up to 4,811,321 shares of common stock issuable upon the conversion of our Series A Preferred Stock issued to the Selling Stockholder on February 27, 2025 in the first closing of our private placement (the “Private Placement”), based on the floor price of $0.424, (ii) up to 27,000,000 shares of common stock issuable upon the conversion of our Series A Preferred Stock to be issued to the Selling Stockholder in the second closing of the Private Placement that will occur automatically upon receipt of Stockholder Approval (as hereinafter defined) and the effectiveness of the registration statement of which this prospectus forms a part, based on an assumed floor price of $0.20 and (iii) up to 5,089,811 shares of common stock potentially issuable upon conversion of additional shares of Series A Preferred Stock to be issued as payment-in-kind dividends (the “PIK Dividends”) on the Series A Preferred Stock issued or to be issued in Private Placement, based on the floor prices above, assuming that such dividends are not paid in cash per the terms of the Series A Preferred Stock. For additional information about the Private Placement,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 beginning on page 32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sell, transfer or otherwise dispose of any or all of its shares of common stock or interests in its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We will not receive any proceeds from the resale or other disposition of the shares of common stock by the Selling Stockholder.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34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101 of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the Nasdaq Capital Market under the symbol “DFLI” and our public warrants (the “Public Warrants”) are currently listed on the Nasdaq Capital Market under the symbol “DFLIW.” As of April 9, 2025, the closing price of our common stock was $0.66 and the closing price of our Public Warrants was $0.02.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carefully, together with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applicable federal securities laws and are subject to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6 of this prospectus for a discussion of risks that should be considered in connection with an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10,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60"/>
        <w:gridCol w:w="350"/>
      </w:tblGrid>
      <w:tr>
        <w:trPr/>
        <w:tc>
          <w:tcPr>
            <w:tcW w:w="9795" w:type="dxa"/>
            <w:tcBorders/>
            <w:shd w:fill="CCEEFF" w:val="clear"/>
            <w:vAlign w:val="center"/>
          </w:tcPr>
          <w:p>
            <w:pPr>
              <w:pStyle w:val="TableContents"/>
              <w:bidi w:val="0"/>
              <w:spacing w:before="0" w:after="283"/>
              <w:jc w:val="left"/>
              <w:rPr/>
            </w:pPr>
            <w:hyperlink w:anchor="me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795" w:type="dxa"/>
            <w:tcBorders/>
            <w:shd w:fill="FFFFFF" w:val="clear"/>
            <w:vAlign w:val="center"/>
          </w:tcPr>
          <w:p>
            <w:pPr>
              <w:pStyle w:val="TableContents"/>
              <w:bidi w:val="0"/>
              <w:spacing w:before="0" w:after="283"/>
              <w:jc w:val="left"/>
              <w:rPr/>
            </w:pPr>
            <w:hyperlink w:anchor="me_002">
              <w:r>
                <w:rPr>
                  <w:rStyle w:val="InternetLink"/>
                  <w:rFonts w:ascii="Times New Roman;Times;Serif" w:hAnsi="Times New Roman;Times;Serif"/>
                  <w:b w:val="false"/>
                  <w:i w:val="false"/>
                  <w:caps w:val="false"/>
                  <w:smallCaps w:val="false"/>
                  <w:sz w:val="20"/>
                </w:rPr>
                <w:t>CAUTIONARY STATEMENT REGARDING FORWARD-LOOKING STATEMENTS AND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95" w:type="dxa"/>
            <w:tcBorders/>
            <w:shd w:fill="CCEEFF" w:val="clear"/>
            <w:vAlign w:val="center"/>
          </w:tcPr>
          <w:p>
            <w:pPr>
              <w:pStyle w:val="TableContents"/>
              <w:bidi w:val="0"/>
              <w:spacing w:before="0" w:after="283"/>
              <w:jc w:val="left"/>
              <w:rPr/>
            </w:pPr>
            <w:hyperlink w:anchor="me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95" w:type="dxa"/>
            <w:tcBorders/>
            <w:shd w:fill="FFFFFF" w:val="clear"/>
            <w:vAlign w:val="center"/>
          </w:tcPr>
          <w:p>
            <w:pPr>
              <w:pStyle w:val="TableContents"/>
              <w:bidi w:val="0"/>
              <w:spacing w:before="0" w:after="283"/>
              <w:jc w:val="left"/>
              <w:rPr/>
            </w:pPr>
            <w:hyperlink w:anchor="me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795" w:type="dxa"/>
            <w:tcBorders/>
            <w:shd w:fill="CCEEFF" w:val="clear"/>
            <w:vAlign w:val="center"/>
          </w:tcPr>
          <w:p>
            <w:pPr>
              <w:pStyle w:val="TableContents"/>
              <w:bidi w:val="0"/>
              <w:spacing w:before="0" w:after="283"/>
              <w:jc w:val="left"/>
              <w:rPr/>
            </w:pPr>
            <w:hyperlink w:anchor="me_005">
              <w:r>
                <w:rPr>
                  <w:rStyle w:val="InternetLink"/>
                  <w:rFonts w:ascii="Times New Roman;Times;Serif" w:hAnsi="Times New Roman;Times;Serif"/>
                  <w:b w:val="false"/>
                  <w:i w:val="false"/>
                  <w:caps w:val="false"/>
                  <w:smallCaps w:val="false"/>
                  <w:sz w:val="20"/>
                </w:rPr>
                <w:t>PRIVATE PLACEMENT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795" w:type="dxa"/>
            <w:tcBorders/>
            <w:shd w:fill="FFFFFF" w:val="clear"/>
            <w:vAlign w:val="center"/>
          </w:tcPr>
          <w:p>
            <w:pPr>
              <w:pStyle w:val="TableContents"/>
              <w:bidi w:val="0"/>
              <w:spacing w:before="0" w:after="283"/>
              <w:jc w:val="left"/>
              <w:rPr/>
            </w:pPr>
            <w:hyperlink w:anchor="me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795" w:type="dxa"/>
            <w:tcBorders/>
            <w:shd w:fill="CCEEFF" w:val="clear"/>
            <w:vAlign w:val="center"/>
          </w:tcPr>
          <w:p>
            <w:pPr>
              <w:pStyle w:val="TableContents"/>
              <w:bidi w:val="0"/>
              <w:spacing w:before="0" w:after="283"/>
              <w:jc w:val="left"/>
              <w:rPr/>
            </w:pPr>
            <w:hyperlink w:anchor="ar_001">
              <w:r>
                <w:rPr>
                  <w:rStyle w:val="InternetLink"/>
                  <w:rFonts w:ascii="Times New Roman;Times;Serif" w:hAnsi="Times New Roman;Times;Serif"/>
                  <w:b w:val="false"/>
                  <w:i w:val="false"/>
                  <w:caps w:val="false"/>
                  <w:smallCaps w:val="false"/>
                  <w:sz w:val="20"/>
                </w:rPr>
                <w:t>MARKET PRICE AND DIVIDEND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795" w:type="dxa"/>
            <w:tcBorders/>
            <w:shd w:fill="FFFFFF" w:val="clear"/>
            <w:vAlign w:val="center"/>
          </w:tcPr>
          <w:p>
            <w:pPr>
              <w:pStyle w:val="TableContents"/>
              <w:bidi w:val="0"/>
              <w:spacing w:before="0" w:after="283"/>
              <w:jc w:val="left"/>
              <w:rPr/>
            </w:pPr>
            <w:hyperlink w:anchor="ar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795" w:type="dxa"/>
            <w:tcBorders/>
            <w:shd w:fill="CCEEFF" w:val="clear"/>
            <w:vAlign w:val="center"/>
          </w:tcPr>
          <w:p>
            <w:pPr>
              <w:pStyle w:val="TableContents"/>
              <w:bidi w:val="0"/>
              <w:spacing w:before="0" w:after="283"/>
              <w:jc w:val="left"/>
              <w:rPr/>
            </w:pPr>
            <w:hyperlink w:anchor="ar_003">
              <w:r>
                <w:rPr>
                  <w:rStyle w:val="InternetLink"/>
                  <w:rFonts w:ascii="Times New Roman;Times;Serif" w:hAnsi="Times New Roman;Times;Serif"/>
                  <w:b w:val="false"/>
                  <w:i w:val="false"/>
                  <w:caps w:val="false"/>
                  <w:smallCaps w:val="false"/>
                  <w:sz w:val="20"/>
                </w:rPr>
                <w:t>OUR BUSINESS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95" w:type="dxa"/>
            <w:tcBorders/>
            <w:shd w:fill="FFFFFF" w:val="clear"/>
            <w:vAlign w:val="center"/>
          </w:tcPr>
          <w:p>
            <w:pPr>
              <w:pStyle w:val="TableContents"/>
              <w:bidi w:val="0"/>
              <w:spacing w:before="0" w:after="283"/>
              <w:jc w:val="left"/>
              <w:rPr/>
            </w:pPr>
            <w:hyperlink w:anchor="ar_004">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795" w:type="dxa"/>
            <w:tcBorders/>
            <w:shd w:fill="CCEEFF" w:val="clear"/>
            <w:vAlign w:val="center"/>
          </w:tcPr>
          <w:p>
            <w:pPr>
              <w:pStyle w:val="TableContents"/>
              <w:bidi w:val="0"/>
              <w:spacing w:before="0" w:after="283"/>
              <w:jc w:val="left"/>
              <w:rPr/>
            </w:pPr>
            <w:hyperlink w:anchor="ar_006">
              <w:r>
                <w:rPr>
                  <w:rStyle w:val="InternetLink"/>
                  <w:rFonts w:ascii="Times New Roman;Times;Serif" w:hAnsi="Times New Roman;Times;Serif"/>
                  <w:b w:val="false"/>
                  <w:i w:val="false"/>
                  <w:caps w:val="false"/>
                  <w:smallCaps w:val="false"/>
                  <w:sz w:val="20"/>
                </w:rPr>
                <w:t>EXECUTIVE COMPENSATION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795" w:type="dxa"/>
            <w:tcBorders/>
            <w:shd w:fill="FFFFFF" w:val="clear"/>
            <w:vAlign w:val="center"/>
          </w:tcPr>
          <w:p>
            <w:pPr>
              <w:pStyle w:val="TableContents"/>
              <w:bidi w:val="0"/>
              <w:spacing w:before="0" w:after="283"/>
              <w:jc w:val="left"/>
              <w:rPr/>
            </w:pPr>
            <w:hyperlink w:anchor="ar_007">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795" w:type="dxa"/>
            <w:tcBorders/>
            <w:shd w:fill="CCEEFF" w:val="clear"/>
            <w:vAlign w:val="center"/>
          </w:tcPr>
          <w:p>
            <w:pPr>
              <w:pStyle w:val="TableContents"/>
              <w:bidi w:val="0"/>
              <w:spacing w:before="0" w:after="283"/>
              <w:jc w:val="left"/>
              <w:rPr/>
            </w:pPr>
            <w:hyperlink w:anchor="ar_00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795" w:type="dxa"/>
            <w:tcBorders/>
            <w:shd w:fill="FFFFFF" w:val="clear"/>
            <w:vAlign w:val="center"/>
          </w:tcPr>
          <w:p>
            <w:pPr>
              <w:pStyle w:val="TableContents"/>
              <w:bidi w:val="0"/>
              <w:spacing w:before="0" w:after="283"/>
              <w:jc w:val="left"/>
              <w:rPr/>
            </w:pPr>
            <w:hyperlink w:anchor="ar_009">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795" w:type="dxa"/>
            <w:tcBorders/>
            <w:shd w:fill="CCEEFF" w:val="clear"/>
            <w:vAlign w:val="center"/>
          </w:tcPr>
          <w:p>
            <w:pPr>
              <w:pStyle w:val="TableContents"/>
              <w:bidi w:val="0"/>
              <w:spacing w:before="0" w:after="283"/>
              <w:jc w:val="left"/>
              <w:rPr/>
            </w:pPr>
            <w:hyperlink w:anchor="ar_010">
              <w:r>
                <w:rPr>
                  <w:rStyle w:val="InternetLink"/>
                  <w:rFonts w:ascii="Times New Roman;Times;Serif" w:hAnsi="Times New Roman;Times;Serif"/>
                  <w:b w:val="false"/>
                  <w:i w:val="false"/>
                  <w:caps w:val="false"/>
                  <w:smallCaps w:val="false"/>
                  <w:sz w:val="20"/>
                </w:rPr>
                <w:t>SELLING STOCKHOLDER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795" w:type="dxa"/>
            <w:tcBorders/>
            <w:shd w:fill="FFFFFF" w:val="clear"/>
            <w:vAlign w:val="center"/>
          </w:tcPr>
          <w:p>
            <w:pPr>
              <w:pStyle w:val="TableContents"/>
              <w:bidi w:val="0"/>
              <w:spacing w:before="0" w:after="283"/>
              <w:jc w:val="left"/>
              <w:rPr/>
            </w:pPr>
            <w:hyperlink w:anchor="ar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795" w:type="dxa"/>
            <w:tcBorders/>
            <w:shd w:fill="CCEEFF" w:val="clear"/>
            <w:vAlign w:val="center"/>
          </w:tcPr>
          <w:p>
            <w:pPr>
              <w:pStyle w:val="TableContents"/>
              <w:bidi w:val="0"/>
              <w:spacing w:before="0" w:after="283"/>
              <w:jc w:val="left"/>
              <w:rPr/>
            </w:pPr>
            <w:hyperlink w:anchor="ar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795" w:type="dxa"/>
            <w:tcBorders/>
            <w:shd w:fill="FFFFFF" w:val="clear"/>
            <w:vAlign w:val="center"/>
          </w:tcPr>
          <w:p>
            <w:pPr>
              <w:pStyle w:val="TableContents"/>
              <w:bidi w:val="0"/>
              <w:spacing w:before="0" w:after="283"/>
              <w:jc w:val="left"/>
              <w:rPr/>
            </w:pPr>
            <w:hyperlink w:anchor="ar_013">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795" w:type="dxa"/>
            <w:tcBorders/>
            <w:shd w:fill="CCEEFF" w:val="clear"/>
            <w:vAlign w:val="center"/>
          </w:tcPr>
          <w:p>
            <w:pPr>
              <w:pStyle w:val="TableContents"/>
              <w:bidi w:val="0"/>
              <w:spacing w:before="0" w:after="283"/>
              <w:jc w:val="left"/>
              <w:rPr/>
            </w:pPr>
            <w:hyperlink w:anchor="ar_014">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795" w:type="dxa"/>
            <w:tcBorders/>
            <w:shd w:fill="FFFFFF" w:val="clear"/>
            <w:vAlign w:val="center"/>
          </w:tcPr>
          <w:p>
            <w:pPr>
              <w:pStyle w:val="TableContents"/>
              <w:bidi w:val="0"/>
              <w:spacing w:before="0" w:after="283"/>
              <w:jc w:val="left"/>
              <w:rPr/>
            </w:pPr>
            <w:hyperlink w:anchor="RM_001">
              <w:r>
                <w:rPr>
                  <w:rStyle w:val="InternetLink"/>
                  <w:rFonts w:ascii="Times New Roman;Times;Serif" w:hAnsi="Times New Roman;Times;Serif"/>
                  <w:b w:val="false"/>
                  <w:i w:val="false"/>
                  <w:caps w:val="false"/>
                  <w:smallCaps w:val="false"/>
                  <w:sz w:val="20"/>
                </w:rPr>
                <w:t>INDEX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me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prepared by or on behalf of us or to which we have referred you. When you make a decision about whether to invest in our securities, you should not rely upon any information other than the information in this prospectus that we may authorize to be delivered or made available to you. Neither the delivery of this prospectus nor the sale of our securities means that the information contained in this prospectus is correct after the date of this prospectus. This prospectus is not an offer to sell or the solicitation of an offer to buy our securities in any circumstances under which the offer or solicitation is unlawful.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filed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certain market data and industry statistics and forecasts that are based on studies sponsored by us, independent industry publications and other publicly available information. Although we believe these sources are reliable, estimates as they relate to projections involve numerous assumptions, are subject to risks and uncertainties, and are subject to change based on various factors, including those discussed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Accordingly, investors should not place undue reliance on this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the “Company,” “we,” “us” and “our” and any related terms refer to Dragonfly Energy Holdings Corp. and its consolidated subsidiaries.</w:t>
      </w:r>
    </w:p>
    <w:p>
      <w:pPr>
        <w:pStyle w:val="TextBody"/>
        <w:bidi w:val="0"/>
        <w:spacing w:before="0" w:after="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me_002"/>
      <w:bookmarkEnd w:id="3"/>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These factors include, but are not limited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cure any listing deficiencies and maintain the listing of our common stock and Public Warrants on the Nasdaq Capital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A Preferred Stock on the market price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recent licensing arrangement with Stryten Energy LLC;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committed equity facility;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and Hamas’ attack on Israel, and their effects on our operations.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are based on information available to us on the date of this prospectus.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read carefully the factors described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to better understand the risks and uncertainties inherent in our business and underlying any forward-looking statements.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me_003"/>
      <w:bookmarkEnd w:id="4"/>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12915 Old Virginia Road,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us, see the sections entitled “</w:t>
      </w:r>
      <w:r>
        <w:rPr>
          <w:rFonts w:ascii="Times New Roman;Times;Serif" w:hAnsi="Times New Roman;Times;Serif"/>
          <w:b w:val="false"/>
          <w:i/>
          <w:caps w:val="false"/>
          <w:smallCaps w:val="false"/>
          <w:sz w:val="20"/>
        </w:rPr>
        <w:t>Our Business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all the information contained in this prospectus before making a decision to invest in our common stock or warrants. In particular, you should consider the risk factors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6. Such risks include, but are not limited to, the following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Existing Lithium-Ion Battery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lithium iron phosphate (“LFP”) battery products for, and enter into, new markets, and as the competitive landscape evolves.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Solid-State Technology Development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Supply chain and Third-Party Vendors</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components and other inputs that are sourced from a variety of domestic and international vendors.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long-term relationships with our suppliers but have not significant long-term contracts with such suppliers.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in large measure upon our ability to maintain our existing supplier relationships and/or develop new ones.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reliance exposes us to the risk of inadequate and untimely supplies of various products due to political, economic, social, health, or environmental conditions, transportation delays, or changes in laws and regulations affecting distribution.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vendors may be forced to reduce their production, shut down their operations or file for bankruptcy protection, which could make it difficult for us to serve the market needs and could have a material adverse effect on our business.</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1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and macroeconomic conditions, including economic, political and socials instability, could reduce consumer spending and disrupt our supply chain which could negatively affect our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could impact our operations, including changes in the rates of tariffs or any adjustments to the amounts payable by us to customs as a result of improperly identifying the applicable tariff rate payable on our products.</w:t>
            </w:r>
          </w:p>
        </w:tc>
      </w:tr>
    </w:tbl>
    <w:p>
      <w:pPr>
        <w:pStyle w:val="TextBody"/>
        <w:bidi w:val="0"/>
        <w:spacing w:before="0" w:after="0"/>
        <w:ind w:left="324" w:right="0" w:hanging="324"/>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Being a Public Company</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incur significant increased expenses and administrative burdens as a public company, which could have an adverse effect on our business, financial condition and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Financial Position and Capital Requirements related our ability to continue as a going concern</w:t>
      </w:r>
    </w:p>
    <w:p>
      <w:pPr>
        <w:pStyle w:val="TextBody"/>
        <w:bidi w:val="0"/>
        <w:spacing w:before="0" w:after="0"/>
        <w:ind w:left="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well as our independent registered public accounting firm, have expressed substantial doubt about our ability to continue as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324" w:right="0" w:hanging="324"/>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correct any deficiencies or meet the Nasdaq Stock Market continued listing standards, including the market value of listed securities, our common stock and Public Warrants may be delisted from the Nasdaq Stock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Series A Preferred Stock outstanding which securities have certain rights and provisions that could impact our ability to complete certain transactions and could impact the market price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0"/>
        <w:gridCol w:w="60"/>
        <w:gridCol w:w="60"/>
        <w:gridCol w:w="170"/>
        <w:gridCol w:w="8165"/>
      </w:tblGrid>
      <w:tr>
        <w:trPr/>
        <w:tc>
          <w:tcPr>
            <w:tcW w:w="1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36,901,132 shares consisting of:</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4,811,321 shares of common stock issuable upon the conversion of our Series A Preferred Stock issued to the Selling Stockholder on February 27, 2025 in the first closing of the Private Placement, based on the floor price of $0.424;</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27,000,000 shares of common stock issuable upon the conversion of our Series A Preferred Stock to be issued to the Selling Stockholder in the second closing of the Private Placement that will occur automatically upon receipt of such approval as may be required from the stockholders of the Company pursuant to the rules of Nasdaq (the “Stockholder Approval”) and the effectiveness of the registration statement of which this prospectus forms a part, based on an assumed floor price of $0.20; and</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5,089,811 shares of common stock potentially issuable upon conversion of additional shares of Series A Preferred Stock to be issued as PIK Dividends on the Series A Preferred Stock issued or to be issued in Private Placement, assuming that such cash dividends are not paid in cash per the terms of the Series A Preferred Stock.</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immediately before this offering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7,589,642 shares.</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44,490,774, assuming full conversion of the Series A Preferred Stock issued or to be issued in the Private Placement at the applicable floor price or assumed floor price. </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or other disposition of the shares of our common stock covered hereby by the Selling Stockholder.</w:t>
            </w:r>
          </w:p>
        </w:tc>
      </w:tr>
      <w:tr>
        <w:trPr/>
        <w:tc>
          <w:tcPr>
            <w:tcW w:w="1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beginning on page 6 of this prospectus for a discussion of the risk factors you should carefully consider before deciding to invest in our securities.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0"/>
        <w:gridCol w:w="60"/>
        <w:gridCol w:w="8865"/>
      </w:tblGrid>
      <w:tr>
        <w:trPr/>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symbol</w:t>
            </w:r>
          </w:p>
        </w:tc>
        <w:tc>
          <w:tcPr>
            <w:tcW w:w="6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the Nasdaq Capital Market under the symbol “DFLI” and our Public Warrants are currently listed on the Nasdaq Capital Market under the symbol “DFLIW.”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7,589,642 shares outstanding as of March 27, 2025, and does not include, as of such date: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2,777,778</w:t>
            </w:r>
            <w:r>
              <w:rPr/>
              <w:t xml:space="preserve"> </w:t>
            </w:r>
            <w:r>
              <w:rPr>
                <w:sz w:val="20"/>
              </w:rPr>
              <w:t>shares of common stock reserved for issuance in the event of certain milestones in connection with the Business Combination (as hereinafter defined)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1,046,947</w:t>
            </w:r>
            <w:r>
              <w:rPr/>
              <w:t xml:space="preserve">  </w:t>
            </w:r>
            <w:r>
              <w:rPr>
                <w:sz w:val="20"/>
              </w:rPr>
              <w:t>shares of common stock issuable upon exercise of Public Warrants outstanding as of March 27, 2025, with an exercise price of $103.50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166,821 shares of common stock issuable upon exercise of Private Warrants (as hereinafter defined) outstanding as of March 27, 2025, with an exercise price of $103.50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1,300,240</w:t>
            </w:r>
            <w:r>
              <w:rPr/>
              <w:t xml:space="preserve"> </w:t>
            </w:r>
            <w:r>
              <w:rPr>
                <w:sz w:val="20"/>
              </w:rPr>
              <w:t>shares of common stock issuable upon exercise of warrants outstanding as of March 27, 2025, with a weighted average exercise price of $18.22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1,061,685 shares of common stock issuable upon exercise of Penny Warrants (as hereinafter defined) outstanding as of March 27, 2025, with an exercise price of $0.09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680,476 shares of common stock issuable upon exercise of Penny Warrants outstanding as of March 27, 2025, with an exercise price of $0.01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161,939</w:t>
            </w:r>
            <w:r>
              <w:rPr/>
              <w:t xml:space="preserve">  </w:t>
            </w:r>
            <w:r>
              <w:rPr>
                <w:sz w:val="20"/>
              </w:rPr>
              <w:t>shares of common stock underlying outstanding options as of March 27, 2025, with a weighted average exercise price of $25.66 per share;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410,704</w:t>
            </w:r>
            <w:r>
              <w:rPr/>
              <w:t xml:space="preserve"> </w:t>
            </w:r>
            <w:r>
              <w:rPr>
                <w:sz w:val="20"/>
              </w:rPr>
              <w:t>shares of common stock underlying outstanding restricted stock units as of March 27, 2025.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also does not include shares of common stock underlying the outstanding shares of Series A Preferred Stock and Private Placement Warrants (as hereinafter defined) as of March 27, 2025. Unless otherwise indicated, this prospectus reflects and assumes no issuances or exercises of any other outstanding shares, options or warrants after March 27, 2025.</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me_004"/>
      <w:bookmarkEnd w:id="5"/>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Cautionary Note Regarding Forward-Looking Statement.”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and in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dependent on one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In November 2024, we relocated our headquarters and production lines to a 390,240 square foot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 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trade policy, including recently announced tariffs, could have a material adverse impact on our business, financial condition, and results of operations. 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further evolve under the current U.S. administration, and how such policies could adversely affect our business, results of operations, effective income tax rate, liquidity, and net income.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retaliatory tariffs by China on U.S. exports and could result in the adoption of tariffs by other countries as well. A resulting trade war could have a significant adverse effect on world trade and the global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(“CBP”) in the amount of approximately $1.58 million in the aggregate, related to the improper classification and valuation of certain of the products used in our batteries. The underpayment related to years 2021 through 2023. We have reported the underpayment to CBP. In the event CBP determines that we owe additional amounts or any penalties or determines in the future that we have not paid the correct duties, our results of operations could be materially impacted.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geopolitical conditions, U.S.-China trade relations and other factors beyond our control may adversely impact our business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jurisdiction of the Committee for Foreign Investment in the U.S.;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intergovernmental conflicts or actions, such as the armed conflicts between Russia and Ukraine and in the Middle East, trade wars, retaliatory tariffs, and acts of terrorism or war.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events, our ability to obtain supplies from our China-based suppliers may be limited or adversely affected, and we may incur operational constraints.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and macroeconomic conditions, including economic, political and social instability, including the Russia-Ukraine conflict and Hamas’ attack on Israel, could reduce consumer spending and disrupt our supply chain which could negatively affect our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credit and financial markets have recently experienced extreme volatility and disruptions including severely diminished liquidity and credit availability, disruptions in access to bank deposits and lending commitments due to bank failures, declines in economic growth, increases in unemployment rates, supply chain disruptions, heightened interest rates and inflation, stock volatility and uncertainty about economic stability. Such conditions may continue or worsen in the future. The financial markets and the global economy may also be adversely affected by the current or anticipated impact of military conflict including Russia’s invasion of Ukraine and the conflict between Hamas and Israel, terrorism or other geopolitical events. Sanctions imposed by the U.S. and other countries in response to such conflicts, including sanctions imposed in connection with the war in Ukraine and the conflict between Hamas and Israel, the effect of tariffs and/or any resulting trade wars, increasing interest rates, or other factors may also adversely impact the financial markets and the global economy and any economic countermeasures by affected countries and others could exacerbate market and economic instability. For example, in late 2024 and early 2025, the United States, China, and the European Union each announced either new tariffs, non-tariff barriers, or export controls. Any of these risks, ensuing retaliation, or the further deterioration of trade relations between countries could have an adverse impact on our financial condition and results of operations. Additional tariffs or further retaliatory trade measures taken by China or other countries in response could affect the demand for any of our products, impact the competitive position of our products, prevent us from being able to sell products in certain countries or otherwise adversely impact our results of operations.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financial condition, or prospects. There can be no assurance that further deterioration in credit and financial markets and confidence in economic conditions will not occur.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business strategy as well as our suppliers’ ability to provide us with raw materials and components, may be adversely affected by any such economic downturn, volatile business environment or continued unpredictable and unstable market conditions, which could directly affect our ability to attain our operating goals on schedule and on budget, including requiring us to delay or abandon certain development plans and could have a material adverse effect on our growth strategy, financial performance and stock price. In addition, there is a risk that one or more of our current suppliers may not survive an economic downturn, which could directly affect our ability to attain our operating goals on schedule and within budget.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policies, including the imposition of tariffs or other trade restrictions, could materially impact our ability to obtain the raw materials, active pharmaceutical ingredients, and other components necessary for the manufacturing of our product candidates used in our clinical development activities. Some of these materials may be sourced from foreign suppliers, and any increase in tariffs or duties on imported goods could significantly raise the cost of doing business. Additionally, retaliatory tariffs, trade disputes, trade wars, or changes in international trade agreements may lead to supply chain disruptions, including delays in obtaining critical components or the need to seek alternative suppliers. If we are unable to mitigate the impact of increased costs or supply chain disruptions, our financial condition, and ability to develop our product candidates in a timely manner, could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conditions, including economic uncertainty, may negatively impact our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conditions, dislocations in the financial markets, any negative financial impacts affecting U.S. as a result of tax reform or changes to existing trade agreements or tax conventions, may adversely impact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macroeconomic environment has been and may continue to be negatively affected by, among other things, instability in global economic markets, increased U.S. trade tariffs and trade disputes with other countries, instability in the global credit markets, supply chain weaknesses, instability in the geopolitical environment and political tensions, and foreign governmental debt concerns. Such challenges have caused, and may continue to cause, uncertainty and instability in local economies and in global financial markets, which may adversely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(“ESG”) disclosure or performance. For example, the SEC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significant increased expenses and administrative burdens as a public company, which could have an adverse effect on our business,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Stock Market, LLC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experience managing and operating a publicly traded company, interacting with public company investors and complying with the increasingly complex laws pertaining to public companies. Our management team may not successfully or efficiently manage our role as a public company subject to significant regulatory oversight and reporting obligations under the federal securities laws and the continuous scrutiny of securities analysts and investors.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totaling $4.8 million. Our net loss for the year ended December 31, 2024 was $40.6 million and our net loss for the year ended December 31, 2023 was $13.8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the Term Loan and the Series A Preferred Stock may limit our ability to access equity and debt under such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for us to pay other obligations;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cost of borrowing from other sources;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difficult to obtain favorable terms for any necessary future financing for working capital, capital expenditures, investments, acquisitions, debt service requirements, 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acquisitions or causing us to make divestitures or similar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substantial portion of our cash flow from operations to service and repay our indebtedness, reducing the amount of cash flow available for other purposes;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competitive disadvantage compared to our less leveraged competitors; and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service our outstanding debt or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 Additionally, without additional concessions or modifications to our loan agreement and the inherent uncertainty surrounding the realization of projected revenues from new markets, there is substantial doubt about our ability to continue as a going concern. Due to these reasons, this could require us, to among other things, reduce operations, sell off our assets, seek the protection of bankruptcy courts or shut down our operations and dissolve.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incurred losses and had a negative cash flow from operations. As of December 31, 2024, we had approximately $4.8 million in cash and cash equivalents and working capital of $11.1 million. As of December 31, 2024, we had $86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April 29, 2024, May 30, 2024, June 28, 2024, July 31, 2024, August 31, 2024, September 30, 2024, October 31, 2024, November 30, 2024, December 31, 2024 and January 31, 2025, we received an additional waiver from the Administrative Agent and the Term Loan Lenders in regard to our compliance with the liquidity requirement under the Term Loan as of the last day of the fiscal quarter ended March 31, 2024, June 30, 2024, September 30, 2024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subsequent to the current year ended December 31, 2024, we entered into a Securities Purchase agreement (“Purchase Agreement”). Under the Purchase Agreement, we authorized a new series of convertible preferred stock designated as the Series A Convertible Preferred Stock, which shares are convertible into shares of our common stock, and sold shares of Series A Preferred Stock. We raised $3.5 million and expect to have an additional closing for $4.5 million, which we will use for working capital general corporate purposes and mandatory payments on the Term Loan if we raise additional capital. In connection with the Purchase Agreement,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for the next one and a half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independent registered public accounting firm included an explanatory paragraph in its report on our 2024 consolidated financial statements, with respect to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If we are unable to raise additional capital or service our debt, we may be forced to reduce operations, seek the protection of bankruptcy courts or shut down our operations and dissolve. If we liquidate our assets and the values we receive for our assets in liquidation or dissolution could be significantly lower than the values reflected in our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490" w:type="dxa"/>
        <w:jc w:val="left"/>
        <w:tblInd w:w="0" w:type="dxa"/>
        <w:tblLayout w:type="fixed"/>
        <w:tblCellMar>
          <w:top w:w="0" w:type="dxa"/>
          <w:left w:w="0" w:type="dxa"/>
          <w:bottom w:w="0" w:type="dxa"/>
          <w:right w:w="0" w:type="dxa"/>
        </w:tblCellMar>
      </w:tblPr>
      <w:tblGrid>
        <w:gridCol w:w="185"/>
        <w:gridCol w:w="93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or incur encumbrances or liens;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consolidations, amalgamations, mergers, acquisitions, liquidations, dissolutions or dispositions;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or otherwise dispose of assets;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on, or purchase, redeem, defease, or otherwise acquire or retire for value, our stock.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identified material weaknesses in our internal control over financial reporting. These material weaknesses in the future could adversely affect our ability to report our results of operations and financial condition accurately and in a timely manner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our management identified material weaknesses in our internal control over financial reporting as a result of our failure to capture, and record, and pay tariffs correctly related to the imported merchandise on previously filed 2022 and 2021 financial statements. We have implemented additional measures to address the material weakness relating to tariff by designing new controls to capture, record, and pay tariffs related to the imported merchandise.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currently in compliance with the continued listing requirements for The Nasdaq Capital Market. If we do not regain compliance and continue to meet the continued listing requirements, our securities may be delisted, which could affect the market price and liquidity for our common stock and reduce our ability to raise additional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we received a written notice (the “Notice”) from the Listing Qualifications Staff of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 Additionally,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 In accordance with Nasdaq Listing Rule 5810(c)(3)(C), we will have 180 calendar days, or until June 10, 2025, to regain compliance with the MVLS Requirement, subject to extension by Nasdaq.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monitor our MVLS and may, if appropriate, consider implementing available options to regain compliance with the MVLS Requirement. If we do not regain compliance within the allotted compliance period, including any extensions that may be granted by Nasdaq, Nasdaq will provide notice that our securities will be subject to delisting. We would then be entitled to appeal that determination to a Nasdaq hearings panel. There can be no assurance that we will regain compliance with the MVLS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outstanding securities may cause the market price of our securities to drop significantly, even if our business is doing well.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registration statements registering the resale of up to approximately 1.7 million shares of common stock underlying outstanding warrants that may be sold and/or issued into the public markets by certain securityholders. The shares being registered for resale into the public markets represent a significant number of shares in respect to our outstanding common stock. The securityholders selling pursuant to the registration statements will determine the timing, pricing and rate at which they sell such shares into the public market and such sales could have a significant negative impact on the trading price of our common stock.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and may cause the trading prices of our securities to experience a decline.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registered 2,390,226 shares of common stock to be issued and sold to CCM LLC in connection with the ChEF Equity Facility.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 and Hamas’ attack on Israel).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March 27, 2025 , there are currently (i) 1,046,947 shares of common stock issuable upon the exercise of outstanding Public Warrants at an exercise price of $103.50 per share; (ii) 166,821 shares of common stock issuable upon the exercise of outstanding private warrants at an exercise price of $103.50 per share (the “Private Warrants”); and (iii) 680,473 shares of common stock issuable upon exercise of outstanding Penny Warrants (the “Penny Warrants”) at an exercise price of $0.01 per share and 1,061,685 shares of common stock issuable upon exercise of outstanding Penny Warrants at an exercise price of $0.09 per share. The $10 Warrants were exercised in full in 2022 and are no longer outstanding.</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$90.00 per share of common stock, subject to exclusions including for issuances upon conversion exercise or exchange of securities outstanding as of October 7, 2022, the closing date of the Business Combination (as defined below),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$45.00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of Incorporation could discourage another company from acquiring us and may prevent attempts by our stockholders to replace or remove our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be divided into three classes, with each class serving staggered three-year terms, which may delay the ability of stockholders to change the membership of a majority of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85"/>
        <w:gridCol w:w="97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comply with the requirements of the Sarbanes-Oxley Act,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anticipated future earnings in jurisdictions where we have lower statutory tax rates and higher than anticipated future earnings in jurisdictions where we have higher statutory tax rates.</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our common stock during the period immediately prior to conversion.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raised approximately $3.5 million in February 2025 through the issuance of shares of Series A Preferred Stock, and expect to issue an additional $4.5 million of additional shares of Series A Preferred Stock upon stockholder approval of the issuance of certain of the shares of common stock underlying the Series A Preferred Stock in compliance with the rules of Nasdaq and the effectiveness of this registration statement in compliance with the agreements governing the Series A Preferred Stock and may issue additional shares of Series A Preferred Stock upon certain events. The shares of Series A Preferred Stock are convertible into shares of our common stock, at the option of the holder, subject to certain conditions and limitations, at the lesser of (i) the fixed conversion price and (ii) 90% of the lowest VWAP during the 10 trading days prior to exercise, subject to the floor prices set forth in the Series A Preferred Stock. This could result in material dilution to our existing stockholders. Because the conversion price is based upon a discount to the trading price of our common stock at the time of conversion, the number of shares into which the Series A Preferred Stock may be converted may increase, subject to the floor prices of the respective series of the Series A Preferred Stock. If the trading prices of our common stock is low when the conversion price of the Series A Preferred Stock is determined, we would be required to issue a greater number of shares of common stock to the holder, which could cause substantial dilution to our stockholders. Based upon the current floor prices and the assumed floor price based on the market price of the common stock on March 31, 2025 for the Series A Preferred Stock to be issued at the Second Closing (as defined below), the outstanding Series A Preferred Stock could convert into up to approximately 34.8 million shares of common stock. In addition, if the holder of the Series A Preferred Stock converts and then sells our common stock, this could result in an imbalance of supply and demand for our common stock and reduce our stock price in the market significantly. The further our stock price declines, the further the adjustment of the conversion price will fall and the greater the number of shares of common stock we will have to issue upon conversion, resulting in further dilution to its stockholders. Market price-based conversion formulas, like the one contained in the Series A Preferred Stock can lead to dramatic stock price reductions and corresponding negative effects on both us and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Series A Preferred Stock outstanding which securities have certain rights and provisions that could impact our ability to complete certain transactions and could impact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320 shares of Series A Preferred Stock outstanding that were issued on February 27, 2025, which were initially convertible, subject to certain beneficial ownership limitations and Nasdaq restrictions until we obtain shareholder approval for the issuance of such shares in compliance with the Nasdaq rules, at the holder’s option at any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 and we expect such dividends to be paid in additional shares of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carries a liquidation preference equal to the greater of (A) the Conversion Amount (as defined in the Certificate of Designation of the Powers, Preferences and Relative, Participating, Optional and Other Restrictions of the Series A Preferred Stock (the “Certificate of Designation”)) of such Series A Preferred Stock on the date of such payment and (B) the amount per share such holder would receive if such holder converted such Series A Preferred Stock into common stock immediately prior to the date of such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Series A Preferred Stock restrict us from engaging in specified types of transactions. These restrictive covenants restrict our ability to, among other things, incur additional indebtedness; create or incur encumbrances or liens; pay dividends and distributions on, or purchase, redeem, defease, or otherwise acquire or retire for value, our stock, make certain sales under our ChEF Equity Facility and other restrictive 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to the holders of the Series A Preferred Stock could limit our ability to obtain additional financing or complete certain transactions or increase our borrowing costs, which could have an adverse effect on its financial condition and hinder the accomplishment of our corporate goals.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Series A Preferred Stock, our board could authorize the issuance of additional series of preferred stock with such rights preferential to the rights of our common stock, including the issuance of a series of preferred stock that has greater voting power than our common stock or that is convertible into our common stock, which could decrease the relative voting power of our common stock or result in dilution to its existing stockholders.</w:t>
      </w:r>
    </w:p>
    <w:p>
      <w:pPr>
        <w:pStyle w:val="TextBody"/>
        <w:bidi w:val="0"/>
        <w:spacing w:before="0" w:after="0"/>
        <w:ind w:left="1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me_005"/>
      <w:bookmarkEnd w:id="6"/>
      <w:r>
        <w:rPr>
          <w:rFonts w:ascii="Times New Roman;Times;Serif" w:hAnsi="Times New Roman;Times;Serif"/>
          <w:b/>
          <w:i w:val="false"/>
          <w:caps w:val="false"/>
          <w:smallCaps w:val="false"/>
          <w:sz w:val="20"/>
        </w:rPr>
        <w:t>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(the “Purchase Agreement”) with the Selling Stockholder, pursuant to which we sold in a registered direct offering (the “Registered Direct Offering”), 180 shares of Series A Preferred Stock, at a price of $10,000 per share, initially convertible into shares of common stock at a conversion price of $2.332 per share. Concurrently with the Registered Direct Offering and pursuant to the terms of the Securities Purchase Agreement, we sold to the Selling Stockholder, in the initial closing of the Private Placement, 170 shares of Series A Preferred Stock at an offering price of $10,000 per share, initially convertible into shares of Common Stock at a conversion price of $2.332, and warrants (the “Private Placement Warrants”) to purchase up to 4,000 shares of Series A Preferred Stock, with an exercise price equal to $10,000 per share. The closing of the Registered Direct Offering and the initial closing of the Private Placement occurred on February 27, 2025 (the “Initial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receipt of the Stockholder Approval and the effectiveness of the registration statement of which this prospectus forms a part, the Selling Shareholder shall be automatically required to purchase at a second closing of the Private Placement (the “Second Closing”) an additional 450 shares of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Description of the Securities</w:t>
      </w:r>
      <w:r>
        <w:rPr>
          <w:rFonts w:ascii="Times New Roman;Times;Serif" w:hAnsi="Times New Roman;Times;Serif"/>
          <w:b w:val="false"/>
          <w:i w:val="false"/>
          <w:caps w:val="false"/>
          <w:smallCaps w:val="false"/>
          <w:sz w:val="20"/>
        </w:rPr>
        <w:t>” in this prospectus for a description of the terms of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Private Placement Warrants that were sold in the Private Placement. This summary is subject to and qualified in its entirety by the form of Private Placement Warrant, which is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Duration and Exercise Price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exercise price under each Private Placement Warrant is $10,000 per share of Series A Preferred Stock. The Private Placement Warrants have a term beginning on the issuance date and ending on or prior to the earlier of (i) the thirty-three (33) month anniversary of the date the shares of common stock issued or issuable upon the conversion of the Series A Preferred Stock issued in the Registered Direct Offering and the Private Placement are registered for resale pursuant to an effective registration statement (such date, the “Registration Effectiveness Date”) and (ii) (A) the consummation of a Change of Control (as defined in the Certificate of Designation) and (B) the consummation of a redemption of the then outstanding Series A Preferred Stock in full (the “Termination Date”). The exercise price and number of shares of Series A Preferred Stock issuable upon exercise are subject to appropriate adjustment in the event of share dividends, share splits, reorganizations or similar events affecting our shares of common stock. The Private Placement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Call Right. </w:t>
      </w:r>
      <w:r>
        <w:rPr>
          <w:rFonts w:ascii="Times New Roman;Times;Serif" w:hAnsi="Times New Roman;Times;Serif"/>
          <w:b w:val="false"/>
          <w:i w:val="false"/>
          <w:caps w:val="false"/>
          <w:smallCaps w:val="false"/>
          <w:sz w:val="20"/>
        </w:rPr>
        <w:t>If, no earlier than two (2) months following (1) the Registration Effectiveness Date and (2) the most recent call or exercise of a Private Placement Warrant (but excluding any partial exercises of such Private Placement Warrant by the holder prior to the holder’s receipt of a Call Notice (as defined below)) (each, a “Funding Date”), (i) the VWAP for each of twenty (20) trading days (the “Measurement Period”) exceeds $3.00, (ii) the average daily volume for such Measurement Period exceeds $300,000 per trading day, (iii) the aggregate stated value of the outstanding Series A Preferred Stock is less than or equal to $1,500,000, (iv) the Private Placement Warrant Shares are registered for resale pursuant to an effective registration statement and (v) there has not been an Equity Conditions Failure (as defined below), then we may, within one (1) trading day of the end of such Measurement Period, require the holder to exercise in part or in full the number of shares of Series A Preferred Stock set forth in an irrevocable written notice (a “Call Notice”) for consideration equal to the applicable number of Series A Preferred Stock issuable upon exercise of the 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Subject to the call right described above, the Private Placement Warrants will be exercisable at any time after the date of issuance prior to the Termination Date, at the option of each holder, in full or in increments of $500,000, by delivering to us a duly executed exercise notice (an “Exercise Notice”) (such delivery date, the “Exercise Date”) and (ii) payment in full for the number of shares of Series A Preferred Stock purchased upon such exercise within two trading days of the Exercise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In accordance with its terms and subject to applicable laws, a Private Placement Warrant may be transferred at the option of the holder upon surrender of the Private Placement Warrant to us together with the appropriate instruments of transfer and payment of funds sufficient to pay any transfer taxes (if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shares of Series A Preferred Stock will be issued upon the exercise of the 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Trading Market</w:t>
      </w:r>
      <w:r>
        <w:rPr>
          <w:rFonts w:ascii="Times New Roman;Times;Serif" w:hAnsi="Times New Roman;Times;Serif"/>
          <w:b w:val="false"/>
          <w:i w:val="false"/>
          <w:caps w:val="false"/>
          <w:smallCaps w:val="false"/>
          <w:sz w:val="20"/>
        </w:rPr>
        <w:t>. There is no established trading market for the Private Placement Warrants, and we do not expect a market to develop. We do not intend to apply for a listing for the Private Placement Warrants on any securities exchange or other nationally recognized trading system. Without an active trading market, the liquidity of the Private Placement Warrants will be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Private Placement Warrants or by virtue of the holders’ ownership of shares of common stock, the holders of Private Placement Warrants do not have the rights or privileges of holders of our shares of common stock, including any voting rights, until such time, if any, that the Private Placement Warrant holders exercise their warrants for Private Placement Warrant Shares and subsequently convert such Private Placement Warrant Shares into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and Waiver</w:t>
      </w:r>
      <w:r>
        <w:rPr>
          <w:rFonts w:ascii="Times New Roman;Times;Serif" w:hAnsi="Times New Roman;Times;Serif"/>
          <w:b w:val="false"/>
          <w:i w:val="false"/>
          <w:caps w:val="false"/>
          <w:smallCaps w:val="false"/>
          <w:sz w:val="20"/>
        </w:rPr>
        <w:t>. A Private Placement Warrant may be modified or amended or the provisions thereof waived with the written consent of us and the holder of the Private Placement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registration rights agreement, dated as of February 26, 2025 (the “Registration Rights Agreement”), entered into with the Selling Stockholder, within 50 calendar days following the Initial Closing Date, we were required to file a registration statement to register the shares of common stock issuable upon: (i) the conversion of the Series A Preferred Stock sold in the Private Placement, and (ii) the conversion of the Private Placement Warrant Shares, subject to adjustment in the number of shares between us and the investor;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we and the Selling Stockholder may mutually agree that such initial registration statement shall register for resale a lesser number of shares of common stock. We have agreed to use our best efforts to keep such registration statement continuously effective under the Securities Act until the date that all shares of Series A Preferred Stock, including the Series A Preferred Stock issuable upon exercise of the Private Placement Warrants (collectively, the “Registrable Securities”) have been sold or are otherwise able to be sold pursuant to Rule 144, in each case subject to certain exceptions and any restrictions pursuant to Rule 415. We will be subject to certain penalties in the event we do not satisfy our obligations under the Registration Rights Agreement. In addition, holders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the registration statement of which this prospectus forms a part pursuant to the Registration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 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5635, the Stockholder Approval is required for the issuance of any shares of common stock in excess of 1,450,489 shares of common stock in the aggregate (the “Issuable Maximum”) underlying the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ensure we have a sufficient number of authorized shares of common stock to cover all of the shares of common stock issuable upon the conversion of the Series A Preferred Stock issued, or obtained through exercise in full of all of the Private Placement Warrants, we have agreed to seek stockholder approval for an increase in the number of authorized shares of common stock from 250,000,000 to 400,000,000.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are required pursuant to the Purchase Agreement relating to this offering and the concurrent Private Placement to hold a meeting of our stockholders not later than sixty (60) days after the ate (the “Meeting Deadline”) to seek the Stockholder Approval for (i) the issuance, upon conversion of the Series A Preferred Stock, of the number of shares of common stock which would exceed the Issuable Maximum, and (ii) an increase in the number of authorized shares of common stock from 250,000,000 to 400,000,000. In the event the Stockholder Approval is not received on or prior to the Meeting Deadline, we must hold an additional meeting of our stockholders every sixty (60) days thereafter until the Stockholder Approval is obtained. Until we receive the Stockholder Approval, the Private Placement Warrant Shares will not be exercisable. We have filed a definitive proxy statement with the SEC for a special meeting of stockholders to be held on April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entered into a support agreement with our stockholder signatory thereto that hold in excess of 20% of our voting stock as of the date of the Purchase Agreement, by which such stockholder agreed to vote in favor of a proposal to obtain the Stockholder Approval and to vote against any proposal that would result in the breach of any representation or warranty under the Transaction Documents (as defined in the Certificate of Designation), or otherwise result in any of our obligations under the Transaction Documents from being fulfilled.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includes customary affirmative and negative covenants with respect our operation of the business, reservation of shares as well as a variety of obligations on our part not to engage in certain transactions or activities, including effecting variable rate transactions, certain issuances of additional securities, and the filing of additional registration statements not related to the Series A Preferred Stock, in each case during the periods specified and subject to limited exceptions set forth in the Purchase Agreement. We will be obligated to make certain payments in the event we do not satisfy our obligations under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me_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common stock offered by the Selling Stockholder under this prospectus.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r_001"/>
      <w:bookmarkEnd w:id="8"/>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under the symbol “DFLI” and our Public Warrants are currently listed on the Nasdaq Capital Market under the symbol “DFLIW”. As of March 27, 2025, the closing price of our common stock and Public Warrants was $1.07 and $0.03, respectively. As of March 27, 2025, there were 83 holders of record of our common stock and 2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Other than with respect to the dividends payable on the Series A Preferred Stock which may be paid in cash, we do not intend to pay cash dividends to our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r_002"/>
      <w:bookmarkEnd w:id="9"/>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and trucking, industrial and energy storage with disruptive cell manufacturing and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330,000 batteries. For the years ended December 31, 2024 and 2023, we sold 42,447 and 64,096 batteries, respectively, and had $50.6 million and $64.4 million in net sales, respectively. We currently offer a line of batteries across our “Battle Born” and “Dragonfly” brands, each differentiated by size, power and capacity, consisting of seven different models, having optional features including internal heat for cold temperature operation and Dragonfly IntelLigence communication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decrease in 2024 total sales is a reflection of weaker demand from DTC customers in our core RV and marine markets due to rising interest rates and inflation, as well as increased market competition from imported products sold direct to consumer on Amazon.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 The decision of Keystone RV to make lithium batteries an option rather than a standard reduced our OEM revenue in the second half of 2023. However, our increase in RV OEM business in 2024 kept our RV OEM revenue relatively flat from 2023 to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that we achieved full certification for our energy storage products to be deployed for use in oil &amp; gas operations in North America. As a result of this certification, a number of opportunities within the oil &amp; gas space have appeared. For example, we have designed a power product for Alegacy Equipment, a market leading natural gas compressor package company, and their affiliate Agnes Systems. This power system is expected to be used in natural gas compression equipment to reduce methane emissions. The first of these systems was successfully deployed in the fourth quarter of 2024; and this business line is expected to begin contributing to net sales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totaling $4.8 million. Our net loss for the years ended December 31, 2024 and December 31, 2023, were $40.6 million and $13.8 million, respectively. In addition, in February 2025, we completed an offering of shares of our Series A Preferred Stock which provided us with an additional net proceeds of $3.2 million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(“Battle Born LLC”), a newly formed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the Business Combination, up to 4,444,445 additional shares of common stock (“Earnout Shares”) may be issued based on achieving specified milestones in three tranches: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(1,666,667 shares): Issuable if 2023 total audited revenue is at least $250 million and audited operating income is at least $35 million. This milestone was not achieved for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(1,388,889 shares): Issuable if the volume-weighted average trading price of common stock reaches $202.50 over any 20 trading days within a 30-day period, on or before December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(1,388,889 shares): Issuable if the volume-weighted average trading price of common stock reaches $292.50 over any 20 trading days within a 30-day period, on or before December 31, 2028.</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During the year ended December 31, 2024, we sold 350,423 shares pursuant to the Purchase Agreement with CCM LLC for aggregate proceeds to us of $2,043,885.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the Underwriting Agreement with the Underwriters, pursuant to which we sold to the Underwriters, in a firm commitment underwritten public offering, or the June 2023 Offering, an aggregate of (i) 1,111,111 shares of common stock, par value $0.0001 and (ii) Investor Warrants to purchase up to 1,111,111 shares of common Stock, at the combined public offering price of $18.00 per share and accompanying Investor Warrant, less underwriting discounts and commissions, and (iii) Underwriters’ Warrants to purchase up to an aggregate of 63,362 shares of common stock. In addition, we granted the Underwriters a 45-day over-allotment option to purchase up to an additional 166,667 shares of common stock and/or Investor Warrants to purchase up to an aggregate of 166,667 shares of Common Stock at the public offering price per security,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$22.50 per share, which equals 125% of the per share public offering price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June 2023 Offering, the Underwriters partially exercised their over-allotment option in the amount of 156,112 shares of Common Stock and Investor Warrants to purchase 156,112 shares of common stock. The June 2023 Offering closed on June 22, 2023. The aggregate net proceeds from the June 2023 Offering, including the partial overallotment option, was approximately $20.7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we received a waiver (the “December 2023 Waiver”) from the Term Loan Lenders in regards to our compliance with the fixed charge coverage ratio and maximum senior leverage ratio with respect to the minimum cash requirements (the “Tests”) under Term Loan Agreement, as of the last day of the quarter ended December 31, 2023. The December 2023 Waiver provided for a one-time issuance of penny warrants (the “December 2023 Penny Warrants”) to purchase up to 142,964 shares of common stock (the “December 2023 Waiver Shares”), at an exercise price of $0.09 per share, in connection with the Term Loan Lender’s agreement to waive the Tests under the Term Loan for the quarter ended December 31, 2023. The Waiver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received a waiver (the “May 2024 Waiver”) from the Term Loan Lenders in regards to our compliance with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2024 Private Placement and First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Agreement that would have been due to the Term Loan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Term Loan Lenders (the “Joinder”) whereby Battle Born LLC became a guarantor and credit party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Private Placement and Third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2024 Private Placement and Fourth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and Fifth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the Purchase Agreement with a single institutional investor, pursuant to which we sold in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The floor price for the Series A Preferred Stock sold in the Registered Direct Offering is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the Private Placement,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Registration Effectiveness Date and (ii) (A) the consummation of a Change of Control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Warrants, we have a call right upon the occurrence of certain events. No earlier than two (2) months following the Registration Effectiveness Date and (2) the most recent conversion or exercise in full of a Private Placement Warrant, (i) the VWAP for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 Call Notice for consideration equal to the applicable number of Series A Preferred Stock issuable upon exercise or cancellation of the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in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at the time of the Second Closing based on the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closing of the Registered Direct Offering and the Initial Closing, after deducting the placement agent’s fees and expenses and estimated offering expenses, were approximately $3.2 million, excluding the net proceeds, if any, from the exercise of the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direct-to-customer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and other OEMs, driven by continued efforts to develop larger and more complete storage systems. Although our battery systems are built in to each model,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drop in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the industry slowly recovers from the market correction, as well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2024 and 2023. This data should be read together with our financial statements and related notes included elsewhere in this prospectus,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755"/>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746" w:type="dxa"/>
        <w:jc w:val="left"/>
        <w:tblInd w:w="0" w:type="dxa"/>
        <w:tblLayout w:type="fixed"/>
        <w:tblCellMar>
          <w:top w:w="0" w:type="dxa"/>
          <w:left w:w="0" w:type="dxa"/>
          <w:bottom w:w="0" w:type="dxa"/>
          <w:right w:w="0" w:type="dxa"/>
        </w:tblCellMar>
      </w:tblPr>
      <w:tblGrid>
        <w:gridCol w:w="1865"/>
        <w:gridCol w:w="60"/>
        <w:gridCol w:w="218"/>
        <w:gridCol w:w="1062"/>
        <w:gridCol w:w="93"/>
        <w:gridCol w:w="93"/>
        <w:gridCol w:w="218"/>
        <w:gridCol w:w="1062"/>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DTC</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36,875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OEM</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27,612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27,517</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Licensing Revenue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50,645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$13.7 million, or 21.3%, to $50.6 million for the year ended December 31, 2024, as compared to $64.4 million for the year ended December 31, 2023. This decrease was primarily due to lower DTC battery and accessory sales due to a decline in demand in our core RV markets, partially offset by a slight increase in average sale prices for our batteries which is related to product mix. For the year ended December 31, 2024, DTC revenue decreased by $14.3 million as a result of decreased customer demand for our products due to rising interest rates and inflation. We expect our sales to increase as the cyclical recovery of the RV market gains momentum in the coming quarters and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$9.9 million, or 20.3%, to $39.0 million for the year ended December 31, 2024, as compared to $48.9 million for the year ended December 31, 2023. This decrease was primarily due to a $9.1 million decrease in product cost due to lower unit volume, a decrease in labor expense due to reduced headcount and reduced overhead. We expect the materials and labor portion of our Cost of goods sold to increase in conjunction with the anticipated increase in revenue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$3.8 million, or 24.7%, to $11.6 million for the year ended December 31, 2024, as compared to $15.4 million for the year ended December 31, 2023. The decrease in gross profit was primarily due to lower unit volumes and a change in revenue mix that included a larger percentage of lower margin OEM sales and a lower percentage of higher margin DTC sales. Gross Profit percentage decreased by 1.0% from 24.0% in 2023 to 23.0% in 2024. Lower volume caused a reduction in absorption of labor and overhead impacting gross profit by 1.6% along with a decrease in material costs increasing gross profit by 0.6%. We expect our Gross Profit, as a percentage of revenue, to increase over the next 12 months with higher volumes increasing absorption of labor and overhead.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$1.6 million, or 41.1%, to $5.5 million for the year ended December 31, 2024, as compared to $3.9 million for the year ended December 31, 2023. The increase was primarily due to $0.8 million in higher employee related expenses due to increased headcount and an increase in rent related to the new lease in Fernley. Product development expenses and depreciation also increased related to new products introduced during the year ended December 31, 2024. We expect Research and Development expenses to reduce as we change our focus from Solid State to Product Development.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$4.5 million, or 17.0%, to $21.9 million for the year ended December 31, 2024, as compared to $26.4 million for the year ended December 31, 2023. This decrease was primarily due to reduction of employee related costs totaling $7.0 million due to lower headcount, which includes lower stock-based compensation expense in the amount of $4.9 million. We also incurred lower compliance, insurance, and professional fees related to public company costs in the amount of $1.3 million, and a $0.7 million decrease in investor relations expenses. The decrease in expense was offset by an impairment loss accrued for assets held for sale at year end of $0.9 million and a loss on patent litigation settlement accrued of $2.5 million. We expect General and Administrative Expenses, as a percentage of revenue, to increase as we increase the staffing in our Engineering department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$2.6 million, or 20.6%, to $10.0 million for the year ended December 31, 2024, as compared to $12.6 million for the year ended December 31, 2023. This decrease was primarily due to a $2.3 million reduction in employee related costs and lower stock-based compensation. Shipping costs are also lower by $0.9 million due to lower unit volumes, partially offset by travel and entertainment, previously allocated to General and Administrative Expense, and higher general marketing expenses. We expect our Selling and Marketing Expenses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$14.9 million for the year ended December 31, 2024 as compared to total other income of $13.6 million for the year ended December 31, 2023. Other expense in 2024 is comprised primarily of interest expense of $21.5 million related to our debt securities partially offset by a change in fair market value of warrant liability in the amount of $6.7 million. Other income in 2023 is comprised of a change in fair market value of warrant liability in the amount of $29.6 million, partially offset by interest expense of $16.0 million related to our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for the years ended December 31, 2024 and December 31, 2024 were immaterial.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 revalued at $29.4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$40.6 million for the year ended December 31, 2024, as compared to a net loss of $13.8 million for the year ended December 31, 2023. As described above, this result was driven by increased other expenses, lower sales due to reduced demand in the RV market, partially offset by lower cost of goods sold and lower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7016" w:type="dxa"/>
        <w:jc w:val="left"/>
        <w:tblInd w:w="0" w:type="dxa"/>
        <w:tblLayout w:type="fixed"/>
        <w:tblCellMar>
          <w:top w:w="0" w:type="dxa"/>
          <w:left w:w="0" w:type="dxa"/>
          <w:bottom w:w="0" w:type="dxa"/>
          <w:right w:w="0" w:type="dxa"/>
        </w:tblCellMar>
      </w:tblPr>
      <w:tblGrid>
        <w:gridCol w:w="4100"/>
        <w:gridCol w:w="60"/>
        <w:gridCol w:w="197"/>
        <w:gridCol w:w="1067"/>
        <w:gridCol w:w="134"/>
        <w:gridCol w:w="84"/>
        <w:gridCol w:w="197"/>
        <w:gridCol w:w="1067"/>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(40,615</w:t>
            </w:r>
          </w:p>
        </w:tc>
        <w:tc>
          <w:tcPr>
            <w:tcW w:w="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16,015</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(17,739</w:t>
            </w:r>
          </w:p>
        </w:tc>
        <w:tc>
          <w:tcPr>
            <w:tcW w:w="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Adjusted for:</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June 2023 Offering Costs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Separation Agreement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w:t>
            </w:r>
          </w:p>
        </w:tc>
        <w:tc>
          <w:tcPr>
            <w:tcW w:w="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(29,582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Non-Recurring/One-Time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Tariff Investigation(5)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Litigation(6)</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Stock Split (7)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Stryten Licensing Agreement(8)</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Settlement(9)</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Impairment of Assets(10)</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EBITDA</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(18,500</w:t>
            </w:r>
          </w:p>
        </w:tc>
        <w:tc>
          <w:tcPr>
            <w:tcW w:w="1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 Offering Costs related to the warrant liability are comprised of fees and expenses, including legal, accounting, and other expenses associated with this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in 2023 is comprised of $720 in cash severance associated with separation agreement dated April 26, 2023, between us and our former Chief Legal Officer.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2024.</w:t>
            </w:r>
          </w:p>
        </w:tc>
      </w:tr>
    </w:tbl>
    <w:p>
      <w:pPr>
        <w:pStyle w:val="TextBody"/>
        <w:bidi w:val="0"/>
        <w:spacing w:before="0" w:after="0"/>
        <w:ind w:left="324"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260"/>
        <w:gridCol w:w="87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 Investigation are legal and forensic accounting related fees and expenses related to this investigation.</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Investigation are legal fees and expenses related to the Internation Trade Commission ‘ITC’ Lithium Hub patent infringement case.</w:t>
            </w:r>
          </w:p>
        </w:tc>
      </w:tr>
    </w:tbl>
    <w:p>
      <w:pPr>
        <w:pStyle w:val="TextBody"/>
        <w:bidi w:val="0"/>
        <w:spacing w:before="0" w:after="0"/>
        <w:ind w:left="324"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60"/>
        <w:gridCol w:w="90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are transfer agent and legal expenses and fees related to the reverse stock split with the SEC.</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Stryten Licensing Agreement is comprised of Legal expenses and fees related to the Licensing agreement with Stryten Energy, LLC</w:t>
            </w:r>
          </w:p>
        </w:tc>
      </w:tr>
    </w:tbl>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60"/>
        <w:gridCol w:w="413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settlement from patent licensing litigation</w:t>
            </w:r>
          </w:p>
        </w:tc>
      </w:tr>
    </w:tbl>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365"/>
        <w:gridCol w:w="7235"/>
      </w:tblGrid>
      <w:tr>
        <w:trPr/>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assets from subsequent sale at a price lower than its carrying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2024, we had cash totaling $4.8 million. In addition, in February 2025, we raised $8.0 million with net proceeds of $3.2 million in connection with the sale of the shares of our Series A Preferred Stock received in February 2025 and the remainder expected in early May 2025. We believe that our cash at December 31, 2024 and the net proceeds of our February 2025 offering will fund our operations into the first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contraction of our business and uncertainty around the timing of future needs, we reduced our purchase activities in 2024. As a result, our inventory balance at December 31, 2024 decreased by $17.1 million to $21.7 million, compared to $38.8 million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by and among, us, Legacy Dragonfly, Alter Domus (US) LLC, as the Agent to the lenders time-to-time party thereto (such lenders, the “Term Loan Lenders”),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the Second Amendment (together with the Original Term Loan, the First Amendment, the Second Amendment, the Third Amendment and the Fourth Amendment,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“Administrative Agent”)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and December 31, 2024,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are as follows: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April 1, 2024, was paid in cash.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July 1, 2024, became payable-in-kind.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each payment date occurring on or after January 1, 2025, interest will be payable in cash.</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Purchase Agreement with CCM LLC for aggregate proceeds to the Company of $2,043,885.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“Principal Amount”) to Brian Nelson, one of our directors, in a private placement in exchange for cash in an equal amount (the “March Note”). The March Note became due and payable in full on April 1, 2023. We were also obligated to pay a fee in the amount of $100,000 (the “March Loan Fee”) to Mr. Nelson on April 4, 2023. The Principal Amount of the March Note was paid in full on April 1, 2023 and the March Loan Fee was paid in full on April 4,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other financing transaction, see “</w:t>
      </w: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CBP in the amount of approximately $1.66 million in the aggregate, related to the improper classification and valuation of certain of the products used in our batteries. We have reported the underpayment to CBP.</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incurred losses and had a negative cash flow from operations. As of December 31, 2024, we had approximately $4.8 million in cash and cash equivalents and a working capital of $11.1 million.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and December 31, 2024, we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in connection with the Securities Purchase Agreement, the Company entered into the Fifth Amendment, which: (i) extended the maturity date by one year to October 2027, (ii) deferred all principal and interest payments to April 2026 and (iii) removed any applicable financial covenants (except for a financial covenant requiring the Company to maintain cash and cash equivalents equal to or greater than $2,500 on a monthly basis) for the next 1.5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independent registered public accounting firm included an explanatory paragraph in its report on our 2024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2024 and 2023</w:t>
      </w:r>
    </w:p>
    <w:p>
      <w:pPr>
        <w:pStyle w:val="TextBody"/>
        <w:bidi w:val="0"/>
        <w:spacing w:before="0" w:after="0"/>
        <w:ind w:left="0" w:right="0" w:hanging="10"/>
        <w:jc w:val="both"/>
        <w:rPr>
          <w:caps w:val="false"/>
          <w:smallCaps w:val="false"/>
        </w:rPr>
      </w:pPr>
      <w:r>
        <w:rPr>
          <w:caps w:val="false"/>
          <w:smallCaps w:val="false"/>
        </w:rPr>
        <w:t> </w:t>
      </w:r>
    </w:p>
    <w:tbl>
      <w:tblPr>
        <w:tblW w:w="6191" w:type="dxa"/>
        <w:jc w:val="left"/>
        <w:tblInd w:w="0" w:type="dxa"/>
        <w:tblLayout w:type="fixed"/>
        <w:tblCellMar>
          <w:top w:w="0" w:type="dxa"/>
          <w:left w:w="0" w:type="dxa"/>
          <w:bottom w:w="0" w:type="dxa"/>
          <w:right w:w="0" w:type="dxa"/>
        </w:tblCellMar>
      </w:tblPr>
      <w:tblGrid>
        <w:gridCol w:w="3275"/>
        <w:gridCol w:w="60"/>
        <w:gridCol w:w="210"/>
        <w:gridCol w:w="956"/>
        <w:gridCol w:w="143"/>
        <w:gridCol w:w="90"/>
        <w:gridCol w:w="210"/>
        <w:gridCol w:w="1137"/>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by/(used in):</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(7,182</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w:t>
            </w:r>
          </w:p>
        </w:tc>
        <w:tc>
          <w:tcPr>
            <w:tcW w:w="1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$7.2 million for the year ended December 31, 2024, primarily due to a net loss during the period and the change in fair market value of the warrant liability, partially offset by a decrease in inventory as a result of management’s decision to lower overall stocking levels to adjust for more modest demand.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$2.7 million for the year ended December 31, 2024, as compared to $6.9 million for the year ended December 31, 2023. The cash used in investing activities was primarily driven by capital expenditures in leasehold improvements for our new lease and to support our core battery business.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$2.0 million for the year ended December 31, 2024, primarily as a result of proceeds $2.0 million from the utilization of the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$19.5 million for the year ended December 31, 2023, primarily as a result of $20.7 million proceeds from the June 2023 Offering.</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and financing lease liabilities. As of December 31, 2024, we had $3.0 million in short-term operating and financing lease liabilities and $22.7 million in long-term operating, and financing lease liabilities.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December 31, 2024, the principal amount outstanding under the Term Loan was $69.9 million.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r_003"/>
      <w:bookmarkEnd w:id="10"/>
      <w:r>
        <w:rPr>
          <w:rFonts w:ascii="Times New Roman;Times;Serif" w:hAnsi="Times New Roman;Times;Serif"/>
          <w:b/>
          <w:i w:val="false"/>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(“Dragonfly Energy”) and Battle Born Batteries (“Battle Born”). Battle Born branded products are primarily sold direct-to-consumers (“DTC”), while the Dragonfly Energy brand is primarily sold to original equipment manufacturers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the strength of our DTC brand, we signed a brand licensing contract in July of 2024 with Stryten Energy for the Battle Born brand to be deployed in B2B sales within Stryten’s target market. The contract is expected to bring $30 million of licensing revenues within a seven year period. Additionally, we signed a contract manufacturing agreement that allows for us to assemble battery packs to be sold by Stryten under the Battle Born label. Both licensing and contract manufacturing revenues from these contracts are expected to come in throughout 2025, and we believe will represent a significant portion of our total revenues beginning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as an aftermarket-focused company, we initially targeted direct-to-consumer (DTC) sales within the recreational vehicle (RV) market. Since our inception in 2020, we have successfully sold over 330,000 batteries. For the fiscal years ended December 31, 2024, and December 31, 2023, we sold 42,447 and 64,906 batteries, respectively, generating revenues of $50.6 million and $64.5 million for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innovative battery products have disrupted the traditional lead-acid battery markets. The strong DTC demand, combined with our efforts to educate and market to original equipment manufacturers (OEMs), has facilitated significant penetration into the OEM sector. Historically, we have driven total sales growth through several strategies:</w:t>
      </w:r>
    </w:p>
    <w:p>
      <w:pPr>
        <w:pStyle w:val="TextBody"/>
        <w:bidi w:val="0"/>
        <w:spacing w:before="0" w:after="0"/>
        <w:ind w:left="720" w:right="0" w:hanging="36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of DTC Sales</w:t>
            </w:r>
            <w:r>
              <w:rPr>
                <w:rFonts w:ascii="Times New Roman;Times;Serif" w:hAnsi="Times New Roman;Times;Serif"/>
                <w:b w:val="false"/>
                <w:i w:val="false"/>
                <w:caps w:val="false"/>
                <w:smallCaps w:val="false"/>
                <w:sz w:val="20"/>
              </w:rPr>
              <w:t>: Increasing direct sales of batteries for RV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 Diversification</w:t>
            </w:r>
            <w:r>
              <w:rPr>
                <w:rFonts w:ascii="Times New Roman;Times;Serif" w:hAnsi="Times New Roman;Times;Serif"/>
                <w:b w:val="false"/>
                <w:i w:val="false"/>
                <w:caps w:val="false"/>
                <w:smallCaps w:val="false"/>
                <w:sz w:val="20"/>
              </w:rPr>
              <w:t>: Entering the marine vessel and off-grid storage markets with related DTC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OEM Partnerships</w:t>
            </w:r>
            <w:r>
              <w:rPr>
                <w:rFonts w:ascii="Times New Roman;Times;Serif" w:hAnsi="Times New Roman;Times;Serif"/>
                <w:b w:val="false"/>
                <w:i w:val="false"/>
                <w:caps w:val="false"/>
                <w:smallCaps w:val="false"/>
                <w:sz w:val="20"/>
              </w:rPr>
              <w:t>: Supplying batteries to RV OEMs.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Distributor Engagement</w:t>
            </w:r>
            <w:r>
              <w:rPr>
                <w:rFonts w:ascii="Times New Roman;Times;Serif" w:hAnsi="Times New Roman;Times;Serif"/>
                <w:b w:val="false"/>
                <w:i w:val="false"/>
                <w:caps w:val="false"/>
                <w:smallCaps w:val="false"/>
                <w:sz w:val="20"/>
              </w:rPr>
              <w:t>: Enhancing sales through increased distribution channels.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Accessory Sales</w:t>
            </w:r>
            <w:r>
              <w:rPr>
                <w:rFonts w:ascii="Times New Roman;Times;Serif" w:hAnsi="Times New Roman;Times;Serif"/>
                <w:b w:val="false"/>
                <w:i w:val="false"/>
                <w:caps w:val="false"/>
                <w:smallCaps w:val="false"/>
                <w:sz w:val="20"/>
              </w:rPr>
              <w:t>: Reselling accessories for our battery systems.</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valued RV OEM partners currently include industry leaders such as Airstream, Tiffin Motorhomes, Forest River, nuCamp RV, Triple E RV, REV Group, Keystone, and THOR Industries (“THOR”). Notably, THOR has made a strategic investment in our business, which we believe underscores our strong industry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experienced a period of sustained market correction characterized by ongoing inflation and historically high interest rates, which posed challenges to our DTC markets. While there were small increases in retail registrations and wholesale shipments within the RV industry, much of this growth was concentrated in the price-sensitive entry-level segment. These entry-level RVs typically do not incorporate our battery products, resulting in a decline in our overall sales due to the limited growth in segments aligned with our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did observe increased OEM adoption of our products outside the entry-level segment, marked by the acquisition of new customers and enhanced market share within existing customer product lines. As a result, a higher proportion of our revenue was generated through the OEM channel compared to the DTC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successfully entered into two significant distribution agreements with Keystone Automotive Group (a division of LKQ) and Meyer Distribution. These partnerships are expected to expand our reach within the RV and marine dealer networks and support continued growth in our DTC channels.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RV dealers continued to optimize their inventory levels, resulting in relatively flat sales after a substantial 36% correction in 2023. The industry’s pivot towards entry-level RVs, which do not typically utilize our batteries, contributed to the decline in total revenue for the year ended December 31, 2024, compared to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ongoing discussions with customers and current unit forecast projections, we anticipate an increase in revenue within the RV market for 2025. We remain committed to expanding our market presence, leveraging strategic partnerships, and driving innovation to sustain our growth trajectory.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November 2024, we relocated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“Fernley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Battle Born Batteries and Wakespeed brands, we operate in three primary consumer end markets: RVs, marine vessels, and off-grid storage systems. We are strategically expanding into additional markets, with a focus on trucking – including heavy-duty trucks and work trucks – and industrial markets – including oil and gas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(“PPC”) advertising campaigns across various platforms, including search engines, social media, and connected TV to efficiently convert high-intent customers at the bottom of the purchase funnel.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upon our success in collaborating with RV and marine OEMs, we have begun expanding into the heavy-duty trucking market. We are leveraging our expertise in designing and supporting lithium-ion storage systems to tailor solutions meeting specific requirements for fleets. These solutions have been adopted as factory options, demonstrating their value proposition for truck fleets seeking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diesel fuel costs: our technology delivers significant fuel savings, offering a rapid return on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anti-idling regulations: Lithium-ion batteries enable efficient power management eliminating the need for long haul truck drivers to idle, thus aligning with increasingly stringent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sustainability efforts: Transitioning to long lasting and greener lithium-ion solutions contributes to improved environmental impact.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approach has resulted in successful pilot programs with fleets representing over 15% of the North American heavy-duty trucking market, and has already resulted in several new arrangements, including Stevens Transport and Highway Transport.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Fall of 2024, a partnership with Alegacy – a packager of natural gas compression equipment – led to a successful demonstration of an uninterruptible battery powered vapor recovery unit (VRU) that exhibited methane leakage mitigation in a large (greater than 3000 hp) gas compression unit. We believe that this successful demonstration will pave the way for the aftermarket and OEM deployments of these lithium battery powered VRUs, beginning in 2025. The opportunity leverages our expertise in combining alternator charging and battery cycling, as well as our Class 1 Div 2 battery classification, which allows our battery systems to be deployed in the vicinity of oil &amp; gas pipelines.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bidi w:val="0"/>
        <w:spacing w:before="0" w:after="0"/>
        <w:ind w:left="324" w:right="0" w:hanging="32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Longer Lifespan. </w:t>
            </w:r>
            <w:r>
              <w:rPr>
                <w:rFonts w:ascii="Times New Roman;Times;Serif" w:hAnsi="Times New Roman;Times;Serif"/>
                <w:b w:val="false"/>
                <w:i w:val="false"/>
                <w:caps w:val="false"/>
                <w:smallCaps w:val="false"/>
                <w:sz w:val="20"/>
              </w:rPr>
              <w:t>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Power and Performance. </w:t>
            </w:r>
            <w:r>
              <w:rPr>
                <w:rFonts w:ascii="Times New Roman;Times;Serif" w:hAnsi="Times New Roman;Times;Serif"/>
                <w:b w:val="false"/>
                <w:i w:val="false"/>
                <w:caps w:val="false"/>
                <w:smallCaps w:val="false"/>
                <w:sz w:val="20"/>
              </w:rPr>
              <w:t>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in 2021 (“Frost &amp; Sullivan”), the total addressable market (“TAM”) of our three current end markets was estimated to be approximately $12 billion by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Recreational Vehicles. </w:t>
            </w:r>
            <w:r>
              <w:rPr>
                <w:rFonts w:ascii="Times New Roman;Times;Serif" w:hAnsi="Times New Roman;Times;Serif"/>
                <w:b w:val="false"/>
                <w:i w:val="false"/>
                <w:caps w:val="false"/>
                <w:smallCaps w:val="false"/>
                <w:sz w:val="20"/>
              </w:rPr>
              <w:t>The growth of the RV market is expected to continue to drive demand for LFP storage batteries. According to the 2025 RV Industry Association (“RVIA”) Owner Demographic Profile, 16% of RV buyers are between the ages of 18 and 34. In addition, over a third of the respondents in the study (36%) are first-time owners, underscoring the growth of the industry in the past decade. RV interiors are becoming more modern as customers adopt the full-time RV lifestyle, with additional appliances and electronics being installed, increasing the need for reliable power.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2024 RV Market Report, approximately 89% of wholesale RV units shipping in 2025 are projected to be towable units, representing a significant growth opportunity for LFP batteries.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There were a total of over 11.6 million registered boats on the water as of 2023.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Off-Grid Residences. </w:t>
            </w:r>
            <w:r>
              <w:rPr>
                <w:rFonts w:ascii="Times New Roman;Times;Serif" w:hAnsi="Times New Roman;Times;Serif"/>
                <w:b w:val="false"/>
                <w:i w:val="false"/>
                <w:caps w:val="false"/>
                <w:smallCaps w:val="false"/>
                <w:sz w:val="20"/>
              </w:rPr>
              <w:t>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Heavy Duty Truck. </w:t>
            </w:r>
            <w:r>
              <w:rPr>
                <w:rFonts w:ascii="Times New Roman;Times;Serif" w:hAnsi="Times New Roman;Times;Serif"/>
                <w:b w:val="false"/>
                <w:i w:val="false"/>
                <w:caps w:val="false"/>
                <w:smallCaps w:val="false"/>
                <w:sz w:val="20"/>
              </w:rPr>
              <w:t>The heavy-duty truck market encompasses a broad range of vehicles designed for extensive commercial and industrial use, such as long-haul transport, 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Times;Serif" w:hAnsi="Times New Roman;Times;Serif"/>
                <w:b/>
                <w:i w:val="false"/>
                <w:caps w:val="false"/>
                <w:smallCaps w:val="false"/>
                <w:sz w:val="20"/>
              </w:rPr>
              <w:t>APUs</w:t>
            </w:r>
            <w:r>
              <w:rPr>
                <w:rFonts w:ascii="Times New Roman;Times;Serif" w:hAnsi="Times New Roman;Times;Serif"/>
                <w:b w:val="false"/>
                <w:i w:val="false"/>
                <w:caps w:val="false"/>
                <w:smallCaps w:val="false"/>
                <w:sz w:val="20"/>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Times;Serif" w:hAnsi="Times New Roman;Times;Serif"/>
                <w:b/>
                <w:i w:val="false"/>
                <w:caps w:val="false"/>
                <w:smallCaps w:val="false"/>
                <w:sz w:val="20"/>
              </w:rPr>
              <w:t>TRUs</w:t>
            </w:r>
            <w:r>
              <w:rPr>
                <w:rFonts w:ascii="Times New Roman;Times;Serif" w:hAnsi="Times New Roman;Times;Serif"/>
                <w:b w:val="false"/>
                <w:i w:val="false"/>
                <w:caps w:val="false"/>
                <w:smallCaps w:val="false"/>
                <w:sz w:val="20"/>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bl>
    <w:p>
      <w:pPr>
        <w:pStyle w:val="TextBody"/>
        <w:bidi w:val="0"/>
        <w:spacing w:before="0" w:after="0"/>
        <w:ind w:left="324" w:right="0" w:hanging="32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Specialty Vehicles. </w:t>
            </w:r>
            <w:r>
              <w:rPr>
                <w:rFonts w:ascii="Times New Roman;Times;Serif" w:hAnsi="Times New Roman;Times;Serif"/>
                <w:b w:val="false"/>
                <w:i w:val="false"/>
                <w:caps w:val="false"/>
                <w:smallCaps w:val="false"/>
                <w:sz w:val="20"/>
              </w:rPr>
              <w:t>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U.S. market size of $110.1 billion in 2023,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5,000 data centers in the United States as of September 2023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bl>
    <w:p>
      <w:pPr>
        <w:pStyle w:val="TextBody"/>
        <w:bidi w:val="0"/>
        <w:spacing w:before="0" w:after="0"/>
        <w:ind w:left="324" w:right="0" w:hanging="32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On-grid Storage. </w:t>
            </w:r>
            <w:r>
              <w:rPr>
                <w:rFonts w:ascii="Times New Roman;Times;Serif" w:hAnsi="Times New Roman;Times;Serif"/>
                <w:b w:val="false"/>
                <w:i w:val="false"/>
                <w:caps w:val="false"/>
                <w:smallCaps w:val="false"/>
                <w:sz w:val="20"/>
              </w:rPr>
              <w:t>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44 issued patents, with an additional 39 patent applications pending, in the United States, Canada, Australia, Korea, Japan, India, China, and Europe (with individual patents in Germany, France and the United Kingdom).</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DTC platform and have developed strong working relationships with major 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23,000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bl>
    <w:p>
      <w:pPr>
        <w:pStyle w:val="TextBody"/>
        <w:bidi w:val="0"/>
        <w:spacing w:before="0" w:after="0"/>
        <w:ind w:left="324" w:right="0" w:hanging="32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Drop-in Replacement. </w:t>
            </w:r>
            <w:r>
              <w:rPr>
                <w:rFonts w:ascii="Times New Roman;Times;Serif" w:hAnsi="Times New Roman;Times;Serif"/>
                <w:b w:val="false"/>
                <w:i w:val="false"/>
                <w:caps w:val="false"/>
                <w:smallCaps w:val="false"/>
                <w:sz w:val="20"/>
              </w:rPr>
              <w:t>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Product Offerings. </w:t>
            </w:r>
            <w:r>
              <w:rPr>
                <w:rFonts w:ascii="Times New Roman;Times;Serif" w:hAnsi="Times New Roman;Times;Serif"/>
                <w:b w:val="false"/>
                <w:i w:val="false"/>
                <w:caps w:val="false"/>
                <w:smallCaps w:val="false"/>
                <w:sz w:val="20"/>
              </w:rPr>
              <w:t>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2024, we began selling to both OEM customers and retail consumers batteries having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bl>
    <w:p>
      <w:pPr>
        <w:pStyle w:val="TextBody"/>
        <w:bidi w:val="0"/>
        <w:spacing w:before="0" w:after="0"/>
        <w:ind w:left="324" w:right="0" w:hanging="3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End Markets. </w:t>
            </w:r>
            <w:r>
              <w:rPr>
                <w:rFonts w:ascii="Times New Roman;Times;Serif" w:hAnsi="Times New Roman;Times;Serif"/>
                <w:b w:val="false"/>
                <w:i w:val="false"/>
                <w:caps w:val="false"/>
                <w:smallCaps w:val="false"/>
                <w:sz w:val="20"/>
              </w:rPr>
              <w:t>We have identified additional end markets that we believe in the medium- to longer-term will increasingly look to 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our Dry Electrode Cell Manufacturing Technology.</w:t>
            </w:r>
            <w:r>
              <w:rPr>
                <w:rFonts w:ascii="Times New Roman;Times;Serif" w:hAnsi="Times New Roman;Times;Serif"/>
                <w:b w:val="false"/>
                <w:i w:val="false"/>
                <w:caps w:val="false"/>
                <w:smallCaps w:val="false"/>
                <w:sz w:val="20"/>
              </w:rPr>
              <w:t xml:space="preserve"> In July 2023, we completed the construction of our proprietary and patented 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 and 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electric vehicle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763000" cy="2686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763000" cy="26860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 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Dry Electrode Cell Manufacturing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2023, we completed the construction of our dry-electrode manufacturing pilot line, demonstrated the ability to produce Anode and Cathode electrode tapes at scale using this manufacturing process. We have developed sample cells for prospective customers across a variety of chemistries and end-markets and are designing equipment for scaled production of full cells.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various industries with clean, reliable, and efficient power solutions through our comprehensive product portfolio. These products and solutions are sold to both OEMs and retail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beyond batteries, we also offer a diverse range of power products.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bidi w:val="0"/>
        <w:spacing w:before="0" w:after="0"/>
        <w:ind w:left="0" w:right="0" w:firstLine="144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bl>
    <w:p>
      <w:pPr>
        <w:pStyle w:val="TextBody"/>
        <w:bidi w:val="0"/>
        <w:spacing w:before="0" w:after="0"/>
        <w:ind w:left="0" w:right="0" w:firstLine="144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85"/>
        <w:gridCol w:w="82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bl>
    <w:p>
      <w:pPr>
        <w:pStyle w:val="TextBody"/>
        <w:bidi w:val="0"/>
        <w:spacing w:before="0" w:after="0"/>
        <w:ind w:left="0" w:right="0" w:firstLine="144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85"/>
        <w:gridCol w:w="69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began offering the Dragonfly IntelLigence product line to OEMs in the third quarter of 2024, and to retail consumers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new manufacturing facility will allow us to add production capacity and increase product offerings and scale based on demand.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System Integrator. </w:t>
            </w:r>
            <w:r>
              <w:rPr>
                <w:rFonts w:ascii="Times New Roman;Times;Serif" w:hAnsi="Times New Roman;Times;Serif"/>
                <w:b w:val="false"/>
                <w:i w:val="false"/>
                <w:caps w:val="false"/>
                <w:smallCaps w:val="false"/>
                <w:sz w:val="20"/>
              </w:rPr>
              <w:t>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equivalents, and factory footprint while eliminating the need for solvents like N-Methyl-2-pyrrolidone (“NMP”). A third-party assessment conducted by Sphere Energy confirming these benefits has been completed in the first quarter of 2024 relating to cost effectiveness and sustainability of our dry electrode battery manufacturing process (the “Sphere Energy Assessment”).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continue to be optimized in 2025. A new set of spray dryers have arrived at our facility in the second quarter of 2024, enabling us to produce larger volumes of material for the electrode coating lines. However, we have delayed the deployment of these spray dryers until at least the third quarter of 2025 as we focus on designing larger-scale electrode coating equipment.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267825" cy="427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67825" cy="4276725"/>
                    </a:xfrm>
                    <a:prstGeom prst="rect">
                      <a:avLst/>
                    </a:prstGeom>
                  </pic:spPr>
                </pic:pic>
              </a:graphicData>
            </a:graphic>
          </wp:inline>
        </w:drawing>
      </w: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(“NMR”),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191250" cy="3571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91250" cy="3571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technology continues to progress as we qualify new chemistries and refine the dry electrode process for solid-state applications. Currently, we are cycling solid-state coin cells, although we have delayed the production of prototype pouch cells until at least the beginning of 2026.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from our 99,000 square foot facility in Reno, Nevada to our new 390,240 square foot facility also in Reno, Nevada, which has allowed us to increase our production capacity and gives us the ability to increase sales to existing customers and penetrate new markets. Our 390,240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do not own any real estate property. We currently have two production lines with another line currently in construction. We continue to have the capability to expand our production volumes and line quantities to support increased volumes of new products we intend to introduce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the Fernley Lease Agreement pursuant to which we agreed to lease an approximately 64,000 square foot facility (the “Premises”) in Fernley, Nevada, to be used for general, warehousing, assembly/light manufacturing, painting of products, storage fulfillment, distribution of our products, and other uses as permitted under in the Fernley Lease Agreement.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743825" cy="1771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43825" cy="1771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traditional and solid-state cells, we have signed a Commercial Offtake Agreement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2024 and 2023, OEM sales represented 54.5% and 42.7% of our total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47.4% of our revenue for the year ended December 31, 2024,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 standing relationship with Keystone.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leverage targeted pay-per-click advertising campaigns across various platforms, including search engines, social media, and connected TV. This data driven approach ensures efficient conversion of high-intent customers at the bottom of the purchase funnel, maximizing return on investment and driving targeted brand awareness among potential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energy storage market is highly competitive, with traditional lead-acid batteries still dominating. However, lithium-ion adoption continues to grow as customers seek better performance and longer lifespans. We compete with traditional lead-acid manufacturers and distributers, such as East Penn, Trojan, and Interstate and companies importing and white-labeling low-cost lithium products. This influx of inexpensive overseas batteries has intensified price competition. We believe our products stand out through American design and assembly, premium components, superior customer service, and full system design capabilities. Our batteries are lighter and longer-lasting compared to traditional lead-acid batteries, and easy to install as direct replacements for lead-acid batteries. Proprietary technologies, including advanced battery management systems, integrated heat capabilities, and intelligent battery communication, ensure reliable, high-performance energy storage as compared to traditional lead-acid batteries and other lithium-ion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owned 44 issued patents and 39 filed and pending patent applications. The pending patent applications are down from prior year since we abandoned 9 that were no longer useful.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2024, we owned 38 trademarks globally. Dragonfly owns 16 trademark registrations to cover our house marks in the United States and we have 7 registered trademark relating to our design logos and slogans in the United States and we have 22 registered trademarks internationally with 10 other international trademark applications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144 employees: 139 full-time, 2 part-time and 3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In November, 2024, we relocated our headquarters to our new 390,240 square foot warehouse at 12915 Old Virginia Road in Reno, Nevada 89521. The current rent, which became payable on March 25, 2024 is $230,000 payable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leasing a 99,000 square foot facility at 1190 Trademark Drive #108, Reno, Nevada, which was the prior location of our headquarters until November 2024. The lease for this building was entered into on March 1, 2021 and expires on April 30, 2026. The current monthly rent is $59,750.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currently leasing a 59,500 square foot warehouse facility at 12815 Old Virginia Road in Reno, Nevada. The lease for this space was entered into on December 1, 2021, and expires December 31, 2026; the current monthly rent is $49,732.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&amp; Development lab is a 9,600 square foot facility located in Sparks, Nevada. The lease for these premises was entered into on July 27, 2020 and expires on July 31, 2025. The current monthly rent is $9,336.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podcast studio was a 1,772 square foot facility located in Sparks, Nevada. The lease for this space expired on September 20,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we completed the merger in connection with our business combination. On March 31, 2023, we changed our state of incorporation from the State of Delaware to the State of Nevada (the “Reincorporation”) pursuant to a plan of conversion dated March 30, 2023.The mailing address of our principal executive office is 12915 Old Virginia Road, Reno, Nevada 89521, and our telephone number is (775) 622-3448.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2024, we effected a reverse stock split of our issued and outstanding common stock at a ratio of 1-for-9 (the “Reverse Stock Split”).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in this prospectus have been adjusted, on a retroactive basis,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r_004"/>
      <w:bookmarkEnd w:id="11"/>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and directors as of the date of this prospectus.</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45"/>
        <w:gridCol w:w="60"/>
        <w:gridCol w:w="350"/>
        <w:gridCol w:w="60"/>
        <w:gridCol w:w="7590"/>
      </w:tblGrid>
      <w:tr>
        <w:trPr/>
        <w:tc>
          <w:tcPr>
            <w:tcW w:w="214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 of the Board</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Vickram Singh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of directors since October 2022. Since April 2024, Dr. Phares has served as our Interim Chief Financial Officer. Dr. Phares is the co-founder of Dragonfly Energy Corp., a Nevada corporation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of directors based on his substantial business, leadership, and management experience as the Chief Executive Officer and Chairman of our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Wade Seaburg</w:t>
      </w:r>
      <w:r>
        <w:rPr>
          <w:rFonts w:ascii="Times New Roman;Times;Serif" w:hAnsi="Times New Roman;Times;Serif"/>
          <w:b w:val="false"/>
          <w:i w:val="false"/>
          <w:caps w:val="false"/>
          <w:smallCaps w:val="false"/>
          <w:sz w:val="20"/>
        </w:rPr>
        <w:t xml:space="preserve"> has served as our Chief Commercial Officer since February 2025. Prio to that, Mr. Seaburg served as our Chief Revenue Officer from November 2022. Prior to the merger and the other transactions contemplated by that certain Agreement and Plan of Merger, dated May 15, 2022, as amended on July 12, 2022, by and among Chardan NexTech Acquisition 2 Corporation (“CNTQ”) Merger Sub and Dragonfly (the “Business Combination”),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(“WESCO”)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Tyler Bourns</w:t>
      </w:r>
      <w:r>
        <w:rPr>
          <w:rFonts w:ascii="Times New Roman;Times;Serif" w:hAnsi="Times New Roman;Times;Serif"/>
          <w:b w:val="false"/>
          <w:i w:val="false"/>
          <w:caps w:val="false"/>
          <w:smallCaps w:val="false"/>
          <w:sz w:val="20"/>
        </w:rPr>
        <w:t xml:space="preserve"> has served as our Chief Marketing Officer since November 2022. Prior to the Business Combination, Mr. Bourns 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Vickram Singh</w:t>
      </w:r>
      <w:r>
        <w:rPr>
          <w:rFonts w:ascii="Times New Roman;Times;Serif" w:hAnsi="Times New Roman;Times;Serif"/>
          <w:b w:val="false"/>
          <w:i w:val="false"/>
          <w:caps w:val="false"/>
          <w:smallCaps w:val="false"/>
          <w:sz w:val="20"/>
        </w:rPr>
        <w:t xml:space="preserve"> has served as our Chief Operating Officer since February 2025. Prior to the Business Combination, Dr. Singh served as Director of Research and Development. In that capacity, he has been instrumental in overseeing the development of next-generation lithium-ion batteries and manufacturing processes and optimizing all-solid-state battery chemistries for deep-cycle applications. After the Business Combination,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Rick Parod </w:t>
      </w:r>
      <w:r>
        <w:rPr>
          <w:rFonts w:ascii="Times New Roman;Times;Serif" w:hAnsi="Times New Roman;Times;Serif"/>
          <w:b w:val="false"/>
          <w:i w:val="false"/>
          <w:caps w:val="false"/>
          <w:smallCaps w:val="false"/>
          <w:sz w:val="20"/>
        </w:rPr>
        <w:t>has served as a member of our board of directors since October 2022.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of directors based on his experience in manufacturing operations, product development and sales and marketing.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Karina Montilla Edmonds, Ph.D. </w:t>
      </w:r>
      <w:r>
        <w:rPr>
          <w:rFonts w:ascii="Times New Roman;Times;Serif" w:hAnsi="Times New Roman;Times;Serif"/>
          <w:b w:val="false"/>
          <w:i w:val="false"/>
          <w:caps w:val="false"/>
          <w:smallCaps w:val="false"/>
          <w:sz w:val="20"/>
        </w:rPr>
        <w:t>has served as a member of our board of directors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of directors based on her industry leadership and expertise in technology transfer and commercialization.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Brian Nelson </w:t>
      </w:r>
      <w:r>
        <w:rPr>
          <w:rFonts w:ascii="Times New Roman;Times;Serif" w:hAnsi="Times New Roman;Times;Serif"/>
          <w:b w:val="false"/>
          <w:i w:val="false"/>
          <w:caps w:val="false"/>
          <w:smallCaps w:val="false"/>
          <w:sz w:val="20"/>
        </w:rPr>
        <w:t>has served as a member of our board of directors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of directors based on his years of business experience as President and Chief Executive Officer of Precision Surfacing Solutions Group and Lapmaster.</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Jonathan Bellows </w:t>
      </w:r>
      <w:r>
        <w:rPr>
          <w:rFonts w:ascii="Times New Roman;Times;Serif" w:hAnsi="Times New Roman;Times;Serif"/>
          <w:b w:val="false"/>
          <w:i w:val="false"/>
          <w:caps w:val="false"/>
          <w:smallCaps w:val="false"/>
          <w:sz w:val="20"/>
        </w:rPr>
        <w:t>has served as a member of our board of directors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of directors based on his energy storage industry expertise and operating and leadership experience.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Luisa Ingargiola </w:t>
      </w:r>
      <w:r>
        <w:rPr>
          <w:rFonts w:ascii="Times New Roman;Times;Serif" w:hAnsi="Times New Roman;Times;Serif"/>
          <w:b w:val="false"/>
          <w:i w:val="false"/>
          <w:caps w:val="false"/>
          <w:smallCaps w:val="false"/>
          <w:sz w:val="20"/>
        </w:rPr>
        <w:t>has served as a member of our board of directors since October 2022. Prior to the Business Combination, Ms. Ingargiola served on the 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of directors based on her previous roles serving as Chief Financial Officer for multiple companies and extensive experience serving on multiple boards of directors for Nasdaq companies.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Boyle</w:t>
      </w:r>
      <w:r>
        <w:rPr>
          <w:rFonts w:ascii="Times New Roman;Times;Serif" w:hAnsi="Times New Roman;Times;Serif"/>
          <w:b w:val="false"/>
          <w:i w:val="false"/>
          <w:caps w:val="false"/>
          <w:smallCaps w:val="false"/>
          <w:sz w:val="20"/>
        </w:rPr>
        <w:t xml:space="preserve"> has served as a member of our board of directors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of directors based on his industry leadership and capital markets experience from research to fundraising.</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seven directors. Our directors each serve staggered three-year terms with one class being elected at each year’s annual meeting of stockholders, as follows:</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2026 annual meeting of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2027 annual meeting of stockholders;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of directors has determined that Ms. Ingargiola qualifies as an audit committee financial expert within the meaning of SEC regulations and the Nasdaq Marketplace Rules.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of directors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12915 Old Virginia Road, Reno, Nevada 89521. Our Nominating and Corporate Governance Committee has discretion to decide which individuals to recommend for nomination as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of directors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of directors the flexibility to establish the most appropriate structure for us at any given time.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of directors leadership structure supports this approach.</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u w:val="single"/>
        </w:rPr>
        <w:t>https://dragonflyenergy.com/.</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r_006"/>
      <w:bookmarkEnd w:id="12"/>
      <w:r>
        <w:rPr>
          <w:rFonts w:ascii="Times New Roman;Times;Serif" w:hAnsi="Times New Roman;Times;Serif"/>
          <w:b/>
          <w:i w:val="false"/>
          <w:caps w:val="false"/>
          <w:smallCaps w:val="false"/>
          <w:sz w:val="20"/>
        </w:rPr>
        <w:t>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(“NEOs”) for fiscal 2024.</w:t>
      </w:r>
    </w:p>
    <w:p>
      <w:pPr>
        <w:pStyle w:val="TextBody"/>
        <w:bidi w:val="0"/>
        <w:spacing w:before="0" w:after="0"/>
        <w:ind w:left="10" w:right="0" w:hanging="10"/>
        <w:jc w:val="both"/>
        <w:rPr>
          <w:caps w:val="false"/>
          <w:smallCaps w:val="false"/>
        </w:rPr>
      </w:pPr>
      <w:r>
        <w:rPr>
          <w:caps w:val="false"/>
          <w:smallCaps w:val="false"/>
        </w:rPr>
        <w:t> </w:t>
      </w:r>
    </w:p>
    <w:tbl>
      <w:tblPr>
        <w:tblW w:w="11770" w:type="dxa"/>
        <w:jc w:val="left"/>
        <w:tblInd w:w="0" w:type="dxa"/>
        <w:tblLayout w:type="fixed"/>
        <w:tblCellMar>
          <w:top w:w="0" w:type="dxa"/>
          <w:left w:w="0" w:type="dxa"/>
          <w:bottom w:w="0" w:type="dxa"/>
          <w:right w:w="0" w:type="dxa"/>
        </w:tblCellMar>
      </w:tblPr>
      <w:tblGrid>
        <w:gridCol w:w="1220"/>
        <w:gridCol w:w="60"/>
        <w:gridCol w:w="60"/>
        <w:gridCol w:w="500"/>
        <w:gridCol w:w="60"/>
        <w:gridCol w:w="60"/>
        <w:gridCol w:w="60"/>
        <w:gridCol w:w="800"/>
        <w:gridCol w:w="60"/>
        <w:gridCol w:w="60"/>
        <w:gridCol w:w="60"/>
        <w:gridCol w:w="800"/>
        <w:gridCol w:w="60"/>
        <w:gridCol w:w="60"/>
        <w:gridCol w:w="60"/>
        <w:gridCol w:w="800"/>
        <w:gridCol w:w="60"/>
        <w:gridCol w:w="60"/>
        <w:gridCol w:w="154"/>
        <w:gridCol w:w="676"/>
        <w:gridCol w:w="60"/>
        <w:gridCol w:w="60"/>
        <w:gridCol w:w="278"/>
        <w:gridCol w:w="1212"/>
        <w:gridCol w:w="215"/>
        <w:gridCol w:w="60"/>
        <w:gridCol w:w="278"/>
        <w:gridCol w:w="1212"/>
        <w:gridCol w:w="60"/>
        <w:gridCol w:w="60"/>
        <w:gridCol w:w="144"/>
        <w:gridCol w:w="1346"/>
        <w:gridCol w:w="60"/>
        <w:gridCol w:w="60"/>
        <w:gridCol w:w="60"/>
        <w:gridCol w:w="800"/>
        <w:gridCol w:w="75"/>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Non-Equity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Non-Qualified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Incentive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12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Denis Phares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Chief Executive Officer, Interim Chief Financial Officer, President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877,333</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Wade Seaburg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Chief Commercial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421,666</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Tyler Bourns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4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Marketing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319,333</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Marchetti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133,929</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Former Senior Vice President, Operations, Former Chief Financial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510,359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9"/>
        <w:gridCol w:w="9901"/>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 ended December 31, 2023.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6"/>
        <w:gridCol w:w="9934"/>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F-14 of our Notes to Consolidated Financial Statements included elsewhere in this prospectus for a discussion of the relevant assumptions used in calculating these amounts.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3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0"/>
        <w:gridCol w:w="993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were forfeited.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Compensation Committee engaged Compensia, Inc. as our independent compensation consultant.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 Dragonfly Energy Holdings Corp. did not engage an independent compensation consultant for years ended December 31, 2023 or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 Employment Agreements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On November 7, 2022, we entered into an employment agreement with each of Mr. Seaburg and Mr. Bourns.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him providing a release of claims to us and his continued compliance with the restrictive covenants in favor of us in the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we entered into amendments to the employment agreements with Dr. Phares, Mr. Marchetti, Mr. Seaburg and Mr. Bourns to amend the terms of their annual equity compensation (the “Amended Employee Agreements”).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Mr. Marchetti’s employment with us as our Senior Vice President, Operations, was terminated.</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2024, including the vesting dates for the portions of these awards that had not vested as of that date. The NEO did not hold any other outstanding equity awards as of that date.</w:t>
      </w:r>
    </w:p>
    <w:p>
      <w:pPr>
        <w:pStyle w:val="TextBody"/>
        <w:bidi w:val="0"/>
        <w:spacing w:before="0" w:after="0"/>
        <w:ind w:left="10" w:right="0" w:hanging="10"/>
        <w:jc w:val="both"/>
        <w:rPr>
          <w:caps w:val="false"/>
          <w:smallCaps w:val="false"/>
        </w:rPr>
      </w:pPr>
      <w:r>
        <w:rPr>
          <w:caps w:val="false"/>
          <w:smallCaps w:val="false"/>
        </w:rPr>
        <w:t> </w:t>
      </w:r>
    </w:p>
    <w:tbl>
      <w:tblPr>
        <w:tblW w:w="8569" w:type="dxa"/>
        <w:jc w:val="left"/>
        <w:tblInd w:w="0" w:type="dxa"/>
        <w:tblLayout w:type="fixed"/>
        <w:tblCellMar>
          <w:top w:w="0" w:type="dxa"/>
          <w:left w:w="0" w:type="dxa"/>
          <w:bottom w:w="0" w:type="dxa"/>
          <w:right w:w="0" w:type="dxa"/>
        </w:tblCellMar>
      </w:tblPr>
      <w:tblGrid>
        <w:gridCol w:w="1655"/>
        <w:gridCol w:w="60"/>
        <w:gridCol w:w="136"/>
        <w:gridCol w:w="1129"/>
        <w:gridCol w:w="60"/>
        <w:gridCol w:w="60"/>
        <w:gridCol w:w="306"/>
        <w:gridCol w:w="1139"/>
        <w:gridCol w:w="60"/>
        <w:gridCol w:w="60"/>
        <w:gridCol w:w="115"/>
        <w:gridCol w:w="1314"/>
        <w:gridCol w:w="290"/>
        <w:gridCol w:w="60"/>
        <w:gridCol w:w="84"/>
        <w:gridCol w:w="791"/>
        <w:gridCol w:w="60"/>
        <w:gridCol w:w="60"/>
        <w:gridCol w:w="1130"/>
      </w:tblGrid>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4"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Incentive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Plan Awards: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Securities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Underlying</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Unexercised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Unearned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w:t>
            </w:r>
          </w:p>
        </w:tc>
      </w:tr>
      <w:tr>
        <w:trPr/>
        <w:tc>
          <w:tcPr>
            <w:tcW w:w="16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Denis Phares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63,046</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04/12/2034</w:t>
            </w:r>
          </w:p>
        </w:tc>
      </w:tr>
      <w:tr>
        <w:trPr/>
        <w:tc>
          <w:tcPr>
            <w:tcW w:w="1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Wade Seaburg</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20,165</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04/12/2034</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06/09/2030</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10/19/2030</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08/04/2031</w:t>
            </w:r>
          </w:p>
        </w:tc>
      </w:tr>
      <w:tr>
        <w:trPr/>
        <w:tc>
          <w:tcPr>
            <w:tcW w:w="1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12/06/2031</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12/06/2031</w:t>
            </w:r>
          </w:p>
        </w:tc>
      </w:tr>
      <w:tr>
        <w:trPr/>
        <w:tc>
          <w:tcPr>
            <w:tcW w:w="1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Tyler Bourns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1,353</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12/06/2031</w:t>
            </w:r>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Tyler Bourns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04/12/2034</w:t>
            </w:r>
          </w:p>
        </w:tc>
      </w:tr>
    </w:tbl>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units vest annually as to 1/3rd on April 12, 2025, with the remaining shares vesting in equal annual installments over a period of 2 years. </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August 4, 2022, with the remaining shares vesting in equal monthly installments over a period of 36 months commencing on September 4, 2022.</w:t>
            </w:r>
          </w:p>
        </w:tc>
      </w:tr>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Stock options vest as to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on December 6, 2021, with the remaining shares vesting in equal monthly installments over a period of 36 months commencing on January 6, 2022.</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2023, on April 12, 2024, Dr. Phares was granted 63,046 restricted stock units (“RSUs”),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of directors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termination of Mr. Marchetti’s employment, his 26,585 RSUs and cash award of $215,333.33 were forfeited.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provides for cash and equity compensation for members of our board of directors of directors who are not employed by us or any of our subsidiaries (our “Non-Employee Directors”). The policy provides that each Non-Employee Director is entitled to receive the following cash compensation for board service, as applicable:</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also has discretion under the director compensation policy to grant Non-Employee Directors equity-based awards under our Dragonfly Energy Holdings 2022 Equity Incentive Plan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October 7, 2022, we granted each of our Non-Employee Directors then serving of the Board (i.e. Jonathan Bellows, Perry Boyle, Karina Montilla Edmonds, Luisa Ingargiola, Brian Nelson, and Rick Parod) an award of 3,334 RSUs under the 2022 Plan that are eligible to vest on the first anniversary of the grant date, subject to the director’s continued service on the Board through the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granted each of our Non-Employee Directors then serving on the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the Board through each vesting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awarded to, earned by, or paid to our Non-Employee Directors for services on our board during the year ended December 31, 2024. Dr. Phares did not receive any additional compensation for his service on the Board during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47"/>
        <w:gridCol w:w="60"/>
        <w:gridCol w:w="150"/>
        <w:gridCol w:w="1725"/>
        <w:gridCol w:w="60"/>
        <w:gridCol w:w="60"/>
        <w:gridCol w:w="96"/>
        <w:gridCol w:w="1288"/>
        <w:gridCol w:w="60"/>
        <w:gridCol w:w="60"/>
        <w:gridCol w:w="266"/>
        <w:gridCol w:w="1161"/>
        <w:gridCol w:w="60"/>
        <w:gridCol w:w="60"/>
        <w:gridCol w:w="389"/>
        <w:gridCol w:w="1691"/>
        <w:gridCol w:w="60"/>
        <w:gridCol w:w="60"/>
        <w:gridCol w:w="60"/>
        <w:gridCol w:w="811"/>
        <w:gridCol w:w="81"/>
      </w:tblGrid>
      <w:tr>
        <w:trPr/>
        <w:tc>
          <w:tcPr>
            <w:tcW w:w="194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1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Fees Earned or Paid in Cash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 ($)(1)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 Other Compensation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w:t>
            </w:r>
          </w:p>
        </w:tc>
        <w:tc>
          <w:tcPr>
            <w:tcW w:w="81" w:type="dxa"/>
            <w:tcBorders/>
            <w:tcMar>
              <w:bottom w:w="0" w:type="dxa"/>
            </w:tcMar>
            <w:vAlign w:val="center"/>
          </w:tcPr>
          <w:p>
            <w:pPr>
              <w:pStyle w:val="TableContents"/>
              <w:bidi w:val="0"/>
              <w:spacing w:before="0" w:after="283"/>
              <w:jc w:val="center"/>
              <w:rPr/>
            </w:pPr>
            <w:r>
              <w:rPr/>
              <w:t> </w:t>
            </w:r>
          </w:p>
        </w:tc>
      </w:tr>
      <w:tr>
        <w:trPr/>
        <w:tc>
          <w:tcPr>
            <w:tcW w:w="194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Jonathan Bellows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1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pPr>
            <w:r>
              <w:rPr/>
              <w:t> </w:t>
            </w:r>
          </w:p>
        </w:tc>
        <w:tc>
          <w:tcPr>
            <w:tcW w:w="16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47"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Perry Boyle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7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1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 w:type="dxa"/>
            <w:tcBorders/>
            <w:shd w:fill="FFFFFF" w:val="clear"/>
            <w:tcMar>
              <w:bottom w:w="0" w:type="dxa"/>
            </w:tcMar>
            <w:vAlign w:val="center"/>
          </w:tcPr>
          <w:p>
            <w:pPr>
              <w:pStyle w:val="TableContents"/>
              <w:bidi w:val="0"/>
              <w:spacing w:before="0" w:after="283"/>
              <w:jc w:val="left"/>
              <w:rPr/>
            </w:pPr>
            <w:r>
              <w:rPr/>
              <w:t> </w:t>
            </w:r>
          </w:p>
        </w:tc>
        <w:tc>
          <w:tcPr>
            <w:tcW w:w="16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94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Karina Montilla Edmonds,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1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pPr>
            <w:r>
              <w:rPr/>
              <w:t> </w:t>
            </w:r>
          </w:p>
        </w:tc>
        <w:tc>
          <w:tcPr>
            <w:tcW w:w="16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47"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Luisa Ingargiola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7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1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 w:type="dxa"/>
            <w:tcBorders/>
            <w:shd w:fill="FFFFFF" w:val="clear"/>
            <w:tcMar>
              <w:bottom w:w="0" w:type="dxa"/>
            </w:tcMar>
            <w:vAlign w:val="center"/>
          </w:tcPr>
          <w:p>
            <w:pPr>
              <w:pStyle w:val="TableContents"/>
              <w:bidi w:val="0"/>
              <w:spacing w:before="0" w:after="283"/>
              <w:jc w:val="left"/>
              <w:rPr/>
            </w:pPr>
            <w:r>
              <w:rPr/>
              <w:t> </w:t>
            </w:r>
          </w:p>
        </w:tc>
        <w:tc>
          <w:tcPr>
            <w:tcW w:w="16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174,100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94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Brian Nelson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1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pPr>
            <w:r>
              <w:rPr/>
              <w:t> </w:t>
            </w:r>
          </w:p>
        </w:tc>
        <w:tc>
          <w:tcPr>
            <w:tcW w:w="16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155,350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947"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Rick Parod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72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1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 w:type="dxa"/>
            <w:tcBorders/>
            <w:shd w:fill="FFFFFF" w:val="clear"/>
            <w:tcMar>
              <w:bottom w:w="0" w:type="dxa"/>
            </w:tcMar>
            <w:vAlign w:val="center"/>
          </w:tcPr>
          <w:p>
            <w:pPr>
              <w:pStyle w:val="TableContents"/>
              <w:bidi w:val="0"/>
              <w:spacing w:before="0" w:after="283"/>
              <w:jc w:val="left"/>
              <w:rPr/>
            </w:pPr>
            <w:r>
              <w:rPr/>
              <w:t> </w:t>
            </w:r>
          </w:p>
        </w:tc>
        <w:tc>
          <w:tcPr>
            <w:tcW w:w="16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in our Notes to Consolidated Financial Statements included in our prospectus. As of March 31, 2025, each Non-Employee Director held 24,692 unvested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following options remained outstanding: (i) Luisa Ingargiola held options exercisable for 10,836 shares of common stock; and (ii) Brian Nelson held options exercisable for 7,227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r_007"/>
      <w:bookmarkEnd w:id="13"/>
      <w:r>
        <w:rPr>
          <w:rFonts w:ascii="Times New Roman;Times;Serif" w:hAnsi="Times New Roman;Times;Serif"/>
          <w:b/>
          <w:i w:val="false"/>
          <w:caps w:val="false"/>
          <w:smallCaps w:val="false"/>
          <w:sz w:val="20"/>
        </w:rPr>
        <w:t>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we have had the following transactions or series of similar transactions, since January 1, 2022, to which we were a party or will be a party, in which:</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 with Brian Nelson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unsecured promissory note (the “March 2023 Note”)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“February Note”) in the amount of $1.7 million (the “February Principal Amount”) to Mr. Nelson, in a private placement in exchange for cash in an equal amount. The February Note became due and payable in full on March 1, 2024. We were also obligated to pay a $85,000 loan fee (the “February Loan Fee”) to Mr. Nelson on March 1, 2024. We paid the February Principal Amount and the February Loan Fee on March 1, 2024.</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or ratified by our Audit Committee.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Rick Parod, Perry Boyle, Jonathan Bellows, Karina Montilla Edmonds, Brian Nelson, and Luisa Ingargiola are an “independent directors” as such term is defined under the applicable rules of Nasdaq.</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pStyle w:val="TextBody"/>
        <w:bidi w:val="0"/>
        <w:spacing w:before="0" w:after="0"/>
        <w:ind w:left="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r_008"/>
      <w:bookmarkEnd w:id="14"/>
      <w:r>
        <w:rPr>
          <w:rFonts w:ascii="Times New Roman;Times;Serif" w:hAnsi="Times New Roman;Times;Serif"/>
          <w:b/>
          <w:i w:val="false"/>
          <w:caps w:val="false"/>
          <w:smallCaps w:val="false"/>
          <w:sz w:val="20"/>
        </w:rPr>
        <w:t>SECURITY OWNERSHIP OF CERTAIN BENEFICIAL OWNERS AND MANAGEMENT AND RELATED STOCKHOLDER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March 27, 2025, with respect to the beneficial ownership of common stock by the following:</w:t>
      </w:r>
    </w:p>
    <w:p>
      <w:pPr>
        <w:pStyle w:val="TextBody"/>
        <w:bidi w:val="0"/>
        <w:spacing w:before="0" w:after="0"/>
        <w:ind w:left="1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or group of affiliated persons, known by us to beneficially own more than 5% of any class of our outstanding shares of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10" w:right="0" w:firstLine="72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March 31, 2025 (“Presently Exercisable Securities”), are deemed to be outstanding, but those shares are not deemed to be outstanding for the purpose of computing the percentage ownership of any other security holder.</w:t>
      </w:r>
    </w:p>
    <w:p>
      <w:pPr>
        <w:pStyle w:val="TextBody"/>
        <w:bidi w:val="0"/>
        <w:spacing w:before="0" w:after="0"/>
        <w:ind w:left="10" w:right="0" w:firstLine="72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7,589,642 shares common stock outstanding as of March 27, 2025 plus any shares issuable upon exercise of Presently Exercisable Securities held by such person or entity.</w:t>
      </w:r>
    </w:p>
    <w:p>
      <w:pPr>
        <w:pStyle w:val="TextBody"/>
        <w:bidi w:val="0"/>
        <w:spacing w:before="0" w:after="0"/>
        <w:ind w:left="10" w:right="0" w:firstLine="72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12915 Old Virginia Rd, Reno, Nevada 89521.</w:t>
      </w:r>
    </w:p>
    <w:p>
      <w:pPr>
        <w:pStyle w:val="TextBody"/>
        <w:bidi w:val="0"/>
        <w:spacing w:before="0" w:after="0"/>
        <w:ind w:left="10" w:right="0" w:firstLine="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28" w:type="dxa"/>
          <w:right w:w="0" w:type="dxa"/>
        </w:tblCellMar>
      </w:tblPr>
      <w:tblGrid>
        <w:gridCol w:w="6005"/>
        <w:gridCol w:w="60"/>
        <w:gridCol w:w="75"/>
        <w:gridCol w:w="1234"/>
        <w:gridCol w:w="60"/>
        <w:gridCol w:w="60"/>
        <w:gridCol w:w="78"/>
        <w:gridCol w:w="736"/>
        <w:gridCol w:w="230"/>
      </w:tblGrid>
      <w:tr>
        <w:trPr/>
        <w:tc>
          <w:tcPr>
            <w:tcW w:w="6005"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br/>
              <w:t>of Class</w:t>
            </w:r>
          </w:p>
        </w:tc>
        <w:tc>
          <w:tcPr>
            <w:tcW w:w="230" w:type="dxa"/>
            <w:tcBorders/>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1,313,434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0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1,802,303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Vickram Singh</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John Marchetti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Wade Seaburg</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Tyler Bourns</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Perry Boyle</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Jonathan Bellows</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Rick Parod</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Karina Montilla Edmonds</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All Executive Officers and Directors as a group (10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25.82</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(“Dynavolt”) on October 12, 2022. The business address of Dynavolt is Flat/Room 02-03 26/F, Bea Tower Millennium City 5, 418 Kwun Tong Road, Kwun Tong, Hong Kong.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25,000,000 shares of common stock not yet payable as the earnout contingencies have not yet been met and will not be met within 60 days of March 27, 2025.</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135,323 shares held on behalf of the Phares 2021 GRAT dated July 9, 2021, of which Dr. Phares is the trustee.</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6,493 shares of common stock issuable upon exercise of outstanding stock options and 11,112 of restricted stock units exercisable within 60 days of March 27, 2025.</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Mr. Marchetti’s employment with us was terminated. As a result, his vested options were forfeited and his unvested options were terminated on such date.</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14,220 shares of common stock issuable upon exercise of outstanding stock options and 6,722 of restricted stock units exercisable within 60 days of March 27, 2025.</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5,175 shares of common stock issuable upon exercise of outstanding stock options and 3,237 of restricted stock units exercisable within 60 days of March 27, 2025.</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10,836 shares of common stock issuable upon exercise of outstanding stock options and 8,231 of restricted stock units exercisable within 60 days of March 27, 2025.</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7,881 shares of common stock issuable upon exercise of outstanding stock options and 8,231 of restricted stock units exercisable within 60 days of March 27,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p>
            <w:pPr>
              <w:pStyle w:val="TableContents"/>
              <w:bidi w:val="0"/>
              <w:spacing w:before="0" w:after="0"/>
              <w:ind w:left="10" w:right="0" w:hanging="10"/>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p>
            <w:pPr>
              <w:pStyle w:val="TableContents"/>
              <w:bidi w:val="0"/>
              <w:spacing w:before="0" w:after="0"/>
              <w:ind w:left="10" w:right="0" w:hanging="10"/>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tc>
      </w:tr>
      <w:tr>
        <w:trPr/>
        <w:tc>
          <w:tcPr>
            <w:tcW w:w="359" w:type="dxa"/>
            <w:tcBorders/>
            <w:vAlign w:val="center"/>
          </w:tcPr>
          <w:p>
            <w:pPr>
              <w:pStyle w:val="TableContents"/>
              <w:bidi w:val="0"/>
              <w:spacing w:before="0" w:after="283"/>
              <w:jc w:val="both"/>
              <w:rPr>
                <w:caps w:val="false"/>
                <w:smallCaps w:val="false"/>
              </w:rPr>
            </w:pPr>
            <w:r>
              <w:rPr>
                <w:caps w:val="false"/>
                <w:smallCaps w:val="false"/>
              </w:rPr>
              <w:t> </w:t>
            </w:r>
          </w:p>
        </w:tc>
        <w:tc>
          <w:tcPr>
            <w:tcW w:w="98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46" w:type="dxa"/>
            <w:tcBorders/>
            <w:vAlign w:val="center"/>
          </w:tcPr>
          <w:p>
            <w:pPr>
              <w:pStyle w:val="TableContents"/>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8,231 shares of common stock issuable upon exercise of restricted stock units exercisable within 60 days of March 27,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our board of directors and stockholders adopted the 2022 Plan, which provides for the grant of incentive stock options and non-qualified stock options to purchase shares of our common stock and other types of awards, as well as the Dragonfly Energy Holdings Corp. Employee Stock Purchase Plan (the “ESPP”).</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Business Combination, our board of directors and stockholders approved the adoption of the Dragonfly Energy Corp. 2019 Stock Incentive Plan (the “2019 Plan”) and the Dragonfly Energy Corp. 2021 Stock Incentive Plan (the “2021 Plan”) in connection with the consummation of the Business Combination.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authorized for issuance under our equity compensation plans as of December 31, 2024.</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2"/>
        <w:gridCol w:w="60"/>
        <w:gridCol w:w="150"/>
        <w:gridCol w:w="2011"/>
        <w:gridCol w:w="60"/>
        <w:gridCol w:w="60"/>
        <w:gridCol w:w="616"/>
        <w:gridCol w:w="1938"/>
        <w:gridCol w:w="60"/>
        <w:gridCol w:w="60"/>
        <w:gridCol w:w="224"/>
        <w:gridCol w:w="3015"/>
        <w:gridCol w:w="79"/>
      </w:tblGrid>
      <w:tr>
        <w:trPr/>
        <w:tc>
          <w:tcPr>
            <w:tcW w:w="18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remaining available for future issuances under equity compensation plans under equity compensation (excluding) securities reflected in column (a)</w:t>
            </w:r>
          </w:p>
        </w:tc>
        <w:tc>
          <w:tcPr>
            <w:tcW w:w="79" w:type="dxa"/>
            <w:tcBorders/>
            <w:vAlign w:val="center"/>
          </w:tcPr>
          <w:p>
            <w:pPr>
              <w:pStyle w:val="TableContents"/>
              <w:bidi w:val="0"/>
              <w:spacing w:before="0" w:after="283"/>
              <w:jc w:val="left"/>
              <w:rPr/>
            </w:pPr>
            <w:r>
              <w:rPr/>
              <w:t> </w:t>
            </w:r>
          </w:p>
        </w:tc>
      </w:tr>
      <w:tr>
        <w:trPr/>
        <w:tc>
          <w:tcPr>
            <w:tcW w:w="187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Plan Category</w:t>
            </w:r>
          </w:p>
        </w:tc>
        <w:tc>
          <w:tcPr>
            <w:tcW w:w="60" w:type="dxa"/>
            <w:tcBorders/>
            <w:vAlign w:val="center"/>
          </w:tcPr>
          <w:p>
            <w:pPr>
              <w:pStyle w:val="TableContents"/>
              <w:bidi w:val="0"/>
              <w:spacing w:before="0" w:after="283"/>
              <w:jc w:val="left"/>
              <w:rPr/>
            </w:pPr>
            <w:r>
              <w:rPr/>
              <w:t> </w:t>
            </w:r>
          </w:p>
        </w:tc>
        <w:tc>
          <w:tcPr>
            <w:tcW w:w="21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(c)(2)</w:t>
            </w:r>
          </w:p>
        </w:tc>
        <w:tc>
          <w:tcPr>
            <w:tcW w:w="79" w:type="dxa"/>
            <w:tcBorders/>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Equity compensation plans approved by security holders </w:t>
            </w:r>
            <w:r>
              <w:rPr>
                <w:rFonts w:ascii="Times New Roman;Times;Serif" w:hAnsi="Times New Roman;Times;Serif"/>
                <w:i/>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3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850,738</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1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301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8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872" w:type="dxa"/>
            <w:tcBorders/>
            <w:shd w:fill="CCEE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Total</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850,738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in this row include securities under the 2022 Plan, 2021 Plan and 2019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accordance with the “evergreen” provision in the 2022 Plan, an additional 289,306 shares were automatically made available for issuance on the first trading day of 2025, which represents an amount equal 4% of the number of shares outstanding on December 31, 2024. In accordance with the “evergreen” provision in the ESPP, an additional 72,327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r_009"/>
      <w:bookmarkEnd w:id="15"/>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summarizes the most important terms of our capital stock. It is subject to and qualified in its entirety by reference to our Articles of Incorporation, the Certificate of Designation and Bylaws, which are included as exhibits to the registration statement of which this prospectus forms a part. We encourage you to read our Articles of Incorporation, our Certificate of Designation, our Bylaws and the applicable provisions of the Nevada Revised Statutes (the “NRS”),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255,000,000 shares of capital stock authorized under our Articles of Incorporation, which consists of 250,000,000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5,000,000 authorized shares of preferred stock under the Articles of Incorporation, our board of directors has designated 5,000 shares as Series A Preferred Stock pursuant to the Certificate of Designation. The Certificate of Designation provides the following with respect to the rights, powers, preferences and privileges of our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has a stated value of $10,000 per share (the “Series A Stated Value”) and, when issued, the Series A Preferred Stock will be fully paid and non-assessable.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with respect to the payment of dividends, distributions and payments upon the liquidation, dissolution and winding up of our Company, ranks senior to all of our capital stock, unless the Required Holder (as defined in the Certificate of Designation) consents to our creation of other capital stock that is senior or equal in rank to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Preferred Stock will be entitled to receive dividends, commencing from the date of issuance of the Series A Preferred Stock, payable in cash and/or shares of Series A Preferred Stock at our election. Unless we notify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“Dividend Rate”).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at Option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after the first date of issuance of any shares of Series A Preferred Stock, subject to the Beneficial Ownership Limitation (as defined below) and the Issuable Maximum,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Voluntary Adjustment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and regulations of Nasdaq, we have the right, at any time, with the written consent of the Required Holder, to lower the fixed conversion price to any amount and for any period of time deemed appropriate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Alternate Conversion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holder’s option, at any time, the holder may convert (an “Alternate Conversion”) some or all of such 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equal to: (i) with respect to the shares of Series A Preferred Stock issued in the registered director offering (the “Registered Direct Offering”) and at the initial closing of the concurrent private placement (the “Private Placement”) pursuant to the securities purchase agreement (the “Purchase Agreement”) between us and a single institutional investor entered into on February 26, 2025, $2.332 per share (the “Initial Conversion Price”); (ii) with respect to each share of Series A Preferred Stock funded on the second closing of the Private Placement (the “Second Closing”) pursuant to the Purchase Agreement or issued upon exercise of a private placement warrant (“Private Placement Warrant”) issued pursuant to the Purchase Agreement, other than pursuant to the holders right to exercise when certain equity conditions have been waived which is set forth under clauses (iii) and (iv) below, as of any date of conversion (“Conversion Date”) or other date of determination, the lower of (x) the Initial Conversion Price and (y) 110% of the last closing trade price (the “Closing Sale Price”)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last closing trade price (“Closing Sale Price”) on the trading day immediately preceding the delivery or deemed delivery of the applicable Exercise Notice or Call Notice (each as defined in each Private Placement Warrant), as the case may be; and (iv) with respect to each share of Series A Preferred Stock issued upon exercise of a Private Placement Warrant at any time following the date the shares of common stock issued or issuable upon the conversion of the Series A Preferred Stock issued in the Private Placement are registered for resale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The Conversion Price is subject to proportional adjustment upon the occurrence of any stock split, stock dividend, stock combination and/or similar transactions and as set forth below under “</w:t>
      </w:r>
      <w:r>
        <w:rPr>
          <w:rFonts w:ascii="Times New Roman;Times;Serif" w:hAnsi="Times New Roman;Times;Serif"/>
          <w:b w:val="false"/>
          <w:i/>
          <w:caps w:val="false"/>
          <w:smallCaps w:val="false"/>
          <w:sz w:val="20"/>
        </w:rPr>
        <w:t>Other Adjustments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have obtained approval as may be required from our stockholders (the “Stockholder Approval”), we may not issue, upon conversion of the Series A Preferred Stock and 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“Issuable Maximum”). The Issuable Maximum shall be applied collectively, when any conversions of Series A Preferred Stock are aggregated together with all shares of common stock issuable upon conversion or exchange of any securities issued in certain related transactions to the Registered Direct Offering and Private Placement. If, at any time on or after the date of the Purchase Agreement, we issue any shares of common stock for a consideration per share (the “New Issuance Price”) less than a price equal to the Conversion Price in effect immediately prior to such issuance, the Conversion Price shall be reduced to the New Issuance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grant, issue or sell any options, convertible securities, or rights to purchase stock, warrants, securities or other property pro rata to all or substantially all of the record holders of any class of common stock (the “Purchase Rights”),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carries a liquidation preference equal to the greater of (A) the conversion of such Series A Preferred Stock on the date of such payment and (B) the amount per share such holder would receive if such holder converted such Series A Preferred Stock into common stock immediately prior to the date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Mandatory Redemption Triggering Event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Mandatory Triggering Event (as defined in the Certificate of Designation), we shall immediately redeem in cash all amounts due under the Series A Preferred Stock at a redemption price equal to the Conversion Amount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Series A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Articles of Incorporation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Control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of our Company, each holder may require us to exchange such holder’s shares 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 we have the right, at any time, to redeem all or part of the then outstanding shares of Series A Preferred Stock (a “Company Optional Redemption”) by delivering a written notice to each holder of Series A Preferred Stock (such delivery date, the “Company Optional Redemption Notice Date”).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we make the entire payment required.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prohibits us from entering specified fundamental transactions (including, without limitation, mergers, business combinations and similar transactions) unless we (or our successor) assumes in writing all of our obligations under the Certificate of Designation and the other Transaction Documents or otherwise redeem the then outstanding Series A Preferred Stock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contains a variety of obligations on our part not to engage in specified activities. In particular, we will 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A Preferred Stock remains outstanding, we have agreed to at all times reserve at least 100% of the number of shares of common stock as shall from time to time be necessary to effect the conversion of all Series A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 Preferred Stock is restricted from acquiring shares of common stock upon conversion thereof that would result in the number of shares beneficially owned by such holder and its affiliates exceeding 4.99% of the total number of shares of common stock outstanding immediately after giving effect to the conversion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upon conversion of the Series A Preferred Stock. Rather, the number of shares of common stock to be issued will be rounded up to the nearest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our Public Warrants is not complete and is subject to, and qualified in its entirety by the provisions of the respective Warrant Agreement and form of Public Warrant which are filed as exhibits to registration statement of which this prospectus forms a part. We encourage you to review the terms and provisions set forth in the Warrant Agreement and form of Public Warrant. The Public Warrants are administered by American Stock Transfer &amp; Trust Company, LLC, as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minimum of 30 days’ prior written notice of redemption (the “30-day redemption period”) to each warrant holder;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and Warrant Agreement are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Articles of Incorporation, the Bylaws and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Articles of Incorporation, we have not opted out of the business combination provisions of NRS 78.411 to 78.444,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Articles of Incorporation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provide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classifying our board of directors into three classes;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the terms of which may be established and shares of which may be issued without stockholder approval;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removal of directors by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stockholder action by written consent, thereby requiring all stockholder actions to be taken at a meeting of our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of stockholders to call a special meeting of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Nevada as the exclusive jurisdiction for certain stockholder litigation against 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the Articles of Incorporation and the Bylaws and these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all of our warrants is American Stock Transfer &amp;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r_010"/>
      <w:bookmarkEnd w:id="16"/>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issuable to the Selling Stockholder upon conversion of the shares of Series A Preferred Stock sold in the First Closing and to be sold in the Second Closing. For additional information regarding the issuance of the shares of Series A Preferred Stock,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 above. We are registering the shares of common stock in order to permit the Selling Stockholder to offer such shares for resale from time to time. Except for the ownership of the Series A Preferred Stock and Private Placement Warrants issued pursuant to the Securities Purchase Agreement, neither the Selling Stockholder, nor any persons (entities or natural persons) who have control over the Selling Stockholder, have held any position or office, or have otherwise had any material relationship with us or any of our subsidiaries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the Exchange Act, and the rules and regulations thereunder) of the shares of common stock held by the Selling Stockholder. The second column lists the number of shares of common stock owned by the Selling Stockholder, based on its ownership of shares of common stock and Series A Preferred Stock, as of March 27, 2025, assuming the consummation of the Second Closing and conversion of the Series A Preferred Stock to be held by the Selling Stockholder on that date but not taking account of any limitations on conversion and exercise set forth therein and excluding shares of common stock underlying the Series A Preferred Stock issuable upon exercise of the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and does not take in account any limitations on conversion of the Series A Preferred Stock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Registration Rights Agreement, this prospectus generally covers the resale of 100% of the sum of the maximum number of shares of common stock issued or issuable pursuant to Certificate of Designation, including payment of PIK Dividends for two years determined as if the Series A Preferred Stock was converted, exercised or cancelled (as the case may be) in full (without regard to any limitations on conversion contained therein solely for the purpose of such calculation) at the floor price then in effect. Because the floor price applicable to the shares of Series A Preferred Stock may be adjusted, the number of shares that will actually be issued may be more or less than the number of shares being offered by this prospectus. The fourth column assumes the sale of all of the shares offered by the Selling Stockholder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Series A Preferred Stock, the Selling Stockholder may not convert the Series A Preferred Stock to the extent (but only to the extent) the Selling Stockholder or any of its affiliates would beneficially own a number of shares of our common stock which would exceed 4.99% of the outstanding shares of the Company. The number of shares in the second column reflects these limitations. The Selling Stockholder may sell all, some or none of its shares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675"/>
        <w:jc w:val="both"/>
        <w:rPr>
          <w:caps w:val="false"/>
          <w:smallCaps w:val="false"/>
        </w:rPr>
      </w:pPr>
      <w:r>
        <w:rPr>
          <w:caps w:val="false"/>
          <w:smallCaps w:val="false"/>
        </w:rPr>
        <w:t> </w:t>
      </w:r>
    </w:p>
    <w:tbl>
      <w:tblPr>
        <w:tblW w:w="8059" w:type="dxa"/>
        <w:jc w:val="left"/>
        <w:tblInd w:w="0" w:type="dxa"/>
        <w:tblLayout w:type="fixed"/>
        <w:tblCellMar>
          <w:top w:w="0" w:type="dxa"/>
          <w:left w:w="0" w:type="dxa"/>
          <w:bottom w:w="28" w:type="dxa"/>
          <w:right w:w="0" w:type="dxa"/>
        </w:tblCellMar>
      </w:tblPr>
      <w:tblGrid>
        <w:gridCol w:w="2915"/>
        <w:gridCol w:w="60"/>
        <w:gridCol w:w="60"/>
        <w:gridCol w:w="950"/>
        <w:gridCol w:w="290"/>
        <w:gridCol w:w="60"/>
        <w:gridCol w:w="60"/>
        <w:gridCol w:w="1100"/>
        <w:gridCol w:w="60"/>
        <w:gridCol w:w="60"/>
        <w:gridCol w:w="69"/>
        <w:gridCol w:w="985"/>
        <w:gridCol w:w="60"/>
        <w:gridCol w:w="60"/>
        <w:gridCol w:w="124"/>
        <w:gridCol w:w="916"/>
        <w:gridCol w:w="23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30" w:type="dxa"/>
            <w:tcBorders/>
            <w:tcMar>
              <w:bottom w:w="0" w:type="dxa"/>
            </w:tcMar>
            <w:vAlign w:val="center"/>
          </w:tcPr>
          <w:p>
            <w:pPr>
              <w:pStyle w:val="TableContents"/>
              <w:bidi w:val="0"/>
              <w:spacing w:before="0" w:after="283"/>
              <w:jc w:val="left"/>
              <w:rPr/>
            </w:pPr>
            <w:r>
              <w:rPr/>
              <w:t> </w:t>
            </w:r>
          </w:p>
        </w:tc>
      </w:tr>
      <w:tr>
        <w:trPr/>
        <w:tc>
          <w:tcPr>
            <w:tcW w:w="2915"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rPr>
              <w:t>JAK Opportunities XVII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38,389,112</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36,901,132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1,487,980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Percentage is based on 7,589,642 shares of common stock outstanding as of March 27, 2025.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Kerry Propper and Antonio Ruiz-Gimenez, each a managing partner of ATW Partners Opportunities Management LLC, as the investment manager of JAK Opportunities XVII, LLC, have voting and investment power over the securities held by the Selling Stockholder, and each disclaim any beneficial ownership of the Company’s securities reported herein. The address of the Selling Stockholder is 1 Penn Plaza, Suite 4810, New York, NY 10119. Mr. Propper is also the executive Chairman and substantial owner of Chardan Capital Markets, LLC, a broker-dealer. The Selling Stockholder purchased the securities included in the Registered Direct Offering and the Private Placement in the ordinary course of business, and at the time of the purchase of such securities, the Selling Stockholder had no agreements or understandings, directly or indirectly, with any person to distribute such securities.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r_011"/>
      <w:bookmarkEnd w:id="1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shares of Series A Preferred Stock to permit the resale of these shares of common stock by the holders of the shares of Series A Preferred Stock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it and offered hereby from time to time directly or through one or more underwriters, broker-dealers or agents. If the shares of common stock are sold through underwriters or broker-dealers, the Selling Stockholder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108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185"/>
        <w:gridCol w:w="99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bl>
    <w:p>
      <w:pPr>
        <w:pStyle w:val="TextBody"/>
        <w:bidi w:val="0"/>
        <w:spacing w:before="0" w:after="0"/>
        <w:ind w:left="108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185"/>
        <w:gridCol w:w="92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85"/>
        <w:gridCol w:w="71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1080" w:right="0" w:hanging="36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185"/>
        <w:gridCol w:w="66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1080" w:right="0" w:hanging="36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85"/>
        <w:gridCol w:w="27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85"/>
        <w:gridCol w:w="72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85"/>
        <w:gridCol w:w="389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bl>
    <w:p>
      <w:pPr>
        <w:pStyle w:val="TextBody"/>
        <w:bidi w:val="0"/>
        <w:spacing w:before="0" w:after="0"/>
        <w:ind w:left="1080" w:right="0" w:hanging="36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85"/>
        <w:gridCol w:w="45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shares of Series A Preferred Stock, incremental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 to include the pledgee, transferee or other successors in interest as Selling Stockholder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$75,000 in total, including, without limitation, SEC filing fees and expenses of compliance with state securities or “blue sky” laws; provided, however, a Selling Stockholder will pay all underwriting discounts and selling commissions, if any. We will indemnify the Selling Stockholder against liabilities, including some liabilities under the Securities Act in accordance with the registration rights agreements or the Selling Stockholder will be entitled to contribution. We may be indemnified by the Selling Stockholder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r_012"/>
      <w:bookmarkEnd w:id="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r_013"/>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Parsons Behle &amp; Latimer, Reno, Nevada and Lowenstein Sandler LLP,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r_014"/>
      <w:bookmarkEnd w:id="20"/>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Supplemental Data</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jc w:val="center"/>
        <w:rPr>
          <w:rFonts w:ascii="Times New Roman;Times;Serif" w:hAnsi="Times New Roman;Times;Serif"/>
          <w:b/>
          <w:i w:val="false"/>
          <w:caps w:val="false"/>
          <w:smallCaps w:val="false"/>
          <w:sz w:val="20"/>
        </w:rPr>
      </w:pPr>
      <w:bookmarkStart w:id="21" w:name="RM_001"/>
      <w:bookmarkEnd w:id="21"/>
      <w:r>
        <w:rPr>
          <w:rFonts w:ascii="Times New Roman;Times;Serif" w:hAnsi="Times New Roman;Times;Serif"/>
          <w:b/>
          <w:i w:val="false"/>
          <w:caps w:val="false"/>
          <w:smallCaps w:val="false"/>
          <w:sz w:val="20"/>
        </w:rPr>
        <w:t>INDEX TO CONSOLIDATED FINANCIAL STATEMENTS</w:t>
      </w:r>
    </w:p>
    <w:p>
      <w:pPr>
        <w:pStyle w:val="TextBody"/>
        <w:bidi w:val="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357"/>
      </w:tblGrid>
      <w:tr>
        <w:trPr/>
        <w:tc>
          <w:tcPr>
            <w:tcW w:w="9848" w:type="dxa"/>
            <w:tcBorders/>
            <w:shd w:fill="CCEEFF" w:val="clear"/>
            <w:vAlign w:val="center"/>
          </w:tcPr>
          <w:p>
            <w:pPr>
              <w:pStyle w:val="TableContents"/>
              <w:bidi w:val="0"/>
              <w:spacing w:before="0" w:after="283"/>
              <w:ind w:left="0" w:right="0" w:hanging="0"/>
              <w:jc w:val="left"/>
              <w:rPr/>
            </w:pPr>
            <w:hyperlink w:anchor="fin_01">
              <w:r>
                <w:rPr>
                  <w:rStyle w:val="InternetLink"/>
                </w:rPr>
                <w:t>Report of Independent Registered Public Accounting Firm</w:t>
              </w:r>
            </w:hyperlink>
            <w:r>
              <w:rPr/>
              <w:t xml:space="preserve"> (PCAOB ID# 688)</w:t>
            </w:r>
          </w:p>
        </w:tc>
        <w:tc>
          <w:tcPr>
            <w:tcW w:w="357" w:type="dxa"/>
            <w:tcBorders/>
            <w:shd w:fill="CCEEFF" w:val="clear"/>
            <w:vAlign w:val="center"/>
          </w:tcPr>
          <w:p>
            <w:pPr>
              <w:pStyle w:val="TableContents"/>
              <w:bidi w:val="0"/>
              <w:spacing w:before="0" w:after="283"/>
              <w:ind w:left="0" w:right="0" w:hanging="0"/>
              <w:jc w:val="right"/>
              <w:rPr/>
            </w:pPr>
            <w:r>
              <w:rPr/>
              <w:t>F-2</w:t>
            </w:r>
          </w:p>
        </w:tc>
      </w:tr>
      <w:tr>
        <w:trPr/>
        <w:tc>
          <w:tcPr>
            <w:tcW w:w="9848" w:type="dxa"/>
            <w:tcBorders/>
            <w:shd w:fill="FFFFFF" w:val="clear"/>
            <w:vAlign w:val="center"/>
          </w:tcPr>
          <w:p>
            <w:pPr>
              <w:pStyle w:val="TableContents"/>
              <w:bidi w:val="0"/>
              <w:spacing w:before="0" w:after="283"/>
              <w:ind w:left="0" w:right="0" w:hanging="0"/>
              <w:jc w:val="left"/>
              <w:rPr/>
            </w:pPr>
            <w:hyperlink w:anchor="fin_02">
              <w:r>
                <w:rPr>
                  <w:rStyle w:val="InternetLink"/>
                </w:rPr>
                <w:t>Consolidated Balance Sheets as of December 31, 2024 and 2023</w:t>
              </w:r>
            </w:hyperlink>
          </w:p>
        </w:tc>
        <w:tc>
          <w:tcPr>
            <w:tcW w:w="357" w:type="dxa"/>
            <w:tcBorders/>
            <w:shd w:fill="FFFFFF" w:val="clear"/>
            <w:vAlign w:val="center"/>
          </w:tcPr>
          <w:p>
            <w:pPr>
              <w:pStyle w:val="TableContents"/>
              <w:bidi w:val="0"/>
              <w:spacing w:before="0" w:after="283"/>
              <w:ind w:left="0" w:right="0" w:hanging="0"/>
              <w:jc w:val="right"/>
              <w:rPr/>
            </w:pPr>
            <w:r>
              <w:rPr/>
              <w:t>F-3</w:t>
            </w:r>
          </w:p>
        </w:tc>
      </w:tr>
      <w:tr>
        <w:trPr/>
        <w:tc>
          <w:tcPr>
            <w:tcW w:w="9848" w:type="dxa"/>
            <w:tcBorders/>
            <w:shd w:fill="CCEEFF" w:val="clear"/>
            <w:vAlign w:val="center"/>
          </w:tcPr>
          <w:p>
            <w:pPr>
              <w:pStyle w:val="TableContents"/>
              <w:bidi w:val="0"/>
              <w:spacing w:before="0" w:after="283"/>
              <w:ind w:left="0" w:right="0" w:hanging="0"/>
              <w:jc w:val="left"/>
              <w:rPr/>
            </w:pPr>
            <w:hyperlink w:anchor="fin_03">
              <w:r>
                <w:rPr>
                  <w:rStyle w:val="InternetLink"/>
                </w:rPr>
                <w:t>Consolidated Statements of Operations for the years ended December 31, 2024 and 2023</w:t>
              </w:r>
            </w:hyperlink>
          </w:p>
        </w:tc>
        <w:tc>
          <w:tcPr>
            <w:tcW w:w="357" w:type="dxa"/>
            <w:tcBorders/>
            <w:shd w:fill="CCEEFF" w:val="clear"/>
            <w:vAlign w:val="center"/>
          </w:tcPr>
          <w:p>
            <w:pPr>
              <w:pStyle w:val="TableContents"/>
              <w:bidi w:val="0"/>
              <w:spacing w:before="0" w:after="283"/>
              <w:ind w:left="0" w:right="0" w:hanging="0"/>
              <w:jc w:val="right"/>
              <w:rPr/>
            </w:pPr>
            <w:r>
              <w:rPr/>
              <w:t>F-4</w:t>
            </w:r>
          </w:p>
        </w:tc>
      </w:tr>
      <w:tr>
        <w:trPr/>
        <w:tc>
          <w:tcPr>
            <w:tcW w:w="9848" w:type="dxa"/>
            <w:tcBorders/>
            <w:shd w:fill="FFFFFF" w:val="clear"/>
            <w:vAlign w:val="center"/>
          </w:tcPr>
          <w:p>
            <w:pPr>
              <w:pStyle w:val="TableContents"/>
              <w:bidi w:val="0"/>
              <w:spacing w:before="0" w:after="283"/>
              <w:ind w:left="0" w:right="0" w:hanging="0"/>
              <w:jc w:val="left"/>
              <w:rPr/>
            </w:pPr>
            <w:hyperlink w:anchor="fin_04">
              <w:r>
                <w:rPr>
                  <w:rStyle w:val="InternetLink"/>
                </w:rPr>
                <w:t>Consolidated Statements of Changes in Stockholders’ Equity for the years ended December 31, 2024 and 2023</w:t>
              </w:r>
            </w:hyperlink>
          </w:p>
        </w:tc>
        <w:tc>
          <w:tcPr>
            <w:tcW w:w="357" w:type="dxa"/>
            <w:tcBorders/>
            <w:shd w:fill="FFFFFF" w:val="clear"/>
            <w:vAlign w:val="center"/>
          </w:tcPr>
          <w:p>
            <w:pPr>
              <w:pStyle w:val="TableContents"/>
              <w:bidi w:val="0"/>
              <w:spacing w:before="0" w:after="283"/>
              <w:ind w:left="0" w:right="0" w:hanging="0"/>
              <w:jc w:val="right"/>
              <w:rPr/>
            </w:pPr>
            <w:r>
              <w:rPr/>
              <w:t>F-5</w:t>
            </w:r>
          </w:p>
        </w:tc>
      </w:tr>
      <w:tr>
        <w:trPr/>
        <w:tc>
          <w:tcPr>
            <w:tcW w:w="9848" w:type="dxa"/>
            <w:tcBorders/>
            <w:shd w:fill="CCEEFF" w:val="clear"/>
            <w:vAlign w:val="center"/>
          </w:tcPr>
          <w:p>
            <w:pPr>
              <w:pStyle w:val="TableContents"/>
              <w:bidi w:val="0"/>
              <w:spacing w:before="0" w:after="283"/>
              <w:ind w:left="0" w:right="0" w:hanging="0"/>
              <w:jc w:val="left"/>
              <w:rPr/>
            </w:pPr>
            <w:hyperlink w:anchor="fin_05">
              <w:r>
                <w:rPr>
                  <w:rStyle w:val="InternetLink"/>
                </w:rPr>
                <w:t>Statements of Cash Flows for the years ended December 31, 2024 and 2023</w:t>
              </w:r>
            </w:hyperlink>
          </w:p>
        </w:tc>
        <w:tc>
          <w:tcPr>
            <w:tcW w:w="357" w:type="dxa"/>
            <w:tcBorders/>
            <w:shd w:fill="CCEEFF" w:val="clear"/>
            <w:vAlign w:val="center"/>
          </w:tcPr>
          <w:p>
            <w:pPr>
              <w:pStyle w:val="TableContents"/>
              <w:bidi w:val="0"/>
              <w:spacing w:before="0" w:after="283"/>
              <w:ind w:left="0" w:right="0" w:hanging="0"/>
              <w:jc w:val="right"/>
              <w:rPr/>
            </w:pPr>
            <w:r>
              <w:rPr/>
              <w:t>F-6</w:t>
            </w:r>
          </w:p>
        </w:tc>
      </w:tr>
      <w:tr>
        <w:trPr/>
        <w:tc>
          <w:tcPr>
            <w:tcW w:w="9848" w:type="dxa"/>
            <w:tcBorders/>
            <w:shd w:fill="FFFFFF" w:val="clear"/>
            <w:vAlign w:val="center"/>
          </w:tcPr>
          <w:p>
            <w:pPr>
              <w:pStyle w:val="TableContents"/>
              <w:bidi w:val="0"/>
              <w:spacing w:before="0" w:after="283"/>
              <w:ind w:left="0" w:right="0" w:hanging="0"/>
              <w:jc w:val="left"/>
              <w:rPr/>
            </w:pPr>
            <w:hyperlink w:anchor="fin_06">
              <w:r>
                <w:rPr>
                  <w:rStyle w:val="InternetLink"/>
                </w:rPr>
                <w:t>Notes to Consolidated Financial Statements</w:t>
              </w:r>
            </w:hyperlink>
          </w:p>
        </w:tc>
        <w:tc>
          <w:tcPr>
            <w:tcW w:w="357" w:type="dxa"/>
            <w:tcBorders/>
            <w:shd w:fill="FFFFFF" w:val="clear"/>
            <w:vAlign w:val="center"/>
          </w:tcPr>
          <w:p>
            <w:pPr>
              <w:pStyle w:val="TableContents"/>
              <w:bidi w:val="0"/>
              <w:spacing w:before="0" w:after="283"/>
              <w:jc w:val="right"/>
              <w:rPr/>
            </w:pPr>
            <w:r>
              <w:rPr/>
              <w:t>F-8</w:t>
            </w:r>
          </w:p>
        </w:tc>
      </w:tr>
    </w:tbl>
    <w:p>
      <w:pPr>
        <w:pStyle w:val="TextBody"/>
        <w:bidi w:val="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caps/>
        </w:rPr>
      </w:pPr>
      <w:r>
        <w:rPr>
          <w:caps/>
        </w:rPr>
        <w:t> </w:t>
      </w:r>
    </w:p>
    <w:p>
      <w:pPr>
        <w:pStyle w:val="TextBody"/>
        <w:bidi w:val="0"/>
        <w:ind w:left="154" w:right="0" w:hanging="10"/>
        <w:jc w:val="center"/>
        <w:rPr>
          <w:rFonts w:ascii="Times New Roman;Times;Serif" w:hAnsi="Times New Roman;Times;Serif"/>
          <w:b/>
          <w:i w:val="false"/>
          <w:caps w:val="false"/>
          <w:smallCaps w:val="false"/>
          <w:sz w:val="20"/>
        </w:rPr>
      </w:pPr>
      <w:bookmarkStart w:id="22" w:name="fin_01"/>
      <w:bookmarkEnd w:id="22"/>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3" w:name="fin_02"/>
      <w:bookmarkEnd w:id="23"/>
      <w:r>
        <w:rPr>
          <w:rFonts w:ascii="Times New Roman;Times;Serif" w:hAnsi="Times New Roman;Times;Serif"/>
          <w:b/>
          <w:i w:val="false"/>
          <w:caps/>
          <w:sz w:val="20"/>
        </w:rPr>
        <w:t>Consolidated Balance Sheets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1,639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38,778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1,381</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55,920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16,714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1,727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18,793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8090"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15,969</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3,315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75,204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10,258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7,107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1,713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Accrued settlement,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19,683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40,377</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4,463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Accrued expenses-long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Accrued settlement,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Notes payable, non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2,234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6,915</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47,292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Preferred stock, 5,000,000 shares at $0.0001 par value, authorized, no shares issued and outstanding as of December 31, 2024 and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283"/>
              <w:jc w:val="both"/>
              <w:rPr/>
            </w:pPr>
            <w:r>
              <w:rPr/>
              <w:t xml:space="preserve">Common stock, 250,000,000 shares at $0.0001 par value, authorized, </w:t>
              <w:tab/>
              <w:t>7,232,650 and 6,695,587 shares issued and outstanding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090" w:type="dxa"/>
            <w:tcBorders/>
            <w:shd w:fill="FFFFFF" w:val="clear"/>
            <w:vAlign w:val="center"/>
          </w:tcPr>
          <w:p>
            <w:pPr>
              <w:pStyle w:val="TableContents"/>
              <w:bidi w:val="0"/>
              <w:spacing w:before="0" w:after="283"/>
              <w:jc w:val="both"/>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69,450</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090"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(82,154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(41,539</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8090" w:type="dxa"/>
            <w:tcBorders/>
            <w:shd w:fill="FFFFFF" w:val="clear"/>
            <w:vAlign w:val="center"/>
          </w:tcPr>
          <w:p>
            <w:pPr>
              <w:pStyle w:val="TableContents"/>
              <w:bidi w:val="0"/>
              <w:spacing w:before="0" w:after="283"/>
              <w:jc w:val="both"/>
              <w:rPr>
                <w:b/>
              </w:rPr>
            </w:pPr>
            <w:r>
              <w:rPr>
                <w:b/>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27,912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090" w:type="dxa"/>
            <w:tcBorders/>
            <w:shd w:fill="CCEEFF" w:val="clear"/>
            <w:vAlign w:val="center"/>
          </w:tcPr>
          <w:p>
            <w:pPr>
              <w:pStyle w:val="TableContents"/>
              <w:bidi w:val="0"/>
              <w:spacing w:before="0" w:after="283"/>
              <w:jc w:val="both"/>
              <w:rPr>
                <w:b/>
              </w:rPr>
            </w:pPr>
            <w:r>
              <w:rPr>
                <w:b/>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75,204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4" w:name="fin_03"/>
      <w:bookmarkEnd w:id="24"/>
      <w:r>
        <w:rPr>
          <w:rFonts w:ascii="Times New Roman;Times;Serif" w:hAnsi="Times New Roman;Times;Serif"/>
          <w:b/>
          <w:i w:val="false"/>
          <w:caps/>
          <w:sz w:val="20"/>
        </w:rPr>
        <w:t>Consolidated Statements of Operations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both"/>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5330"/>
        <w:gridCol w:w="60"/>
        <w:gridCol w:w="140"/>
        <w:gridCol w:w="980"/>
        <w:gridCol w:w="95"/>
        <w:gridCol w:w="60"/>
        <w:gridCol w:w="140"/>
        <w:gridCol w:w="980"/>
        <w:gridCol w:w="110"/>
      </w:tblGrid>
      <w:tr>
        <w:trPr/>
        <w:tc>
          <w:tcPr>
            <w:tcW w:w="5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50,645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48,946</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15,446</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3,863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26,389</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42,875</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(27,429</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(16,015</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5330" w:type="dxa"/>
            <w:tcBorders/>
            <w:shd w:fill="FFFFFF" w:val="clear"/>
            <w:vAlign w:val="center"/>
          </w:tcPr>
          <w:p>
            <w:pPr>
              <w:pStyle w:val="TableContents"/>
              <w:bidi w:val="0"/>
              <w:spacing w:before="0" w:after="283"/>
              <w:jc w:val="both"/>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13,586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(13,843</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(13,817</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53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5330" w:type="dxa"/>
            <w:tcBorders/>
            <w:shd w:fill="FFFFFF" w:val="clear"/>
            <w:vAlign w:val="center"/>
          </w:tcPr>
          <w:p>
            <w:pPr>
              <w:pStyle w:val="TableContents"/>
              <w:bidi w:val="0"/>
              <w:spacing w:before="0" w:after="283"/>
              <w:jc w:val="both"/>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6,866,826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5,865,165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10" w:right="0" w:hanging="1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5" w:name="fin_04"/>
      <w:bookmarkEnd w:id="25"/>
      <w:r>
        <w:rPr>
          <w:rFonts w:ascii="Times New Roman;Times;Serif" w:hAnsi="Times New Roman;Times;Serif"/>
          <w:b/>
          <w:i w:val="false"/>
          <w:caps/>
          <w:sz w:val="20"/>
        </w:rPr>
        <w:t>Consolidated Statements of Shareholders’ Equity (Deficit)</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ind w:left="10" w:right="0" w:hanging="1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184"/>
        <w:gridCol w:w="60"/>
        <w:gridCol w:w="60"/>
        <w:gridCol w:w="980"/>
        <w:gridCol w:w="95"/>
        <w:gridCol w:w="60"/>
        <w:gridCol w:w="400"/>
        <w:gridCol w:w="400"/>
        <w:gridCol w:w="60"/>
        <w:gridCol w:w="60"/>
        <w:gridCol w:w="219"/>
        <w:gridCol w:w="1065"/>
        <w:gridCol w:w="60"/>
        <w:gridCol w:w="60"/>
        <w:gridCol w:w="200"/>
        <w:gridCol w:w="1080"/>
        <w:gridCol w:w="95"/>
        <w:gridCol w:w="60"/>
        <w:gridCol w:w="140"/>
        <w:gridCol w:w="755"/>
        <w:gridCol w:w="112"/>
      </w:tblGrid>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center"/>
              <w:rPr/>
            </w:pPr>
            <w:r>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left"/>
              <w:rPr/>
            </w:pPr>
            <w:r>
              <w:rPr/>
              <w:t> </w:t>
            </w:r>
          </w:p>
        </w:tc>
      </w:tr>
      <w:tr>
        <w:trPr/>
        <w:tc>
          <w:tcPr>
            <w:tcW w:w="4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b/>
              </w:rPr>
            </w:pPr>
            <w:r>
              <w:rPr>
                <w:b/>
              </w:rPr>
              <w:t>Balance -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4,811,078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38,465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(27,722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10,743</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(13,817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(13,817</w:t>
            </w:r>
          </w:p>
        </w:tc>
        <w:tc>
          <w:tcPr>
            <w:tcW w:w="112" w:type="dxa"/>
            <w:tcBorders/>
            <w:shd w:fill="CCEEFF" w:val="clear"/>
            <w:vAlign w:val="center"/>
          </w:tcPr>
          <w:p>
            <w:pPr>
              <w:pStyle w:val="TableContents"/>
              <w:bidi w:val="0"/>
              <w:spacing w:before="0" w:after="283"/>
              <w:ind w:left="0" w:right="0" w:hanging="10"/>
              <w:jc w:val="left"/>
              <w:rPr/>
            </w:pPr>
            <w:r>
              <w:rPr/>
              <w:t>)</w:t>
            </w:r>
          </w:p>
        </w:tc>
      </w:tr>
      <w:tr>
        <w:trPr/>
        <w:tc>
          <w:tcPr>
            <w:tcW w:w="418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1,273</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Common stock issued in public offering,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1,267,223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7,878</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586</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Exercise of 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747</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Exercise of investor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546</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13,246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13,246</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Shares issued for vested restricted stock units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6,710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6,710</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b/>
              </w:rPr>
            </w:pPr>
            <w:r>
              <w:rPr>
                <w:b/>
              </w:rPr>
              <w:t>Balance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27,912</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69,450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27,912</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(40,615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(40,615</w:t>
            </w:r>
          </w:p>
        </w:tc>
        <w:tc>
          <w:tcPr>
            <w:tcW w:w="112" w:type="dxa"/>
            <w:tcBorders/>
            <w:shd w:fill="CCEEFF" w:val="clear"/>
            <w:vAlign w:val="center"/>
          </w:tcPr>
          <w:p>
            <w:pPr>
              <w:pStyle w:val="TableContents"/>
              <w:bidi w:val="0"/>
              <w:spacing w:before="0" w:after="283"/>
              <w:ind w:left="0" w:right="0" w:hanging="10"/>
              <w:jc w:val="left"/>
              <w:rPr/>
            </w:pPr>
            <w:r>
              <w:rPr/>
              <w:t>)</w:t>
            </w:r>
          </w:p>
        </w:tc>
      </w:tr>
      <w:tr>
        <w:trPr/>
        <w:tc>
          <w:tcPr>
            <w:tcW w:w="4184" w:type="dxa"/>
            <w:tcBorders/>
            <w:shd w:fill="FFFFFF" w:val="clear"/>
            <w:vAlign w:val="center"/>
          </w:tcPr>
          <w:p>
            <w:pPr>
              <w:pStyle w:val="TableContents"/>
              <w:bidi w:val="0"/>
              <w:spacing w:before="0" w:after="283"/>
              <w:jc w:val="left"/>
              <w:rPr/>
            </w:pPr>
            <w:r>
              <w:rPr/>
              <w:t>Adjustment due to the rounding impact from the reverse stock split in lieu of issuing fractional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2,025</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Share issuance under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Share cancellation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1,020</w:t>
            </w:r>
          </w:p>
        </w:tc>
        <w:tc>
          <w:tcPr>
            <w:tcW w:w="112" w:type="dxa"/>
            <w:tcBorders/>
            <w:shd w:fill="FFFFFF" w:val="clear"/>
            <w:vAlign w:val="center"/>
          </w:tcPr>
          <w:p>
            <w:pPr>
              <w:pStyle w:val="TableContents"/>
              <w:bidi w:val="0"/>
              <w:spacing w:before="0" w:after="283"/>
              <w:ind w:left="0" w:right="0" w:hanging="10"/>
              <w:jc w:val="left"/>
              <w:rPr/>
            </w:pPr>
            <w:r>
              <w:rPr/>
              <w:t> </w:t>
            </w:r>
          </w:p>
        </w:tc>
      </w:tr>
      <w:tr>
        <w:trPr/>
        <w:tc>
          <w:tcPr>
            <w:tcW w:w="41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0"/>
              <w:jc w:val="left"/>
              <w:rPr/>
            </w:pPr>
            <w:r>
              <w:rPr/>
              <w:t> </w:t>
            </w:r>
          </w:p>
        </w:tc>
      </w:tr>
      <w:tr>
        <w:trPr/>
        <w:tc>
          <w:tcPr>
            <w:tcW w:w="4184"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7,232,650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72,749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(9,404</w:t>
            </w:r>
          </w:p>
        </w:tc>
        <w:tc>
          <w:tcPr>
            <w:tcW w:w="112" w:type="dxa"/>
            <w:tcBorders/>
            <w:shd w:fill="FFFFFF" w:val="clear"/>
            <w:vAlign w:val="center"/>
          </w:tcPr>
          <w:p>
            <w:pPr>
              <w:pStyle w:val="TableContents"/>
              <w:bidi w:val="0"/>
              <w:spacing w:before="0" w:after="283"/>
              <w:ind w:left="0" w:right="0" w:hanging="10"/>
              <w:jc w:val="left"/>
              <w:rPr/>
            </w:pPr>
            <w:r>
              <w:rPr/>
              <w:t>)</w:t>
            </w:r>
          </w:p>
        </w:tc>
      </w:tr>
      <w:tr>
        <w:trPr/>
        <w:tc>
          <w:tcPr>
            <w:tcW w:w="418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7,232,650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72,749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(82154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(9,404</w:t>
            </w:r>
          </w:p>
        </w:tc>
        <w:tc>
          <w:tcPr>
            <w:tcW w:w="112" w:type="dxa"/>
            <w:tcBorders/>
            <w:shd w:fill="FFFFFF" w:val="clear"/>
            <w:vAlign w:val="center"/>
          </w:tcPr>
          <w:p>
            <w:pPr>
              <w:pStyle w:val="TableContents"/>
              <w:bidi w:val="0"/>
              <w:spacing w:before="0" w:after="283"/>
              <w:jc w:val="left"/>
              <w:rPr/>
            </w:pPr>
            <w:r>
              <w:rPr/>
              <w:t>)</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accompanying notes are an integral part of the consolidated financial statements. </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6" w:name="fin_05"/>
      <w:bookmarkEnd w:id="26"/>
      <w:r>
        <w:rPr>
          <w:rFonts w:ascii="Times New Roman;Times;Serif" w:hAnsi="Times New Roman;Times;Serif"/>
          <w:b/>
          <w:i w:val="false"/>
          <w:caps/>
          <w:sz w:val="20"/>
        </w:rPr>
        <w:t>Consolidated Statements of Cash Flows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w:t>
      </w:r>
    </w:p>
    <w:p>
      <w:pPr>
        <w:pStyle w:val="TextBody"/>
        <w:bidi w:val="0"/>
        <w:ind w:left="10" w:right="0" w:hanging="1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(13,817</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4565" w:type="dxa"/>
            <w:tcBorders/>
            <w:shd w:fill="CCEEFF" w:val="clear"/>
            <w:vAlign w:val="center"/>
          </w:tcPr>
          <w:p>
            <w:pPr>
              <w:pStyle w:val="TableContents"/>
              <w:bidi w:val="0"/>
              <w:spacing w:before="0" w:after="283"/>
              <w:jc w:val="both"/>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6,710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565" w:type="dxa"/>
            <w:tcBorders/>
            <w:shd w:fill="FFFFFF" w:val="clear"/>
            <w:vAlign w:val="center"/>
          </w:tcPr>
          <w:p>
            <w:pPr>
              <w:pStyle w:val="TableContents"/>
              <w:bidi w:val="0"/>
              <w:spacing w:before="0" w:after="283"/>
              <w:jc w:val="left"/>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4,938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Amortization of right of use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Loss on impairment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Write-off of 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456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11,411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852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(3,527</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4565" w:type="dxa"/>
            <w:tcBorders/>
            <w:shd w:fill="FFFFFF" w:val="clear"/>
            <w:vAlign w:val="center"/>
          </w:tcPr>
          <w:p>
            <w:pPr>
              <w:pStyle w:val="TableContents"/>
              <w:bidi w:val="0"/>
              <w:spacing w:before="0" w:after="283"/>
              <w:jc w:val="both"/>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781</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565" w:type="dxa"/>
            <w:tcBorders/>
            <w:shd w:fill="CCEEFF" w:val="clear"/>
            <w:vAlign w:val="center"/>
          </w:tcPr>
          <w:p>
            <w:pPr>
              <w:pStyle w:val="TableContents"/>
              <w:bidi w:val="0"/>
              <w:spacing w:before="0" w:after="283"/>
              <w:jc w:val="both"/>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4565" w:type="dxa"/>
            <w:tcBorders/>
            <w:shd w:fill="FFFFFF" w:val="clear"/>
            <w:vAlign w:val="center"/>
          </w:tcPr>
          <w:p>
            <w:pPr>
              <w:pStyle w:val="TableContents"/>
              <w:bidi w:val="0"/>
              <w:spacing w:before="0" w:after="283"/>
              <w:jc w:val="both"/>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565"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(3,889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56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(17,706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45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565"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(6,885</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56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(6,885</w:t>
            </w:r>
          </w:p>
        </w:tc>
        <w:tc>
          <w:tcPr>
            <w:tcW w:w="110" w:type="dxa"/>
            <w:tcBorders/>
            <w:shd w:fill="CCEEFF" w:val="clear"/>
            <w:vAlign w:val="center"/>
          </w:tcPr>
          <w:p>
            <w:pPr>
              <w:pStyle w:val="TableContents"/>
              <w:bidi w:val="0"/>
              <w:spacing w:before="0" w:after="283"/>
              <w:jc w:val="left"/>
              <w:rPr/>
            </w:pPr>
            <w:r>
              <w:rPr/>
              <w:t>)</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accompanying notes are an integral part of the consolidated financial statements. </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Cash Flows (continued)</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Years Ended December 31, 2024 and 2023</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w:t>
      </w:r>
    </w:p>
    <w:p>
      <w:pPr>
        <w:pStyle w:val="TextBody"/>
        <w:bidi w:val="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vAlign w:val="center"/>
          </w:tcPr>
          <w:p>
            <w:pPr>
              <w:pStyle w:val="TableContents"/>
              <w:bidi w:val="0"/>
              <w:spacing w:before="0" w:after="283"/>
              <w:jc w:val="both"/>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21,646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1,273</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8240" w:type="dxa"/>
            <w:tcBorders/>
            <w:shd w:fill="FFFFFF" w:val="clear"/>
            <w:vAlign w:val="center"/>
          </w:tcPr>
          <w:p>
            <w:pPr>
              <w:pStyle w:val="TableContents"/>
              <w:bidi w:val="0"/>
              <w:spacing w:before="0" w:after="283"/>
              <w:jc w:val="both"/>
              <w:rPr/>
            </w:pPr>
            <w:r>
              <w:rPr/>
              <w:t>Repayment of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(5,275</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8240" w:type="dxa"/>
            <w:tcBorders/>
            <w:shd w:fill="CCEEFF" w:val="clear"/>
            <w:vAlign w:val="center"/>
          </w:tcPr>
          <w:p>
            <w:pPr>
              <w:pStyle w:val="TableContents"/>
              <w:bidi w:val="0"/>
              <w:spacing w:before="0" w:after="283"/>
              <w:jc w:val="both"/>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747</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586</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Proceeds from exercise of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546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19,523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(5,068</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8240" w:type="dxa"/>
            <w:tcBorders/>
            <w:shd w:fill="CCEEFF" w:val="clear"/>
            <w:vAlign w:val="center"/>
          </w:tcPr>
          <w:p>
            <w:pPr>
              <w:pStyle w:val="TableContents"/>
              <w:bidi w:val="0"/>
              <w:spacing w:before="0" w:after="283"/>
              <w:jc w:val="both"/>
              <w:rPr/>
            </w:pPr>
            <w:r>
              <w:rPr/>
              <w:t>Beginning Cash and cash equivalents -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17,781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Ending Cash and cash equivalents -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8240" w:type="dxa"/>
            <w:tcBorders/>
            <w:shd w:fill="FFFFFF" w:val="clear"/>
            <w:vAlign w:val="center"/>
          </w:tcPr>
          <w:p>
            <w:pPr>
              <w:pStyle w:val="TableContents"/>
              <w:bidi w:val="0"/>
              <w:spacing w:before="0" w:after="283"/>
              <w:jc w:val="both"/>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24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238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9,102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8240" w:type="dxa"/>
            <w:tcBorders/>
            <w:shd w:fill="CCEEFF" w:val="clear"/>
            <w:vAlign w:val="center"/>
          </w:tcPr>
          <w:p>
            <w:pPr>
              <w:pStyle w:val="TableContents"/>
              <w:bidi w:val="0"/>
              <w:spacing w:before="0" w:after="283"/>
              <w:jc w:val="both"/>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240" w:type="dxa"/>
            <w:tcBorders/>
            <w:shd w:fill="CCEE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240" w:type="dxa"/>
            <w:tcBorders/>
            <w:shd w:fill="CCEEFF" w:val="clear"/>
            <w:vAlign w:val="center"/>
          </w:tcPr>
          <w:p>
            <w:pPr>
              <w:pStyle w:val="TableContents"/>
              <w:bidi w:val="0"/>
              <w:spacing w:before="0" w:after="283"/>
              <w:jc w:val="left"/>
              <w:rPr/>
            </w:pPr>
            <w:r>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13,762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Recognition of warrant liability - Penny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698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240" w:type="dxa"/>
            <w:tcBorders/>
            <w:shd w:fill="CCEEFF" w:val="clear"/>
            <w:vAlign w:val="center"/>
          </w:tcPr>
          <w:p>
            <w:pPr>
              <w:pStyle w:val="TableContents"/>
              <w:bidi w:val="0"/>
              <w:spacing w:before="0" w:after="283"/>
              <w:jc w:val="left"/>
              <w:rPr/>
            </w:pPr>
            <w:r>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Reclassification of assets held for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8240" w:type="dxa"/>
            <w:tcBorders/>
            <w:shd w:fill="CCEEFF" w:val="clear"/>
            <w:vAlign w:val="center"/>
          </w:tcPr>
          <w:p>
            <w:pPr>
              <w:pStyle w:val="TableContents"/>
              <w:bidi w:val="0"/>
              <w:spacing w:before="0" w:after="283"/>
              <w:jc w:val="left"/>
              <w:rPr/>
            </w:pPr>
            <w:r>
              <w:rPr/>
              <w:t>Non-cash impact of cash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8240"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12,629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ind w:left="10" w:right="0" w:hanging="1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bookmarkStart w:id="27" w:name="fin_06"/>
      <w:bookmarkEnd w:id="27"/>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1 - NATURE OF BUSINESS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2023, the Company filed an amendment to the articles of incorporation with the State of Nevada, to increase the number of authorized shares of it common stock to 250,000,000 shares. The par value remained at $0.0001 per share.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Company’s Board of Directors approved the implementation of a 1-for-9 reverse stock split of the Company’s common stock, par value $0.0001 per share (“Common Stock”) and a corresponding proportional reduction in the number of common stock shares issued and outstanding. The reverse stock split was effected upon market open on November 22, 2024, (the “Effective Date”), and shares of Common Stock began trading on a split-adjusted basis as of market open on November 22, 2024.</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stock option awards and per share amounts contained in the Consolidated Financial Statements and Notes have been retroactively adjusted to reflect the 1-for-9 reverse stock split.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Basis of presentation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Principles of consolidation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bidi w:val="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incurred losses from operations and had negative cash flow from operations. As of December 31, 2024, the Company had $4,849 in cash and cash equivalents and a working capital of $11,070.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Times;Serif" w:hAnsi="Times New Roman;Times;Serif"/>
          <w:b/>
          <w:i w:val="false"/>
          <w:caps w:val="false"/>
          <w:smallCaps w:val="false"/>
          <w:sz w:val="20"/>
        </w:rPr>
        <w:t>(See Note 6).</w:t>
      </w:r>
      <w:r>
        <w:rPr>
          <w:rFonts w:ascii="Times New Roman;Times;Serif" w:hAnsi="Times New Roman;Times;Serif"/>
          <w:b w:val="false"/>
          <w:i w:val="false"/>
          <w:caps w:val="false"/>
          <w:smallCaps w:val="false"/>
          <w:sz w:val="20"/>
        </w:rPr>
        <w:t xml:space="preserve"> On March 31, 2024, April 29, 2024, May 30, 2024, June 28, 2024, July 31, 2024, August 31, 2024, September 30, 2024, October 31, 2024, November 30, 2024 and December 31, 2024 the Company obtained waivers from the Term Loan administrative agent and lenders of its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pStyle w:val="TextBody"/>
        <w:bidi w:val="0"/>
        <w:ind w:left="10" w:right="0" w:hanging="10"/>
        <w:jc w:val="both"/>
        <w:rPr>
          <w:caps w:val="false"/>
          <w:smallCaps w:val="false"/>
        </w:rPr>
      </w:pPr>
      <w:r>
        <w:rPr>
          <w:caps w:val="false"/>
          <w:smallCaps w:val="false"/>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(which reclassifies the loan as long-term on the financial statements for the year ending December 31, 2024), and the absence of any covenants, other than a $2,500 minimum cash requirement, for at least one year from the financial statement issuance date. While these initiatives were enough support to move our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ind w:left="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Cash and Cash Equivalents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debt securities purchased with a maturity of three months or less to be cash equivalents. As of December 31, 2024 and 2023, the Company held no Cash Equivalents.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Accounts Receivable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2024 and 2023 were not material.</w:t>
      </w:r>
    </w:p>
    <w:p>
      <w:pPr>
        <w:pStyle w:val="TextBody"/>
        <w:bidi w:val="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Inventory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Held for Sale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are valued at the lower of the carrying amount or the net realizable value estimated at December 31, 2024. Impairment to carrying amounts are recognized to non-operating expenses.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We have already invoiced the prospective buyer within the first three months of 2025 and plan to ship the equipment after payment is received.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Property and Equipment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2024 and 2023 was $1,372 and $1,237, respectively.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various classes of property and equipment and estimated useful lives are as follows:</w:t>
      </w:r>
    </w:p>
    <w:p>
      <w:pPr>
        <w:pStyle w:val="TextBody"/>
        <w:bidi w:val="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VARIOUS CLASSES OF PROPERTY AND EQUIPMENT AND ESTIMATED USEFUL LIVES</w:t>
      </w:r>
    </w:p>
    <w:tbl>
      <w:tblPr>
        <w:tblW w:w="6655" w:type="dxa"/>
        <w:jc w:val="left"/>
        <w:tblInd w:w="0" w:type="dxa"/>
        <w:tblLayout w:type="fixed"/>
        <w:tblCellMar>
          <w:top w:w="0" w:type="dxa"/>
          <w:left w:w="0" w:type="dxa"/>
          <w:bottom w:w="0" w:type="dxa"/>
          <w:right w:w="0" w:type="dxa"/>
        </w:tblCellMar>
      </w:tblPr>
      <w:tblGrid>
        <w:gridCol w:w="2540"/>
        <w:gridCol w:w="4115"/>
      </w:tblGrid>
      <w:tr>
        <w:trPr/>
        <w:tc>
          <w:tcPr>
            <w:tcW w:w="2540" w:type="dxa"/>
            <w:tcBorders/>
            <w:vAlign w:val="center"/>
          </w:tcPr>
          <w:p>
            <w:pPr>
              <w:pStyle w:val="TableContents"/>
              <w:bidi w:val="0"/>
              <w:spacing w:before="0" w:after="283"/>
              <w:ind w:left="0" w:right="0" w:hanging="10"/>
              <w:jc w:val="both"/>
              <w:rPr>
                <w:sz w:val="20"/>
              </w:rPr>
            </w:pPr>
            <w:r>
              <w:rPr>
                <w:sz w:val="20"/>
              </w:rPr>
              <w:t>Office furniture and equipment</w:t>
            </w:r>
          </w:p>
        </w:tc>
        <w:tc>
          <w:tcPr>
            <w:tcW w:w="4115" w:type="dxa"/>
            <w:tcBorders/>
            <w:vAlign w:val="center"/>
          </w:tcPr>
          <w:p>
            <w:pPr>
              <w:pStyle w:val="TableContents"/>
              <w:bidi w:val="0"/>
              <w:spacing w:before="0" w:after="283"/>
              <w:ind w:left="0" w:right="0" w:hanging="10"/>
              <w:jc w:val="center"/>
              <w:rPr>
                <w:sz w:val="20"/>
              </w:rPr>
            </w:pPr>
            <w:r>
              <w:rPr>
                <w:sz w:val="20"/>
              </w:rPr>
              <w:t>3 to 7 years</w:t>
            </w:r>
          </w:p>
        </w:tc>
      </w:tr>
      <w:tr>
        <w:trPr/>
        <w:tc>
          <w:tcPr>
            <w:tcW w:w="2540" w:type="dxa"/>
            <w:tcBorders/>
            <w:vAlign w:val="center"/>
          </w:tcPr>
          <w:p>
            <w:pPr>
              <w:pStyle w:val="TableContents"/>
              <w:bidi w:val="0"/>
              <w:spacing w:before="0" w:after="283"/>
              <w:ind w:left="0" w:right="0" w:hanging="10"/>
              <w:jc w:val="both"/>
              <w:rPr>
                <w:sz w:val="20"/>
              </w:rPr>
            </w:pPr>
            <w:r>
              <w:rPr>
                <w:sz w:val="20"/>
              </w:rPr>
              <w:t>Vehicles</w:t>
            </w:r>
          </w:p>
        </w:tc>
        <w:tc>
          <w:tcPr>
            <w:tcW w:w="4115" w:type="dxa"/>
            <w:tcBorders/>
            <w:vAlign w:val="center"/>
          </w:tcPr>
          <w:p>
            <w:pPr>
              <w:pStyle w:val="TableContents"/>
              <w:bidi w:val="0"/>
              <w:spacing w:before="0" w:after="283"/>
              <w:ind w:left="0" w:right="0" w:hanging="10"/>
              <w:jc w:val="center"/>
              <w:rPr>
                <w:sz w:val="20"/>
              </w:rPr>
            </w:pPr>
            <w:r>
              <w:rPr>
                <w:sz w:val="20"/>
              </w:rPr>
              <w:t>5 years</w:t>
            </w:r>
          </w:p>
        </w:tc>
      </w:tr>
      <w:tr>
        <w:trPr/>
        <w:tc>
          <w:tcPr>
            <w:tcW w:w="2540" w:type="dxa"/>
            <w:tcBorders/>
            <w:vAlign w:val="center"/>
          </w:tcPr>
          <w:p>
            <w:pPr>
              <w:pStyle w:val="TableContents"/>
              <w:bidi w:val="0"/>
              <w:spacing w:before="0" w:after="283"/>
              <w:ind w:left="0" w:right="0" w:hanging="10"/>
              <w:jc w:val="both"/>
              <w:rPr>
                <w:sz w:val="20"/>
              </w:rPr>
            </w:pPr>
            <w:r>
              <w:rPr>
                <w:sz w:val="20"/>
              </w:rPr>
              <w:t>Machinery and equipment</w:t>
            </w:r>
          </w:p>
        </w:tc>
        <w:tc>
          <w:tcPr>
            <w:tcW w:w="4115" w:type="dxa"/>
            <w:tcBorders/>
            <w:vAlign w:val="center"/>
          </w:tcPr>
          <w:p>
            <w:pPr>
              <w:pStyle w:val="TableContents"/>
              <w:bidi w:val="0"/>
              <w:spacing w:before="0" w:after="283"/>
              <w:ind w:left="0" w:right="0" w:hanging="10"/>
              <w:jc w:val="center"/>
              <w:rPr>
                <w:sz w:val="20"/>
              </w:rPr>
            </w:pPr>
            <w:r>
              <w:rPr>
                <w:sz w:val="20"/>
              </w:rPr>
              <w:t>3 to 7 years</w:t>
            </w:r>
          </w:p>
        </w:tc>
      </w:tr>
      <w:tr>
        <w:trPr/>
        <w:tc>
          <w:tcPr>
            <w:tcW w:w="2540" w:type="dxa"/>
            <w:tcBorders/>
            <w:vAlign w:val="center"/>
          </w:tcPr>
          <w:p>
            <w:pPr>
              <w:pStyle w:val="TableContents"/>
              <w:bidi w:val="0"/>
              <w:spacing w:before="0" w:after="283"/>
              <w:ind w:left="0" w:right="0" w:hanging="10"/>
              <w:jc w:val="both"/>
              <w:rPr>
                <w:sz w:val="20"/>
              </w:rPr>
            </w:pPr>
            <w:r>
              <w:rPr>
                <w:sz w:val="20"/>
              </w:rPr>
              <w:t>Leasehold improvements</w:t>
            </w:r>
          </w:p>
        </w:tc>
        <w:tc>
          <w:tcPr>
            <w:tcW w:w="4115" w:type="dxa"/>
            <w:tcBorders/>
            <w:vAlign w:val="center"/>
          </w:tcPr>
          <w:p>
            <w:pPr>
              <w:pStyle w:val="TableContents"/>
              <w:bidi w:val="0"/>
              <w:spacing w:before="0" w:after="283"/>
              <w:jc w:val="center"/>
              <w:rPr>
                <w:sz w:val="20"/>
              </w:rPr>
            </w:pPr>
            <w:r>
              <w:rPr>
                <w:sz w:val="20"/>
              </w:rPr>
              <w:t>Shorter of Useful Life of Remaining Term of Lease</w:t>
            </w:r>
          </w:p>
        </w:tc>
      </w:tr>
    </w:tbl>
    <w:p>
      <w:pPr>
        <w:pStyle w:val="TextBody"/>
        <w:bidi w:val="0"/>
        <w:spacing w:before="0" w:after="283"/>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rPr>
      </w:pPr>
      <w:r>
        <w:rPr>
          <w:caps/>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Use of Estimates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Long-Lived Assets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For the year ended December 31, 2024, the Company recorded an $873 impairment, in connection to the Assets Held for Sale, on the Consolidated Statement of Operations. There were no impairments for the year ended December 31, 2023.</w:t>
      </w:r>
    </w:p>
    <w:p>
      <w:pPr>
        <w:pStyle w:val="TextBody"/>
        <w:bidi w:val="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Commitments and Contingencies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Recognition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ind w:left="10" w:right="0" w:hanging="1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rPr>
      </w:pPr>
      <w:r>
        <w:rPr>
          <w:caps/>
        </w:rPr>
        <w:t> </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2024 and 2023, the contract liability related to the Company’s customer deposits were approximately $317 and $201, respectively.</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$201 of the contract liability as of December 31, 2023 during the year ended December 31, 2024. During the year ended December 31, 2023, the Company recognized $230 of the contract liability that was recorded as a January 1, 2023 beginning balance.</w:t>
      </w:r>
    </w:p>
    <w:p>
      <w:pPr>
        <w:pStyle w:val="TextBody"/>
        <w:bidi w:val="0"/>
        <w:ind w:left="10" w:right="0" w:hanging="1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The $5,000 initial licensing fee is being recognized as revenue on a straight-line basis over five years. The Company has recorded $417 in revenue related to the license agreement for the year ended December 31, 2024. As of December 31, 2024 and 2023, the contract liability related to the Company’s deferred revenue were approximately $4,583 and $0, respectively. As of December 31, 2024, the Company had $1,000 in short term deferred revenue and $3,583 in long-term deferred revenue related to the license agreement.</w:t>
      </w:r>
    </w:p>
    <w:p>
      <w:pPr>
        <w:pStyle w:val="TextBody"/>
        <w:bidi w:val="0"/>
        <w:ind w:left="10" w:right="0" w:hanging="10"/>
        <w:jc w:val="both"/>
        <w:rPr>
          <w:caps/>
        </w:rPr>
      </w:pPr>
      <w:r>
        <w:rPr>
          <w:caps/>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REVENUES BY DISTRIBUTION CHANNEL </w:t>
      </w:r>
    </w:p>
    <w:tbl>
      <w:tblPr>
        <w:tblW w:w="4990" w:type="dxa"/>
        <w:jc w:val="left"/>
        <w:tblInd w:w="0" w:type="dxa"/>
        <w:tblLayout w:type="fixed"/>
        <w:tblCellMar>
          <w:top w:w="0" w:type="dxa"/>
          <w:left w:w="0" w:type="dxa"/>
          <w:bottom w:w="0" w:type="dxa"/>
          <w:right w:w="0" w:type="dxa"/>
        </w:tblCellMar>
      </w:tblPr>
      <w:tblGrid>
        <w:gridCol w:w="3095"/>
        <w:gridCol w:w="60"/>
        <w:gridCol w:w="140"/>
        <w:gridCol w:w="680"/>
        <w:gridCol w:w="60"/>
        <w:gridCol w:w="60"/>
        <w:gridCol w:w="140"/>
        <w:gridCol w:w="680"/>
        <w:gridCol w:w="75"/>
      </w:tblGrid>
      <w:tr>
        <w:trPr/>
        <w:tc>
          <w:tcPr>
            <w:tcW w:w="3095" w:type="dxa"/>
            <w:tcBorders/>
            <w:vAlign w:val="center"/>
          </w:tcPr>
          <w:p>
            <w:pPr>
              <w:pStyle w:val="TableContents"/>
              <w:bidi w:val="0"/>
              <w:spacing w:before="0" w:after="283"/>
              <w:jc w:val="both"/>
              <w:rPr/>
            </w:pPr>
            <w:r>
              <w:rPr/>
              <w:t>Sales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Sales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36,875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27,517</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283"/>
              <w:jc w:val="left"/>
              <w:rPr/>
            </w:pPr>
            <w:r>
              <w:rPr/>
              <w:t>License fee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50,645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64,392</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10" w:right="0" w:hanging="1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 w:right="0" w:hanging="1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ind w:left="10" w:right="0" w:hanging="10"/>
        <w:jc w:val="center"/>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$2,530 and $3,466 for the years ended December 31, 2024 and 2023, respectively.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Product Warranty</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December 31, 2024 and 2023 to be $514 and $307, respectively.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WARRANTY OBLIGATION</w:t>
      </w:r>
    </w:p>
    <w:tbl>
      <w:tblPr>
        <w:tblW w:w="4453" w:type="dxa"/>
        <w:jc w:val="left"/>
        <w:tblInd w:w="0" w:type="dxa"/>
        <w:tblLayout w:type="fixed"/>
        <w:tblCellMar>
          <w:top w:w="0" w:type="dxa"/>
          <w:left w:w="0" w:type="dxa"/>
          <w:bottom w:w="0" w:type="dxa"/>
          <w:right w:w="0" w:type="dxa"/>
        </w:tblCellMar>
      </w:tblPr>
      <w:tblGrid>
        <w:gridCol w:w="2930"/>
        <w:gridCol w:w="60"/>
        <w:gridCol w:w="141"/>
        <w:gridCol w:w="458"/>
        <w:gridCol w:w="95"/>
        <w:gridCol w:w="60"/>
        <w:gridCol w:w="141"/>
        <w:gridCol w:w="458"/>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3"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328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2930" w:type="dxa"/>
            <w:tcBorders/>
            <w:shd w:fill="FFFFFF" w:val="clear"/>
            <w:vAlign w:val="center"/>
          </w:tcPr>
          <w:p>
            <w:pPr>
              <w:pStyle w:val="TableContents"/>
              <w:bidi w:val="0"/>
              <w:spacing w:before="0" w:after="283"/>
              <w:jc w:val="left"/>
              <w:rPr/>
            </w:pPr>
            <w:r>
              <w:rPr/>
              <w:t>Ending warranty obligation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t>307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receivables from Customer A and Customer B comprised approximately 21% and 15%, respectively, of accounts receivable. As of December 31, 2023, receivables from Customer C and D comprised approximately 28% and 10%, respectively, of accounts receivable. There are no other significant accounts receivable concentration.</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from Customer A comprised approximately 14% of the Company’s total revenue for the year ended December 31, 2024. Sales from Customer B comprised approximately 16% of the Company’s total revenue for the year ended December 31, 2023.</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payables to Vendor A, Vendor B, and Vendor C comprised approximately 33%, 12%, and 11%, respectively, of accounts payables. As of December 31, 2023, payables to Vendor A comprised approximately 65% of accounts payables.</w:t>
      </w:r>
    </w:p>
    <w:p>
      <w:pPr>
        <w:pStyle w:val="TextBody"/>
        <w:bidi w:val="0"/>
        <w:ind w:left="10" w:right="0" w:hanging="10"/>
        <w:jc w:val="both"/>
        <w:rPr>
          <w:caps w:val="false"/>
          <w:smallCaps w:val="false"/>
        </w:rPr>
      </w:pPr>
      <w:r>
        <w:rPr>
          <w:caps w:val="false"/>
          <w:smallCaps w:val="false"/>
        </w:rPr>
        <w:t> </w:t>
      </w:r>
    </w:p>
    <w:p>
      <w:pPr>
        <w:pStyle w:val="TextBody"/>
        <w:bidi w:val="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Vendor A accounted for approximately 11% of the Company’s total purchases. For the year ended December 31, 2023, Vendor B accounted for approximately 14% of the Company’s total purchases.</w:t>
      </w:r>
    </w:p>
    <w:p>
      <w:pPr>
        <w:pStyle w:val="TextBody"/>
        <w:bidi w:val="0"/>
        <w:ind w:left="10" w:right="0" w:hanging="1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Deferred Financing Costs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Advertising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$2,257 and $2,167 for the years ended December 31, 2024 and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Stock-Based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Income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w:t>
      </w:r>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$55 and $91 as of December 31, 2024 and 2023, of uncertain tax positions.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Net Loss per Common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POTENTIAL SHARES OF COMMON STOCK EXCLUDED FROM DILUTED NET LOSS PER SHARE </w:t>
      </w:r>
    </w:p>
    <w:tbl>
      <w:tblPr>
        <w:tblW w:w="7200" w:type="dxa"/>
        <w:jc w:val="left"/>
        <w:tblInd w:w="0" w:type="dxa"/>
        <w:tblLayout w:type="fixed"/>
        <w:tblCellMar>
          <w:top w:w="0" w:type="dxa"/>
          <w:left w:w="0" w:type="dxa"/>
          <w:bottom w:w="0" w:type="dxa"/>
          <w:right w:w="0" w:type="dxa"/>
        </w:tblCellMar>
      </w:tblPr>
      <w:tblGrid>
        <w:gridCol w:w="4865"/>
        <w:gridCol w:w="60"/>
        <w:gridCol w:w="60"/>
        <w:gridCol w:w="980"/>
        <w:gridCol w:w="60"/>
        <w:gridCol w:w="60"/>
        <w:gridCol w:w="60"/>
        <w:gridCol w:w="980"/>
        <w:gridCol w:w="75"/>
      </w:tblGrid>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ind w:left="0" w:right="0" w:hanging="10"/>
              <w:jc w:val="left"/>
              <w:rPr/>
            </w:pPr>
            <w:r>
              <w:rPr/>
              <w:t> </w:t>
            </w:r>
          </w:p>
        </w:tc>
      </w:tr>
      <w:tr>
        <w:trPr/>
        <w:tc>
          <w:tcPr>
            <w:tcW w:w="486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2,723,397</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4865"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334,751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5,224</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4865" w:type="dxa"/>
            <w:tcBorders/>
            <w:shd w:fill="CCEEFF" w:val="clear"/>
            <w:vAlign w:val="center"/>
          </w:tcPr>
          <w:p>
            <w:pPr>
              <w:pStyle w:val="TableContents"/>
              <w:bidi w:val="0"/>
              <w:spacing w:before="0" w:after="283"/>
              <w:jc w:val="both"/>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262,720</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4865" w:type="dxa"/>
            <w:tcBorders/>
            <w:shd w:fill="FFFFFF" w:val="clear"/>
            <w:vAlign w:val="center"/>
          </w:tcPr>
          <w:p>
            <w:pPr>
              <w:pStyle w:val="TableContents"/>
              <w:bidi w:val="0"/>
              <w:spacing w:before="0" w:after="283"/>
              <w:jc w:val="both"/>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4,429,711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2,991,341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Segment Reporting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15</w:t>
      </w:r>
      <w:r>
        <w:rPr>
          <w:rFonts w:ascii="Times New Roman;Times;Serif" w:hAnsi="Times New Roman;Times;Serif"/>
          <w:b w:val="false"/>
          <w:i w:val="false"/>
          <w:caps w:val="false"/>
          <w:smallCaps w:val="false"/>
          <w:sz w:val="20"/>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the current year,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adopted accounting pronouncements: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reportable segment entities are required to provide the new disclosures and all disclosures currently required under ASC 280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the title and position of the CODM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significant segment expenses and “other segment items” for reach reportable segment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reportable segment profit or loss and assets in annual and interim periods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segment profitability measures used by the CODM provided such measures comply with the use of non-GAAP financial measures</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impact of ASU 2023-07 on its financial reporting and the adoption did not have a material impact on its results of operations, financial position or cash flows. The Company implemented updates to its reporting processes (</w:t>
      </w:r>
      <w:r>
        <w:rPr>
          <w:rFonts w:ascii="Times New Roman;Times;Serif" w:hAnsi="Times New Roman;Times;Serif"/>
          <w:b/>
          <w:i w:val="false"/>
          <w:caps w:val="false"/>
          <w:smallCaps w:val="false"/>
          <w:sz w:val="20"/>
        </w:rPr>
        <w:t>Note 15</w:t>
      </w:r>
      <w:r>
        <w:rPr>
          <w:rFonts w:ascii="Times New Roman;Times;Serif" w:hAnsi="Times New Roman;Times;Serif"/>
          <w:b w:val="false"/>
          <w:i w:val="false"/>
          <w:caps w:val="false"/>
          <w:smallCaps w:val="false"/>
          <w:sz w:val="20"/>
        </w:rPr>
        <w:t>) to ensure compliance with the new standard, which required additional data collection related to significant segment expenses.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w:t>
      </w:r>
      <w:r>
        <w:rPr>
          <w:rFonts w:ascii="Times New Roman;Times;Serif" w:hAnsi="Times New Roman;Times;Serif"/>
          <w:b/>
          <w:i w:val="false"/>
          <w:caps w:val="false"/>
          <w:smallCaps w:val="false"/>
          <w:sz w:val="20"/>
        </w:rPr>
        <w:t>2025</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01</w:t>
      </w:r>
      <w:r>
        <w:rPr>
          <w:rFonts w:ascii="Times New Roman;Times;Serif" w:hAnsi="Times New Roman;Times;Serif"/>
          <w:b w:val="false"/>
          <w:i w:val="false"/>
          <w:caps w:val="false"/>
          <w:smallCaps w:val="false"/>
          <w:sz w:val="20"/>
        </w:rPr>
        <w:t xml:space="preserve"> to clarify that all public entities, including non-calendar year-end entities, should adopt the disclosure requirements of ASU 2024-03. The Company is currently evaluating the impact.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36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2024:</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ASSETS AND LIABILITIES   </w:t>
      </w:r>
    </w:p>
    <w:tbl>
      <w:tblPr>
        <w:tblW w:w="8848" w:type="dxa"/>
        <w:jc w:val="left"/>
        <w:tblInd w:w="0" w:type="dxa"/>
        <w:tblLayout w:type="fixed"/>
        <w:tblCellMar>
          <w:top w:w="0" w:type="dxa"/>
          <w:left w:w="0" w:type="dxa"/>
          <w:bottom w:w="0" w:type="dxa"/>
          <w:right w:w="0" w:type="dxa"/>
        </w:tblCellMar>
      </w:tblPr>
      <w:tblGrid>
        <w:gridCol w:w="3665"/>
        <w:gridCol w:w="60"/>
        <w:gridCol w:w="289"/>
        <w:gridCol w:w="1156"/>
        <w:gridCol w:w="60"/>
        <w:gridCol w:w="60"/>
        <w:gridCol w:w="172"/>
        <w:gridCol w:w="688"/>
        <w:gridCol w:w="60"/>
        <w:gridCol w:w="60"/>
        <w:gridCol w:w="448"/>
        <w:gridCol w:w="306"/>
        <w:gridCol w:w="60"/>
        <w:gridCol w:w="60"/>
        <w:gridCol w:w="151"/>
        <w:gridCol w:w="604"/>
        <w:gridCol w:w="60"/>
        <w:gridCol w:w="60"/>
        <w:gridCol w:w="448"/>
        <w:gridCol w:w="306"/>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0"/>
              <w:ind w:left="10" w:right="0" w:hanging="10"/>
              <w:jc w:val="center"/>
              <w:rPr>
                <w:caps w:val="false"/>
                <w:smallCaps w:val="false"/>
              </w:rPr>
            </w:pPr>
            <w:r>
              <w:rPr>
                <w:caps w:val="false"/>
                <w:smallCaps w:val="false"/>
              </w:rPr>
              <w:t> </w:t>
            </w:r>
          </w:p>
          <w:p>
            <w:pPr>
              <w:pStyle w:val="TableContents"/>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48"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2024</w:t>
            </w:r>
          </w:p>
        </w:tc>
        <w:tc>
          <w:tcPr>
            <w:tcW w:w="75" w:type="dxa"/>
            <w:tcBorders/>
            <w:vAlign w:val="center"/>
          </w:tcPr>
          <w:p>
            <w:pPr>
              <w:pStyle w:val="TableContents"/>
              <w:bidi w:val="0"/>
              <w:spacing w:before="0" w:after="283"/>
              <w:ind w:left="0" w:right="0" w:hanging="10"/>
              <w:jc w:val="left"/>
              <w:rPr/>
            </w:pPr>
            <w:r>
              <w:rPr/>
              <w:t> </w:t>
            </w:r>
          </w:p>
        </w:tc>
      </w:tr>
      <w:tr>
        <w:trPr/>
        <w:tc>
          <w:tcPr>
            <w:tcW w:w="3665" w:type="dxa"/>
            <w:tcBorders/>
            <w:shd w:fill="CCEEFF" w:val="clear"/>
            <w:vAlign w:val="center"/>
          </w:tcPr>
          <w:p>
            <w:pPr>
              <w:pStyle w:val="TableContents"/>
              <w:bidi w:val="0"/>
              <w:spacing w:before="0" w:after="283"/>
              <w:jc w:val="both"/>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665" w:type="dxa"/>
            <w:tcBorders/>
            <w:shd w:fill="FFFFFF" w:val="clear"/>
            <w:vAlign w:val="center"/>
          </w:tcPr>
          <w:p>
            <w:pPr>
              <w:pStyle w:val="TableContents"/>
              <w:bidi w:val="0"/>
              <w:spacing w:before="0" w:after="283"/>
              <w:jc w:val="both"/>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3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4" w:type="dxa"/>
            <w:tcBorders/>
            <w:shd w:fill="FFFFFF" w:val="clear"/>
            <w:vAlign w:val="center"/>
          </w:tcPr>
          <w:p>
            <w:pPr>
              <w:pStyle w:val="TableContents"/>
              <w:bidi w:val="0"/>
              <w:spacing w:before="0" w:after="283"/>
              <w:jc w:val="right"/>
              <w:rPr/>
            </w:pPr>
            <w:r>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w:t>
            </w:r>
          </w:p>
        </w:tc>
        <w:tc>
          <w:tcPr>
            <w:tcW w:w="3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665" w:type="dxa"/>
            <w:tcBorders/>
            <w:shd w:fill="CCEEFF" w:val="clear"/>
            <w:vAlign w:val="center"/>
          </w:tcPr>
          <w:p>
            <w:pPr>
              <w:pStyle w:val="TableContents"/>
              <w:bidi w:val="0"/>
              <w:spacing w:before="0" w:after="283"/>
              <w:jc w:val="both"/>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66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2023:</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6"/>
        <w:gridCol w:w="60"/>
        <w:gridCol w:w="338"/>
        <w:gridCol w:w="1353"/>
        <w:gridCol w:w="60"/>
        <w:gridCol w:w="60"/>
        <w:gridCol w:w="204"/>
        <w:gridCol w:w="817"/>
        <w:gridCol w:w="60"/>
        <w:gridCol w:w="60"/>
        <w:gridCol w:w="527"/>
        <w:gridCol w:w="358"/>
        <w:gridCol w:w="60"/>
        <w:gridCol w:w="60"/>
        <w:gridCol w:w="310"/>
        <w:gridCol w:w="576"/>
        <w:gridCol w:w="60"/>
        <w:gridCol w:w="60"/>
        <w:gridCol w:w="177"/>
        <w:gridCol w:w="710"/>
        <w:gridCol w:w="79"/>
      </w:tblGrid>
      <w:tr>
        <w:trPr/>
        <w:tc>
          <w:tcPr>
            <w:tcW w:w="4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79"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50"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2023</w:t>
            </w:r>
          </w:p>
        </w:tc>
        <w:tc>
          <w:tcPr>
            <w:tcW w:w="79" w:type="dxa"/>
            <w:tcBorders/>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4216" w:type="dxa"/>
            <w:tcBorders/>
            <w:shd w:fill="FFFFFF" w:val="clear"/>
            <w:vAlign w:val="center"/>
          </w:tcPr>
          <w:p>
            <w:pPr>
              <w:pStyle w:val="TableContents"/>
              <w:bidi w:val="0"/>
              <w:spacing w:before="0" w:after="283"/>
              <w:jc w:val="both"/>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w:t>
            </w:r>
          </w:p>
        </w:tc>
        <w:tc>
          <w:tcPr>
            <w:tcW w:w="1353" w:type="dxa"/>
            <w:tcBorders/>
            <w:shd w:fill="FFFFFF" w:val="clear"/>
            <w:vAlign w:val="center"/>
          </w:tcPr>
          <w:p>
            <w:pPr>
              <w:pStyle w:val="TableContents"/>
              <w:bidi w:val="0"/>
              <w:spacing w:before="0" w:after="283"/>
              <w:jc w:val="right"/>
              <w:rPr/>
            </w:pPr>
            <w:r>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w:t>
            </w:r>
          </w:p>
        </w:tc>
        <w:tc>
          <w:tcPr>
            <w:tcW w:w="3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w:t>
            </w:r>
          </w:p>
        </w:tc>
        <w:tc>
          <w:tcPr>
            <w:tcW w:w="5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1,014</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pPr>
            <w:r>
              <w:rPr/>
              <w:t>Warrant liability- June Public Offering</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3,434</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4216" w:type="dxa"/>
            <w:tcBorders/>
            <w:shd w:fill="FFFFFF" w:val="clear"/>
            <w:vAlign w:val="center"/>
          </w:tcPr>
          <w:p>
            <w:pPr>
              <w:pStyle w:val="TableContents"/>
              <w:bidi w:val="0"/>
              <w:spacing w:before="0" w:after="283"/>
              <w:jc w:val="both"/>
              <w:rPr/>
            </w:pPr>
            <w:r>
              <w:rPr/>
              <w:t>Warrant liability- Private placement warrants</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4216"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4,463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4,463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2024 and 2023 because of the relatively short maturity of these instruments.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December 31, 2024 and 2023 approximates fair value as the interest rate does not differ significantly from the current market rates available to the Company for similar debt and is considered level 2.</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ON RECURRING BASIS USING SIGNIFICANT UNOBSERVABLE INPUTS  </w:t>
      </w:r>
    </w:p>
    <w:tbl>
      <w:tblPr>
        <w:tblW w:w="9833" w:type="dxa"/>
        <w:jc w:val="left"/>
        <w:tblInd w:w="0" w:type="dxa"/>
        <w:tblLayout w:type="fixed"/>
        <w:tblCellMar>
          <w:top w:w="0" w:type="dxa"/>
          <w:left w:w="0" w:type="dxa"/>
          <w:bottom w:w="0" w:type="dxa"/>
          <w:right w:w="0" w:type="dxa"/>
        </w:tblCellMar>
      </w:tblPr>
      <w:tblGrid>
        <w:gridCol w:w="3980"/>
        <w:gridCol w:w="60"/>
        <w:gridCol w:w="339"/>
        <w:gridCol w:w="1540"/>
        <w:gridCol w:w="95"/>
        <w:gridCol w:w="60"/>
        <w:gridCol w:w="655"/>
        <w:gridCol w:w="2994"/>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Warrant Liability – </w:t>
              <w:b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 June Public Offering</w:t>
            </w:r>
          </w:p>
        </w:tc>
        <w:tc>
          <w:tcPr>
            <w:tcW w:w="110" w:type="dxa"/>
            <w:tcBorders/>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b/>
              </w:rPr>
            </w:pPr>
            <w:r>
              <w:rPr>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w:t>
            </w:r>
          </w:p>
        </w:tc>
        <w:tc>
          <w:tcPr>
            <w:tcW w:w="2994" w:type="dxa"/>
            <w:tcBorders/>
            <w:shd w:fill="CCEEFF" w:val="cle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98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7,353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29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29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gain included in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2994" w:type="dxa"/>
            <w:tcBorders/>
            <w:shd w:fill="CCEEFF" w:val="clear"/>
            <w:vAlign w:val="center"/>
          </w:tcPr>
          <w:p>
            <w:pPr>
              <w:pStyle w:val="TableContents"/>
              <w:bidi w:val="0"/>
              <w:spacing w:before="0" w:after="283"/>
              <w:jc w:val="right"/>
              <w:rPr/>
            </w:pPr>
            <w:r>
              <w:rPr/>
              <w:t>(2,184</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39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Transfers from Level 3 to Level 2</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(3,883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94" w:type="dxa"/>
            <w:tcBorders>
              <w:bottom w:val="single" w:sz="8" w:space="0" w:color="000000"/>
            </w:tcBorders>
            <w:shd w:fill="FFFFFF" w:val="clear"/>
            <w:tcMar>
              <w:bottom w:w="28" w:type="dxa"/>
            </w:tcM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980" w:type="dxa"/>
            <w:tcBorders/>
            <w:shd w:fill="CCEEFF" w:val="clear"/>
            <w:vAlign w:val="center"/>
          </w:tcPr>
          <w:p>
            <w:pPr>
              <w:pStyle w:val="TableContents"/>
              <w:bidi w:val="0"/>
              <w:spacing w:before="0" w:after="283"/>
              <w:jc w:val="both"/>
              <w:rPr>
                <w:b/>
              </w:rPr>
            </w:pPr>
            <w:r>
              <w:rPr>
                <w:b/>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9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3980"/>
        <w:gridCol w:w="60"/>
        <w:gridCol w:w="294"/>
        <w:gridCol w:w="1585"/>
        <w:gridCol w:w="95"/>
        <w:gridCol w:w="60"/>
        <w:gridCol w:w="620"/>
        <w:gridCol w:w="3029"/>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Warrant Liability – </w:t>
              <w:b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 June Public Offering</w:t>
            </w:r>
          </w:p>
        </w:tc>
        <w:tc>
          <w:tcPr>
            <w:tcW w:w="110" w:type="dxa"/>
            <w:tcBorders/>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b/>
              </w:rPr>
            </w:pPr>
            <w:r>
              <w:rPr>
                <w:b/>
              </w:rPr>
              <w:t>Fair value as of January 1, 2023</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w:t>
            </w:r>
          </w:p>
        </w:tc>
        <w:tc>
          <w:tcPr>
            <w:tcW w:w="30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b/>
              </w:rPr>
            </w:pPr>
            <w:r>
              <w:rPr>
                <w:b/>
              </w:rPr>
              <w:t>Fair value, beginning balance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w:t>
            </w:r>
          </w:p>
        </w:tc>
        <w:tc>
          <w:tcPr>
            <w:tcW w:w="302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98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3029" w:type="dxa"/>
            <w:tcBorders/>
            <w:shd w:fill="FFFFFF" w:val="clear"/>
            <w:vAlign w:val="center"/>
          </w:tcPr>
          <w:p>
            <w:pPr>
              <w:pStyle w:val="TableContents"/>
              <w:bidi w:val="0"/>
              <w:spacing w:before="0" w:after="283"/>
              <w:jc w:val="right"/>
              <w:rPr/>
            </w:pPr>
            <w:r>
              <w:rPr/>
              <w:t>13,762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pPr>
            <w:r>
              <w:rPr/>
              <w:t>Warrant exercises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(11,284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3029" w:type="dxa"/>
            <w:tcBorders/>
            <w:shd w:fill="CCEEFF" w:val="cle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39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gain included in net loss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(19,241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29" w:type="dxa"/>
            <w:tcBorders>
              <w:bottom w:val="single" w:sz="8" w:space="0" w:color="000000"/>
            </w:tcBorders>
            <w:shd w:fill="FFFFFF" w:val="clear"/>
            <w:tcMar>
              <w:bottom w:w="28" w:type="dxa"/>
            </w:tcMar>
            <w:vAlign w:val="center"/>
          </w:tcPr>
          <w:p>
            <w:pPr>
              <w:pStyle w:val="TableContents"/>
              <w:bidi w:val="0"/>
              <w:spacing w:before="0" w:after="283"/>
              <w:jc w:val="right"/>
              <w:rPr/>
            </w:pPr>
            <w:r>
              <w:rPr/>
              <w:t>(9,711</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980" w:type="dxa"/>
            <w:tcBorders/>
            <w:shd w:fill="CCEEFF" w:val="clear"/>
            <w:vAlign w:val="center"/>
          </w:tcPr>
          <w:p>
            <w:pPr>
              <w:pStyle w:val="TableContents"/>
              <w:bidi w:val="0"/>
              <w:spacing w:before="0" w:after="283"/>
              <w:jc w:val="both"/>
              <w:rPr>
                <w:b/>
              </w:rPr>
            </w:pPr>
            <w:r>
              <w:rPr>
                <w:b/>
              </w:rPr>
              <w:t>Fair value as of December 31, 2023</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29" w:type="dxa"/>
            <w:tcBorders>
              <w:bottom w:val="double" w:sz="6" w:space="0" w:color="000000"/>
            </w:tcBorders>
            <w:shd w:fill="CCEEFF" w:val="clear"/>
            <w:tcMar>
              <w:bottom w:w="28" w:type="dxa"/>
            </w:tcM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980" w:type="dxa"/>
            <w:tcBorders/>
            <w:shd w:fill="CCEEFF" w:val="clear"/>
            <w:vAlign w:val="center"/>
          </w:tcPr>
          <w:p>
            <w:pPr>
              <w:pStyle w:val="TableContents"/>
              <w:bidi w:val="0"/>
              <w:spacing w:before="0" w:after="283"/>
              <w:jc w:val="both"/>
              <w:rPr>
                <w:b/>
              </w:rPr>
            </w:pPr>
            <w:r>
              <w:rPr>
                <w:b/>
              </w:rPr>
              <w:t>Fair value, ending balance</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29" w:type="dxa"/>
            <w:tcBorders>
              <w:bottom w:val="double" w:sz="6" w:space="0" w:color="000000"/>
            </w:tcBorders>
            <w:shd w:fill="CCEEFF" w:val="clear"/>
            <w:tcMar>
              <w:bottom w:w="28" w:type="dxa"/>
            </w:tcM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245"/>
        <w:gridCol w:w="23"/>
        <w:gridCol w:w="9395"/>
      </w:tblGrid>
      <w:tr>
        <w:trPr/>
        <w:tc>
          <w:tcPr>
            <w:tcW w:w="24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Changes in fair value of warrant liabilities are disclosed separately in the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205"/>
        <w:gridCol w:w="23"/>
        <w:gridCol w:w="9977"/>
      </w:tblGrid>
      <w:tr>
        <w:trPr/>
        <w:tc>
          <w:tcPr>
            <w:tcW w:w="20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7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Transfers of warrant liability fair market value reclassified from Level 3 to Level 2 due to utilizing Black Scholes calculation for fair value measurement across all warrant liabilities, which includes observable inputs (such as company stock price and comparable company volatility calculations) and more closely aligns with Level 2.</w:t>
            </w:r>
          </w:p>
        </w:tc>
      </w:tr>
    </w:tbl>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4 - INVENTORY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   </w:t>
      </w:r>
    </w:p>
    <w:tbl>
      <w:tblPr>
        <w:tblW w:w="5533" w:type="dxa"/>
        <w:jc w:val="left"/>
        <w:tblInd w:w="0" w:type="dxa"/>
        <w:tblLayout w:type="fixed"/>
        <w:tblCellMar>
          <w:top w:w="0" w:type="dxa"/>
          <w:left w:w="0" w:type="dxa"/>
          <w:bottom w:w="0" w:type="dxa"/>
          <w:right w:w="0" w:type="dxa"/>
        </w:tblCellMar>
      </w:tblPr>
      <w:tblGrid>
        <w:gridCol w:w="1490"/>
        <w:gridCol w:w="60"/>
        <w:gridCol w:w="321"/>
        <w:gridCol w:w="1573"/>
        <w:gridCol w:w="60"/>
        <w:gridCol w:w="60"/>
        <w:gridCol w:w="321"/>
        <w:gridCol w:w="1573"/>
        <w:gridCol w:w="75"/>
      </w:tblGrid>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75" w:type="dxa"/>
            <w:tcBorders/>
            <w:vAlign w:val="center"/>
          </w:tcPr>
          <w:p>
            <w:pPr>
              <w:pStyle w:val="TableContents"/>
              <w:bidi w:val="0"/>
              <w:spacing w:before="0" w:after="283"/>
              <w:ind w:left="0" w:right="0" w:hanging="10"/>
              <w:jc w:val="left"/>
              <w:rPr/>
            </w:pPr>
            <w:r>
              <w:rPr/>
              <w:t> </w:t>
            </w:r>
          </w:p>
        </w:tc>
      </w:tr>
      <w:tr>
        <w:trPr/>
        <w:tc>
          <w:tcPr>
            <w:tcW w:w="1490" w:type="dxa"/>
            <w:tcBorders/>
            <w:shd w:fill="CCEEFF" w:val="clear"/>
            <w:vAlign w:val="center"/>
          </w:tcPr>
          <w:p>
            <w:pPr>
              <w:pStyle w:val="TableContents"/>
              <w:bidi w:val="0"/>
              <w:spacing w:before="0" w:after="283"/>
              <w:jc w:val="both"/>
              <w:rPr/>
            </w:pPr>
            <w:r>
              <w:rPr/>
              <w:t>Raw material</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18,776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31,604</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1490" w:type="dxa"/>
            <w:tcBorders/>
            <w:shd w:fill="FFFFFF" w:val="clear"/>
            <w:vAlign w:val="center"/>
          </w:tcPr>
          <w:p>
            <w:pPr>
              <w:pStyle w:val="TableContents"/>
              <w:bidi w:val="0"/>
              <w:spacing w:before="0" w:after="283"/>
              <w:jc w:val="both"/>
              <w:rPr/>
            </w:pPr>
            <w:r>
              <w:rPr/>
              <w:t>Finished goods</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pPr>
            <w:r>
              <w:rPr/>
              <w:t>7,174</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1490" w:type="dxa"/>
            <w:tcBorders/>
            <w:shd w:fill="CCEEFF" w:val="clear"/>
            <w:vAlign w:val="center"/>
          </w:tcPr>
          <w:p>
            <w:pPr>
              <w:pStyle w:val="TableContents"/>
              <w:bidi w:val="0"/>
              <w:spacing w:before="0" w:after="283"/>
              <w:jc w:val="both"/>
              <w:rPr/>
            </w:pPr>
            <w:r>
              <w:rPr/>
              <w:t>Total inventory</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21,716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38,778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$111 to $309.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BREAKOUT OF OPERATING LEASES   </w:t>
      </w:r>
    </w:p>
    <w:tbl>
      <w:tblPr>
        <w:tblW w:w="8109" w:type="dxa"/>
        <w:jc w:val="left"/>
        <w:tblInd w:w="0" w:type="dxa"/>
        <w:tblLayout w:type="fixed"/>
        <w:tblCellMar>
          <w:top w:w="0" w:type="dxa"/>
          <w:left w:w="0" w:type="dxa"/>
          <w:bottom w:w="0" w:type="dxa"/>
          <w:right w:w="0" w:type="dxa"/>
        </w:tblCellMar>
      </w:tblPr>
      <w:tblGrid>
        <w:gridCol w:w="3755"/>
        <w:gridCol w:w="60"/>
        <w:gridCol w:w="315"/>
        <w:gridCol w:w="1579"/>
        <w:gridCol w:w="215"/>
        <w:gridCol w:w="60"/>
        <w:gridCol w:w="379"/>
        <w:gridCol w:w="1516"/>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19,737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3,315</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2,926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1,288</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22,588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pPr>
            <w:r>
              <w:rPr/>
              <w:t>2,234</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jc w:val="right"/>
              <w:rPr/>
            </w:pPr>
            <w:r>
              <w:rPr/>
              <w:t>25,514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pPr>
            <w:r>
              <w:rPr/>
              <w:t>3,522</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 years</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7.86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future minimum lease payments under these operating leases are as follows: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OPERATING LEASES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CCEEFF" w:val="clear"/>
            <w:vAlign w:val="center"/>
          </w:tcPr>
          <w:p>
            <w:pPr>
              <w:pStyle w:val="TableContents"/>
              <w:bidi w:val="0"/>
              <w:spacing w:before="0" w:after="283"/>
              <w:ind w:left="0" w:right="0" w:hanging="10"/>
              <w:jc w:val="both"/>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4,817</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December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4,376</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3,588</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December 31,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3,695</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3,443</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15,883</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35,802</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10,288</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25,514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w:t>
      </w:r>
    </w:p>
    <w:tbl>
      <w:tblPr>
        <w:tblW w:w="8171" w:type="dxa"/>
        <w:jc w:val="left"/>
        <w:tblInd w:w="0" w:type="dxa"/>
        <w:tblLayout w:type="fixed"/>
        <w:tblCellMar>
          <w:top w:w="0" w:type="dxa"/>
          <w:left w:w="0" w:type="dxa"/>
          <w:bottom w:w="28" w:type="dxa"/>
          <w:right w:w="0" w:type="dxa"/>
        </w:tblCellMar>
      </w:tblPr>
      <w:tblGrid>
        <w:gridCol w:w="1940"/>
        <w:gridCol w:w="60"/>
        <w:gridCol w:w="2570"/>
        <w:gridCol w:w="60"/>
        <w:gridCol w:w="319"/>
        <w:gridCol w:w="1278"/>
        <w:gridCol w:w="136"/>
        <w:gridCol w:w="136"/>
        <w:gridCol w:w="319"/>
        <w:gridCol w:w="1278"/>
        <w:gridCol w:w="75"/>
      </w:tblGrid>
      <w:tr>
        <w:trPr/>
        <w:tc>
          <w:tcPr>
            <w:tcW w:w="1940" w:type="dxa"/>
            <w:tcBorders>
              <w:bottom w:val="single" w:sz="8" w:space="0" w:color="000000"/>
            </w:tcBorders>
            <w:vAlign w:val="center"/>
          </w:tcPr>
          <w:p>
            <w:pPr>
              <w:pStyle w:val="TableContents"/>
              <w:bidi w:val="0"/>
              <w:spacing w:before="0" w:after="283"/>
              <w:jc w:val="both"/>
              <w:rPr/>
            </w:pPr>
            <w:r>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both"/>
              <w:rPr/>
            </w:pPr>
            <w:r>
              <w:rPr/>
              <w:t>Classification</w:t>
            </w:r>
          </w:p>
        </w:tc>
        <w:tc>
          <w:tcPr>
            <w:tcW w:w="60"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2024</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2023</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tcMar>
              <w:bottom w:w="0" w:type="dxa"/>
            </w:tcMar>
            <w:vAlign w:val="center"/>
          </w:tcPr>
          <w:p>
            <w:pPr>
              <w:pStyle w:val="TableContents"/>
              <w:bidi w:val="0"/>
              <w:spacing w:before="0" w:after="283"/>
              <w:jc w:val="center"/>
              <w:rPr/>
            </w:pPr>
            <w:r>
              <w:rPr/>
              <w:t>For The Years Ended December 31,</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8" w:space="0" w:color="000000"/>
            </w:tcBorders>
            <w:vAlign w:val="center"/>
          </w:tcPr>
          <w:p>
            <w:pPr>
              <w:pStyle w:val="TableContents"/>
              <w:bidi w:val="0"/>
              <w:spacing w:before="0" w:after="283"/>
              <w:jc w:val="both"/>
              <w:rPr/>
            </w:pPr>
            <w:r>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both"/>
              <w:rPr/>
            </w:pPr>
            <w:r>
              <w:rPr/>
              <w:t>Classification</w:t>
            </w:r>
          </w:p>
        </w:tc>
        <w:tc>
          <w:tcPr>
            <w:tcW w:w="60"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2024</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vAlign w:val="center"/>
          </w:tcPr>
          <w:p>
            <w:pPr>
              <w:pStyle w:val="TableContents"/>
              <w:bidi w:val="0"/>
              <w:spacing w:before="0" w:after="283"/>
              <w:jc w:val="center"/>
              <w:rPr/>
            </w:pPr>
            <w:r>
              <w:rPr/>
              <w:t>2023</w:t>
            </w:r>
          </w:p>
        </w:tc>
        <w:tc>
          <w:tcPr>
            <w:tcW w:w="75" w:type="dxa"/>
            <w:tcBorders/>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Operating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278" w:type="dxa"/>
            <w:tcBorders/>
            <w:shd w:fill="CCEEFF" w:val="clear"/>
            <w:tcMar>
              <w:bottom w:w="0" w:type="dxa"/>
            </w:tcMar>
            <w:vAlign w:val="center"/>
          </w:tcPr>
          <w:p>
            <w:pPr>
              <w:pStyle w:val="TableContents"/>
              <w:bidi w:val="0"/>
              <w:spacing w:before="0" w:after="283"/>
              <w:jc w:val="right"/>
              <w:rPr/>
            </w:pPr>
            <w:r>
              <w:rPr/>
              <w:t>1,579</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278" w:type="dxa"/>
            <w:tcBorders/>
            <w:shd w:fill="CCEEFF" w:val="clear"/>
            <w:tcMar>
              <w:bottom w:w="0" w:type="dxa"/>
            </w:tcMar>
            <w:vAlign w:val="center"/>
          </w:tcPr>
          <w:p>
            <w:pPr>
              <w:pStyle w:val="TableContents"/>
              <w:bidi w:val="0"/>
              <w:spacing w:before="0" w:after="283"/>
              <w:jc w:val="right"/>
              <w:rPr/>
            </w:pPr>
            <w:r>
              <w:rPr/>
              <w:t>1,393</w:t>
            </w:r>
          </w:p>
        </w:tc>
        <w:tc>
          <w:tcPr>
            <w:tcW w:w="75"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Operating lease cost</w:t>
            </w:r>
          </w:p>
        </w:tc>
        <w:tc>
          <w:tcPr>
            <w:tcW w:w="60" w:type="dxa"/>
            <w:tcBorders/>
            <w:shd w:fill="FFFFFF" w:val="clear"/>
            <w:tcMar>
              <w:bottom w:w="0" w:type="dxa"/>
            </w:tcMar>
            <w:vAlign w:val="center"/>
          </w:tcPr>
          <w:p>
            <w:pPr>
              <w:pStyle w:val="TableContents"/>
              <w:bidi w:val="0"/>
              <w:spacing w:before="0" w:after="283"/>
              <w:ind w:left="0" w:right="0" w:hanging="10"/>
              <w:jc w:val="left"/>
              <w:rPr/>
            </w:pPr>
            <w:r>
              <w:rPr/>
              <w:t> </w:t>
            </w:r>
          </w:p>
        </w:tc>
        <w:tc>
          <w:tcPr>
            <w:tcW w:w="2570" w:type="dxa"/>
            <w:tcBorders/>
            <w:shd w:fill="FFFFFF" w:val="clear"/>
            <w:tcMar>
              <w:bottom w:w="0" w:type="dxa"/>
            </w:tcMar>
            <w:vAlign w:val="center"/>
          </w:tcPr>
          <w:p>
            <w:pPr>
              <w:pStyle w:val="TableContents"/>
              <w:bidi w:val="0"/>
              <w:spacing w:before="0" w:after="283"/>
              <w:jc w:val="both"/>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520</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90</w:t>
            </w:r>
          </w:p>
        </w:tc>
        <w:tc>
          <w:tcPr>
            <w:tcW w:w="75"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Operating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2,291</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47</w:t>
            </w:r>
          </w:p>
        </w:tc>
        <w:tc>
          <w:tcPr>
            <w:tcW w:w="75"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Operating lease cost</w:t>
            </w:r>
          </w:p>
        </w:tc>
        <w:tc>
          <w:tcPr>
            <w:tcW w:w="60" w:type="dxa"/>
            <w:tcBorders/>
            <w:shd w:fill="FFFFFF" w:val="clear"/>
            <w:tcMar>
              <w:bottom w:w="0" w:type="dxa"/>
            </w:tcMar>
            <w:vAlign w:val="center"/>
          </w:tcPr>
          <w:p>
            <w:pPr>
              <w:pStyle w:val="TableContents"/>
              <w:bidi w:val="0"/>
              <w:spacing w:before="0" w:after="283"/>
              <w:ind w:left="0" w:right="0" w:hanging="10"/>
              <w:jc w:val="left"/>
              <w:rPr/>
            </w:pPr>
            <w:r>
              <w:rPr/>
              <w:t> </w:t>
            </w:r>
          </w:p>
        </w:tc>
        <w:tc>
          <w:tcPr>
            <w:tcW w:w="2570" w:type="dxa"/>
            <w:tcBorders/>
            <w:shd w:fill="FFFFFF" w:val="clear"/>
            <w:tcMar>
              <w:bottom w:w="0" w:type="dxa"/>
            </w:tcMar>
            <w:vAlign w:val="center"/>
          </w:tcPr>
          <w:p>
            <w:pPr>
              <w:pStyle w:val="TableContents"/>
              <w:bidi w:val="0"/>
              <w:spacing w:before="0" w:after="283"/>
              <w:jc w:val="both"/>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vAlign w:val="center"/>
          </w:tcPr>
          <w:p>
            <w:pPr>
              <w:pStyle w:val="TableContents"/>
              <w:bidi w:val="0"/>
              <w:spacing w:before="0" w:after="283"/>
              <w:jc w:val="left"/>
              <w:rPr/>
            </w:pPr>
            <w:r>
              <w:rPr/>
              <w:t> </w:t>
            </w:r>
          </w:p>
        </w:tc>
        <w:tc>
          <w:tcPr>
            <w:tcW w:w="1278" w:type="dxa"/>
            <w:tcBorders>
              <w:bottom w:val="double" w:sz="6" w:space="0" w:color="000000"/>
            </w:tcBorders>
            <w:shd w:fill="FFFFFF" w:val="clear"/>
            <w:vAlign w:val="center"/>
          </w:tcPr>
          <w:p>
            <w:pPr>
              <w:pStyle w:val="TableContents"/>
              <w:bidi w:val="0"/>
              <w:spacing w:before="0" w:after="283"/>
              <w:jc w:val="right"/>
              <w:rPr/>
            </w:pPr>
            <w:r>
              <w:rPr/>
              <w:t>47</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vAlign w:val="center"/>
          </w:tcPr>
          <w:p>
            <w:pPr>
              <w:pStyle w:val="TableContents"/>
              <w:bidi w:val="0"/>
              <w:spacing w:before="0" w:after="283"/>
              <w:jc w:val="left"/>
              <w:rPr/>
            </w:pPr>
            <w:r>
              <w:rPr/>
              <w:t> </w:t>
            </w:r>
          </w:p>
        </w:tc>
        <w:tc>
          <w:tcPr>
            <w:tcW w:w="1278" w:type="dxa"/>
            <w:tcBorders>
              <w:bottom w:val="double" w:sz="6" w:space="0" w:color="000000"/>
            </w:tcBorders>
            <w:shd w:fill="FFFFFF" w:val="clear"/>
            <w:vAlign w:val="center"/>
          </w:tcPr>
          <w:p>
            <w:pPr>
              <w:pStyle w:val="TableContents"/>
              <w:bidi w:val="0"/>
              <w:spacing w:before="0" w:after="283"/>
              <w:jc w:val="right"/>
              <w:rPr/>
            </w:pPr>
            <w:r>
              <w:rPr/>
              <w:t>47</w:t>
            </w:r>
          </w:p>
        </w:tc>
        <w:tc>
          <w:tcPr>
            <w:tcW w:w="75"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Total lease cost</w:t>
            </w:r>
          </w:p>
        </w:tc>
        <w:tc>
          <w:tcPr>
            <w:tcW w:w="60" w:type="dxa"/>
            <w:tcBorders/>
            <w:shd w:fill="CCEEFF" w:val="clear"/>
            <w:tcMar>
              <w:bottom w:w="0" w:type="dxa"/>
            </w:tcMar>
            <w:vAlign w:val="center"/>
          </w:tcPr>
          <w:p>
            <w:pPr>
              <w:pStyle w:val="TableContents"/>
              <w:bidi w:val="0"/>
              <w:spacing w:before="0" w:after="283"/>
              <w:ind w:left="0" w:right="0" w:hanging="10"/>
              <w:jc w:val="left"/>
              <w:rPr/>
            </w:pPr>
            <w:r>
              <w:rPr/>
              <w:t> </w:t>
            </w:r>
          </w:p>
        </w:tc>
        <w:tc>
          <w:tcPr>
            <w:tcW w:w="257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CCEEFF" w:val="clear"/>
            <w:vAlign w:val="center"/>
          </w:tcPr>
          <w:p>
            <w:pPr>
              <w:pStyle w:val="TableContents"/>
              <w:bidi w:val="0"/>
              <w:spacing w:before="0" w:after="283"/>
              <w:jc w:val="left"/>
              <w:rPr/>
            </w:pPr>
            <w:r>
              <w:rPr/>
              <w:t>$</w:t>
            </w:r>
          </w:p>
        </w:tc>
        <w:tc>
          <w:tcPr>
            <w:tcW w:w="1278" w:type="dxa"/>
            <w:tcBorders>
              <w:bottom w:val="double" w:sz="6" w:space="0" w:color="000000"/>
            </w:tcBorders>
            <w:shd w:fill="CCEEFF" w:val="clear"/>
            <w:vAlign w:val="center"/>
          </w:tcPr>
          <w:p>
            <w:pPr>
              <w:pStyle w:val="TableContents"/>
              <w:bidi w:val="0"/>
              <w:spacing w:before="0" w:after="283"/>
              <w:jc w:val="right"/>
              <w:rPr/>
            </w:pPr>
            <w:r>
              <w:rPr/>
              <w:t>4,437</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319" w:type="dxa"/>
            <w:tcBorders>
              <w:bottom w:val="double" w:sz="6" w:space="0" w:color="000000"/>
            </w:tcBorders>
            <w:shd w:fill="CCEEFF" w:val="clear"/>
            <w:vAlign w:val="center"/>
          </w:tcPr>
          <w:p>
            <w:pPr>
              <w:pStyle w:val="TableContents"/>
              <w:bidi w:val="0"/>
              <w:spacing w:before="0" w:after="283"/>
              <w:jc w:val="left"/>
              <w:rPr/>
            </w:pPr>
            <w:r>
              <w:rPr/>
              <w:t>$</w:t>
            </w:r>
          </w:p>
        </w:tc>
        <w:tc>
          <w:tcPr>
            <w:tcW w:w="1278" w:type="dxa"/>
            <w:tcBorders>
              <w:bottom w:val="double" w:sz="6" w:space="0" w:color="000000"/>
            </w:tcBorders>
            <w:shd w:fill="CCEEFF" w:val="clear"/>
            <w:vAlign w:val="center"/>
          </w:tcPr>
          <w:p>
            <w:pPr>
              <w:pStyle w:val="TableContents"/>
              <w:bidi w:val="0"/>
              <w:spacing w:before="0" w:after="283"/>
              <w:jc w:val="right"/>
              <w:rPr/>
            </w:pPr>
            <w:r>
              <w:rPr/>
              <w:t>1,577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finance lease agreements for equipment to support the Company’s operations. Payments under the finance lease agreements are fixed for a term of 3-5 years. The leased assets are recognized in property plant &amp; equipment.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BREAKOUT OF FINANCE LEASES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sz w:val="20"/>
        </w:rPr>
        <w:t>  </w:t>
      </w:r>
    </w:p>
    <w:tbl>
      <w:tblPr>
        <w:tblW w:w="8108" w:type="dxa"/>
        <w:jc w:val="left"/>
        <w:tblInd w:w="0" w:type="dxa"/>
        <w:tblLayout w:type="fixed"/>
        <w:tblCellMar>
          <w:top w:w="0" w:type="dxa"/>
          <w:left w:w="0" w:type="dxa"/>
          <w:bottom w:w="0" w:type="dxa"/>
          <w:right w:w="0" w:type="dxa"/>
        </w:tblCellMar>
      </w:tblPr>
      <w:tblGrid>
        <w:gridCol w:w="3755"/>
        <w:gridCol w:w="60"/>
        <w:gridCol w:w="419"/>
        <w:gridCol w:w="1475"/>
        <w:gridCol w:w="215"/>
        <w:gridCol w:w="60"/>
        <w:gridCol w:w="457"/>
        <w:gridCol w:w="1437"/>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pPr>
            <w:r>
              <w:rPr/>
              <w:t>110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7"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 years</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437" w:type="dxa"/>
            <w:tcBorders/>
            <w:shd w:fill="FFFFFF" w:val="clear"/>
            <w:vAlign w:val="center"/>
          </w:tcPr>
          <w:p>
            <w:pPr>
              <w:pStyle w:val="TableContents"/>
              <w:bidi w:val="0"/>
              <w:spacing w:before="0" w:after="283"/>
              <w:jc w:val="right"/>
              <w:rPr/>
            </w:pPr>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future minimum lease payments under these financing leases are as follows: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FINANCE LEASES   </w:t>
      </w:r>
    </w:p>
    <w:tbl>
      <w:tblPr>
        <w:tblW w:w="3555" w:type="dxa"/>
        <w:jc w:val="left"/>
        <w:tblInd w:w="0" w:type="dxa"/>
        <w:tblLayout w:type="fixed"/>
        <w:tblCellMar>
          <w:top w:w="0" w:type="dxa"/>
          <w:left w:w="0" w:type="dxa"/>
          <w:bottom w:w="0" w:type="dxa"/>
          <w:right w:w="0" w:type="dxa"/>
        </w:tblCellMar>
      </w:tblPr>
      <w:tblGrid>
        <w:gridCol w:w="2900"/>
        <w:gridCol w:w="60"/>
        <w:gridCol w:w="140"/>
        <w:gridCol w:w="380"/>
        <w:gridCol w:w="75"/>
      </w:tblGrid>
      <w:tr>
        <w:trPr/>
        <w:tc>
          <w:tcPr>
            <w:tcW w:w="2900" w:type="dxa"/>
            <w:tcBorders/>
            <w:shd w:fill="CCEEFF" w:val="clear"/>
            <w:vAlign w:val="center"/>
          </w:tcPr>
          <w:p>
            <w:pPr>
              <w:pStyle w:val="TableContents"/>
              <w:bidi w:val="0"/>
              <w:spacing w:before="0" w:after="283"/>
              <w:ind w:left="0" w:right="0" w:hanging="10"/>
              <w:jc w:val="both"/>
              <w:rPr/>
            </w:pPr>
            <w:r>
              <w:rPr/>
              <w:t>Fiscal Years Ending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December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December 31,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December 31, 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290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2900" w:type="dxa"/>
            <w:tcBorders/>
            <w:shd w:fill="CCEEFF" w:val="clear"/>
            <w:vAlign w:val="center"/>
          </w:tcPr>
          <w:p>
            <w:pPr>
              <w:pStyle w:val="TableContents"/>
              <w:bidi w:val="0"/>
              <w:spacing w:before="0" w:after="283"/>
              <w:jc w:val="both"/>
              <w:rPr/>
            </w:pPr>
            <w:r>
              <w:rPr/>
              <w:t>Total financing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an outstanding term loan under a Term Loan, Guarantee and Security Agreement (the “Term Loan Agreement”), dated October 7, 2022, with EICF Agent LLC, as agent, and certain lenders. The Term Loan matures on October 7, 2027 and amortizes at a rate of 5% per annum beginning in October 2024. During the year ended December 31, 2023, the Company prepaid the first four required quarterly installments totaling $5,275, which deferred the commencement of principal payments to October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amendments, the Term Loan accrues interest based on the Company’s senior leverage ratio. From inception through September 30, 2024, interest accrued at a per annum rate equal to adjusted SOFR (subject to a floor of 1.0%) plus 7.0% payable in cash, plus an additional 4.5% to 6.5% payable in kind (“PIK”), depending on the Company’s senior leverage ratio. Effective April 1, 2024, interest payable to lenders subject to the regulations of the U.S. Small Business Administration (with $30,846 of principal outstanding as of that date) is limited to 14.0% per annum, excluding default interest permitted under applicable SBA regulations. From October 1, 2024 through March 31, 2025, interest on the non-SBA regulated portion continued to accrue at adjusted SOFR plus 7.0% payable in cash, and 4.5% to 6.5% payable in kind. Beginning April 1, 2025, interest on all outstanding balances will be payable entirely in cash, at a rate equal to adjusted SOFR plus a margin ranging from 11.5% to 13.5%, depending on the Company’s senior leverage ratio.</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the Company recognized interest expense of $13,999 and $14,272, respectively. Amortization of debt issuance costs amounted to $7,241 and $1,471, respectively, for the same periods. As of December 31, 2024, the carrying value of the Term Loan was $29,646, consisting of $69,974 in principal and $15,938 in capitalized PIK interest, net of $56,266 in unamortized debt discount. As of December 31, 2023, the carrying value was $19,683, consisting of $69,725 in principal and $6,130 in capitalized PIK interest, net of $56,172 in unamortized debt discount.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Term Loan Agreement are secured by a first-priority lien on substantially all of the Company’s assets, including certain mortgaged properties.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original execution of the Term Loan Agreement, the Company entered into several amendments which modified certain terms of the facility, including, but not limited to, interest rate mechanics, the timing of principal payments, and certain financial and operational covenants. These amendments were in effect as of December 31, 2024, and the terms described above reflect the terms of the agreement as originally issued. See below for further discussion of the amendments.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283,334 shares of the Company’s common stock, par value $0.0001 per share (the “May 2024 Penny Warrant Shares”). The May 2024 Penny Warrants have an exercise price of $0.09 per share, were valued at $3,022,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entered into a Limited Waiver and First Amendment (the “Term Loan Amendment” and, together with the Term Loan Agreement, the “Term Loan Agreement”) to the Term Loan with the lenders in regards to its compliance with the Tests as of the last day of the quarter ended June 30, 2024 and certain amendments to the Term Loan. The Term Loan Amendment provided for a one-time issuance of Penny Warrants to purchase up to 233,334 shares of the Company’s Common Stock at an exercise price of $0.09 per share (the “June 2024 Penny Warrants”), valued at $1,767 and recorded as a debt discount. The June 2024 Penny Warrants were issued in connection with the lenders’ agreement to waive the Tests under the Term Loan for the quarter ended June30, 2024 and to amend the Term Loan. The June 2024 Penny Warrants are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occurred on July 1, 2024 to be solely payable-in-kind.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the Company, Legacy Dragonfly and Battle Born LLC entered into a Limited Waiver, Consent and Second Amendment (the “Second Amendment”) to Term Loan.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a Joinder Agreement with the Term Lenders whereby Battle Born LLC became a guarantor and credit party to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333,334 shares of the Company’s Common Stock at an exercise price of $0.09 per share (the “September 2024 Penny Warrant Shares”, collectively with the Original Penny Warrants, the May 2024 Penny Warrants and the June 2024 Penny Warrants, the “Penny Warrant Shares”), valued at $1,576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a Limited Waiver and Fourth Amendment (the “Fourth Amendment”, together with the Original Term Loan Agreement, the First Amendment, the Second Amendment, and the Third Amendment the “Term Loan Agreement”) to the Term Loan Agreement with the Term Loan Lenders in regards to its compliance with the Tests as of the last day of the quarter ended December 31, 2024 and certain amendments to the Term Loan Agreement. The Fourth Amendment provided for a one-time issuance of penny warrants (the “December 2024 Penny Warrants”, collectively with the Original Penny Warrants, the May 2024 Penny Warrants, the June 2024 Penny Warrants and the September 2024 Penny Warrants, the “Penny Warrants”) to purchase up to 350,000 shares of the Company’s Common Stock at an exercise price of $0.01 per share (the “December 2024 Penny Warrant Shares”, collectively with the Original Penny Warrants, the May 2024 Penny Warrants, the June 2024 Penny Warrants and the September 2024 Penny Warrants, the “Penny Warrant Shares”), valued at $971 and recorded as a debt discount. The December 2024 Penny Warrants were issued in connection with the Term Loan Lenders’ agreement to waive the Tests under the Term Loan for the quarter ended December 31, 2024 and to amend the Term Loan Agreement. The December 2024 Penny Warrants will be exercisable at such time that the Company obtain the Warrant Issuance Shareholder Approval (as defined below)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November 30, 2024, as applicable.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subsequent to the current year ended December 31, 2024, in connection with the Securities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 As a result, the debt now qualifies for long-term classification.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future debt maturities are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DEBT MATURITIES </w:t>
      </w:r>
    </w:p>
    <w:tbl>
      <w:tblPr>
        <w:tblW w:w="4775" w:type="dxa"/>
        <w:jc w:val="left"/>
        <w:tblInd w:w="0" w:type="dxa"/>
        <w:tblLayout w:type="fixed"/>
        <w:tblCellMar>
          <w:top w:w="0" w:type="dxa"/>
          <w:left w:w="0" w:type="dxa"/>
          <w:bottom w:w="28" w:type="dxa"/>
          <w:right w:w="0" w:type="dxa"/>
        </w:tblCellMar>
      </w:tblPr>
      <w:tblGrid>
        <w:gridCol w:w="3665"/>
        <w:gridCol w:w="60"/>
        <w:gridCol w:w="140"/>
        <w:gridCol w:w="800"/>
        <w:gridCol w:w="110"/>
      </w:tblGrid>
      <w:tr>
        <w:trPr/>
        <w:tc>
          <w:tcPr>
            <w:tcW w:w="3665" w:type="dxa"/>
            <w:tcBorders>
              <w:bottom w:val="single" w:sz="8" w:space="0" w:color="000000"/>
            </w:tcBorders>
            <w:vAlign w:val="center"/>
          </w:tcPr>
          <w:p>
            <w:pPr>
              <w:pStyle w:val="TableContents"/>
              <w:bidi w:val="0"/>
              <w:spacing w:before="0" w:after="283"/>
              <w:jc w:val="both"/>
              <w:rPr/>
            </w:pPr>
            <w:r>
              <w:rPr/>
              <w:t>For Year Ended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ind w:left="0" w:right="0" w:hanging="10"/>
              <w:jc w:val="left"/>
              <w:rPr/>
            </w:pPr>
            <w:r>
              <w:rPr/>
              <w:t> </w:t>
            </w:r>
          </w:p>
        </w:tc>
      </w:tr>
      <w:tr>
        <w:trPr/>
        <w:tc>
          <w:tcPr>
            <w:tcW w:w="3665" w:type="dxa"/>
            <w:tcBorders/>
            <w:shd w:fill="CCEEFF" w:val="clear"/>
            <w:tcMar>
              <w:bottom w:w="0" w:type="dxa"/>
            </w:tcMar>
            <w:vAlign w:val="center"/>
          </w:tcPr>
          <w:p>
            <w:pPr>
              <w:pStyle w:val="TableContents"/>
              <w:bidi w:val="0"/>
              <w:spacing w:before="0" w:after="283"/>
              <w:jc w:val="both"/>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FFFFFF" w:val="clear"/>
            <w:tcMar>
              <w:bottom w:w="0" w:type="dxa"/>
            </w:tcMar>
            <w:vAlign w:val="center"/>
          </w:tcPr>
          <w:p>
            <w:pPr>
              <w:pStyle w:val="TableContents"/>
              <w:bidi w:val="0"/>
              <w:spacing w:before="0" w:after="283"/>
              <w:jc w:val="both"/>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2,813</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98,342</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FFFFFF" w:val="clear"/>
            <w:tcMar>
              <w:bottom w:w="0" w:type="dxa"/>
            </w:tcMar>
            <w:vAlign w:val="center"/>
          </w:tcPr>
          <w:p>
            <w:pPr>
              <w:pStyle w:val="TableContents"/>
              <w:bidi w:val="0"/>
              <w:spacing w:before="0" w:after="283"/>
              <w:jc w:val="both"/>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101,155</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CCEEFF" w:val="clear"/>
            <w:tcMar>
              <w:bottom w:w="0" w:type="dxa"/>
            </w:tcMar>
            <w:vAlign w:val="center"/>
          </w:tcPr>
          <w:p>
            <w:pPr>
              <w:pStyle w:val="TableContents"/>
              <w:bidi w:val="0"/>
              <w:spacing w:before="0" w:after="283"/>
              <w:jc w:val="both"/>
              <w:rPr/>
            </w:pPr>
            <w:r>
              <w:rPr/>
              <w:t>Less: Estimated interest paid-in-kind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(15,243</w:t>
            </w:r>
          </w:p>
        </w:tc>
        <w:tc>
          <w:tcPr>
            <w:tcW w:w="110" w:type="dxa"/>
            <w:tcBorders/>
            <w:shd w:fill="CCEEFF" w:val="clear"/>
            <w:tcMar>
              <w:bottom w:w="0" w:type="dxa"/>
            </w:tcMar>
            <w:vAlign w:val="center"/>
          </w:tcPr>
          <w:p>
            <w:pPr>
              <w:pStyle w:val="TableContents"/>
              <w:bidi w:val="0"/>
              <w:spacing w:before="0" w:after="283"/>
              <w:ind w:left="0" w:right="0" w:hanging="10"/>
              <w:jc w:val="left"/>
              <w:rPr/>
            </w:pPr>
            <w:r>
              <w:rPr/>
              <w:t>)</w:t>
            </w:r>
          </w:p>
        </w:tc>
      </w:tr>
      <w:tr>
        <w:trPr/>
        <w:tc>
          <w:tcPr>
            <w:tcW w:w="3665" w:type="dxa"/>
            <w:tcBorders/>
            <w:shd w:fill="FFFFFF" w:val="clear"/>
            <w:tcMar>
              <w:bottom w:w="0" w:type="dxa"/>
            </w:tcMar>
            <w:vAlign w:val="center"/>
          </w:tcPr>
          <w:p>
            <w:pPr>
              <w:pStyle w:val="TableContents"/>
              <w:bidi w:val="0"/>
              <w:spacing w:before="0" w:after="283"/>
              <w:jc w:val="both"/>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85,912</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CCEEFF" w:val="clear"/>
            <w:tcMar>
              <w:bottom w:w="0" w:type="dxa"/>
            </w:tcMar>
            <w:vAlign w:val="center"/>
          </w:tcPr>
          <w:p>
            <w:pPr>
              <w:pStyle w:val="TableContents"/>
              <w:bidi w:val="0"/>
              <w:spacing w:before="0" w:after="283"/>
              <w:jc w:val="both"/>
              <w:rPr/>
            </w:pPr>
            <w:r>
              <w:rPr/>
              <w:t>Less: Unamortized debt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(56,266</w:t>
            </w:r>
          </w:p>
        </w:tc>
        <w:tc>
          <w:tcPr>
            <w:tcW w:w="110" w:type="dxa"/>
            <w:tcBorders/>
            <w:shd w:fill="CCEEFF" w:val="clear"/>
            <w:tcMar>
              <w:bottom w:w="0" w:type="dxa"/>
            </w:tcMar>
            <w:vAlign w:val="center"/>
          </w:tcPr>
          <w:p>
            <w:pPr>
              <w:pStyle w:val="TableContents"/>
              <w:bidi w:val="0"/>
              <w:spacing w:before="0" w:after="283"/>
              <w:ind w:left="0" w:right="0" w:hanging="10"/>
              <w:jc w:val="left"/>
              <w:rPr/>
            </w:pPr>
            <w:r>
              <w:rPr/>
              <w:t>)</w:t>
            </w:r>
          </w:p>
        </w:tc>
      </w:tr>
      <w:tr>
        <w:trPr/>
        <w:tc>
          <w:tcPr>
            <w:tcW w:w="3665" w:type="dxa"/>
            <w:tcBorders/>
            <w:shd w:fill="FFFFFF" w:val="clear"/>
            <w:tcMar>
              <w:bottom w:w="0" w:type="dxa"/>
            </w:tcMar>
            <w:vAlign w:val="center"/>
          </w:tcPr>
          <w:p>
            <w:pPr>
              <w:pStyle w:val="TableContents"/>
              <w:bidi w:val="0"/>
              <w:spacing w:before="0" w:after="283"/>
              <w:jc w:val="both"/>
              <w:rPr/>
            </w:pPr>
            <w:r>
              <w:rPr/>
              <w:t>Total carrying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29,646</w:t>
            </w:r>
          </w:p>
        </w:tc>
        <w:tc>
          <w:tcPr>
            <w:tcW w:w="110" w:type="dxa"/>
            <w:tcBorders/>
            <w:shd w:fill="FFFF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CCEEFF" w:val="clear"/>
            <w:tcMar>
              <w:bottom w:w="0" w:type="dxa"/>
            </w:tcMar>
            <w:vAlign w:val="center"/>
          </w:tcPr>
          <w:p>
            <w:pPr>
              <w:pStyle w:val="TableContents"/>
              <w:bidi w:val="0"/>
              <w:spacing w:before="0" w:after="283"/>
              <w:jc w:val="both"/>
              <w:rPr/>
            </w:pPr>
            <w:r>
              <w:rPr/>
              <w:t>Less: Current portion of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10"/>
              <w:jc w:val="left"/>
              <w:rPr/>
            </w:pPr>
            <w:r>
              <w:rPr/>
              <w:t> </w:t>
            </w:r>
          </w:p>
        </w:tc>
      </w:tr>
      <w:tr>
        <w:trPr/>
        <w:tc>
          <w:tcPr>
            <w:tcW w:w="3665" w:type="dxa"/>
            <w:tcBorders/>
            <w:shd w:fill="FFFFFF" w:val="clear"/>
            <w:tcMar>
              <w:bottom w:w="0" w:type="dxa"/>
            </w:tcMar>
            <w:vAlign w:val="center"/>
          </w:tcPr>
          <w:p>
            <w:pPr>
              <w:pStyle w:val="TableContents"/>
              <w:bidi w:val="0"/>
              <w:spacing w:before="0" w:after="283"/>
              <w:jc w:val="both"/>
              <w:rPr/>
            </w:pPr>
            <w:r>
              <w:rPr/>
              <w:t>Total 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29,646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7 - ASSET PURCHASE AGREEMENT</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has recognized $2,000 of compensation expense, respectively, in connection with this arrangement. This expense is reflected in the statement of operations under Sales and marketing expense. The total amount was recognized as compensation expense as of December 31, 2023, since it was deemed earned and no further service performance was required.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8 - LICENSE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$5,000 and will make additional mid-single digit royalty payments to be paid based on net sales to be paid quarterly utilizing the licensed trademarks, with total royalties capped at $25,000.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$5,000 initial licensing fee is being recognized as revenue on a straight-line basis over five years, which reflects the period over which the Company expects to satisfy its performance obligations and the customer is expected to benefit from the license. For the year ended December 31, 2024, the Company has recorded $417 in revenue related to the amortization of the License Agreement and no royalty payments have been received or earned. As of December 31, 2024, the Company has recorded $1,000 in short term deferred revenue and $3,583 in long-term deferred revenue related to the license agreement.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9 - RELATED PARTY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11,111 options and 8,480 options expired.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$103.50 per share. No fractional shares will be issued upon exercise of the Public Warrants. The Company may elect to redeem the Public Warrants subject to certain conditions, in whole and not in part, at a price of $0.09 per Public Warrant if (i) 30 days’ prior written notice of redemption is provided to the holders, and (ii) the last reported sale price of the Company’s common stock equals or exceeds $144.00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1,054,167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there were 1,046,948 Public Warrants issued and outstanding.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public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received proceeds from public warrant exercises of $747 in exchange for 7,219 common shares.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underwriting agreement as further described in Note 11 of the financial statements, (the “June 2023 Offering”) the Company issued (i) underwriters warrants to purchase up to an aggregate of 63,362 shares of Common Stock (the “Underwriters’ Warrants”) which are exercisable upon issuance and will expire on June 20, 2028. The initial exercise price of the Underwriters’ Warrants is $22.50 per share, which equals 125% of the per share public offering price in the June 2023 Offering and (ii) warrants to purchase up to 1,111,111 shares of Common Stock to the investors in the offering together with shares of Common Stock (the “Investor Warrants”), at the combined public offering price of $18.00 per share of Common Stock and accompanying Investor Warrant, less underwriting discounts and commissions.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underwriters a 45-day over-allotment option to purchase up to an additional 166,667 shares of Common Stock and/or Investor Warrants to purchase up to 166,667 shares of Common Stock at the public offering price per security, less underwriting discounts and commissions. The underwriters exercised their over-allotment option to purchase an additional 156,112 shares of Common Stock and Investor Warrants to purchase up to 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UNDERWRITER WARRANTS</w:t>
      </w:r>
    </w:p>
    <w:tbl>
      <w:tblPr>
        <w:tblW w:w="8034" w:type="dxa"/>
        <w:jc w:val="left"/>
        <w:tblInd w:w="0" w:type="dxa"/>
        <w:tblLayout w:type="fixed"/>
        <w:tblCellMar>
          <w:top w:w="0" w:type="dxa"/>
          <w:left w:w="0" w:type="dxa"/>
          <w:bottom w:w="0" w:type="dxa"/>
          <w:right w:w="0" w:type="dxa"/>
        </w:tblCellMar>
      </w:tblPr>
      <w:tblGrid>
        <w:gridCol w:w="5480"/>
        <w:gridCol w:w="60"/>
        <w:gridCol w:w="195"/>
        <w:gridCol w:w="2224"/>
        <w:gridCol w:w="75"/>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8"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ind w:left="0" w:right="0" w:hanging="10"/>
              <w:jc w:val="left"/>
              <w:rPr/>
            </w:pPr>
            <w:r>
              <w:rPr/>
              <w:t> </w:t>
            </w:r>
          </w:p>
        </w:tc>
      </w:tr>
      <w:tr>
        <w:trPr/>
        <w:tc>
          <w:tcPr>
            <w:tcW w:w="5480" w:type="dxa"/>
            <w:tcBorders/>
            <w:shd w:fill="CCEEFF" w:val="clear"/>
            <w:vAlign w:val="center"/>
          </w:tcPr>
          <w:p>
            <w:pPr>
              <w:pStyle w:val="TableContents"/>
              <w:bidi w:val="0"/>
              <w:spacing w:before="0" w:after="283"/>
              <w:jc w:val="both"/>
              <w:rPr/>
            </w:pPr>
            <w:r>
              <w:rPr/>
              <w:t>Underwriters’ Warrants Outstanding, January 1, 2023</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5480" w:type="dxa"/>
            <w:tcBorders/>
            <w:shd w:fill="FFFFFF" w:val="clear"/>
            <w:vAlign w:val="center"/>
          </w:tcPr>
          <w:p>
            <w:pPr>
              <w:pStyle w:val="TableContents"/>
              <w:bidi w:val="0"/>
              <w:spacing w:before="0" w:after="283"/>
              <w:jc w:val="both"/>
              <w:rPr/>
            </w:pPr>
            <w:r>
              <w:rPr/>
              <w:t>Underwriters’ Warrants issued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pPr>
            <w:r>
              <w:rPr/>
              <w:t>63,362</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5480" w:type="dxa"/>
            <w:tcBorders/>
            <w:shd w:fill="CCEEFF" w:val="clear"/>
            <w:vAlign w:val="center"/>
          </w:tcPr>
          <w:p>
            <w:pPr>
              <w:pStyle w:val="TableContents"/>
              <w:bidi w:val="0"/>
              <w:spacing w:before="0" w:after="283"/>
              <w:jc w:val="both"/>
              <w:rPr/>
            </w:pPr>
            <w:r>
              <w:rPr/>
              <w:t>Underwriters’ Warrants Outstanding, December 31, 2023</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5480" w:type="dxa"/>
            <w:tcBorders/>
            <w:shd w:fill="CCEEFF" w:val="clear"/>
            <w:vAlign w:val="center"/>
          </w:tcPr>
          <w:p>
            <w:pPr>
              <w:pStyle w:val="TableContents"/>
              <w:bidi w:val="0"/>
              <w:spacing w:before="0" w:after="283"/>
              <w:jc w:val="both"/>
              <w:rPr/>
            </w:pPr>
            <w:r>
              <w:rPr/>
              <w:t>Underwriters’ Warrants Outstanding, Beginning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5480" w:type="dxa"/>
            <w:tcBorders/>
            <w:shd w:fill="FFFFFF" w:val="clear"/>
            <w:vAlign w:val="center"/>
          </w:tcPr>
          <w:p>
            <w:pPr>
              <w:pStyle w:val="TableContents"/>
              <w:bidi w:val="0"/>
              <w:spacing w:before="0" w:after="283"/>
              <w:jc w:val="both"/>
              <w:rPr/>
            </w:pPr>
            <w:r>
              <w:rPr/>
              <w:t>Underwriters’ Warrants issued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5480" w:type="dxa"/>
            <w:tcBorders/>
            <w:shd w:fill="CCEEFF" w:val="clear"/>
            <w:vAlign w:val="center"/>
          </w:tcPr>
          <w:p>
            <w:pPr>
              <w:pStyle w:val="TableContents"/>
              <w:bidi w:val="0"/>
              <w:spacing w:before="0" w:after="283"/>
              <w:jc w:val="both"/>
              <w:rPr/>
            </w:pPr>
            <w:r>
              <w:rPr/>
              <w:t>Underwriters’ Warrants Outstanding,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5480" w:type="dxa"/>
            <w:tcBorders/>
            <w:shd w:fill="CCEEFF" w:val="clear"/>
            <w:vAlign w:val="center"/>
          </w:tcPr>
          <w:p>
            <w:pPr>
              <w:pStyle w:val="TableContents"/>
              <w:bidi w:val="0"/>
              <w:spacing w:before="0" w:after="283"/>
              <w:jc w:val="both"/>
              <w:rPr/>
            </w:pPr>
            <w:r>
              <w:rPr/>
              <w:t>Underwriters’ Warrants Outstanding, Ending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pPr>
            <w:r>
              <w:rPr/>
              <w:t>63,362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347,386 warrants on a cashless basis, with the Company agreeing to issue 122,222 shares of Common Stock in connection with such exercise. There were 166,821 private warrants outstanding as of December 31, 2024 and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10" w:right="0" w:hanging="10"/>
        <w:jc w:val="center"/>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Private Placement Warrants (Continued)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on October 7, 2022, and as a required term and condition thereof, the Company issued (i) the penny warrants to the Term Loan Lenders exercisable to purchase an aggregate of 288,118 shares of Common Stock (the “Original Penny Warrants”) and (ii) the $90.00 warrants to issue warrants to the Term Loan Lenders exercisable to purchase an aggregate of 177,778 shares of Common Stock at $90 per share (the “$10 Warrants” and, together with the Original Penny Warrants, the “Term Loan Warrants”). The $10 Warrants were exercised on a cashless basis on October 10, 2022, with the Company issuing 50,794 shares of Common Stock in connection with such exercise. During the year ended December 31, 2023, Original Penny Warrant holders exercised 222,223 warrants on a cashless basis, with the Company agreeing to issue 221,814 shares of Common Stock in connection with such exercise. During the year ended December 31, 2023 the Company issued additional Original Penny Warrants to purchase 532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142,964 shares of its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received the May 2024 Waiver in regards to its compliance with the Tests as of the last day of the quarter ended March 31, 2024. The May 2024 Waiver provided for a one-time issuance of the May 2024 Penny Warrants to purchase up to 283,334 shares of the Company’s common stock,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233,334 shares of the Company’s common stock, at an exercise price of $0.09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333,334 shares of the Company’s Common Stock, at an exercise price of $0.09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350,000 shares of the Company’s Common Stock, at an exercise price of $0.01 per share, in connection with the Term Loan Lenders agreement to waive the Tests under the Term Loan for the quarter ended December 31, 2024 and to amend the Term Loan. During the year ended December 31, 2024 the Company issued additional Original Penny Warrants to purchase 2,754 shares of Common Stock to the Term Loan Lenders in accordance with the anti-dilution provisions of the original penny warrants with respect to certain sales made by the Company under the ChEF Equity Facility. The December 2024 Penny Warrants will be exercisable at such time that the Company obtain the Warrant Issuance Shareholder Approval (as defined below) and will expire ten years from the date of issuance. The May 2024 Penny Warrants, the June 2024 Penny Warrants, the September 2024 Penny Warrants and the December 2024 Penny Warrants were valued utilizing a Black-Scholes model with the following assumptions: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PENNY WARRANTS</w:t>
      </w:r>
    </w:p>
    <w:tbl>
      <w:tblPr>
        <w:tblW w:w="10205" w:type="dxa"/>
        <w:jc w:val="left"/>
        <w:tblInd w:w="0" w:type="dxa"/>
        <w:tblLayout w:type="fixed"/>
        <w:tblCellMar>
          <w:top w:w="0" w:type="dxa"/>
          <w:left w:w="0" w:type="dxa"/>
          <w:bottom w:w="0" w:type="dxa"/>
          <w:right w:w="0" w:type="dxa"/>
        </w:tblCellMar>
      </w:tblPr>
      <w:tblGrid>
        <w:gridCol w:w="1142"/>
        <w:gridCol w:w="60"/>
        <w:gridCol w:w="300"/>
        <w:gridCol w:w="1489"/>
        <w:gridCol w:w="215"/>
        <w:gridCol w:w="60"/>
        <w:gridCol w:w="300"/>
        <w:gridCol w:w="1489"/>
        <w:gridCol w:w="215"/>
        <w:gridCol w:w="60"/>
        <w:gridCol w:w="529"/>
        <w:gridCol w:w="1669"/>
        <w:gridCol w:w="215"/>
        <w:gridCol w:w="60"/>
        <w:gridCol w:w="522"/>
        <w:gridCol w:w="1646"/>
        <w:gridCol w:w="234"/>
      </w:tblGrid>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pPr>
            <w:r>
              <w:rPr/>
              <w:t>May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pPr>
            <w:r>
              <w:rPr/>
              <w:t>June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2"/>
            <w:tcBorders>
              <w:bottom w:val="single" w:sz="8" w:space="0" w:color="000000"/>
            </w:tcBorders>
            <w:tcMar>
              <w:bottom w:w="28" w:type="dxa"/>
            </w:tcMar>
            <w:vAlign w:val="center"/>
          </w:tcPr>
          <w:p>
            <w:pPr>
              <w:pStyle w:val="TableContents"/>
              <w:bidi w:val="0"/>
              <w:spacing w:before="0" w:after="283"/>
              <w:jc w:val="center"/>
              <w:rPr/>
            </w:pPr>
            <w:r>
              <w:rPr/>
              <w:t>September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8" w:type="dxa"/>
            <w:gridSpan w:val="2"/>
            <w:tcBorders>
              <w:bottom w:val="single" w:sz="8" w:space="0" w:color="000000"/>
            </w:tcBorders>
            <w:tcMar>
              <w:bottom w:w="28" w:type="dxa"/>
            </w:tcMar>
            <w:vAlign w:val="center"/>
          </w:tcPr>
          <w:p>
            <w:pPr>
              <w:pStyle w:val="TableContents"/>
              <w:bidi w:val="0"/>
              <w:spacing w:before="0" w:after="283"/>
              <w:jc w:val="center"/>
              <w:rPr/>
            </w:pPr>
            <w:r>
              <w:rPr/>
              <w:t>December 2024 penny warrants</w:t>
            </w:r>
          </w:p>
        </w:tc>
        <w:tc>
          <w:tcPr>
            <w:tcW w:w="234" w:type="dxa"/>
            <w:tcBorders/>
            <w:vAlign w:val="center"/>
          </w:tcPr>
          <w:p>
            <w:pPr>
              <w:pStyle w:val="TableContents"/>
              <w:bidi w:val="0"/>
              <w:spacing w:before="0" w:after="283"/>
              <w:ind w:left="0" w:right="0" w:hanging="10"/>
              <w:jc w:val="left"/>
              <w:rPr/>
            </w:pPr>
            <w:r>
              <w:rPr/>
              <w:t> </w:t>
            </w:r>
          </w:p>
        </w:tc>
      </w:tr>
      <w:tr>
        <w:trPr/>
        <w:tc>
          <w:tcPr>
            <w:tcW w:w="1142"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489" w:type="dxa"/>
            <w:tcBorders/>
            <w:shd w:fill="CCEEFF" w:val="clear"/>
            <w:vAlign w:val="center"/>
          </w:tcPr>
          <w:p>
            <w:pPr>
              <w:pStyle w:val="TableContents"/>
              <w:bidi w:val="0"/>
              <w:spacing w:before="0" w:after="283"/>
              <w:jc w:val="right"/>
              <w:rPr/>
            </w:pPr>
            <w:r>
              <w:rPr/>
              <w:t>10.71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489" w:type="dxa"/>
            <w:tcBorders/>
            <w:shd w:fill="CCEEFF" w:val="clear"/>
            <w:vAlign w:val="center"/>
          </w:tcPr>
          <w:p>
            <w:pPr>
              <w:pStyle w:val="TableContents"/>
              <w:bidi w:val="0"/>
              <w:spacing w:before="0" w:after="283"/>
              <w:jc w:val="right"/>
              <w:rPr/>
            </w:pPr>
            <w:r>
              <w:rPr/>
              <w:t>7.65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w:t>
            </w:r>
          </w:p>
        </w:tc>
        <w:tc>
          <w:tcPr>
            <w:tcW w:w="1669" w:type="dxa"/>
            <w:tcBorders/>
            <w:shd w:fill="CCEEFF" w:val="clear"/>
            <w:vAlign w:val="center"/>
          </w:tcPr>
          <w:p>
            <w:pPr>
              <w:pStyle w:val="TableContents"/>
              <w:bidi w:val="0"/>
              <w:spacing w:before="0" w:after="283"/>
              <w:jc w:val="right"/>
              <w:rPr/>
            </w:pPr>
            <w:r>
              <w:rPr/>
              <w:t>4.77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w:t>
            </w:r>
          </w:p>
        </w:tc>
        <w:tc>
          <w:tcPr>
            <w:tcW w:w="1646" w:type="dxa"/>
            <w:tcBorders/>
            <w:shd w:fill="CCEEFF" w:val="clear"/>
            <w:vAlign w:val="center"/>
          </w:tcPr>
          <w:p>
            <w:pPr>
              <w:pStyle w:val="TableContents"/>
              <w:bidi w:val="0"/>
              <w:spacing w:before="0" w:after="283"/>
              <w:jc w:val="right"/>
              <w:rPr/>
            </w:pPr>
            <w:r>
              <w:rPr/>
              <w:t>2.78</w:t>
            </w:r>
          </w:p>
        </w:tc>
        <w:tc>
          <w:tcPr>
            <w:tcW w:w="234" w:type="dxa"/>
            <w:tcBorders/>
            <w:shd w:fill="CCEEFF" w:val="clear"/>
            <w:vAlign w:val="center"/>
          </w:tcPr>
          <w:p>
            <w:pPr>
              <w:pStyle w:val="TableContents"/>
              <w:bidi w:val="0"/>
              <w:spacing w:before="0" w:after="283"/>
              <w:ind w:left="0" w:right="0" w:hanging="10"/>
              <w:jc w:val="left"/>
              <w:rPr/>
            </w:pPr>
            <w:r>
              <w:rPr/>
              <w:t> </w:t>
            </w:r>
          </w:p>
        </w:tc>
      </w:tr>
      <w:tr>
        <w:trPr/>
        <w:tc>
          <w:tcPr>
            <w:tcW w:w="1142" w:type="dxa"/>
            <w:tcBorders/>
            <w:shd w:fill="FFFFFF" w:val="clear"/>
            <w:vAlign w:val="center"/>
          </w:tcPr>
          <w:p>
            <w:pPr>
              <w:pStyle w:val="TableContents"/>
              <w:bidi w:val="0"/>
              <w:spacing w:before="0" w:after="283"/>
              <w:jc w:val="both"/>
              <w:rPr/>
            </w:pPr>
            <w:r>
              <w:rPr/>
              <w:t>Strike price</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w:t>
            </w:r>
          </w:p>
        </w:tc>
        <w:tc>
          <w:tcPr>
            <w:tcW w:w="148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w:t>
            </w:r>
          </w:p>
        </w:tc>
        <w:tc>
          <w:tcPr>
            <w:tcW w:w="148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w:t>
            </w:r>
          </w:p>
        </w:tc>
        <w:tc>
          <w:tcPr>
            <w:tcW w:w="1669"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w:t>
            </w:r>
          </w:p>
        </w:tc>
        <w:tc>
          <w:tcPr>
            <w:tcW w:w="1646" w:type="dxa"/>
            <w:tcBorders/>
            <w:shd w:fill="FFFFFF" w:val="clear"/>
            <w:vAlign w:val="center"/>
          </w:tcPr>
          <w:p>
            <w:pPr>
              <w:pStyle w:val="TableContents"/>
              <w:bidi w:val="0"/>
              <w:spacing w:before="0" w:after="283"/>
              <w:jc w:val="right"/>
              <w:rPr/>
            </w:pPr>
            <w:r>
              <w:rPr/>
              <w:t>0.01</w:t>
            </w:r>
          </w:p>
        </w:tc>
        <w:tc>
          <w:tcPr>
            <w:tcW w:w="234" w:type="dxa"/>
            <w:tcBorders/>
            <w:shd w:fill="FFFFFF" w:val="clear"/>
            <w:vAlign w:val="center"/>
          </w:tcPr>
          <w:p>
            <w:pPr>
              <w:pStyle w:val="TableContents"/>
              <w:bidi w:val="0"/>
              <w:spacing w:before="0" w:after="283"/>
              <w:ind w:left="0" w:right="0" w:hanging="10"/>
              <w:jc w:val="left"/>
              <w:rPr/>
            </w:pPr>
            <w:r>
              <w:rPr/>
              <w:t> </w:t>
            </w:r>
          </w:p>
        </w:tc>
      </w:tr>
      <w:tr>
        <w:trPr/>
        <w:tc>
          <w:tcPr>
            <w:tcW w:w="1142" w:type="dxa"/>
            <w:tcBorders/>
            <w:shd w:fill="CCEEFF" w:val="clear"/>
            <w:vAlign w:val="center"/>
          </w:tcPr>
          <w:p>
            <w:pPr>
              <w:pStyle w:val="TableContents"/>
              <w:bidi w:val="0"/>
              <w:spacing w:before="0" w:after="283"/>
              <w:jc w:val="both"/>
              <w:rPr/>
            </w:pPr>
            <w:r>
              <w:rPr/>
              <w:t>Term</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234" w:type="dxa"/>
            <w:tcBorders/>
            <w:shd w:fill="CCEEFF" w:val="clear"/>
            <w:vAlign w:val="center"/>
          </w:tcPr>
          <w:p>
            <w:pPr>
              <w:pStyle w:val="TableContents"/>
              <w:bidi w:val="0"/>
              <w:spacing w:before="0" w:after="283"/>
              <w:ind w:left="0" w:right="0" w:hanging="10"/>
              <w:jc w:val="left"/>
              <w:rPr/>
            </w:pPr>
            <w:r>
              <w:rPr/>
              <w:t> </w:t>
            </w:r>
          </w:p>
        </w:tc>
      </w:tr>
      <w:tr>
        <w:trPr/>
        <w:tc>
          <w:tcPr>
            <w:tcW w:w="1142" w:type="dxa"/>
            <w:tcBorders/>
            <w:shd w:fill="FFFFFF" w:val="clear"/>
            <w:vAlign w:val="center"/>
          </w:tcPr>
          <w:p>
            <w:pPr>
              <w:pStyle w:val="TableContents"/>
              <w:bidi w:val="0"/>
              <w:spacing w:before="0" w:after="283"/>
              <w:jc w:val="both"/>
              <w:rPr/>
            </w:pPr>
            <w:r>
              <w:rPr/>
              <w:t>Volatility</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pPr>
            <w:r>
              <w:rPr/>
              <w:t>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right"/>
              <w:rPr/>
            </w:pPr>
            <w:r>
              <w:rPr/>
              <w:t>90</w:t>
            </w:r>
          </w:p>
        </w:tc>
        <w:tc>
          <w:tcPr>
            <w:tcW w:w="234" w:type="dxa"/>
            <w:tcBorders/>
            <w:shd w:fill="FFFFFF" w:val="clear"/>
            <w:vAlign w:val="center"/>
          </w:tcPr>
          <w:p>
            <w:pPr>
              <w:pStyle w:val="TableContents"/>
              <w:bidi w:val="0"/>
              <w:spacing w:before="0" w:after="283"/>
              <w:ind w:left="0" w:right="0" w:hanging="10"/>
              <w:jc w:val="left"/>
              <w:rPr/>
            </w:pPr>
            <w:r>
              <w:rPr/>
              <w:t>%</w:t>
            </w:r>
          </w:p>
        </w:tc>
      </w:tr>
      <w:tr>
        <w:trPr/>
        <w:tc>
          <w:tcPr>
            <w:tcW w:w="1142" w:type="dxa"/>
            <w:tcBorders/>
            <w:shd w:fill="CCEEFF" w:val="clear"/>
            <w:vAlign w:val="center"/>
          </w:tcPr>
          <w:p>
            <w:pPr>
              <w:pStyle w:val="TableContents"/>
              <w:bidi w:val="0"/>
              <w:spacing w:before="0" w:after="283"/>
              <w:jc w:val="both"/>
              <w:rPr/>
            </w:pPr>
            <w:r>
              <w:rPr/>
              <w:t>Risk-free rate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4.6</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FAIR VALUE WARRANTS </w:t>
      </w:r>
    </w:p>
    <w:tbl>
      <w:tblPr>
        <w:tblW w:w="6355" w:type="dxa"/>
        <w:jc w:val="left"/>
        <w:tblInd w:w="0" w:type="dxa"/>
        <w:tblLayout w:type="fixed"/>
        <w:tblCellMar>
          <w:top w:w="0" w:type="dxa"/>
          <w:left w:w="0" w:type="dxa"/>
          <w:bottom w:w="0" w:type="dxa"/>
          <w:right w:w="0" w:type="dxa"/>
        </w:tblCellMar>
      </w:tblPr>
      <w:tblGrid>
        <w:gridCol w:w="2000"/>
        <w:gridCol w:w="60"/>
        <w:gridCol w:w="379"/>
        <w:gridCol w:w="1516"/>
        <w:gridCol w:w="215"/>
        <w:gridCol w:w="60"/>
        <w:gridCol w:w="379"/>
        <w:gridCol w:w="1516"/>
        <w:gridCol w:w="230"/>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2000"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0.09</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7.77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94.00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96.00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2000" w:type="dxa"/>
            <w:tcBorders/>
            <w:shd w:fill="CCEEFF" w:val="clear"/>
            <w:vAlign w:val="center"/>
          </w:tcPr>
          <w:p>
            <w:pPr>
              <w:pStyle w:val="TableContents"/>
              <w:bidi w:val="0"/>
              <w:spacing w:before="0" w:after="283"/>
              <w:jc w:val="both"/>
              <w:rPr/>
            </w:pPr>
            <w:r>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10" w:right="0" w:hanging="10"/>
        <w:jc w:val="both"/>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2000"/>
        <w:gridCol w:w="60"/>
        <w:gridCol w:w="379"/>
        <w:gridCol w:w="1516"/>
        <w:gridCol w:w="215"/>
        <w:gridCol w:w="60"/>
        <w:gridCol w:w="321"/>
        <w:gridCol w:w="1573"/>
        <w:gridCol w:w="230"/>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 of </w:t>
              <w:br/>
              <w:t>December 31, 2023</w:t>
            </w:r>
          </w:p>
        </w:tc>
        <w:tc>
          <w:tcPr>
            <w:tcW w:w="230" w:type="dxa"/>
            <w:tcBorders/>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4.86</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2000"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w:t>
            </w:r>
          </w:p>
        </w:tc>
        <w:tc>
          <w:tcPr>
            <w:tcW w:w="1516" w:type="dxa"/>
            <w:tcBorders/>
            <w:shd w:fill="FFFFFF" w:val="clear"/>
            <w:vAlign w:val="center"/>
          </w:tcPr>
          <w:p>
            <w:pPr>
              <w:pStyle w:val="TableContents"/>
              <w:bidi w:val="0"/>
              <w:spacing w:before="0" w:after="283"/>
              <w:jc w:val="right"/>
              <w:rPr/>
            </w:pPr>
            <w:r>
              <w:rPr/>
              <w:t>18.00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w:t>
            </w:r>
          </w:p>
        </w:tc>
        <w:tc>
          <w:tcPr>
            <w:tcW w:w="1573" w:type="dxa"/>
            <w:tcBorders/>
            <w:shd w:fill="FFFFFF" w:val="clear"/>
            <w:vAlign w:val="center"/>
          </w:tcPr>
          <w:p>
            <w:pPr>
              <w:pStyle w:val="TableContents"/>
              <w:bidi w:val="0"/>
              <w:spacing w:before="0" w:after="283"/>
              <w:jc w:val="right"/>
              <w:rPr/>
            </w:pPr>
            <w:r>
              <w:rPr/>
              <w:t>18.00</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3.47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573" w:type="dxa"/>
            <w:tcBorders/>
            <w:shd w:fill="FFFFFF" w:val="clear"/>
            <w:vAlign w:val="center"/>
          </w:tcPr>
          <w:p>
            <w:pPr>
              <w:pStyle w:val="TableContents"/>
              <w:bidi w:val="0"/>
              <w:spacing w:before="0" w:after="283"/>
              <w:jc w:val="right"/>
              <w:rPr/>
            </w:pPr>
            <w:r>
              <w:rPr/>
              <w:t>4.48</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200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105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573" w:type="dxa"/>
            <w:tcBorders/>
            <w:shd w:fill="CCEEFF" w:val="clear"/>
            <w:vAlign w:val="center"/>
          </w:tcPr>
          <w:p>
            <w:pPr>
              <w:pStyle w:val="TableContents"/>
              <w:bidi w:val="0"/>
              <w:spacing w:before="0" w:after="283"/>
              <w:jc w:val="right"/>
              <w:rPr/>
            </w:pPr>
            <w:r>
              <w:rPr/>
              <w:t>106.00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2000" w:type="dxa"/>
            <w:tcBorders/>
            <w:shd w:fill="FFFFFF" w:val="clear"/>
            <w:vAlign w:val="center"/>
          </w:tcPr>
          <w:p>
            <w:pPr>
              <w:pStyle w:val="TableContents"/>
              <w:bidi w:val="0"/>
              <w:spacing w:before="0" w:after="283"/>
              <w:jc w:val="both"/>
              <w:rPr/>
            </w:pPr>
            <w:r>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573"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2000" w:type="dxa"/>
            <w:tcBorders/>
            <w:shd w:fill="CCEEFF" w:val="clear"/>
            <w:vAlign w:val="center"/>
          </w:tcPr>
          <w:p>
            <w:pPr>
              <w:pStyle w:val="TableContents"/>
              <w:bidi w:val="0"/>
              <w:spacing w:before="0" w:after="283"/>
              <w:jc w:val="both"/>
              <w:rPr/>
            </w:pPr>
            <w:r>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2.79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Company’s warrants from January 1, 2024 to December 31, 2024 and January 1, 2023 to December 31,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Warrants: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IN WARRANTS </w:t>
      </w:r>
    </w:p>
    <w:tbl>
      <w:tblPr>
        <w:tblW w:w="8894" w:type="dxa"/>
        <w:jc w:val="left"/>
        <w:tblInd w:w="0" w:type="dxa"/>
        <w:tblLayout w:type="fixed"/>
        <w:tblCellMar>
          <w:top w:w="0" w:type="dxa"/>
          <w:left w:w="0" w:type="dxa"/>
          <w:bottom w:w="0" w:type="dxa"/>
          <w:right w:w="0" w:type="dxa"/>
        </w:tblCellMar>
      </w:tblPr>
      <w:tblGrid>
        <w:gridCol w:w="4100"/>
        <w:gridCol w:w="60"/>
        <w:gridCol w:w="60"/>
        <w:gridCol w:w="875"/>
        <w:gridCol w:w="95"/>
        <w:gridCol w:w="60"/>
        <w:gridCol w:w="60"/>
        <w:gridCol w:w="980"/>
        <w:gridCol w:w="95"/>
        <w:gridCol w:w="60"/>
        <w:gridCol w:w="66"/>
        <w:gridCol w:w="1078"/>
        <w:gridCol w:w="95"/>
        <w:gridCol w:w="60"/>
        <w:gridCol w:w="60"/>
        <w:gridCol w:w="980"/>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Private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Public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Term Loan </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Investor </w:t>
              <w:br/>
              <w:t>Warrants</w:t>
            </w:r>
          </w:p>
        </w:tc>
        <w:tc>
          <w:tcPr>
            <w:tcW w:w="110" w:type="dxa"/>
            <w:tcBorders/>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10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1,202,756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100" w:type="dxa"/>
            <w:tcBorders/>
            <w:shd w:fill="FFFFFF" w:val="clear"/>
            <w:vAlign w:val="center"/>
          </w:tcPr>
          <w:p>
            <w:pPr>
              <w:pStyle w:val="TableContents"/>
              <w:bidi w:val="0"/>
              <w:spacing w:before="0" w:after="283"/>
              <w:jc w:val="both"/>
              <w:rPr/>
            </w:pPr>
            <w:r>
              <w:rPr/>
              <w:t>Warrants Outstanding,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166,821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1,046,948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1,412,147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1,236,878</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100" w:type="dxa"/>
            <w:tcBorders/>
            <w:shd w:fill="FFFFFF" w:val="clear"/>
            <w:vAlign w:val="center"/>
          </w:tcPr>
          <w:p>
            <w:pPr>
              <w:pStyle w:val="TableContents"/>
              <w:bidi w:val="0"/>
              <w:spacing w:before="0" w:after="283"/>
              <w:jc w:val="both"/>
              <w:rPr/>
            </w:pPr>
            <w:r>
              <w:rPr/>
              <w:t>Warrants Outstanding, January 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514,207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288,118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FFFFFF" w:val="clear"/>
            <w:vAlign w:val="center"/>
          </w:tcPr>
          <w:p>
            <w:pPr>
              <w:pStyle w:val="TableContents"/>
              <w:bidi w:val="0"/>
              <w:spacing w:before="0" w:after="283"/>
              <w:jc w:val="both"/>
              <w:rPr/>
            </w:pPr>
            <w:r>
              <w:rPr/>
              <w:t>Warrants Outstanding, 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514,207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288,118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(347,386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(222,223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(30,345</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410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143,496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1,267,223</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Warrants Outstanding,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4100" w:type="dxa"/>
            <w:tcBorders/>
            <w:shd w:fill="CCEEFF" w:val="clear"/>
            <w:vAlign w:val="center"/>
          </w:tcPr>
          <w:p>
            <w:pPr>
              <w:pStyle w:val="TableContents"/>
              <w:bidi w:val="0"/>
              <w:spacing w:before="0" w:after="283"/>
              <w:jc w:val="both"/>
              <w:rPr/>
            </w:pPr>
            <w:r>
              <w:rPr/>
              <w:t>Warrants Outstanding, Ending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166,821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1,046,948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209,391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1,236,878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2 Inputs. The only class of warrants that were determined to be Level 2 were the term loan and June offering investor warrants. Due to Black Scholes calculation being utilized on all fair value measurement of warrant liabilities as of December 31, 2024, the fair value warrant liabilities were transferred from Level 3 to Level 2.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OF AGGREGATE FAIR VALUES OF WARRANT LIABILITIES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7,354</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(6,669</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080" w:type="dxa"/>
            <w:tcBorders/>
            <w:shd w:fill="CCEEFF" w:val="clear"/>
            <w:vAlign w:val="center"/>
          </w:tcPr>
          <w:p>
            <w:pPr>
              <w:pStyle w:val="TableContents"/>
              <w:bidi w:val="0"/>
              <w:spacing w:before="0" w:after="283"/>
              <w:jc w:val="both"/>
              <w:rPr/>
            </w:pPr>
            <w:r>
              <w:rPr/>
              <w:t>Balances, December 31, 2024</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pPr>
            <w:r>
              <w:rPr/>
              <w:t>5,133</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Warrant Liability, Balances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FFFFFF" w:val="clear"/>
            <w:vAlign w:val="center"/>
          </w:tcPr>
          <w:p>
            <w:pPr>
              <w:pStyle w:val="TableContents"/>
              <w:bidi w:val="0"/>
              <w:spacing w:before="0" w:after="283"/>
              <w:jc w:val="both"/>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14,460</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(11,901</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3080" w:type="dxa"/>
            <w:tcBorders/>
            <w:shd w:fill="FFFFFF" w:val="clear"/>
            <w:vAlign w:val="center"/>
          </w:tcPr>
          <w:p>
            <w:pPr>
              <w:pStyle w:val="TableContents"/>
              <w:bidi w:val="0"/>
              <w:spacing w:before="0" w:after="283"/>
              <w:jc w:val="both"/>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(28,952</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080" w:type="dxa"/>
            <w:tcBorders/>
            <w:shd w:fill="CCEEFF" w:val="clear"/>
            <w:vAlign w:val="center"/>
          </w:tcPr>
          <w:p>
            <w:pPr>
              <w:pStyle w:val="TableContents"/>
              <w:bidi w:val="0"/>
              <w:spacing w:before="0" w:after="283"/>
              <w:jc w:val="both"/>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080" w:type="dxa"/>
            <w:tcBorders/>
            <w:shd w:fill="CCEEFF" w:val="clear"/>
            <w:vAlign w:val="center"/>
          </w:tcPr>
          <w:p>
            <w:pPr>
              <w:pStyle w:val="TableContents"/>
              <w:bidi w:val="0"/>
              <w:spacing w:before="0" w:after="283"/>
              <w:jc w:val="both"/>
              <w:rPr/>
            </w:pPr>
            <w:r>
              <w:rPr/>
              <w:t>Warrant Liability, Balance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4,448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11 - COMMON STOCK</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up to 250,000,000 shares of common stock with $0.0001 par value. Common stockholders are entitled to dividends if and when declared by the Board of Directors subject to the rights of the preferred stockholders. As of December 31, 2024 and 2023, there were 7,232,650 and 6,695,587 shares issued and outstanding. No dividends on common stock had been declared by the Company.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had reserved shares of common stock for issuance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RESERVED SHARES OF COMMON STOCK FOR ISSUANCE </w:t>
      </w:r>
    </w:p>
    <w:tbl>
      <w:tblPr>
        <w:tblW w:w="6448" w:type="dxa"/>
        <w:jc w:val="left"/>
        <w:tblInd w:w="0" w:type="dxa"/>
        <w:tblLayout w:type="fixed"/>
        <w:tblCellMar>
          <w:top w:w="0" w:type="dxa"/>
          <w:left w:w="0" w:type="dxa"/>
          <w:bottom w:w="0" w:type="dxa"/>
          <w:right w:w="0" w:type="dxa"/>
        </w:tblCellMar>
      </w:tblPr>
      <w:tblGrid>
        <w:gridCol w:w="3365"/>
        <w:gridCol w:w="60"/>
        <w:gridCol w:w="73"/>
        <w:gridCol w:w="1341"/>
        <w:gridCol w:w="60"/>
        <w:gridCol w:w="60"/>
        <w:gridCol w:w="73"/>
        <w:gridCol w:w="1341"/>
        <w:gridCol w:w="75"/>
      </w:tblGrid>
      <w:tr>
        <w:trPr/>
        <w:tc>
          <w:tcPr>
            <w:tcW w:w="33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2023</w:t>
            </w:r>
          </w:p>
        </w:tc>
        <w:tc>
          <w:tcPr>
            <w:tcW w:w="75" w:type="dxa"/>
            <w:tcBorders/>
            <w:vAlign w:val="center"/>
          </w:tcPr>
          <w:p>
            <w:pPr>
              <w:pStyle w:val="TableContents"/>
              <w:bidi w:val="0"/>
              <w:spacing w:before="0" w:after="283"/>
              <w:ind w:left="0" w:right="0" w:hanging="10"/>
              <w:jc w:val="left"/>
              <w:rPr/>
            </w:pPr>
            <w:r>
              <w:rPr/>
              <w:t> </w:t>
            </w:r>
          </w:p>
        </w:tc>
      </w:tr>
      <w:tr>
        <w:trPr/>
        <w:tc>
          <w:tcPr>
            <w:tcW w:w="3365" w:type="dxa"/>
            <w:tcBorders/>
            <w:shd w:fill="CCEEFF" w:val="clear"/>
            <w:vAlign w:val="center"/>
          </w:tcPr>
          <w:p>
            <w:pPr>
              <w:pStyle w:val="TableContents"/>
              <w:bidi w:val="0"/>
              <w:spacing w:before="0" w:after="283"/>
              <w:jc w:val="both"/>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168,809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262,720</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365" w:type="dxa"/>
            <w:tcBorders/>
            <w:shd w:fill="FFFFFF" w:val="clear"/>
            <w:vAlign w:val="center"/>
          </w:tcPr>
          <w:p>
            <w:pPr>
              <w:pStyle w:val="TableContents"/>
              <w:bidi w:val="0"/>
              <w:spacing w:before="0" w:after="283"/>
              <w:jc w:val="both"/>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7,232,650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6,695,587</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365" w:type="dxa"/>
            <w:tcBorders/>
            <w:shd w:fill="CCEEFF" w:val="clear"/>
            <w:vAlign w:val="center"/>
          </w:tcPr>
          <w:p>
            <w:pPr>
              <w:pStyle w:val="TableContents"/>
              <w:bidi w:val="0"/>
              <w:spacing w:before="0" w:after="283"/>
              <w:jc w:val="both"/>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3,926,156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2,723,397</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365" w:type="dxa"/>
            <w:tcBorders/>
            <w:shd w:fill="FFFFFF" w:val="clear"/>
            <w:vAlign w:val="center"/>
          </w:tcPr>
          <w:p>
            <w:pPr>
              <w:pStyle w:val="TableContents"/>
              <w:bidi w:val="0"/>
              <w:spacing w:before="0" w:after="283"/>
              <w:jc w:val="both"/>
              <w:rPr/>
            </w:pPr>
            <w:r>
              <w:rPr/>
              <w:t>Earnout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4,444,444</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365" w:type="dxa"/>
            <w:tcBorders/>
            <w:shd w:fill="CCEEFF" w:val="clear"/>
            <w:vAlign w:val="center"/>
          </w:tcPr>
          <w:p>
            <w:pPr>
              <w:pStyle w:val="TableContents"/>
              <w:bidi w:val="0"/>
              <w:spacing w:before="0" w:after="283"/>
              <w:jc w:val="both"/>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854,412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496,587</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36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14,959,805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pPr>
            <w:r>
              <w:rPr/>
              <w:t>14,622,735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with CCM LLC, during the years ended December 31, 2024 and 2023, the Company issued 350,423 and 65,389 shares, respectively, for aggregate net proceeds to the Company of $2,025 and $1,273,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June 2023 Offering, the Company sold an aggregate of (i) 1,111,111 shares of its Common Stock and, (ii) accompanying Investor Warrants to purchase up to 1,111,111 shares of Common Stock, at the combined public offering price of $18.00 per share and accompanying Investor Warrant, less underwriting discounts and commissions, and (iii) the Underwriters’ Warrants.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June 2023 Offering, have an exercise price of $18.00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$22.50 per share and will expire on June 20, 2028.</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over-allotment option to purchase up to an additional 166,667 shares of Common Stock and/or Warrants to purchase up to an aggregate of 166,667 shares of Common Stock at the public offering price per security, less underwriting discounts and commissions, of which the underwriters exercised for 156,112 shares of Common Stock and Investor Warrants to purchase up to 156,112 shares of Common Stock and the remaining was not exercised within the 45-day window.</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 and Recasting of Per-Share Amounts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Dragonfly Energy Holdings Corp. (the “Company”) filed a Certificate of Amendment to the Company’s Articles of Incorporation with the Secretary of State of the State of Nevada (the “Certificate of Amendment”) to be effected at 6:00 a.m. Eastern Time on November 22, 2024, a one-for-nine reverse stock split (the “Reverse Stock Split”) of the Company’s issued and outstanding shares of common stock, par value $0.0001 per share (the “Common Stock”). Pursuant to the Certificate of Amendment, effective as of 6:00 a.m., Eastern Time on August 30, 2023, every 9 shares of Common Stock issued and outstanding, including shares of Common Stock held by the Company as treasury shares, were automatically combined into one share of Common Stock. The number of authorized shares of Common Stock remained the same at 250,000,000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Common Stock began trading on a split-adjusted basis at market open on November 22, 2024. The $0.0001 par value per share of Common Stock and any other rights associated the Common Stock were not affected by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stock option awards and per share amounts in the accompanying Consolidated Financial Statements and related Notes have been retrospectively restated to reflect the 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outstanding were not affected by the reverse stock split and as such, those shares have not been adjusted in the accompanying Consolidated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273,822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166,667 shares, or (3) such number as determined by the Company’s board of directors.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299"/>
        <w:gridCol w:w="60"/>
        <w:gridCol w:w="61"/>
        <w:gridCol w:w="891"/>
        <w:gridCol w:w="95"/>
        <w:gridCol w:w="60"/>
        <w:gridCol w:w="391"/>
        <w:gridCol w:w="1565"/>
        <w:gridCol w:w="60"/>
        <w:gridCol w:w="60"/>
        <w:gridCol w:w="406"/>
        <w:gridCol w:w="1624"/>
        <w:gridCol w:w="60"/>
        <w:gridCol w:w="60"/>
        <w:gridCol w:w="260"/>
        <w:gridCol w:w="1912"/>
        <w:gridCol w:w="60"/>
        <w:gridCol w:w="60"/>
        <w:gridCol w:w="194"/>
        <w:gridCol w:w="948"/>
        <w:gridCol w:w="79"/>
      </w:tblGrid>
      <w:tr>
        <w:trPr/>
        <w:tc>
          <w:tcPr>
            <w:tcW w:w="12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pPr>
            <w:r>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pPr>
            <w:r>
              <w:rPr/>
              <w:t>Weighted-Average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2" w:type="dxa"/>
            <w:gridSpan w:val="2"/>
            <w:tcBorders>
              <w:bottom w:val="single" w:sz="8" w:space="0" w:color="000000"/>
            </w:tcBorders>
            <w:tcMar>
              <w:bottom w:w="28"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pPr>
            <w:r>
              <w:rPr/>
              <w:t>Aggregate intrinsic value</w:t>
            </w:r>
          </w:p>
        </w:tc>
        <w:tc>
          <w:tcPr>
            <w:tcW w:w="79" w:type="dxa"/>
            <w:tcBorders/>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404,773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18.18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1624" w:type="dxa"/>
            <w:tcBorders/>
            <w:shd w:fill="CCEEFF" w:val="clear"/>
            <w:vAlign w:val="center"/>
          </w:tcPr>
          <w:p>
            <w:pPr>
              <w:pStyle w:val="TableContents"/>
              <w:bidi w:val="0"/>
              <w:spacing w:before="0" w:after="283"/>
              <w:jc w:val="right"/>
              <w:rPr/>
            </w:pPr>
            <w:r>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35,898</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34.38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632</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(56,013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26.55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439</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pPr>
            <w:r>
              <w:rPr/>
              <w:t>(101,996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pPr>
            <w:r>
              <w:rPr/>
              <w:t>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4"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pPr>
            <w:r>
              <w:rPr/>
              <w:t>585</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262,720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24.21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162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60</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262,720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24.21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w:t>
            </w:r>
          </w:p>
        </w:tc>
        <w:tc>
          <w:tcPr>
            <w:tcW w:w="1624" w:type="dxa"/>
            <w:tcBorders/>
            <w:shd w:fill="CCEEFF" w:val="clear"/>
            <w:vAlign w:val="center"/>
          </w:tcPr>
          <w:p>
            <w:pPr>
              <w:pStyle w:val="TableContents"/>
              <w:bidi w:val="0"/>
              <w:spacing w:before="0" w:after="283"/>
              <w:jc w:val="right"/>
              <w:rPr/>
            </w:pPr>
            <w:r>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60</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(27,029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4</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Options expired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(65,660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18.93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18.93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492</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pPr>
            <w:r>
              <w:rPr/>
              <w:t>(1,222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4"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Balances,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168,809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24" w:type="dxa"/>
            <w:tcBorders>
              <w:bottom w:val="double" w:sz="6" w:space="0" w:color="000000"/>
            </w:tcBorders>
            <w:shd w:fill="FFFFFF" w:val="clear"/>
            <w:tcMar>
              <w:bottom w:w="28" w:type="dxa"/>
            </w:tcM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2" w:type="dxa"/>
            <w:tcBorders>
              <w:bottom w:val="double" w:sz="6" w:space="0" w:color="000000"/>
            </w:tcBorders>
            <w:shd w:fill="FFFFFF" w:val="clear"/>
            <w:tcMar>
              <w:bottom w:w="28" w:type="dxa"/>
            </w:tcM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At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0"/>
              <w:jc w:val="left"/>
              <w:rPr/>
            </w:pPr>
            <w:r>
              <w:rPr/>
              <w:t> </w:t>
            </w:r>
          </w:p>
        </w:tc>
      </w:tr>
      <w:tr>
        <w:trPr/>
        <w:tc>
          <w:tcPr>
            <w:tcW w:w="1299" w:type="dxa"/>
            <w:tcBorders/>
            <w:shd w:fill="CCEEFF" w:val="clear"/>
            <w:vAlign w:val="center"/>
          </w:tcPr>
          <w:p>
            <w:pPr>
              <w:pStyle w:val="TableContents"/>
              <w:bidi w:val="0"/>
              <w:spacing w:before="0" w:after="283"/>
              <w:jc w:val="both"/>
              <w:rPr/>
            </w:pPr>
            <w:r>
              <w:rPr/>
              <w:t>Vested and Exercisable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146,613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24.79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912" w:type="dxa"/>
            <w:tcBorders/>
            <w:shd w:fill="CCEEFF" w:val="clear"/>
            <w:vAlign w:val="center"/>
          </w:tcPr>
          <w:p>
            <w:pPr>
              <w:pStyle w:val="TableContents"/>
              <w:bidi w:val="0"/>
              <w:spacing w:before="0" w:after="283"/>
              <w:jc w:val="right"/>
              <w:rPr/>
            </w:pPr>
            <w:r>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10"/>
              <w:jc w:val="left"/>
              <w:rPr/>
            </w:pPr>
            <w:r>
              <w:rPr/>
              <w:t> </w:t>
            </w:r>
          </w:p>
        </w:tc>
      </w:tr>
      <w:tr>
        <w:trPr/>
        <w:tc>
          <w:tcPr>
            <w:tcW w:w="1299" w:type="dxa"/>
            <w:tcBorders/>
            <w:shd w:fill="FFFFFF" w:val="clear"/>
            <w:vAlign w:val="center"/>
          </w:tcPr>
          <w:p>
            <w:pPr>
              <w:pStyle w:val="TableContents"/>
              <w:bidi w:val="0"/>
              <w:spacing w:before="0" w:after="283"/>
              <w:jc w:val="both"/>
              <w:rPr/>
            </w:pPr>
            <w:r>
              <w:rPr/>
              <w:t>Vested and expected to vest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168,809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right"/>
              <w:rPr/>
            </w:pPr>
            <w:r>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pPr>
            <w:r>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issued 1,240 shares as a result of exercised stock options upon the receipt of proceeds of approximately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$1,020 and $6,710 was recognized in the Company’s consolidated statements of operations for the years ended December 31, 2024 and 2023,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$1,020 of share-based compensation incurred during the year ended December 31, 2024, $100 is allocated to cost of goods sold, $168 to research and development, $265 to selling and marketing, and $488 to general and administrative expenses. Of the $6,710 of share-based compensation incurred during the year ended December 31, 2023, $133 is allocated to cost of goods sold, $116 to research and development, $1,097 to selling and marketing, and $5,364 to general and administrative expenses.</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VALUATION ASSUMPTIONS OF OPTIONS</w:t>
      </w:r>
    </w:p>
    <w:tbl>
      <w:tblPr>
        <w:tblW w:w="6070" w:type="dxa"/>
        <w:jc w:val="left"/>
        <w:tblInd w:w="0" w:type="dxa"/>
        <w:tblLayout w:type="fixed"/>
        <w:tblCellMar>
          <w:top w:w="0" w:type="dxa"/>
          <w:left w:w="0" w:type="dxa"/>
          <w:bottom w:w="0" w:type="dxa"/>
          <w:right w:w="0" w:type="dxa"/>
        </w:tblCellMar>
      </w:tblPr>
      <w:tblGrid>
        <w:gridCol w:w="4460"/>
        <w:gridCol w:w="60"/>
        <w:gridCol w:w="109"/>
        <w:gridCol w:w="391"/>
        <w:gridCol w:w="60"/>
        <w:gridCol w:w="60"/>
        <w:gridCol w:w="140"/>
        <w:gridCol w:w="560"/>
        <w:gridCol w:w="230"/>
      </w:tblGrid>
      <w:tr>
        <w:trPr/>
        <w:tc>
          <w:tcPr>
            <w:tcW w:w="44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30" w:type="dxa"/>
            <w:tcBorders/>
            <w:vAlign w:val="center"/>
          </w:tcPr>
          <w:p>
            <w:pPr>
              <w:pStyle w:val="TableContents"/>
              <w:bidi w:val="0"/>
              <w:spacing w:before="0" w:after="283"/>
              <w:ind w:left="0" w:right="0" w:hanging="10"/>
              <w:jc w:val="left"/>
              <w:rPr/>
            </w:pPr>
            <w:r>
              <w:rPr/>
              <w:t> </w:t>
            </w:r>
          </w:p>
        </w:tc>
      </w:tr>
      <w:tr>
        <w:trPr/>
        <w:tc>
          <w:tcPr>
            <w:tcW w:w="4460" w:type="dxa"/>
            <w:tcBorders/>
            <w:shd w:fill="CCEEFF" w:val="clear"/>
            <w:vAlign w:val="center"/>
          </w:tcPr>
          <w:p>
            <w:pPr>
              <w:pStyle w:val="TableContents"/>
              <w:bidi w:val="0"/>
              <w:spacing w:before="0" w:after="283"/>
              <w:jc w:val="both"/>
              <w:rPr/>
            </w:pPr>
            <w:r>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34.38</w:t>
            </w:r>
          </w:p>
        </w:tc>
        <w:tc>
          <w:tcPr>
            <w:tcW w:w="230" w:type="dxa"/>
            <w:tcBorders/>
            <w:shd w:fill="CCEEFF" w:val="clear"/>
            <w:vAlign w:val="center"/>
          </w:tcPr>
          <w:p>
            <w:pPr>
              <w:pStyle w:val="TableContents"/>
              <w:bidi w:val="0"/>
              <w:spacing w:before="0" w:after="283"/>
              <w:ind w:left="0" w:right="0" w:hanging="10"/>
              <w:jc w:val="left"/>
              <w:rPr/>
            </w:pPr>
            <w:r>
              <w:rPr/>
              <w:t> </w:t>
            </w:r>
          </w:p>
        </w:tc>
      </w:tr>
      <w:tr>
        <w:trPr/>
        <w:tc>
          <w:tcPr>
            <w:tcW w:w="4460"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4.20</w:t>
            </w:r>
          </w:p>
        </w:tc>
        <w:tc>
          <w:tcPr>
            <w:tcW w:w="230" w:type="dxa"/>
            <w:tcBorders/>
            <w:shd w:fill="FFFFFF" w:val="clear"/>
            <w:vAlign w:val="center"/>
          </w:tcPr>
          <w:p>
            <w:pPr>
              <w:pStyle w:val="TableContents"/>
              <w:bidi w:val="0"/>
              <w:spacing w:before="0" w:after="283"/>
              <w:ind w:left="0" w:right="0" w:hanging="10"/>
              <w:jc w:val="left"/>
              <w:rPr/>
            </w:pPr>
            <w:r>
              <w:rPr/>
              <w:t>%</w:t>
            </w:r>
          </w:p>
        </w:tc>
      </w:tr>
      <w:tr>
        <w:trPr/>
        <w:tc>
          <w:tcPr>
            <w:tcW w:w="4460" w:type="dxa"/>
            <w:tcBorders/>
            <w:shd w:fill="CCEEFF" w:val="clear"/>
            <w:vAlign w:val="center"/>
          </w:tcPr>
          <w:p>
            <w:pPr>
              <w:pStyle w:val="TableContents"/>
              <w:bidi w:val="0"/>
              <w:spacing w:before="0" w:after="283"/>
              <w:jc w:val="both"/>
              <w:rPr/>
            </w:pPr>
            <w:r>
              <w:rPr/>
              <w:t>Volatility</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45.0</w:t>
            </w:r>
          </w:p>
        </w:tc>
        <w:tc>
          <w:tcPr>
            <w:tcW w:w="230" w:type="dxa"/>
            <w:tcBorders/>
            <w:shd w:fill="CCEEFF" w:val="clear"/>
            <w:vAlign w:val="center"/>
          </w:tcPr>
          <w:p>
            <w:pPr>
              <w:pStyle w:val="TableContents"/>
              <w:bidi w:val="0"/>
              <w:spacing w:before="0" w:after="283"/>
              <w:ind w:left="0" w:right="0" w:hanging="10"/>
              <w:jc w:val="left"/>
              <w:rPr/>
            </w:pPr>
            <w:r>
              <w:rPr/>
              <w:t>%</w:t>
            </w:r>
          </w:p>
        </w:tc>
      </w:tr>
      <w:tr>
        <w:trPr/>
        <w:tc>
          <w:tcPr>
            <w:tcW w:w="4460" w:type="dxa"/>
            <w:tcBorders/>
            <w:shd w:fill="FFFFFF" w:val="clear"/>
            <w:vAlign w:val="center"/>
          </w:tcPr>
          <w:p>
            <w:pPr>
              <w:pStyle w:val="TableContents"/>
              <w:bidi w:val="0"/>
              <w:spacing w:before="0" w:after="283"/>
              <w:jc w:val="both"/>
              <w:rPr/>
            </w:pPr>
            <w:r>
              <w:rPr/>
              <w:t>Expected life (years)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6.45</w:t>
            </w:r>
          </w:p>
        </w:tc>
        <w:tc>
          <w:tcPr>
            <w:tcW w:w="230" w:type="dxa"/>
            <w:tcBorders/>
            <w:shd w:fill="FFFFFF" w:val="clear"/>
            <w:vAlign w:val="center"/>
          </w:tcPr>
          <w:p>
            <w:pPr>
              <w:pStyle w:val="TableContents"/>
              <w:bidi w:val="0"/>
              <w:spacing w:before="0" w:after="283"/>
              <w:ind w:left="0" w:right="0" w:hanging="10"/>
              <w:jc w:val="left"/>
              <w:rPr/>
            </w:pPr>
            <w:r>
              <w:rPr/>
              <w:t> </w:t>
            </w:r>
          </w:p>
        </w:tc>
      </w:tr>
      <w:tr>
        <w:trPr/>
        <w:tc>
          <w:tcPr>
            <w:tcW w:w="4460"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the Company granted 51,333 restricted stock units under the 2022 Plan which vested in full immediately upon grant. The fair value of the restricted stock units on the date of grant was $3,464 and was recorded as compensation expense during the year ended December 31, 2023. The Company granted an additional 5,224 restricted stock units. The fair value of the 5,224 unvested restricted stock units was $126 and an expense of $22 was recorded during the year ended December 31,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granted 24,447 restricted stock units of which 11,111 vested immediately. The fair value of the 24,447 restricted stock units was $95 and an expense of $53 was recorded as compensation expense during the year ended December 31, 2024, respectively.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Company issued a total of 92,923 RSUs to the following employees: (i) 63,045 RSUs to the Chief Executive Officer; (ii) 20,165 RSUs to the Chief Revenue Officer; and (iii) 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92,923 RSUs was $376 and an expense of $91 was recorded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board of directors authorized the issuance of 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148,152 RSUs issued to directors in total was $600 and an expense of $145 was recorded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2024, the Company granted 2,417 restricted stock units. The fair value of the 2,417 RSUs was $19 and an expense of $2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restricted stock unit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issued a total of 81,710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81,710 RSUs was $448 and an expense of $52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issued a total of 2,223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2,223 RSUs was $12 and no expense was recorded as compensation expense during the year ended December 31, 2024.</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issued 863 shares in exchange for 1,103 vested restricted stock units less shares deducted to cover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restricted stock units activity for the years ended December 31, 2024 and 2023:</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STOCK UNITS ACTIVITY </w:t>
      </w:r>
    </w:p>
    <w:tbl>
      <w:tblPr>
        <w:tblW w:w="8598" w:type="dxa"/>
        <w:jc w:val="left"/>
        <w:tblInd w:w="0" w:type="dxa"/>
        <w:tblLayout w:type="fixed"/>
        <w:tblCellMar>
          <w:top w:w="0" w:type="dxa"/>
          <w:left w:w="0" w:type="dxa"/>
          <w:bottom w:w="0" w:type="dxa"/>
          <w:right w:w="0" w:type="dxa"/>
        </w:tblCellMar>
      </w:tblPr>
      <w:tblGrid>
        <w:gridCol w:w="3575"/>
        <w:gridCol w:w="60"/>
        <w:gridCol w:w="77"/>
        <w:gridCol w:w="1037"/>
        <w:gridCol w:w="95"/>
        <w:gridCol w:w="60"/>
        <w:gridCol w:w="616"/>
        <w:gridCol w:w="3003"/>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Unvested shares, January 1, 2023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w:t>
            </w:r>
          </w:p>
        </w:tc>
        <w:tc>
          <w:tcPr>
            <w:tcW w:w="3003" w:type="dxa"/>
            <w:tcBorders/>
            <w:shd w:fill="CCEEFF" w:val="clear"/>
            <w:vAlign w:val="center"/>
          </w:tcPr>
          <w:p>
            <w:pPr>
              <w:pStyle w:val="TableContents"/>
              <w:bidi w:val="0"/>
              <w:spacing w:before="0" w:after="283"/>
              <w:jc w:val="right"/>
              <w:rPr/>
            </w:pPr>
            <w:r>
              <w:rPr/>
              <w:t>126.00</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56,557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3003" w:type="dxa"/>
            <w:tcBorders/>
            <w:shd w:fill="FFFFFF" w:val="clear"/>
            <w:vAlign w:val="center"/>
          </w:tcPr>
          <w:p>
            <w:pPr>
              <w:pStyle w:val="TableContents"/>
              <w:bidi w:val="0"/>
              <w:spacing w:before="0" w:after="283"/>
              <w:jc w:val="right"/>
              <w:rPr/>
            </w:pPr>
            <w:r>
              <w:rPr/>
              <w:t>63.54</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3003" w:type="dxa"/>
            <w:tcBorders/>
            <w:shd w:fill="FFFFFF" w:val="clear"/>
            <w:vAlign w:val="center"/>
          </w:tcPr>
          <w:p>
            <w:pPr>
              <w:pStyle w:val="TableContents"/>
              <w:bidi w:val="0"/>
              <w:spacing w:before="0" w:after="283"/>
              <w:jc w:val="right"/>
              <w:rPr/>
            </w:pPr>
            <w:r>
              <w:rPr/>
              <w:t>7.51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3003" w:type="dxa"/>
            <w:tcBorders/>
            <w:shd w:fill="CCEEFF" w:val="clear"/>
            <w:vAlign w:val="center"/>
          </w:tcPr>
          <w:p>
            <w:pPr>
              <w:pStyle w:val="TableContents"/>
              <w:bidi w:val="0"/>
              <w:spacing w:before="0" w:after="283"/>
              <w:jc w:val="right"/>
              <w:rPr/>
            </w:pPr>
            <w:r>
              <w:rPr/>
              <w:t>32.79</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(71,333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03" w:type="dxa"/>
            <w:tcBorders>
              <w:bottom w:val="single" w:sz="8" w:space="0" w:color="000000"/>
            </w:tcBorders>
            <w:shd w:fill="CCEEFF" w:val="clear"/>
            <w:tcMar>
              <w:bottom w:w="28" w:type="dxa"/>
            </w:tcMar>
            <w:vAlign w:val="center"/>
          </w:tcPr>
          <w:p>
            <w:pPr>
              <w:pStyle w:val="TableContents"/>
              <w:bidi w:val="0"/>
              <w:spacing w:before="0" w:after="283"/>
              <w:jc w:val="right"/>
              <w:rPr/>
            </w:pPr>
            <w:r>
              <w:rPr/>
              <w:t>83.88</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Unvested shares, December 31, 2023</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5,224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03" w:type="dxa"/>
            <w:tcBorders>
              <w:bottom w:val="double" w:sz="6" w:space="0" w:color="000000"/>
            </w:tcBorders>
            <w:shd w:fill="FFFFFF" w:val="clear"/>
            <w:tcMar>
              <w:bottom w:w="28" w:type="dxa"/>
            </w:tcM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30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Unvested shares, January 1, 2024</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w:t>
            </w:r>
          </w:p>
        </w:tc>
        <w:tc>
          <w:tcPr>
            <w:tcW w:w="3003" w:type="dxa"/>
            <w:tcBorders/>
            <w:shd w:fill="FFFFFF" w:val="cle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Granted and unvested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351,872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3003"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3003" w:type="dxa"/>
            <w:tcBorders/>
            <w:shd w:fill="FFFFFF" w:val="clear"/>
            <w:vAlign w:val="center"/>
          </w:tcPr>
          <w:p>
            <w:pPr>
              <w:pStyle w:val="TableContents"/>
              <w:bidi w:val="0"/>
              <w:spacing w:before="0" w:after="283"/>
              <w:jc w:val="right"/>
              <w:rPr/>
            </w:pPr>
            <w:r>
              <w:rPr/>
              <w:t>7.51</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3003" w:type="dxa"/>
            <w:tcBorders/>
            <w:shd w:fill="CCEEFF" w:val="clear"/>
            <w:vAlign w:val="center"/>
          </w:tcPr>
          <w:p>
            <w:pPr>
              <w:pStyle w:val="TableContents"/>
              <w:bidi w:val="0"/>
              <w:spacing w:before="0" w:after="283"/>
              <w:jc w:val="right"/>
              <w:rPr/>
            </w:pPr>
            <w:r>
              <w:rPr/>
              <w:t>32.79</w:t>
            </w:r>
          </w:p>
        </w:tc>
        <w:tc>
          <w:tcPr>
            <w:tcW w:w="75" w:type="dxa"/>
            <w:tcBorders/>
            <w:shd w:fill="CCEEFF" w:val="clear"/>
            <w:vAlign w:val="center"/>
          </w:tcPr>
          <w:p>
            <w:pPr>
              <w:pStyle w:val="TableContents"/>
              <w:bidi w:val="0"/>
              <w:spacing w:before="0" w:after="283"/>
              <w:ind w:left="0" w:right="0" w:hanging="10"/>
              <w:jc w:val="left"/>
              <w:rPr/>
            </w:pPr>
            <w:r>
              <w:rPr/>
              <w:t> </w:t>
            </w:r>
          </w:p>
        </w:tc>
      </w:tr>
      <w:tr>
        <w:trPr/>
        <w:tc>
          <w:tcPr>
            <w:tcW w:w="357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(11,515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03" w:type="dxa"/>
            <w:tcBorders>
              <w:bottom w:val="single" w:sz="8" w:space="0" w:color="000000"/>
            </w:tcBorders>
            <w:shd w:fill="FFFFFF" w:val="clear"/>
            <w:tcMar>
              <w:bottom w:w="28" w:type="dxa"/>
            </w:tcMar>
            <w:vAlign w:val="center"/>
          </w:tcPr>
          <w:p>
            <w:pPr>
              <w:pStyle w:val="TableContents"/>
              <w:bidi w:val="0"/>
              <w:spacing w:before="0" w:after="283"/>
              <w:jc w:val="right"/>
              <w:rPr/>
            </w:pPr>
            <w:r>
              <w:rPr/>
              <w:t>4.18</w:t>
            </w:r>
          </w:p>
        </w:tc>
        <w:tc>
          <w:tcPr>
            <w:tcW w:w="75" w:type="dxa"/>
            <w:tcBorders/>
            <w:shd w:fill="FFFFFF" w:val="clear"/>
            <w:vAlign w:val="center"/>
          </w:tcPr>
          <w:p>
            <w:pPr>
              <w:pStyle w:val="TableContents"/>
              <w:bidi w:val="0"/>
              <w:spacing w:before="0" w:after="283"/>
              <w:ind w:left="0" w:right="0" w:hanging="10"/>
              <w:jc w:val="left"/>
              <w:rPr/>
            </w:pPr>
            <w:r>
              <w:rPr/>
              <w:t> </w:t>
            </w:r>
          </w:p>
        </w:tc>
      </w:tr>
      <w:tr>
        <w:trPr/>
        <w:tc>
          <w:tcPr>
            <w:tcW w:w="3575" w:type="dxa"/>
            <w:tcBorders/>
            <w:shd w:fill="CCEEFF" w:val="clear"/>
            <w:vAlign w:val="center"/>
          </w:tcPr>
          <w:p>
            <w:pPr>
              <w:pStyle w:val="TableContents"/>
              <w:bidi w:val="0"/>
              <w:spacing w:before="0" w:after="283"/>
              <w:jc w:val="both"/>
              <w:rPr/>
            </w:pPr>
            <w:r>
              <w:rPr/>
              <w:t>Unvested shares, December 31,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334,751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03" w:type="dxa"/>
            <w:tcBorders>
              <w:bottom w:val="double" w:sz="6" w:space="0" w:color="000000"/>
            </w:tcBorders>
            <w:shd w:fill="CCEEFF" w:val="clear"/>
            <w:tcMar>
              <w:bottom w:w="28" w:type="dxa"/>
            </w:tcM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there were 854,412 and 496,587 shares, respectively, of unissued authorized and available for future awards under the 2022 Equity Incentive Plan and Employee Stock Purchase Plan.</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27,197 common shares in connection with its Employee Stock Purchase Plan for a total consideration of approximately $112. The ESPP allows employees to purchase shares at a 15% discount to the lesser of the stock price at the beginning or the end of the offering period, which was October 1, 2023, and April 1, 2024, respectively. The discount resulted in an exercise price of $4.14 per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commenced a second offering under the Employee Stock Purchase Plan (ESPP), which ran through September 30, 2024, with the same terms as the first offering. As of September 30, 2024, the Company had issued 33,950 common shares in connection with its Employee Stock Purchase Plan for a total consideration of approximately $135. The ESPP allows employees to purchase shares at a 15% discount to the lesser of the stock price at the beginning or the end of the offering period, which was April 1, 2024, and September 30, 2024, respectively. The discount resulted in an exercise price of $3.99 per share.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13 - SUPPLIER AGREEMENT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14 - INCOME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consists of the following items: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INCOME TAX EXPENSE </w:t>
      </w:r>
    </w:p>
    <w:tbl>
      <w:tblPr>
        <w:tblW w:w="3110" w:type="dxa"/>
        <w:jc w:val="left"/>
        <w:tblInd w:w="0" w:type="dxa"/>
        <w:tblLayout w:type="fixed"/>
        <w:tblCellMar>
          <w:top w:w="0" w:type="dxa"/>
          <w:left w:w="0" w:type="dxa"/>
          <w:bottom w:w="0" w:type="dxa"/>
          <w:right w:w="0" w:type="dxa"/>
        </w:tblCellMar>
      </w:tblPr>
      <w:tblGrid>
        <w:gridCol w:w="1820"/>
        <w:gridCol w:w="60"/>
        <w:gridCol w:w="297"/>
        <w:gridCol w:w="203"/>
        <w:gridCol w:w="60"/>
        <w:gridCol w:w="60"/>
        <w:gridCol w:w="147"/>
        <w:gridCol w:w="353"/>
        <w:gridCol w:w="110"/>
      </w:tblGrid>
      <w:tr>
        <w:trPr/>
        <w:tc>
          <w:tcPr>
            <w:tcW w:w="18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p>
        </w:tc>
      </w:tr>
      <w:tr>
        <w:trPr/>
        <w:tc>
          <w:tcPr>
            <w:tcW w:w="1820" w:type="dxa"/>
            <w:tcBorders/>
            <w:shd w:fill="CCEEFF" w:val="clear"/>
            <w:vAlign w:val="center"/>
          </w:tcPr>
          <w:p>
            <w:pPr>
              <w:pStyle w:val="TableContents"/>
              <w:bidi w:val="0"/>
              <w:spacing w:before="0" w:after="283"/>
              <w:jc w:val="both"/>
              <w:rPr/>
            </w:pPr>
            <w:r>
              <w:rPr/>
              <w:t>Current – Federal</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1820" w:type="dxa"/>
            <w:tcBorders/>
            <w:shd w:fill="FFFFFF" w:val="clear"/>
            <w:vAlign w:val="center"/>
          </w:tcPr>
          <w:p>
            <w:pPr>
              <w:pStyle w:val="TableContents"/>
              <w:bidi w:val="0"/>
              <w:spacing w:before="0" w:after="283"/>
              <w:jc w:val="both"/>
              <w:rPr/>
            </w:pPr>
            <w:r>
              <w:rPr/>
              <w:t>Current – State</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1820" w:type="dxa"/>
            <w:tcBorders/>
            <w:shd w:fill="CCEEFF" w:val="clear"/>
            <w:vAlign w:val="center"/>
          </w:tcPr>
          <w:p>
            <w:pPr>
              <w:pStyle w:val="TableContents"/>
              <w:bidi w:val="0"/>
              <w:spacing w:before="0" w:after="283"/>
              <w:jc w:val="both"/>
              <w:rPr/>
            </w:pPr>
            <w:r>
              <w:rPr/>
              <w:t>Deferred – Federal</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1820" w:type="dxa"/>
            <w:tcBorders/>
            <w:shd w:fill="FFFFFF" w:val="clear"/>
            <w:vAlign w:val="center"/>
          </w:tcPr>
          <w:p>
            <w:pPr>
              <w:pStyle w:val="TableContents"/>
              <w:bidi w:val="0"/>
              <w:spacing w:before="0" w:after="283"/>
              <w:jc w:val="both"/>
              <w:rPr/>
            </w:pPr>
            <w:r>
              <w:rPr/>
              <w:t>Deferred – State</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1820" w:type="dxa"/>
            <w:tcBorders/>
            <w:shd w:fill="CCEEFF" w:val="clear"/>
            <w:vAlign w:val="center"/>
          </w:tcPr>
          <w:p>
            <w:pPr>
              <w:pStyle w:val="TableContents"/>
              <w:bidi w:val="0"/>
              <w:spacing w:before="0" w:after="283"/>
              <w:jc w:val="both"/>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deferred tax assets (liabilities) are as follows: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DEFERRED TAX ASSETS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Start up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850</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1,305</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1,179</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Allowance for bad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847</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1,657</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4,907</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512</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Settlement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7,891</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Inventory (Sec. 263A)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360</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33,982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20,374</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170" w:type="dxa"/>
            <w:tcBorders/>
            <w:shd w:fill="FFFFFF" w:val="clear"/>
            <w:vAlign w:val="center"/>
          </w:tcPr>
          <w:p>
            <w:pPr>
              <w:pStyle w:val="TableContents"/>
              <w:bidi w:val="0"/>
              <w:spacing w:before="0" w:after="283"/>
              <w:jc w:val="both"/>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19,617</w:t>
            </w:r>
          </w:p>
        </w:tc>
        <w:tc>
          <w:tcPr>
            <w:tcW w:w="110" w:type="dxa"/>
            <w:tcBorders/>
            <w:shd w:fill="FFFFFF" w:val="clear"/>
            <w:vAlign w:val="center"/>
          </w:tcPr>
          <w:p>
            <w:pPr>
              <w:pStyle w:val="TableContents"/>
              <w:bidi w:val="0"/>
              <w:spacing w:before="0" w:after="283"/>
              <w:ind w:left="0" w:right="0" w:hanging="10"/>
              <w:jc w:val="left"/>
              <w:rPr/>
            </w:pPr>
            <w:r>
              <w:rPr/>
              <w:t> </w:t>
            </w:r>
          </w:p>
        </w:tc>
      </w:tr>
      <w:tr>
        <w:trPr/>
        <w:tc>
          <w:tcPr>
            <w:tcW w:w="3170"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(19,617</w:t>
            </w:r>
          </w:p>
        </w:tc>
        <w:tc>
          <w:tcPr>
            <w:tcW w:w="110" w:type="dxa"/>
            <w:tcBorders/>
            <w:shd w:fill="CCEEFF" w:val="clear"/>
            <w:vAlign w:val="center"/>
          </w:tcPr>
          <w:p>
            <w:pPr>
              <w:pStyle w:val="TableContents"/>
              <w:bidi w:val="0"/>
              <w:spacing w:before="0" w:after="283"/>
              <w:ind w:left="0" w:right="0" w:hanging="10"/>
              <w:jc w:val="left"/>
              <w:rPr/>
            </w:pPr>
            <w:r>
              <w:rPr/>
              <w:t>)</w:t>
            </w:r>
          </w:p>
        </w:tc>
      </w:tr>
      <w:tr>
        <w:trPr/>
        <w:tc>
          <w:tcPr>
            <w:tcW w:w="3170" w:type="dxa"/>
            <w:tcBorders/>
            <w:shd w:fill="FFFFFF" w:val="clear"/>
            <w:vAlign w:val="center"/>
          </w:tcPr>
          <w:p>
            <w:pPr>
              <w:pStyle w:val="TableContents"/>
              <w:bidi w:val="0"/>
              <w:spacing w:before="0" w:after="283"/>
              <w:jc w:val="both"/>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14 - Income Taxes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 ending December 31, 2024 and 2023, is as follows:</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540" w:type="dxa"/>
        <w:jc w:val="left"/>
        <w:tblInd w:w="0" w:type="dxa"/>
        <w:tblLayout w:type="fixed"/>
        <w:tblCellMar>
          <w:top w:w="0" w:type="dxa"/>
          <w:left w:w="0" w:type="dxa"/>
          <w:bottom w:w="0" w:type="dxa"/>
          <w:right w:w="0" w:type="dxa"/>
        </w:tblCellMar>
      </w:tblPr>
      <w:tblGrid>
        <w:gridCol w:w="3890"/>
        <w:gridCol w:w="60"/>
        <w:gridCol w:w="140"/>
        <w:gridCol w:w="635"/>
        <w:gridCol w:w="95"/>
        <w:gridCol w:w="60"/>
        <w:gridCol w:w="91"/>
        <w:gridCol w:w="964"/>
        <w:gridCol w:w="290"/>
        <w:gridCol w:w="60"/>
        <w:gridCol w:w="60"/>
        <w:gridCol w:w="680"/>
        <w:gridCol w:w="95"/>
        <w:gridCol w:w="60"/>
        <w:gridCol w:w="91"/>
        <w:gridCol w:w="964"/>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6"/>
            <w:tcBorders>
              <w:bottom w:val="single" w:sz="8" w:space="0" w:color="000000"/>
            </w:tcBorders>
            <w:tcMar>
              <w:bottom w:w="28" w:type="dxa"/>
            </w:tcMar>
            <w:vAlign w:val="center"/>
          </w:tcPr>
          <w:p>
            <w:pPr>
              <w:pStyle w:val="TableContents"/>
              <w:bidi w:val="0"/>
              <w:spacing w:before="0" w:after="283"/>
              <w:jc w:val="center"/>
              <w:rPr/>
            </w:pPr>
            <w:r>
              <w:rPr/>
              <w:t>2024</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pPr>
            <w:r>
              <w:rPr/>
              <w:t>2023</w:t>
            </w:r>
          </w:p>
        </w:tc>
        <w:tc>
          <w:tcPr>
            <w:tcW w:w="305" w:type="dxa"/>
            <w:tcBorders/>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Percentage</w:t>
            </w:r>
          </w:p>
        </w:tc>
        <w:tc>
          <w:tcPr>
            <w:tcW w:w="305" w:type="dxa"/>
            <w:tcBorders/>
            <w:vAlign w:val="center"/>
          </w:tcPr>
          <w:p>
            <w:pPr>
              <w:pStyle w:val="TableContents"/>
              <w:bidi w:val="0"/>
              <w:spacing w:before="0" w:after="283"/>
              <w:ind w:left="0" w:right="0" w:hanging="10"/>
              <w:jc w:val="center"/>
              <w:rPr/>
            </w:pPr>
            <w:r>
              <w:rPr/>
              <w:t> </w:t>
            </w:r>
          </w:p>
        </w:tc>
      </w:tr>
      <w:tr>
        <w:trPr/>
        <w:tc>
          <w:tcPr>
            <w:tcW w:w="3890" w:type="dxa"/>
            <w:tcBorders/>
            <w:shd w:fill="CCEEFF" w:val="clear"/>
            <w:vAlign w:val="center"/>
          </w:tcPr>
          <w:p>
            <w:pPr>
              <w:pStyle w:val="TableContents"/>
              <w:bidi w:val="0"/>
              <w:spacing w:before="0" w:after="283"/>
              <w:jc w:val="both"/>
              <w:rPr/>
            </w:pPr>
            <w:r>
              <w:rPr/>
              <w:t>Book 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0"/>
              <w:jc w:val="left"/>
              <w:rPr/>
            </w:pPr>
            <w:r>
              <w:rPr/>
              <w:t> </w:t>
            </w:r>
          </w:p>
        </w:tc>
      </w:tr>
      <w:tr>
        <w:trPr/>
        <w:tc>
          <w:tcPr>
            <w:tcW w:w="3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0"/>
              <w:jc w:val="left"/>
              <w:rPr/>
            </w:pPr>
            <w:r>
              <w:rPr/>
              <w:t> </w:t>
            </w:r>
          </w:p>
        </w:tc>
      </w:tr>
      <w:tr>
        <w:trPr/>
        <w:tc>
          <w:tcPr>
            <w:tcW w:w="3890" w:type="dxa"/>
            <w:tcBorders/>
            <w:shd w:fill="FFFFFF" w:val="clear"/>
            <w:vAlign w:val="center"/>
          </w:tcPr>
          <w:p>
            <w:pPr>
              <w:pStyle w:val="TableContents"/>
              <w:bidi w:val="0"/>
              <w:spacing w:before="0" w:after="283"/>
              <w:jc w:val="both"/>
              <w:rPr/>
            </w:pPr>
            <w:r>
              <w:rPr/>
              <w:t>Permanent differences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0.64</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44.07</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State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2.73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8.92</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0.35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11.71</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0.07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4.68</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Research and development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2.17</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Uncertain tax positions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0.09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(0.96</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(0.23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(0.49</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Rate Change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(0.44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305" w:type="dxa"/>
            <w:tcBorders/>
            <w:shd w:fill="CCEEFF" w:val="clear"/>
            <w:vAlign w:val="center"/>
          </w:tcPr>
          <w:p>
            <w:pPr>
              <w:pStyle w:val="TableContents"/>
              <w:bidi w:val="0"/>
              <w:spacing w:before="0" w:after="283"/>
              <w:ind w:left="0" w:right="0" w:hanging="10"/>
              <w:jc w:val="left"/>
              <w:rPr/>
            </w:pPr>
            <w:r>
              <w:rPr/>
              <w:t>)%</w:t>
            </w:r>
          </w:p>
        </w:tc>
      </w:tr>
      <w:tr>
        <w:trPr/>
        <w:tc>
          <w:tcPr>
            <w:tcW w:w="3890"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(24.21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305" w:type="dxa"/>
            <w:tcBorders/>
            <w:shd w:fill="FFFFFF" w:val="clear"/>
            <w:vAlign w:val="center"/>
          </w:tcPr>
          <w:p>
            <w:pPr>
              <w:pStyle w:val="TableContents"/>
              <w:bidi w:val="0"/>
              <w:spacing w:before="0" w:after="283"/>
              <w:ind w:left="0" w:right="0" w:hanging="10"/>
              <w:jc w:val="left"/>
              <w:rPr/>
            </w:pPr>
            <w:r>
              <w:rPr/>
              <w:t>)%</w:t>
            </w:r>
          </w:p>
        </w:tc>
      </w:tr>
      <w:tr>
        <w:trPr/>
        <w:tc>
          <w:tcPr>
            <w:tcW w:w="3890" w:type="dxa"/>
            <w:tcBorders/>
            <w:shd w:fill="CCEEFF" w:val="clear"/>
            <w:vAlign w:val="center"/>
          </w:tcPr>
          <w:p>
            <w:pPr>
              <w:pStyle w:val="TableContents"/>
              <w:bidi w:val="0"/>
              <w:spacing w:before="0" w:after="283"/>
              <w:jc w:val="both"/>
              <w:rPr/>
            </w:pPr>
            <w:r>
              <w:rPr/>
              <w:t> </w:t>
            </w: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0"/>
              <w:jc w:val="left"/>
              <w:rPr/>
            </w:pPr>
            <w:r>
              <w:rPr/>
              <w:t> </w:t>
            </w:r>
          </w:p>
        </w:tc>
      </w:tr>
      <w:tr>
        <w:trPr/>
        <w:tc>
          <w:tcPr>
            <w:tcW w:w="3890" w:type="dxa"/>
            <w:tcBorders/>
            <w:shd w:fill="FFFFFF" w:val="clear"/>
            <w:vAlign w:val="center"/>
          </w:tcPr>
          <w:p>
            <w:pPr>
              <w:pStyle w:val="TableContents"/>
              <w:bidi w:val="0"/>
              <w:spacing w:before="0" w:after="283"/>
              <w:jc w:val="both"/>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double" w:sz="6" w:space="0" w:color="000000"/>
            </w:tcBorders>
            <w:shd w:fill="FFFFFF" w:val="clear"/>
            <w:tcMar>
              <w:bottom w:w="28" w:type="dxa"/>
            </w:tcMar>
            <w:vAlign w:val="center"/>
          </w:tcPr>
          <w:p>
            <w:pPr>
              <w:pStyle w:val="TableContents"/>
              <w:bidi w:val="0"/>
              <w:spacing w:before="0" w:after="283"/>
              <w:jc w:val="right"/>
              <w:rPr/>
            </w:pPr>
            <w:r>
              <w:rPr/>
              <w:t>0.20</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from the date of filing. At the report date, federal tax returns are open for the Company for 2021, 2022 and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2024, the Company had federal net operating loss carryforwards of approximately $56,315 available to reduce future taxable income which do not expire, but are limited to 80% utilization against taxable income. As of December 31, 2024, the Company had state net operating loss carryforwards of approximately $24,910 available to reduce future taxable income, which start to expire in 2037. The Company also had research and development credits of $875 as of December 31, 2024 to offset future federal income taxes, which are set to expire in 2042.</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2024. The valuation allowance as of December 31, 2024 was $29,449, primarily due to the company entering into a 3 year cumulative loss position and no expectation of income for the year ended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14 - Income Taxes (Continued)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10" w:right="0" w:hanging="1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GROSS UNCERTAIN TAX POSITIONS</w:t>
      </w:r>
    </w:p>
    <w:tbl>
      <w:tblPr>
        <w:tblW w:w="6719" w:type="dxa"/>
        <w:jc w:val="left"/>
        <w:tblInd w:w="0" w:type="dxa"/>
        <w:tblLayout w:type="fixed"/>
        <w:tblCellMar>
          <w:top w:w="0" w:type="dxa"/>
          <w:left w:w="0" w:type="dxa"/>
          <w:bottom w:w="0" w:type="dxa"/>
          <w:right w:w="0" w:type="dxa"/>
        </w:tblCellMar>
      </w:tblPr>
      <w:tblGrid>
        <w:gridCol w:w="3725"/>
        <w:gridCol w:w="60"/>
        <w:gridCol w:w="758"/>
        <w:gridCol w:w="2066"/>
        <w:gridCol w:w="110"/>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8"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ind w:left="0" w:right="0" w:hanging="10"/>
              <w:jc w:val="left"/>
              <w:rPr/>
            </w:pPr>
            <w:r>
              <w:rPr/>
              <w:t> </w:t>
            </w:r>
          </w:p>
        </w:tc>
      </w:tr>
      <w:tr>
        <w:trPr/>
        <w:tc>
          <w:tcPr>
            <w:tcW w:w="3725" w:type="dxa"/>
            <w:tcBorders/>
            <w:shd w:fill="CCEEFF" w:val="clear"/>
            <w:vAlign w:val="center"/>
          </w:tcPr>
          <w:p>
            <w:pPr>
              <w:pStyle w:val="TableContents"/>
              <w:bidi w:val="0"/>
              <w:spacing w:before="0" w:after="283"/>
              <w:jc w:val="both"/>
              <w:rPr/>
            </w:pPr>
            <w:r>
              <w:rPr/>
              <w:t>Balance at January 1, 2023</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w:t>
            </w:r>
          </w:p>
        </w:tc>
        <w:tc>
          <w:tcPr>
            <w:tcW w:w="2066" w:type="dxa"/>
            <w:tcBorders/>
            <w:shd w:fill="CCEEFF" w:val="cle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725" w:type="dxa"/>
            <w:tcBorders/>
            <w:shd w:fill="FFFFFF" w:val="clear"/>
            <w:vAlign w:val="center"/>
          </w:tcPr>
          <w:p>
            <w:pPr>
              <w:pStyle w:val="TableContents"/>
              <w:bidi w:val="0"/>
              <w:spacing w:before="0" w:after="283"/>
              <w:jc w:val="both"/>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66"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725" w:type="dxa"/>
            <w:tcBorders/>
            <w:shd w:fill="CCEEFF" w:val="clear"/>
            <w:vAlign w:val="center"/>
          </w:tcPr>
          <w:p>
            <w:pPr>
              <w:pStyle w:val="TableContents"/>
              <w:bidi w:val="0"/>
              <w:spacing w:before="0" w:after="283"/>
              <w:jc w:val="both"/>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2066"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ind w:left="0" w:right="0" w:hanging="10"/>
              <w:jc w:val="left"/>
              <w:rPr/>
            </w:pPr>
            <w:r>
              <w:rPr/>
              <w:t> </w:t>
            </w:r>
          </w:p>
        </w:tc>
      </w:tr>
      <w:tr>
        <w:trPr/>
        <w:tc>
          <w:tcPr>
            <w:tcW w:w="3725" w:type="dxa"/>
            <w:tcBorders/>
            <w:shd w:fill="FFFFFF" w:val="clear"/>
            <w:vAlign w:val="center"/>
          </w:tcPr>
          <w:p>
            <w:pPr>
              <w:pStyle w:val="TableContents"/>
              <w:bidi w:val="0"/>
              <w:spacing w:before="0" w:after="283"/>
              <w:jc w:val="both"/>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66"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ind w:left="0" w:right="0" w:hanging="10"/>
              <w:jc w:val="left"/>
              <w:rPr/>
            </w:pPr>
            <w:r>
              <w:rPr/>
              <w:t>)</w:t>
            </w:r>
          </w:p>
        </w:tc>
      </w:tr>
      <w:tr>
        <w:trPr/>
        <w:tc>
          <w:tcPr>
            <w:tcW w:w="3725" w:type="dxa"/>
            <w:tcBorders/>
            <w:shd w:fill="CCEEFF" w:val="clear"/>
            <w:vAlign w:val="center"/>
          </w:tcPr>
          <w:p>
            <w:pPr>
              <w:pStyle w:val="TableContents"/>
              <w:bidi w:val="0"/>
              <w:spacing w:before="0" w:after="283"/>
              <w:jc w:val="both"/>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66"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decreased during the year ended December 31, 2024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 xml:space="preserve">Note 15 - REPORTABLE SEGMENTS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reportable segments: DTC and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information for the reported segments is not disclosed as it is not used by the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reportable segments information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REPORTABLE SEGMENTS INFORMATION </w:t>
      </w:r>
    </w:p>
    <w:tbl>
      <w:tblPr>
        <w:tblW w:w="9350" w:type="dxa"/>
        <w:jc w:val="left"/>
        <w:tblInd w:w="0" w:type="dxa"/>
        <w:tblLayout w:type="fixed"/>
        <w:tblCellMar>
          <w:top w:w="0" w:type="dxa"/>
          <w:left w:w="0" w:type="dxa"/>
          <w:bottom w:w="0" w:type="dxa"/>
          <w:right w:w="0" w:type="dxa"/>
        </w:tblCellMar>
      </w:tblPr>
      <w:tblGrid>
        <w:gridCol w:w="5015"/>
        <w:gridCol w:w="60"/>
        <w:gridCol w:w="140"/>
        <w:gridCol w:w="680"/>
        <w:gridCol w:w="95"/>
        <w:gridCol w:w="60"/>
        <w:gridCol w:w="140"/>
        <w:gridCol w:w="680"/>
        <w:gridCol w:w="60"/>
        <w:gridCol w:w="60"/>
        <w:gridCol w:w="140"/>
        <w:gridCol w:w="755"/>
        <w:gridCol w:w="95"/>
        <w:gridCol w:w="60"/>
        <w:gridCol w:w="245"/>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50,645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32,223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3,291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39,019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11,626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5,451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556</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Loss on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Other general &amp;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18,749</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Shipping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2,529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2,874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Marketing spend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Unallocated sales and marketing stock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Unallocated sales and marketing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Other sales &amp;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37,385</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(25,759</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(21,504</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(14,856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(40,576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sales and marketing employee cost and other marketing expenses</w:t>
            </w:r>
          </w:p>
        </w:tc>
      </w:tr>
    </w:tbl>
    <w:tbl>
      <w:tblPr>
        <w:tblW w:w="4413" w:type="dxa"/>
        <w:jc w:val="left"/>
        <w:tblInd w:w="0" w:type="dxa"/>
        <w:tblLayout w:type="fixed"/>
        <w:tblCellMar>
          <w:top w:w="0" w:type="dxa"/>
          <w:left w:w="0" w:type="dxa"/>
          <w:bottom w:w="0" w:type="dxa"/>
          <w:right w:w="0" w:type="dxa"/>
        </w:tblCellMar>
      </w:tblPr>
      <w:tblGrid>
        <w:gridCol w:w="260"/>
        <w:gridCol w:w="23"/>
        <w:gridCol w:w="413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settlement from patent licensing litigation</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$7,310, or 14%, of the Company’s consolidated revenues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reportable segments information as of December 31, 2023:</w:t>
      </w:r>
    </w:p>
    <w:p>
      <w:pPr>
        <w:pStyle w:val="TextBody"/>
        <w:bidi w:val="0"/>
        <w:spacing w:before="0" w:after="0"/>
        <w:ind w:left="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5015"/>
        <w:gridCol w:w="60"/>
        <w:gridCol w:w="140"/>
        <w:gridCol w:w="680"/>
        <w:gridCol w:w="60"/>
        <w:gridCol w:w="60"/>
        <w:gridCol w:w="140"/>
        <w:gridCol w:w="680"/>
        <w:gridCol w:w="95"/>
        <w:gridCol w:w="60"/>
        <w:gridCol w:w="140"/>
        <w:gridCol w:w="755"/>
        <w:gridCol w:w="95"/>
        <w:gridCol w:w="60"/>
        <w:gridCol w:w="245"/>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64,392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41,347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3,924</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48,946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15,446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3,863</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25,121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3,468</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1,818</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2,101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42,875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(27,429</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(16,015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Change in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29,582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13,586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(13,843</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(13,817</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(13,817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10" w:right="0" w:hanging="1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15 - Reportable Segments (continued)</w:t>
      </w:r>
    </w:p>
    <w:p>
      <w:pPr>
        <w:pStyle w:val="TextBody"/>
        <w:bidi w:val="0"/>
        <w:spacing w:before="0" w:after="0"/>
        <w:ind w:left="10" w:right="0" w:hanging="10"/>
        <w:jc w:val="both"/>
        <w:rPr>
          <w:caps/>
        </w:rPr>
      </w:pPr>
      <w:r>
        <w:rPr>
          <w:caps/>
        </w:rPr>
        <w:t> </w:t>
      </w:r>
    </w:p>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$10,285, or 16%, of the Company’s consolidated revenues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sz w:val="20"/>
        </w:rPr>
      </w:pPr>
      <w:r>
        <w:rPr>
          <w:rFonts w:ascii="Times New Roman;Times;Serif" w:hAnsi="Times New Roman;Times;Serif"/>
          <w:b/>
          <w:i w:val="false"/>
          <w:caps/>
          <w:sz w:val="20"/>
        </w:rPr>
        <w:t>Note 16 - SUBSEQUENT EVENTS</w:t>
      </w:r>
    </w:p>
    <w:p>
      <w:pPr>
        <w:pStyle w:val="TextBody"/>
        <w:bidi w:val="0"/>
        <w:spacing w:before="0" w:after="0"/>
        <w:ind w:left="10" w:right="0" w:hanging="10"/>
        <w:jc w:val="both"/>
        <w:rPr>
          <w:caps/>
        </w:rPr>
      </w:pPr>
      <w:r>
        <w:rPr>
          <w:caps/>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$350,000 (the “Base Salary”) and a discretionary annual bonus of up to 65% of the Base Salary.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2025,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expected proceeds amount to $8,000 which the Company will use for working capital, general corporate purposes and mandatory payments on the Term Loan if more than $8,000 is raised. In addition, investors received warrants to purchase up to 4,000 shares of Series A preferred stock at $10,000 per share, potentially providing up to $40 million in future capital. We received $3,500 less $300 in costs on February 27, 2025 and expect to receive the remaining $4,500, minus costs, in early May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$2,500) for the next one and a half years.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entered into a settlement agreement with a third party regarding a patent licensing dispute. Under the terms of the settlement, the Company agreed to pay $2,500 to resolve the matter. As a result of the settlement, the Company has recorded a liability of $2,500 on the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sold certain machinery and equipment assets to a third party at a price below their carrying value. As a result of the sale, the Company recognized an impairment loss of $873 on consolidated statement of operations and reclassified the remaining fair value of $644 as Assets Held for Sale on the balance sheet as of December 31, 2024.</w:t>
      </w:r>
    </w:p>
    <w:p>
      <w:pPr>
        <w:pStyle w:val="TextBody"/>
        <w:bidi w:val="0"/>
        <w:spacing w:before="0" w:after="0"/>
        <w:ind w:left="10" w:right="0" w:hanging="1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4310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43100" cy="485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36,901,132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10,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92395</Words>
  <Characters>499771</Characters>
  <CharactersWithSpaces>595339</CharactersWithSpaces>
  <Paragraphs>12245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