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filed with the Securities and Exchange Commission on November 18, 2025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THE SECURITIES ACT OF 1933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440"/>
        <w:gridCol w:w="60"/>
        <w:gridCol w:w="1565"/>
      </w:tblGrid>
      <w:tr>
        <w:trPr/>
        <w:tc>
          <w:tcPr>
            <w:tcW w:w="34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85-1873463</w:t>
            </w:r>
          </w:p>
        </w:tc>
      </w:tr>
      <w:tr>
        <w:trPr/>
        <w:tc>
          <w:tcPr>
            <w:tcW w:w="34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4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4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 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89521</w:t>
            </w:r>
          </w:p>
        </w:tc>
      </w:tr>
      <w:tr>
        <w:trPr/>
        <w:tc>
          <w:tcPr>
            <w:tcW w:w="344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285" w:type="dxa"/>
        <w:jc w:val="left"/>
        <w:tblInd w:w="0" w:type="dxa"/>
        <w:tblLayout w:type="fixed"/>
        <w:tblCellMar>
          <w:top w:w="0" w:type="dxa"/>
          <w:left w:w="0" w:type="dxa"/>
          <w:bottom w:w="28" w:type="dxa"/>
          <w:right w:w="0" w:type="dxa"/>
        </w:tblCellMar>
      </w:tblPr>
      <w:tblGrid>
        <w:gridCol w:w="5285"/>
      </w:tblGrid>
      <w:tr>
        <w:trPr/>
        <w:tc>
          <w:tcPr>
            <w:tcW w:w="52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 2022 Equity Inventive Plan</w:t>
            </w:r>
          </w:p>
        </w:tc>
      </w:tr>
      <w:tr>
        <w:trPr/>
        <w:tc>
          <w:tcPr>
            <w:tcW w:w="528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Denis Phares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12915 Old Virginia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Reno, Nevada 89521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(775) 662 - 3448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number, including area code,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Please send copies of all communications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M. Skolnick,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262-6700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is filed by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for the purpose of registering additional shares of the Company’s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to be issued under the Company’s 2022 Equity Incentive Plan (the “</w:t>
      </w:r>
      <w:r>
        <w:rPr>
          <w:rFonts w:ascii="Times New Roman;Times;Serif" w:hAnsi="Times New Roman;Times;Serif"/>
          <w:b w:val="false"/>
          <w:i w:val="false"/>
          <w:caps w:val="false"/>
          <w:smallCaps w:val="false"/>
          <w:sz w:val="20"/>
          <w:u w:val="single"/>
        </w:rPr>
        <w:t>2022 Plan</w:t>
      </w:r>
      <w:r>
        <w:rPr>
          <w:rFonts w:ascii="Times New Roman;Times;Serif" w:hAnsi="Times New Roman;Times;Serif"/>
          <w:b w:val="false"/>
          <w:i w:val="false"/>
          <w:caps w:val="false"/>
          <w:smallCaps w:val="false"/>
          <w:sz w:val="20"/>
        </w:rPr>
        <w:t>”). The amendment to increase the number of shares available for issuance under the 2022 Plan from 1,217,504 to 10,217,504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was approved by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on September 5, 2025 and by the stockholders of the Company on October 15, 2025. This Registration Statement registers an aggregate of 9,000,000 additional shares of Common Stock available for issuance under the 2022 Plan as a result of the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registered pursuant to this Registration Statement are of the same class of securities as (i) the 289,550 shares of Common Stock registered for issuance under the 2022 Plan and the 273,823 shares of Common Stock registered for issuance under the Company’s Employee Stock Purchase Plan (the “</w:t>
      </w:r>
      <w:r>
        <w:rPr>
          <w:rFonts w:ascii="Times New Roman;Times;Serif" w:hAnsi="Times New Roman;Times;Serif"/>
          <w:b w:val="false"/>
          <w:i w:val="false"/>
          <w:caps w:val="false"/>
          <w:smallCaps w:val="false"/>
          <w:sz w:val="20"/>
          <w:u w:val="single"/>
        </w:rPr>
        <w:t>ESPP</w:t>
      </w:r>
      <w:r>
        <w:rPr>
          <w:rFonts w:ascii="Times New Roman;Times;Serif" w:hAnsi="Times New Roman;Times;Serif"/>
          <w:b w:val="false"/>
          <w:i w:val="false"/>
          <w:caps w:val="false"/>
          <w:smallCaps w:val="false"/>
          <w:sz w:val="20"/>
        </w:rPr>
        <w:t>”) pursuant to the currently effective Registration Statement on Form S-8 (Registration No. 333-268784) filed on December 13 2022, and subsequently amended by Post-Effective Amendment No. 1 filed on August 30, 2023, (ii) the 192,324 shares of Common Stock registered for issuance under the 2022 Plan and the 81,415 shares of Common Stock registered for issuance under the ESPP pursuant to the currently effective Registration Statement on Form S-8 (Registration No. 333-274277) filed on August 30, 2023, (iii) the 267,824 shares of Common Stock registered for issuance under the 2022 Plan and 66,956 shares of Common Stock registered for issuance under the ESPP pursuant to the currently effective Registration Statement on Form S-8 (Registration No. 333-280173) filed on June 13, 2024, and (iv) the 289,306 shares of Common Stock registered for issuance under the 2022 Plan and 72,327 shares of Common Stock registered for issuance under the ESPP pursuant to the currently effective Registration Statement on Form S-8 (Registration No. 333-286400) filed on April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of Form S-8, the contents of the Company’s Registration Statements on Form S-8 (Registration Nos. 333-268784, 333-274277, 333-280173 and 333-286400), including any amendments thereto or filings incorporated therein, are incorporated herein by this reference to the extent not replaced hereby.</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Incorporation of Documents by Reference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Company with the Commission pursuant to the Securities Act and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are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5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the Company’s Annual Report on Form 10-K for the year ended December 31, 2024 (the “</w:t>
            </w:r>
            <w:r>
              <w:rPr>
                <w:rFonts w:ascii="Times New Roman;Times;Serif" w:hAnsi="Times New Roman;Times;Serif"/>
                <w:b w:val="false"/>
                <w:i w:val="false"/>
                <w:caps w:val="false"/>
                <w:smallCaps w:val="false"/>
                <w:sz w:val="20"/>
                <w:u w:val="single"/>
              </w:rPr>
              <w:t>Form 10-K</w:t>
            </w:r>
            <w:r>
              <w:rPr>
                <w:rFonts w:ascii="Times New Roman;Times;Serif" w:hAnsi="Times New Roman;Times;Serif"/>
                <w:b w:val="false"/>
                <w:i w:val="false"/>
                <w:caps w:val="false"/>
                <w:smallCaps w:val="false"/>
                <w:sz w:val="20"/>
              </w:rPr>
              <w:t xml:space="preserve">”) filed with the SEC on </w:t>
            </w:r>
            <w:hyperlink r:id="rId2">
              <w:r>
                <w:rPr>
                  <w:rStyle w:val="InternetLink"/>
                  <w:rFonts w:ascii="Times New Roman;Times;Serif" w:hAnsi="Times New Roman;Times;Serif"/>
                  <w:b w:val="false"/>
                  <w:i w:val="false"/>
                  <w:caps w:val="false"/>
                  <w:smallCaps w:val="false"/>
                  <w:sz w:val="20"/>
                </w:rPr>
                <w:t>March 31, 2025</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9" w:type="dxa"/>
            <w:tcBorders/>
            <w:vAlign w:val="center"/>
          </w:tcPr>
          <w:p>
            <w:pPr>
              <w:pStyle w:val="TableContents"/>
              <w:bidi w:val="0"/>
              <w:spacing w:before="0" w:after="283"/>
              <w:jc w:val="both"/>
              <w:rPr>
                <w:caps w:val="false"/>
                <w:smallCaps w:val="false"/>
              </w:rPr>
            </w:pPr>
            <w:r>
              <w:rPr>
                <w:caps w:val="false"/>
                <w:smallCaps w:val="false"/>
              </w:rPr>
              <w:t> </w:t>
            </w:r>
          </w:p>
        </w:tc>
        <w:tc>
          <w:tcPr>
            <w:tcW w:w="99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9" w:type="dxa"/>
            <w:tcBorders/>
            <w:vAlign w:val="center"/>
          </w:tcPr>
          <w:p>
            <w:pPr>
              <w:pStyle w:val="TableContents"/>
              <w:bidi w:val="0"/>
              <w:spacing w:before="0" w:after="283"/>
              <w:jc w:val="both"/>
              <w:rPr>
                <w:caps w:val="false"/>
                <w:smallCaps w:val="false"/>
              </w:rPr>
            </w:pPr>
            <w:r>
              <w:rPr>
                <w:caps w:val="false"/>
                <w:smallCaps w:val="false"/>
              </w:rPr>
              <w:t>●</w:t>
            </w:r>
          </w:p>
        </w:tc>
        <w:tc>
          <w:tcPr>
            <w:tcW w:w="995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Quarterly Reports on Form 10-Q for the fiscal quarters ended </w:t>
            </w:r>
            <w:hyperlink r:id="rId3">
              <w:r>
                <w:rPr>
                  <w:rStyle w:val="InternetLink"/>
                  <w:rFonts w:ascii="Times New Roman;Times;Serif" w:hAnsi="Times New Roman;Times;Serif"/>
                  <w:b w:val="false"/>
                  <w:i w:val="false"/>
                  <w:caps w:val="false"/>
                  <w:smallCaps w:val="false"/>
                  <w:sz w:val="20"/>
                </w:rPr>
                <w:t>March 31, 2025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September 30, 2025</w:t>
              </w:r>
            </w:hyperlink>
            <w:r>
              <w:rPr>
                <w:rFonts w:ascii="Times New Roman;Times;Serif" w:hAnsi="Times New Roman;Times;Serif"/>
                <w:b w:val="false"/>
                <w:i w:val="false"/>
                <w:caps w:val="false"/>
                <w:smallCaps w:val="false"/>
                <w:sz w:val="20"/>
              </w:rPr>
              <w:t xml:space="preserve">, filed with the SEC on </w:t>
            </w:r>
            <w:hyperlink r:id="rId6">
              <w:r>
                <w:rPr>
                  <w:rStyle w:val="InternetLink"/>
                  <w:rFonts w:ascii="Times New Roman;Times;Serif" w:hAnsi="Times New Roman;Times;Serif"/>
                  <w:b w:val="false"/>
                  <w:i w:val="false"/>
                  <w:caps w:val="false"/>
                  <w:smallCaps w:val="false"/>
                  <w:sz w:val="20"/>
                </w:rPr>
                <w:t>May 16,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August 14, 2025</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November 14, 2025</w:t>
              </w:r>
            </w:hyperlink>
            <w:r>
              <w:rPr>
                <w:rFonts w:ascii="Times New Roman;Times;Serif" w:hAnsi="Times New Roman;Times;Serif"/>
                <w:b w:val="false"/>
                <w:i w:val="false"/>
                <w:caps w:val="false"/>
                <w:smallCaps w:val="false"/>
                <w:sz w:val="20"/>
              </w:rPr>
              <w:t>,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9" w:type="dxa"/>
            <w:tcBorders/>
            <w:vAlign w:val="center"/>
          </w:tcPr>
          <w:p>
            <w:pPr>
              <w:pStyle w:val="TableContents"/>
              <w:bidi w:val="0"/>
              <w:spacing w:before="0" w:after="283"/>
              <w:jc w:val="both"/>
              <w:rPr>
                <w:caps w:val="false"/>
                <w:smallCaps w:val="false"/>
              </w:rPr>
            </w:pPr>
            <w:r>
              <w:rPr>
                <w:caps w:val="false"/>
                <w:smallCaps w:val="false"/>
              </w:rPr>
              <w:t> </w:t>
            </w:r>
          </w:p>
        </w:tc>
        <w:tc>
          <w:tcPr>
            <w:tcW w:w="99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5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 filed with the SEC on </w:t>
            </w:r>
            <w:hyperlink r:id="rId9">
              <w:r>
                <w:rPr>
                  <w:rStyle w:val="InternetLink"/>
                  <w:rFonts w:ascii="Times New Roman;Times;Serif" w:hAnsi="Times New Roman;Times;Serif"/>
                  <w:b w:val="false"/>
                  <w:i w:val="false"/>
                  <w:caps w:val="false"/>
                  <w:smallCaps w:val="false"/>
                  <w:sz w:val="20"/>
                </w:rPr>
                <w:t>January 3,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February 5,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February 27,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March 10,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March 24,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April 28,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May 8,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June 3,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13,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24, 2025</w:t>
              </w:r>
            </w:hyperlink>
            <w:r>
              <w:rPr>
                <w:rFonts w:ascii="Times New Roman;Times;Serif" w:hAnsi="Times New Roman;Times;Serif"/>
                <w:b w:val="false"/>
                <w:i w:val="false"/>
                <w:caps w:val="false"/>
                <w:smallCaps w:val="false"/>
                <w:sz w:val="20"/>
              </w:rPr>
              <w:t>,</w:t>
            </w:r>
            <w:hyperlink r:id="rId19">
              <w:r>
                <w:rPr>
                  <w:rStyle w:val="InternetLink"/>
                  <w:rFonts w:ascii="Times New Roman;Times;Serif" w:hAnsi="Times New Roman;Times;Serif"/>
                  <w:b w:val="false"/>
                  <w:i w:val="false"/>
                  <w:caps w:val="false"/>
                  <w:smallCaps w:val="false"/>
                  <w:sz w:val="20"/>
                </w:rPr>
                <w:t xml:space="preserve"> June 27, 2025</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July 7,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July 21,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July 29, 2025</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30, 2025</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September 4, 2025</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October 6, 2025</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October 15, 2025</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October 16, 2025</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October 20, 2025</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October 21, 2025</w:t>
              </w:r>
            </w:hyperlink>
            <w:r>
              <w:rPr>
                <w:rFonts w:ascii="Times New Roman;Times;Serif" w:hAnsi="Times New Roman;Times;Serif"/>
                <w:b w:val="false"/>
                <w:i w:val="false"/>
                <w:caps w:val="false"/>
                <w:smallCaps w:val="false"/>
                <w:sz w:val="20"/>
              </w:rPr>
              <w:t xml:space="preserve"> and </w:t>
            </w:r>
            <w:hyperlink r:id="rId30">
              <w:r>
                <w:rPr>
                  <w:rStyle w:val="InternetLink"/>
                  <w:rFonts w:ascii="Times New Roman;Times;Serif" w:hAnsi="Times New Roman;Times;Serif"/>
                  <w:b w:val="false"/>
                  <w:i w:val="false"/>
                  <w:caps w:val="false"/>
                  <w:smallCaps w:val="false"/>
                  <w:sz w:val="20"/>
                </w:rPr>
                <w:t>November 5, 2025</w:t>
              </w:r>
            </w:hyperlink>
            <w:r>
              <w:rPr>
                <w:rFonts w:ascii="Times New Roman;Times;Serif" w:hAnsi="Times New Roman;Times;Serif"/>
                <w:b w:val="false"/>
                <w:i w:val="false"/>
                <w:caps w:val="false"/>
                <w:smallCaps w:val="false"/>
                <w:sz w:val="20"/>
              </w:rPr>
              <w:t xml:space="preserve"> and on Form 8-K/A filed with the SEC on </w:t>
            </w:r>
            <w:hyperlink r:id="rId31">
              <w:r>
                <w:rPr>
                  <w:rStyle w:val="InternetLink"/>
                  <w:rFonts w:ascii="Times New Roman;Times;Serif" w:hAnsi="Times New Roman;Times;Serif"/>
                  <w:b w:val="false"/>
                  <w:i w:val="false"/>
                  <w:caps w:val="false"/>
                  <w:smallCaps w:val="false"/>
                  <w:sz w:val="20"/>
                </w:rPr>
                <w:t>October 16, 2025</w:t>
              </w:r>
            </w:hyperlink>
            <w:r>
              <w:rPr>
                <w:rFonts w:ascii="Times New Roman;Times;Serif" w:hAnsi="Times New Roman;Times;Serif"/>
                <w:b w:val="false"/>
                <w:i w:val="false"/>
                <w:caps w:val="false"/>
                <w:smallCaps w:val="false"/>
                <w:sz w:val="20"/>
              </w:rPr>
              <w:t xml:space="preserve"> (in each case, excluding any information deemed furnished under Items 2.02 or 7.01 of Form 8-K, including the related exhibits, which information is not incorporated by reference herein);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9" w:type="dxa"/>
            <w:tcBorders/>
            <w:vAlign w:val="center"/>
          </w:tcPr>
          <w:p>
            <w:pPr>
              <w:pStyle w:val="TableContents"/>
              <w:bidi w:val="0"/>
              <w:spacing w:before="0" w:after="283"/>
              <w:jc w:val="both"/>
              <w:rPr>
                <w:caps w:val="false"/>
                <w:smallCaps w:val="false"/>
              </w:rPr>
            </w:pPr>
            <w:r>
              <w:rPr>
                <w:caps w:val="false"/>
                <w:smallCaps w:val="false"/>
              </w:rPr>
              <w:t> </w:t>
            </w:r>
          </w:p>
        </w:tc>
        <w:tc>
          <w:tcPr>
            <w:tcW w:w="99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5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Common Stock of the Company contained in its Registration Statement on </w:t>
            </w:r>
            <w:hyperlink r:id="rId3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August 10, 2021 under Section 12(b) of the Exchange Act including any amendments or reports filed for the purpose of updating such description, including </w:t>
            </w:r>
            <w:hyperlink r:id="rId33">
              <w:r>
                <w:rPr>
                  <w:rStyle w:val="InternetLink"/>
                  <w:rFonts w:ascii="Times New Roman;Times;Serif" w:hAnsi="Times New Roman;Times;Serif"/>
                  <w:b w:val="false"/>
                  <w:i w:val="false"/>
                  <w:caps w:val="false"/>
                  <w:smallCaps w:val="false"/>
                  <w:sz w:val="20"/>
                </w:rPr>
                <w:t>Exhibit 4.18</w:t>
              </w:r>
            </w:hyperlink>
            <w:r>
              <w:rPr>
                <w:rFonts w:ascii="Times New Roman;Times;Serif" w:hAnsi="Times New Roman;Times;Serif"/>
                <w:b w:val="false"/>
                <w:i w:val="false"/>
                <w:caps w:val="false"/>
                <w:smallCaps w:val="false"/>
                <w:sz w:val="20"/>
              </w:rPr>
              <w:t xml:space="preserve"> to the Form 10-K.</w:t>
            </w:r>
          </w:p>
        </w:tc>
      </w:tr>
    </w:tbl>
    <w:p>
      <w:pPr>
        <w:pStyle w:val="TextBody"/>
        <w:bidi w:val="0"/>
        <w:spacing w:before="0" w:after="0"/>
        <w:ind w:left="0" w:right="0" w:firstLine="55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Company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7"/>
        <w:gridCol w:w="60"/>
        <w:gridCol w:w="7038"/>
        <w:gridCol w:w="60"/>
        <w:gridCol w:w="509"/>
        <w:gridCol w:w="60"/>
        <w:gridCol w:w="662"/>
        <w:gridCol w:w="60"/>
        <w:gridCol w:w="869"/>
      </w:tblGrid>
      <w:tr>
        <w:trPr/>
        <w:tc>
          <w:tcPr>
            <w:tcW w:w="8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160" w:type="dxa"/>
            <w:gridSpan w:val="5"/>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8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shd w:fill="FFFFFF" w:val="clear"/>
                </w:rPr>
                <w:t>Certificate of Amendment to the Articles of Incorporation of Dragonfly Energy Holdings Corp., dated November 29,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11/29/2023</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Bylaws.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November 19, 2024.</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11/22/2024</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April 25,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04/28/2025</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Parsons Behle &amp; Latimer.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Marcum LLP.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Parsons Behle &amp; Latimer (included in Exhibit 5.1).</w:t>
              </w:r>
            </w:hyperlink>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(contained on the signature page of this Registration Statement).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Dragonfly Energy Holdings Corp. 2022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Dragonfly Energy Holdings Corp. Employee Stock Purchase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3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98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9"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Reno, Nevada, on November 18, 2025.</w:t>
      </w:r>
    </w:p>
    <w:p>
      <w:pPr>
        <w:pStyle w:val="TextBody"/>
        <w:bidi w:val="0"/>
        <w:spacing w:before="0" w:after="0"/>
        <w:jc w:val="center"/>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320"/>
        <w:gridCol w:w="56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9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Interim 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constitutes and appoints Denis Phares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and filed pursuant to Rule 462 under the Securities Act of 1933, as amended,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or his or their substitute or substitutes, may lawfully do or cause to be done by virtue hereof.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jc w:val="center"/>
        <w:rPr>
          <w:caps w:val="false"/>
          <w:smallCaps w:val="false"/>
        </w:rPr>
      </w:pPr>
      <w:r>
        <w:rPr>
          <w:caps w:val="false"/>
          <w:smallCaps w:val="false"/>
        </w:rPr>
        <w:t> </w:t>
      </w:r>
    </w:p>
    <w:tbl>
      <w:tblPr>
        <w:tblW w:w="9960" w:type="dxa"/>
        <w:jc w:val="left"/>
        <w:tblInd w:w="0" w:type="dxa"/>
        <w:tblLayout w:type="fixed"/>
        <w:tblCellMar>
          <w:top w:w="0" w:type="dxa"/>
          <w:left w:w="0" w:type="dxa"/>
          <w:bottom w:w="28" w:type="dxa"/>
          <w:right w:w="0" w:type="dxa"/>
        </w:tblCellMar>
      </w:tblPr>
      <w:tblGrid>
        <w:gridCol w:w="1655"/>
        <w:gridCol w:w="60"/>
        <w:gridCol w:w="6545"/>
        <w:gridCol w:w="60"/>
        <w:gridCol w:w="1640"/>
      </w:tblGrid>
      <w:tr>
        <w:trPr/>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Chief Executive Officer and Interim Chief Financial Officer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Luisa Ingargiola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Brian Nelson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Perry Boyle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3" w:name="ex5-1.htm"/>
      <w:bookmarkStart w:id="4" w:name="ksex51"/>
      <w:bookmarkEnd w:id="3"/>
      <w:bookmarkEnd w:id="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12915 Old Virginia Road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89521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Dragonfly Energy Holdings Corp. – Registration Statement on Form S-8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Nevada counsel to Dragonfly Energy Holdings Corp.,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to be filed by the Company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is filed by the Company for the purpose of registering additional shares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to be issued under the Company’s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rendering this opinion letter in connection with the Registration Statement registering a total of 9,000,000 shares of Common Stock which were purported to be available for grant and issuance under the 2022 Plan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reviewed the Registration Statement and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such examination, it is our opinion that the Shares have been duly authorized by all requisite corporate action on the part of the Company and, upon their issuance, delivery and payment therefor in the manner contemplated by the Registration Statement and 2022 Plan, will be validly issued, fully paid and non-assessable.</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herein as to any matter pertaining to the contents of the Registration Statement. In connection with this opinion letter,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given as of the date hereof. We assume no obligation to advise you of changes that may hereafter be brought to our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of this opinion letter as an exhibit to the Registration Statement and further consent to all references to us under the caption “Legal Matters” in the Prospectus constituting a part of the Registration Statement. In giving this consent, we do not admit that we are in the category of persons whose consent is required under Section 7 of the Securities Act, or the rules and regulations of the Commission.</w:t>
      </w:r>
    </w:p>
    <w:p>
      <w:pPr>
        <w:pStyle w:val="TextBody"/>
        <w:bidi w:val="0"/>
        <w:spacing w:before="0" w:after="0"/>
        <w:jc w:val="left"/>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75"/>
        <w:gridCol w:w="2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PARSONS BEHLE &amp; LATIMER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PARSONS BEHLE &amp; LATIMER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 w:name="ex23-1.htm"/>
      <w:bookmarkStart w:id="6" w:name="ks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March 31, 2025 relating to the financial statements appearing in the Annual Report on Form 10-K of Dragonfly Energy Holding Corp.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bookmarkStart w:id="7" w:name="ex107.htm"/>
      <w:bookmarkStart w:id="8" w:name="ksex107"/>
      <w:bookmarkEnd w:id="7"/>
      <w:bookmarkEnd w:id="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 w:name="xdx_905_effd--FeeExhibitTp_dxL_c20251118"/>
      <w:bookmarkEnd w:id="9"/>
      <w:r>
        <w:rPr>
          <w:rFonts w:ascii="Times New Roman;Times;Serif" w:hAnsi="Times New Roman;Times;Serif"/>
          <w:b/>
          <w:i w:val="false"/>
          <w:caps w:val="false"/>
          <w:smallCaps w:val="false"/>
          <w:sz w:val="20"/>
        </w:rPr>
        <w:t>Exhibit 107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Form </w:t>
      </w:r>
      <w:bookmarkStart w:id="10" w:name="xdx_90D_effd--SubmissnTp_c20251118__2025"/>
      <w:bookmarkStart w:id="11" w:name="xdx_909_effd--FormTp_c20251118__20251118"/>
      <w:bookmarkEnd w:id="10"/>
      <w:bookmarkEnd w:id="11"/>
      <w:r>
        <w:rPr>
          <w:rFonts w:ascii="Times New Roman;Times;Serif" w:hAnsi="Times New Roman;Times;Serif"/>
          <w:b w:val="false"/>
          <w:i w:val="false"/>
          <w:caps w:val="false"/>
          <w:smallCaps w:val="false"/>
          <w:sz w:val="20"/>
          <w:u w:val="single"/>
        </w:rPr>
        <w:t xml:space="preserve">S-8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2" w:name="xdx_903_edei--EntityRegistrantName_c2025"/>
      <w:bookmarkEnd w:id="12"/>
      <w:r>
        <w:rPr>
          <w:rFonts w:ascii="Times New Roman;Times;Serif" w:hAnsi="Times New Roman;Times;Serif"/>
          <w:b w:val="false"/>
          <w:i w:val="false"/>
          <w:caps w:val="false"/>
          <w:smallCaps w:val="false"/>
          <w:sz w:val="20"/>
          <w:u w:val="single"/>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Newly Registered Securities</w:t>
      </w:r>
    </w:p>
    <w:p>
      <w:pPr>
        <w:pStyle w:val="TextBody"/>
        <w:bidi w:val="0"/>
        <w:spacing w:before="0" w:after="0"/>
        <w:jc w:val="center"/>
        <w:rPr>
          <w:rFonts w:ascii="Times New Roman;Times;Serif" w:hAnsi="Times New Roman;Times;Serif"/>
          <w:b w:val="false"/>
          <w:i w:val="false"/>
          <w:caps w:val="false"/>
          <w:smallCaps w:val="false"/>
          <w:sz w:val="20"/>
        </w:rPr>
      </w:pPr>
      <w:bookmarkStart w:id="13" w:name="xdx_90E_effd--PrevslyPdFlg_dbF_c20251118"/>
      <w:bookmarkEnd w:id="13"/>
      <w:r>
        <w:rPr>
          <w:rFonts w:ascii="Times New Roman;Times;Serif" w:hAnsi="Times New Roman;Times;Serif"/>
          <w:b w:val="false"/>
          <w:i w:val="false"/>
          <w:caps w:val="false"/>
          <w:smallCaps w:val="false"/>
          <w:sz w:val="20"/>
        </w:rPr>
        <w:t>Fees Previously Paid </w:t>
      </w:r>
    </w:p>
    <w:p>
      <w:pPr>
        <w:pStyle w:val="Normal"/>
        <w:bidi w:val="0"/>
        <w:spacing w:before="0" w:after="0"/>
        <w:jc w:val="left"/>
        <w:rPr>
          <w:sz w:val="4"/>
          <w:szCs w:val="4"/>
        </w:rPr>
      </w:pPr>
      <w:r>
        <w:rPr>
          <w:sz w:val="4"/>
          <w:szCs w:val="4"/>
        </w:rPr>
      </w:r>
      <w:bookmarkStart w:id="14" w:name="xdx_308_zHfSVULlnEX3"/>
      <w:bookmarkStart w:id="15" w:name="xdx_308_zHfSVULlnEX3"/>
      <w:bookmarkEnd w:id="15"/>
    </w:p>
    <w:tbl>
      <w:tblPr>
        <w:tblW w:w="10205" w:type="dxa"/>
        <w:jc w:val="left"/>
        <w:tblInd w:w="0" w:type="dxa"/>
        <w:tblLayout w:type="fixed"/>
        <w:tblCellMar>
          <w:top w:w="0" w:type="dxa"/>
          <w:left w:w="0" w:type="dxa"/>
          <w:bottom w:w="28" w:type="dxa"/>
          <w:right w:w="0" w:type="dxa"/>
        </w:tblCellMar>
      </w:tblPr>
      <w:tblGrid>
        <w:gridCol w:w="740"/>
        <w:gridCol w:w="60"/>
        <w:gridCol w:w="1818"/>
        <w:gridCol w:w="60"/>
        <w:gridCol w:w="1559"/>
        <w:gridCol w:w="60"/>
        <w:gridCol w:w="60"/>
        <w:gridCol w:w="993"/>
        <w:gridCol w:w="60"/>
        <w:gridCol w:w="60"/>
        <w:gridCol w:w="224"/>
        <w:gridCol w:w="708"/>
        <w:gridCol w:w="60"/>
        <w:gridCol w:w="60"/>
        <w:gridCol w:w="140"/>
        <w:gridCol w:w="980"/>
        <w:gridCol w:w="60"/>
        <w:gridCol w:w="60"/>
        <w:gridCol w:w="60"/>
        <w:gridCol w:w="1160"/>
        <w:gridCol w:w="60"/>
        <w:gridCol w:w="60"/>
        <w:gridCol w:w="143"/>
        <w:gridCol w:w="882"/>
        <w:gridCol w:w="78"/>
      </w:tblGrid>
      <w:tr>
        <w:trPr/>
        <w:tc>
          <w:tcPr>
            <w:tcW w:w="74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bookmarkStart w:id="16" w:name="xdx_486_effd--OfferingSctyTp_zPaM79YDKmv"/>
            <w:bookmarkEnd w:id="16"/>
            <w:r>
              <w:rPr>
                <w:rFonts w:ascii="Times New Roman;Times;Serif" w:hAnsi="Times New Roman;Times;Serif"/>
                <w:b/>
                <w:i w:val="false"/>
                <w:caps w:val="false"/>
                <w:smallCaps w:val="false"/>
                <w:sz w:val="20"/>
              </w:rPr>
              <w:t>Security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left"/>
              <w:rPr/>
            </w:pPr>
            <w:r>
              <w:rPr/>
              <w:t> </w:t>
            </w:r>
            <w:bookmarkStart w:id="17" w:name="xdx_485_effd--OfferingSctyTitl_zT9MfSYfC"/>
            <w:bookmarkEnd w:id="17"/>
          </w:p>
        </w:tc>
        <w:tc>
          <w:tcPr>
            <w:tcW w:w="1818"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w:t>
              <w:br/>
              <w:t>securities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w:t>
              <w:br/>
              <w:t>registered</w:t>
            </w:r>
          </w:p>
        </w:tc>
        <w:tc>
          <w:tcPr>
            <w:tcW w:w="60" w:type="dxa"/>
            <w:tcBorders/>
            <w:tcMar>
              <w:bottom w:w="0" w:type="dxa"/>
            </w:tcMar>
            <w:vAlign w:val="center"/>
          </w:tcPr>
          <w:p>
            <w:pPr>
              <w:pStyle w:val="TableContents"/>
              <w:bidi w:val="0"/>
              <w:spacing w:before="0" w:after="283"/>
              <w:jc w:val="left"/>
              <w:rPr/>
            </w:pPr>
            <w:r>
              <w:rPr/>
              <w:t> </w:t>
            </w:r>
          </w:p>
        </w:tc>
        <w:tc>
          <w:tcPr>
            <w:tcW w:w="1559"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w:t>
            </w:r>
          </w:p>
        </w:tc>
        <w:tc>
          <w:tcPr>
            <w:tcW w:w="60" w:type="dxa"/>
            <w:tcBorders/>
            <w:tcMar>
              <w:bottom w:w="0" w:type="dxa"/>
            </w:tcMar>
            <w:vAlign w:val="center"/>
          </w:tcPr>
          <w:p>
            <w:pPr>
              <w:pStyle w:val="TableContents"/>
              <w:bidi w:val="0"/>
              <w:spacing w:before="0" w:after="283"/>
              <w:jc w:val="left"/>
              <w:rPr/>
            </w:pPr>
            <w:r>
              <w:rPr/>
              <w:t> </w:t>
            </w:r>
            <w:bookmarkStart w:id="18" w:name="xdx_485_effd--AmtSctiesRegd_pid_z0Xo4aV8"/>
            <w:bookmarkEnd w:id="18"/>
          </w:p>
        </w:tc>
        <w:tc>
          <w:tcPr>
            <w:tcW w:w="1053"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9" w:name="xdx_483_effd--MaxOfferingPricPerScty_pid"/>
            <w:bookmarkEnd w:id="19"/>
          </w:p>
        </w:tc>
        <w:tc>
          <w:tcPr>
            <w:tcW w:w="932"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0" w:name="xdx_48C_effd--MaxAggtOfferingPric_pid_zw"/>
            <w:bookmarkEnd w:id="20"/>
          </w:p>
        </w:tc>
        <w:tc>
          <w:tcPr>
            <w:tcW w:w="1120"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spacing w:before="0" w:after="0"/>
              <w:ind w:left="0" w:right="0" w:hanging="3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3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3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3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 w:name="xdx_484_effd--FeeRate_pid_zuauf9PGK8rh"/>
            <w:bookmarkEnd w:id="21"/>
          </w:p>
        </w:tc>
        <w:tc>
          <w:tcPr>
            <w:tcW w:w="1220"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2" w:name="xdx_488_effd--FeeAmt_pid_zjkwj2QvXQoe"/>
            <w:bookmarkEnd w:id="22"/>
          </w:p>
        </w:tc>
        <w:tc>
          <w:tcPr>
            <w:tcW w:w="1025"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r>
              <w:rPr>
                <w:rFonts w:ascii="Times New Roman;Times;Serif" w:hAnsi="Times New Roman;Times;Serif"/>
                <w:b/>
                <w:i w:val="false"/>
                <w:caps w:val="false"/>
                <w:smallCaps w:val="false"/>
                <w:position w:val="7"/>
                <w:sz w:val="16"/>
                <w:sz w:val="20"/>
              </w:rPr>
              <w:t>(2)</w:t>
            </w:r>
          </w:p>
        </w:tc>
        <w:tc>
          <w:tcPr>
            <w:tcW w:w="78" w:type="dxa"/>
            <w:tcBorders/>
            <w:tcMar>
              <w:bottom w:w="0" w:type="dxa"/>
            </w:tcMar>
            <w:vAlign w:val="center"/>
          </w:tcPr>
          <w:p>
            <w:pPr>
              <w:pStyle w:val="TableContents"/>
              <w:bidi w:val="0"/>
              <w:spacing w:before="0" w:after="283"/>
              <w:jc w:val="left"/>
              <w:rPr/>
            </w:pPr>
            <w:r>
              <w:rPr/>
              <w:t> </w:t>
            </w:r>
            <w:bookmarkStart w:id="23" w:name="xdx_417_20251118__20251118__ffd--Offerin"/>
            <w:bookmarkEnd w:id="23"/>
          </w:p>
        </w:tc>
      </w:tr>
      <w:tr>
        <w:trPr/>
        <w:tc>
          <w:tcPr>
            <w:tcW w:w="740"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Common stock, $0.0001 par value per share </w:t>
            </w:r>
            <w:r>
              <w:rPr>
                <w:rFonts w:ascii="Times New Roman;Times;Serif" w:hAnsi="Times New Roman;Times;Serif"/>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bookmarkStart w:id="24" w:name="xdx_98F_effd--FeesOthrRuleFlg_dbT_c20251"/>
            <w:bookmarkEnd w:id="24"/>
          </w:p>
        </w:tc>
        <w:tc>
          <w:tcPr>
            <w:tcW w:w="1559" w:type="dxa"/>
            <w:tcBorders/>
            <w:shd w:fill="CCEEFF" w:val="clear"/>
            <w:tcMar>
              <w:bottom w:w="0" w:type="dxa"/>
            </w:tcMar>
            <w:vAlign w:val="center"/>
          </w:tcPr>
          <w:p>
            <w:pPr>
              <w:pStyle w:val="TableContents"/>
              <w:bidi w:val="0"/>
              <w:spacing w:before="0" w:after="283"/>
              <w:jc w:val="left"/>
              <w:rPr/>
            </w:pPr>
            <w:r>
              <w:rPr/>
              <w:t>Rule 457(c) and Rule 457(h)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pPr>
            <w:r>
              <w:rPr/>
              <w:t>9,000,000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708" w:type="dxa"/>
            <w:tcBorders/>
            <w:shd w:fill="CCEEFF" w:val="clear"/>
            <w:tcMar>
              <w:bottom w:w="0" w:type="dxa"/>
            </w:tcMar>
            <w:vAlign w:val="center"/>
          </w:tcPr>
          <w:p>
            <w:pPr>
              <w:pStyle w:val="TableContents"/>
              <w:bidi w:val="0"/>
              <w:spacing w:before="0" w:after="283"/>
              <w:jc w:val="right"/>
              <w:rPr/>
            </w:pPr>
            <w:r>
              <w:rPr/>
              <w:t>0.81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7,290,000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0.00013810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882" w:type="dxa"/>
            <w:tcBorders/>
            <w:shd w:fill="CCEEFF" w:val="clear"/>
            <w:tcMar>
              <w:bottom w:w="0" w:type="dxa"/>
            </w:tcMar>
            <w:vAlign w:val="center"/>
          </w:tcPr>
          <w:p>
            <w:pPr>
              <w:pStyle w:val="TableContents"/>
              <w:bidi w:val="0"/>
              <w:spacing w:before="0" w:after="283"/>
              <w:jc w:val="right"/>
              <w:rPr/>
            </w:pPr>
            <w:r>
              <w:rPr/>
              <w:t>1,006.75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8" w:type="dxa"/>
            <w:tcBorders/>
            <w:shd w:fill="FFFFFF" w:val="clear"/>
            <w:tcMar>
              <w:bottom w:w="0" w:type="dxa"/>
            </w:tcMar>
            <w:vAlign w:val="center"/>
          </w:tcPr>
          <w:p>
            <w:pPr>
              <w:pStyle w:val="TableContents"/>
              <w:bidi w:val="0"/>
              <w:spacing w:before="0" w:after="283"/>
              <w:jc w:val="left"/>
              <w:rPr/>
            </w:pPr>
            <w:r>
              <w:rPr/>
              <w:t>Total Offering Amounts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25" w:name="xdx_989_effd--TtlOfferingAmt_pid_c202511"/>
            <w:bookmarkEnd w:id="25"/>
          </w:p>
        </w:tc>
        <w:tc>
          <w:tcPr>
            <w:tcW w:w="980" w:type="dxa"/>
            <w:tcBorders/>
            <w:shd w:fill="FFFFFF" w:val="clear"/>
            <w:tcMar>
              <w:bottom w:w="0" w:type="dxa"/>
            </w:tcMar>
            <w:vAlign w:val="center"/>
          </w:tcPr>
          <w:p>
            <w:pPr>
              <w:pStyle w:val="TableContents"/>
              <w:bidi w:val="0"/>
              <w:spacing w:before="0" w:after="283"/>
              <w:jc w:val="right"/>
              <w:rPr/>
            </w:pPr>
            <w:r>
              <w:rPr/>
              <w:t>7,290,000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bookmarkStart w:id="26" w:name="xdx_982_effd--TtlFeeAmt_pid_c20251118__2"/>
            <w:bookmarkEnd w:id="26"/>
          </w:p>
        </w:tc>
        <w:tc>
          <w:tcPr>
            <w:tcW w:w="882" w:type="dxa"/>
            <w:tcBorders/>
            <w:shd w:fill="FFFFFF" w:val="clear"/>
            <w:tcMar>
              <w:bottom w:w="0" w:type="dxa"/>
            </w:tcMar>
            <w:vAlign w:val="center"/>
          </w:tcPr>
          <w:p>
            <w:pPr>
              <w:pStyle w:val="TableContents"/>
              <w:bidi w:val="0"/>
              <w:spacing w:before="0" w:after="283"/>
              <w:jc w:val="right"/>
              <w:rPr/>
            </w:pPr>
            <w:r>
              <w:rPr/>
              <w:t>1,006.75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Total Fee Offsets </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bookmarkStart w:id="27" w:name="xdx_98A_effd--TtlOffsetAmt_c20251118__20"/>
            <w:bookmarkEnd w:id="27"/>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8" w:type="dxa"/>
            <w:tcBorders/>
            <w:shd w:fill="FFFFFF" w:val="clear"/>
            <w:tcMar>
              <w:bottom w:w="0" w:type="dxa"/>
            </w:tcMar>
            <w:vAlign w:val="center"/>
          </w:tcPr>
          <w:p>
            <w:pPr>
              <w:pStyle w:val="TableContents"/>
              <w:bidi w:val="0"/>
              <w:spacing w:before="0" w:after="283"/>
              <w:jc w:val="left"/>
              <w:rPr/>
            </w:pPr>
            <w:r>
              <w:rPr/>
              <w:t>Net Fee Due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bookmarkStart w:id="28" w:name="xdx_980_effd--NetFeeAmt_pid_c20251118__2"/>
            <w:bookmarkEnd w:id="28"/>
          </w:p>
        </w:tc>
        <w:tc>
          <w:tcPr>
            <w:tcW w:w="882" w:type="dxa"/>
            <w:tcBorders/>
            <w:shd w:fill="FFFFFF" w:val="clear"/>
            <w:tcMar>
              <w:bottom w:w="0" w:type="dxa"/>
            </w:tcMar>
            <w:vAlign w:val="center"/>
          </w:tcPr>
          <w:p>
            <w:pPr>
              <w:pStyle w:val="TableContents"/>
              <w:bidi w:val="0"/>
              <w:spacing w:before="0" w:after="283"/>
              <w:jc w:val="right"/>
              <w:rPr/>
            </w:pPr>
            <w:r>
              <w:rPr/>
              <w:t>1,006.75</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bookmarkStart w:id="29" w:name="xdx_985_effd--OfferingNote_c20251118__20"/>
            <w:bookmarkEnd w:id="29"/>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this Registration Statement shall also cover any additional shares of the Registrant’s common stock that become issuable under the Registrant’s 2022 Omnibus Equity Incentive Plan (the “</w:t>
            </w:r>
            <w:r>
              <w:rPr>
                <w:rFonts w:ascii="Times New Roman;Times;Serif" w:hAnsi="Times New Roman;Times;Serif"/>
                <w:b w:val="false"/>
                <w:i w:val="false"/>
                <w:caps w:val="false"/>
                <w:smallCaps w:val="false"/>
                <w:sz w:val="20"/>
                <w:u w:val="single"/>
              </w:rPr>
              <w:t>2022 Plan</w:t>
            </w:r>
            <w:r>
              <w:rPr>
                <w:rFonts w:ascii="Times New Roman;Times;Serif" w:hAnsi="Times New Roman;Times;Serif"/>
                <w:b w:val="false"/>
                <w:i w:val="false"/>
                <w:caps w:val="false"/>
                <w:smallCaps w:val="false"/>
                <w:sz w:val="20"/>
              </w:rPr>
              <w:t>”) in respect of the securities identified in the above table by reason of any stock dividend, stock split, recapitalization, or other similar transaction effected without the Registrant’s receipt of consideration that increases the number of the outstanding shares of the Registrant’s common stock. In addition, pursuant to Rule 416(c) under the Securities Act, this registration statement also covers an indeterminate amount of interests to be offered or sold pursuant to the employee benefit plan(s) described herein, as these amounts may be adjusted as a result of stock splits, stock dividends, antidilution provisions, and similar transactions.</w:t>
            </w:r>
          </w:p>
        </w:tc>
      </w:tr>
      <w:tr>
        <w:trPr/>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0" w:name="xdx_C00_gBFON-GDGBGT_zPk7tKNOtyv4"/>
            <w:bookmarkEnd w:id="30"/>
            <w:r>
              <w:rPr>
                <w:rFonts w:ascii="Times New Roman;Times;Serif" w:hAnsi="Times New Roman;Times;Serif"/>
                <w:b w:val="false"/>
                <w:i w:val="false"/>
                <w:caps w:val="false"/>
                <w:smallCaps w:val="false"/>
                <w:sz w:val="20"/>
              </w:rPr>
              <w:t>Pursuant to Rules 457(c) and (h) under the Securities Act, the proposed maximum offering price per share and the proposed maximum aggregate offering price are estimated for the purpose of calculating the amount of the registration fee and are based on the average of the high and low sales price, $0.90 and $0.71, respectively, of the Registrant’s common stock as reported on the Nasdaq Capital Market on November 14, 2025.</w:t>
            </w:r>
          </w:p>
        </w:tc>
      </w:tr>
      <w:tr>
        <w:trPr/>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1" w:name="xdx_C07_gBFON-GDGBGT_zgEzgmA8Jiil"/>
            <w:bookmarkEnd w:id="31"/>
            <w:r>
              <w:rPr>
                <w:rFonts w:ascii="Times New Roman;Times;Serif" w:hAnsi="Times New Roman;Times;Serif"/>
                <w:b w:val="false"/>
                <w:i w:val="false"/>
                <w:caps w:val="false"/>
                <w:smallCaps w:val="false"/>
                <w:sz w:val="20"/>
              </w:rPr>
              <w:t>Represents an additional 9,000,000 shares of the Registrant’s common stock reserved for issuance under the 2022 Plan.</w:t>
            </w:r>
          </w:p>
        </w:tc>
      </w:tr>
      <w:tr>
        <w:trPr/>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2" w:name="xdx_F0E_z5GlKhcSEJU1"/>
            <w:bookmarkEnd w:id="32"/>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 w:name="xdx_F1F_z16LplzQZPse"/>
            <w:bookmarkEnd w:id="33"/>
            <w:r>
              <w:rPr>
                <w:rFonts w:ascii="Times New Roman;Times;Serif" w:hAnsi="Times New Roman;Times;Serif"/>
                <w:b w:val="false"/>
                <w:i w:val="false"/>
                <w:caps w:val="false"/>
                <w:smallCaps w:val="false"/>
                <w:sz w:val="20"/>
              </w:rPr>
              <w:t>The Registrant does not have any fee offsets.</w:t>
            </w:r>
          </w:p>
        </w:tc>
      </w:tr>
    </w:tbl>
    <w:p>
      <w:pPr>
        <w:pStyle w:val="TextBody"/>
        <w:bidi w:val="0"/>
        <w:spacing w:before="0" w:after="0"/>
        <w:jc w:val="center"/>
        <w:rPr>
          <w:rFonts w:ascii="Times New Roman;Times;Serif" w:hAnsi="Times New Roman;Times;Serif"/>
          <w:b w:val="false"/>
          <w:i w:val="false"/>
          <w:caps w:val="false"/>
          <w:smallCaps w:val="false"/>
          <w:sz w:val="20"/>
        </w:rPr>
      </w:pPr>
      <w:bookmarkStart w:id="34" w:name="xdx_906_effd--OffsetTableNa_c20251118__2"/>
      <w:bookmarkEnd w:id="34"/>
      <w:r>
        <w:rPr>
          <w:rFonts w:ascii="Times New Roman;Times;Serif" w:hAnsi="Times New Roman;Times;Serif"/>
          <w:b w:val="false"/>
          <w:i w:val="false"/>
          <w:caps w:val="false"/>
          <w:smallCaps w:val="false"/>
          <w:sz w:val="20"/>
        </w:rPr>
        <w:t>N/A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64117225001755/form10-k.htm" TargetMode="External"/><Relationship Id="rId3" Type="http://schemas.openxmlformats.org/officeDocument/2006/relationships/hyperlink" Target="https://www.sec.gov/Archives/edgar/data/1847986/000164117225011280/form10-q.htm" TargetMode="External"/><Relationship Id="rId4" Type="http://schemas.openxmlformats.org/officeDocument/2006/relationships/hyperlink" Target="https://www.sec.gov/Archives/edgar/data/1847986/000149315225011982/form10-q.htm" TargetMode="External"/><Relationship Id="rId5" Type="http://schemas.openxmlformats.org/officeDocument/2006/relationships/hyperlink" Target="https://www.sec.gov/Archives/edgar/data/1847986/000149315225023502/form10-q.htm" TargetMode="External"/><Relationship Id="rId6" Type="http://schemas.openxmlformats.org/officeDocument/2006/relationships/hyperlink" Target="https://www.sec.gov/Archives/edgar/data/1847986/000164117225011280/form10-q.htm" TargetMode="External"/><Relationship Id="rId7" Type="http://schemas.openxmlformats.org/officeDocument/2006/relationships/hyperlink" Target="https://www.sec.gov/Archives/edgar/data/1847986/000149315225011982/form10-q.htm" TargetMode="External"/><Relationship Id="rId8" Type="http://schemas.openxmlformats.org/officeDocument/2006/relationships/hyperlink" Target="https://www.sec.gov/Archives/edgar/data/1847986/000149315225023502/form10-q.htm" TargetMode="External"/><Relationship Id="rId9" Type="http://schemas.openxmlformats.org/officeDocument/2006/relationships/hyperlink" Target="https://www.sec.gov/Archives/edgar/data/1847986/000149315225000307/form8-k.htm" TargetMode="External"/><Relationship Id="rId10" Type="http://schemas.openxmlformats.org/officeDocument/2006/relationships/hyperlink" Target="https://www.sec.gov/Archives/edgar/data/1847986/000149315225005013/form8-k.htm" TargetMode="External"/><Relationship Id="rId11" Type="http://schemas.openxmlformats.org/officeDocument/2006/relationships/hyperlink" Target="https://www.sec.gov/Archives/edgar/data/1847986/000149315225008445/form8-k.htm" TargetMode="External"/><Relationship Id="rId12" Type="http://schemas.openxmlformats.org/officeDocument/2006/relationships/hyperlink" Target="https://www.sec.gov/Archives/edgar/data/1847986/000149315225009633/form8-k.htm" TargetMode="External"/><Relationship Id="rId13" Type="http://schemas.openxmlformats.org/officeDocument/2006/relationships/hyperlink" Target="https://www.sec.gov/Archives/edgar/data/1847986/000164117225000298/form8-k.htm" TargetMode="External"/><Relationship Id="rId14" Type="http://schemas.openxmlformats.org/officeDocument/2006/relationships/hyperlink" Target="https://www.sec.gov/Archives/edgar/data/1847986/000164117225006463/form8-k.htm" TargetMode="External"/><Relationship Id="rId15" Type="http://schemas.openxmlformats.org/officeDocument/2006/relationships/hyperlink" Target="https://www.sec.gov/Archives/edgar/data/1847986/000164117225009296/form8-k.htm" TargetMode="External"/><Relationship Id="rId16" Type="http://schemas.openxmlformats.org/officeDocument/2006/relationships/hyperlink" Target="https://www.sec.gov/Archives/edgar/data/1847986/000164117225013480/form8-k.htm" TargetMode="External"/><Relationship Id="rId17" Type="http://schemas.openxmlformats.org/officeDocument/2006/relationships/hyperlink" Target="https://www.sec.gov/Archives/edgar/data/1847986/000164117225015095/form8-k.htm" TargetMode="External"/><Relationship Id="rId18" Type="http://schemas.openxmlformats.org/officeDocument/2006/relationships/hyperlink" Target="https://www.sec.gov/Archives/edgar/data/1847986/000164117225016196/form8-k.htm" TargetMode="External"/><Relationship Id="rId19" Type="http://schemas.openxmlformats.org/officeDocument/2006/relationships/hyperlink" Target="https://www.sec.gov/Archives/edgar/data/1847986/000164117225016938/form8-k.htm" TargetMode="External"/><Relationship Id="rId20" Type="http://schemas.openxmlformats.org/officeDocument/2006/relationships/hyperlink" Target="https://www.sec.gov/Archives/edgar/data/1847986/000164117225017928/form8-k.htm" TargetMode="External"/><Relationship Id="rId21" Type="http://schemas.openxmlformats.org/officeDocument/2006/relationships/hyperlink" Target="https://www.sec.gov/Archives/edgar/data/1847986/000164117225020360/form8-k.htm" TargetMode="External"/><Relationship Id="rId22" Type="http://schemas.openxmlformats.org/officeDocument/2006/relationships/hyperlink" Target="https://www.sec.gov/Archives/edgar/data/1847986/000164117225021256/form8-k.htm" TargetMode="External"/><Relationship Id="rId23" Type="http://schemas.openxmlformats.org/officeDocument/2006/relationships/hyperlink" Target="https://www.sec.gov/Archives/edgar/data/1847986/000164117225021587/form8-k.htm" TargetMode="External"/><Relationship Id="rId24" Type="http://schemas.openxmlformats.org/officeDocument/2006/relationships/hyperlink" Target="https://www.sec.gov/Archives/edgar/data/1847986/000149315225012605/form8-k.htm" TargetMode="External"/><Relationship Id="rId25" Type="http://schemas.openxmlformats.org/officeDocument/2006/relationships/hyperlink" Target="https://www.sec.gov/Archives/edgar/data/1847986/000149315225017102/form8-k.htm" TargetMode="External"/><Relationship Id="rId26" Type="http://schemas.openxmlformats.org/officeDocument/2006/relationships/hyperlink" Target="https://www.sec.gov/Archives/edgar/data/1847986/000149315225018142/form8-k.htm" TargetMode="External"/><Relationship Id="rId27" Type="http://schemas.openxmlformats.org/officeDocument/2006/relationships/hyperlink" Target="https://www.sec.gov/Archives/edgar/data/1847986/000149315225018249/form8-k.htm" TargetMode="External"/><Relationship Id="rId28" Type="http://schemas.openxmlformats.org/officeDocument/2006/relationships/hyperlink" Target="https://www.sec.gov/Archives/edgar/data/1847986/000149315225018691/form8-k.htm" TargetMode="External"/><Relationship Id="rId29" Type="http://schemas.openxmlformats.org/officeDocument/2006/relationships/hyperlink" Target="https://www.sec.gov/Archives/edgar/data/1847986/000149315225018720/form8-k.htm" TargetMode="External"/><Relationship Id="rId30" Type="http://schemas.openxmlformats.org/officeDocument/2006/relationships/hyperlink" Target="https://www.sec.gov/Archives/edgar/data/1847986/000149315225020907/form8-k.htm" TargetMode="External"/><Relationship Id="rId31" Type="http://schemas.openxmlformats.org/officeDocument/2006/relationships/hyperlink" Target="https://www.sec.gov/Archives/edgar/data/1847986/000149315225018340/form8-ka.htm" TargetMode="External"/><Relationship Id="rId32" Type="http://schemas.openxmlformats.org/officeDocument/2006/relationships/hyperlink" Target="https://www.sec.gov/Archives/edgar/data/1847986/000110465921102670/tm2124648d1_8a12b.htm" TargetMode="External"/><Relationship Id="rId33" Type="http://schemas.openxmlformats.org/officeDocument/2006/relationships/hyperlink" Target="https://www.sec.gov/Archives/edgar/data/1847986/000164117225001755/ex4-18.htm" TargetMode="External"/><Relationship Id="rId34" Type="http://schemas.openxmlformats.org/officeDocument/2006/relationships/hyperlink" Target="https://www.sec.gov/Archives/edgar/data/1847986/000149315223010262/ex3-1.htm" TargetMode="External"/><Relationship Id="rId35" Type="http://schemas.openxmlformats.org/officeDocument/2006/relationships/hyperlink" Target="https://www.sec.gov/Archives/edgar/data/1847986/000149315223043109/ex3-1.htm" TargetMode="External"/><Relationship Id="rId36" Type="http://schemas.openxmlformats.org/officeDocument/2006/relationships/hyperlink" Target="https://www.sec.gov/Archives/edgar/data/1847986/000149315223010262/ex3-2.htm" TargetMode="External"/><Relationship Id="rId37" Type="http://schemas.openxmlformats.org/officeDocument/2006/relationships/hyperlink" Target="https://www.sec.gov/Archives/edgar/data/1847986/000110465922107212/tm2222125d3_ex4-1.htm" TargetMode="External"/><Relationship Id="rId38" Type="http://schemas.openxmlformats.org/officeDocument/2006/relationships/hyperlink" Target="https://www.sec.gov/Archives/edgar/data/1847986/000149315224047295/ex3-1.htm" TargetMode="External"/><Relationship Id="rId39" Type="http://schemas.openxmlformats.org/officeDocument/2006/relationships/hyperlink" Target="https://www.sec.gov/Archives/edgar/data/1847986/000164117225006463/ex3-1.htm" TargetMode="External"/><Relationship Id="rId40" Type="http://schemas.openxmlformats.org/officeDocument/2006/relationships/hyperlink" Target="https://www.sec.gov/Archives/edgar/data/1847986/000110465922107212/tm2222125d3_ex10-5.htm" TargetMode="External"/><Relationship Id="rId41" Type="http://schemas.openxmlformats.org/officeDocument/2006/relationships/hyperlink" Target="https://www.sec.gov/Archives/edgar/data/1847986/000110465922107212/tm2222125d3_ex10-6.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2582</Words>
  <Characters>13795</Characters>
  <CharactersWithSpaces>16518</CharactersWithSpaces>
  <Paragraphs>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