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26145B403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26145B403</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DELAWARE</w:t>
      </w:r>
    </w:p>
    <w:p>
      <w:pPr>
        <w:ind w:left="7"/>
        <w:spacing w:after="0"/>
        <w:tabs>
          <w:tab w:leader="none" w:pos="1346"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ind w:left="7"/>
        <w:spacing w:after="0" w:line="181" w:lineRule="auto"/>
        <w:tabs>
          <w:tab w:leader="none" w:pos="1126"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ind w:left="7"/>
        <w:spacing w:after="0" w:line="184" w:lineRule="auto"/>
        <w:tabs>
          <w:tab w:leader="none" w:pos="1346"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20" w:h="16838" w:orient="portrait"/>
          <w:cols w:equalWidth="0" w:num="1">
            <w:col w:w="10105"/>
          </w:cols>
          <w:pgMar w:left="373" w:top="861"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1,195,792.00</w:t>
            </w:r>
          </w:p>
        </w:tc>
        <w:tc>
          <w:tcPr>
            <w:tcW w:w="0" w:type="dxa"/>
            <w:vAlign w:val="bottom"/>
          </w:tcPr>
          <w:p>
            <w:pPr>
              <w:spacing w:after="0"/>
              <w:rPr>
                <w:sz w:val="1"/>
                <w:szCs w:val="1"/>
                <w:color w:val="auto"/>
              </w:rPr>
            </w:pP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1,195,792.00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1,195,792.00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r>
        <w:trPr>
          <w:trHeight w:val="229"/>
        </w:trPr>
        <w:tc>
          <w:tcPr>
            <w:tcW w:w="100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26145B403</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20" w:h="16838" w:orient="portrait"/>
          <w:cols w:equalWidth="0" w:num="1">
            <w:col w:w="10098"/>
          </w:cols>
          <w:pgMar w:left="380" w:top="97" w:right="1440" w:bottom="64"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1,195,792.00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1,195,792.00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1,195,792.00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20" w:h="16838" w:orient="portrait"/>
          <w:cols w:equalWidth="0" w:num="2">
            <w:col w:w="1040" w:space="60"/>
            <w:col w:w="8998"/>
          </w:cols>
          <w:pgMar w:left="380" w:top="97" w:right="1440" w:bottom="64" w:gutter="0" w:footer="0" w:header="0"/>
          <w:type w:val="continuous"/>
        </w:sectPr>
      </w:pPr>
    </w:p>
    <w:bookmarkStart w:id="2" w:name="page3"/>
    <w:bookmarkEnd w:id="2"/>
    <w:p>
      <w:pPr>
        <w:ind w:left="1107"/>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26145B403</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1067"/>
          </w:cols>
          <w:pgMar w:left="373" w:top="106" w:right="478" w:bottom="0" w:gutter="0" w:footer="0" w:header="0"/>
        </w:sectPr>
      </w:pP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1,195,792.00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1,195,792.00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1,195,792.00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20" w:h="16838" w:orient="portrait"/>
          <w:cols w:equalWidth="0" w:num="2">
            <w:col w:w="1047" w:space="60"/>
            <w:col w:w="9960"/>
          </w:cols>
          <w:pgMar w:left="373" w:top="106" w:right="478"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12915 Old Virginia Road Reno, Nevada 89521</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right="3080"/>
        <w:spacing w:after="0" w:line="286" w:lineRule="auto"/>
        <w:rPr>
          <w:sz w:val="20"/>
          <w:szCs w:val="20"/>
          <w:color w:val="auto"/>
        </w:rPr>
      </w:pPr>
      <w:r>
        <w:rPr>
          <w:rFonts w:ascii="Times New Roman" w:cs="Times New Roman" w:eastAsia="Times New Roman" w:hAnsi="Times New Roman"/>
          <w:sz w:val="22"/>
          <w:szCs w:val="22"/>
          <w:color w:val="auto"/>
        </w:rPr>
        <w:t>(i) Alyeska Investment Group, L.P. (ii) Alyeska Fund GP, LLC (iii) Anand Parekh Address or principal business office or, if none, residence:</w:t>
      </w:r>
    </w:p>
    <w:p>
      <w:pPr>
        <w:spacing w:after="0" w:line="156" w:lineRule="exact"/>
        <w:rPr>
          <w:sz w:val="20"/>
          <w:szCs w:val="20"/>
          <w:color w:val="auto"/>
        </w:rPr>
      </w:pPr>
    </w:p>
    <w:p>
      <w:pPr>
        <w:ind w:left="927" w:hanging="927"/>
        <w:spacing w:after="0" w:line="185" w:lineRule="auto"/>
        <w:tabs>
          <w:tab w:leader="none" w:pos="927"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ectPr>
          <w:pgSz w:w="11920" w:h="16838" w:orient="portrait"/>
          <w:cols w:equalWidth="0" w:num="1">
            <w:col w:w="11067"/>
          </w:cols>
          <w:pgMar w:left="373" w:top="106" w:right="478" w:bottom="0" w:gutter="0" w:footer="0" w:header="0"/>
          <w:type w:val="continuous"/>
        </w:sectPr>
      </w:pPr>
    </w:p>
    <w:bookmarkStart w:id="3" w:name="page4"/>
    <w:bookmarkEnd w:id="3"/>
    <w:p>
      <w:pPr>
        <w:spacing w:after="0" w:line="3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3.</w:t>
      </w:r>
    </w:p>
    <w:p>
      <w:pPr>
        <w:spacing w:after="0" w:line="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(k)</w:t>
      </w:r>
    </w:p>
    <w:p>
      <w:pPr>
        <w:spacing w:after="0" w:line="3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4" w:right="360" w:hanging="4"/>
        <w:spacing w:after="0" w:line="256" w:lineRule="auto"/>
        <w:tabs>
          <w:tab w:leader="none" w:pos="25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Alyeska Investment Group, L.P. - Delaware (ii) Alyeska Fund GP, LLC - Delaware (iii) Anand Parekh - United States of America</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26145B403</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5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4" w:right="680" w:hanging="3"/>
        <w:spacing w:after="0" w:line="258" w:lineRule="auto"/>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4" w:hanging="3"/>
        <w:spacing w:after="0" w:line="241"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1,195,792</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20" w:h="16838" w:orient="portrait"/>
          <w:cols w:equalWidth="0" w:num="2">
            <w:col w:w="607" w:space="316"/>
            <w:col w:w="10204"/>
          </w:cols>
          <w:pgMar w:left="373" w:top="121" w:right="418" w:bottom="0" w:gutter="0" w:footer="0" w:header="0"/>
        </w:sectPr>
      </w:pPr>
    </w:p>
    <w:p>
      <w:pPr>
        <w:ind w:left="927"/>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7" w:hanging="927"/>
        <w:spacing w:after="0"/>
        <w:tabs>
          <w:tab w:leader="none" w:pos="927"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7"/>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20" w:h="16838" w:orient="portrait"/>
          <w:cols w:equalWidth="0" w:num="1">
            <w:col w:w="11127"/>
          </w:cols>
          <w:pgMar w:left="373" w:top="121" w:right="418"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4" w:right="6240" w:hanging="4"/>
        <w:spacing w:after="0" w:line="486" w:lineRule="auto"/>
        <w:tabs>
          <w:tab w:leader="none" w:pos="32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1,195,792</w:t>
      </w:r>
    </w:p>
    <w:p>
      <w:pPr>
        <w:spacing w:after="0" w:line="1"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4" w:right="5100" w:hanging="4"/>
        <w:spacing w:after="0" w:line="486" w:lineRule="auto"/>
        <w:tabs>
          <w:tab w:leader="none" w:pos="37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1,195,792</w:t>
      </w:r>
    </w:p>
    <w:p>
      <w:pPr>
        <w:spacing w:after="0" w:line="1"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20" w:h="16838" w:orient="portrait"/>
          <w:cols w:equalWidth="0" w:num="2">
            <w:col w:w="607" w:space="316"/>
            <w:col w:w="10204"/>
          </w:cols>
          <w:pgMar w:left="373" w:top="121" w:right="418"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20" w:right="10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The reporting persons are the beneficial owners of 744,422 common stock, of the Issuer and hold pre-funded warrants to purchase 500,000 shares of the Issuer's Class A common stock, (the "Warrants"). However, per their terms, the Warrants can only be exercised into such number of shares that would constitute 9.9% of the total number of Common Stock of the Issuer outstanding immediately after giving effect to the issuance of Common Stock upon exercise of this Warrant by the Holder. Accordingly, as of December 31, 2025 the reporting persons may only exercise up to 451,370 Ordinary Shares under the Warrant Agreement, and as such, is reporting beneficial ownership of only such number of shares. The percentage calculation assumes that there are currently 12,078,705 outstanding shares of Ordinary Shares of the Issuer, based on the Issuer's Form 8-K filed with the Securities and Exchange Commission on December 18, 2025.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20" w:h="16838" w:orient="portrait"/>
      <w:cols w:equalWidth="0" w:num="1">
        <w:col w:w="11180"/>
      </w:cols>
      <w:pgMar w:left="380" w:top="121" w:right="35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2026-02-17T17:42:07Z</dcterms:created>
  <dcterms:modified xsi:type="dcterms:W3CDTF">2026-02-17T17:42:07Z</dcterms:modified>
</cp:coreProperties>
</file>